
<file path=[Content_Types].xml><?xml version="1.0" encoding="utf-8"?>
<Types xmlns="http://schemas.openxmlformats.org/package/2006/content-types">
  <Override PartName="/word/charts/chart10.xml" ContentType="application/vnd.openxmlformats-officedocument.drawingml.chart+xml"/>
  <Override PartName="/word/charts/chart59.xml" ContentType="application/vnd.openxmlformats-officedocument.drawingml.chart+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9.xml" ContentType="application/vnd.openxmlformats-officedocument.drawingml.chart+xml"/>
  <Override PartName="/word/charts/chart48.xml" ContentType="application/vnd.openxmlformats-officedocument.drawingml.chart+xml"/>
  <Override PartName="/word/charts/chart95.xml" ContentType="application/vnd.openxmlformats-officedocument.drawingml.chart+xml"/>
  <Override PartName="/word/header8.xml" ContentType="application/vnd.openxmlformats-officedocument.wordprocessingml.header+xml"/>
  <Override PartName="/word/charts/chart26.xml" ContentType="application/vnd.openxmlformats-officedocument.drawingml.chart+xml"/>
  <Override PartName="/word/charts/chart37.xml" ContentType="application/vnd.openxmlformats-officedocument.drawingml.chart+xml"/>
  <Override PartName="/word/charts/chart55.xml" ContentType="application/vnd.openxmlformats-officedocument.drawingml.chart+xml"/>
  <Override PartName="/word/drawings/drawing2.xml" ContentType="application/vnd.openxmlformats-officedocument.drawingml.chartshapes+xml"/>
  <Override PartName="/word/charts/chart73.xml" ContentType="application/vnd.openxmlformats-officedocument.drawingml.chart+xml"/>
  <Override PartName="/word/charts/chart84.xml" ContentType="application/vnd.openxmlformats-officedocument.drawingml.chart+xml"/>
  <Override PartName="/word/footer3.xml" ContentType="application/vnd.openxmlformats-officedocument.wordprocessingml.footer+xml"/>
  <Override PartName="/docProps/custom.xml" ContentType="application/vnd.openxmlformats-officedocument.custom-properties+xml"/>
  <Override PartName="/word/header4.xml" ContentType="application/vnd.openxmlformats-officedocument.wordprocessingml.header+xml"/>
  <Override PartName="/word/charts/chart5.xml" ContentType="application/vnd.openxmlformats-officedocument.drawingml.chart+xml"/>
  <Override PartName="/word/charts/chart15.xml" ContentType="application/vnd.openxmlformats-officedocument.drawingml.chart+xml"/>
  <Override PartName="/word/charts/chart44.xml" ContentType="application/vnd.openxmlformats-officedocument.drawingml.chart+xml"/>
  <Override PartName="/word/charts/chart62.xml" ContentType="application/vnd.openxmlformats-officedocument.drawingml.chart+xml"/>
  <Override PartName="/word/charts/chart91.xml" ContentType="application/vnd.openxmlformats-officedocument.drawingml.chart+xml"/>
  <Override PartName="/word/charts/chart22.xml" ContentType="application/vnd.openxmlformats-officedocument.drawingml.chart+xml"/>
  <Override PartName="/word/charts/chart33.xml" ContentType="application/vnd.openxmlformats-officedocument.drawingml.chart+xml"/>
  <Override PartName="/word/charts/chart51.xml" ContentType="application/vnd.openxmlformats-officedocument.drawingml.chart+xml"/>
  <Override PartName="/word/charts/chart80.xml" ContentType="application/vnd.openxmlformats-officedocument.drawingml.chart+xml"/>
  <Override PartName="/word/drawings/drawing10.xml" ContentType="application/vnd.openxmlformats-officedocument.drawingml.chartshapes+xml"/>
  <Override PartName="/word/charts/chart101.xml" ContentType="application/vnd.openxmlformats-officedocument.drawingml.chart+xml"/>
  <Override PartName="/word/charts/chart1.xml" ContentType="application/vnd.openxmlformats-officedocument.drawingml.chart+xml"/>
  <Override PartName="/word/charts/chart11.xml" ContentType="application/vnd.openxmlformats-officedocument.drawingml.chart+xml"/>
  <Override PartName="/word/charts/chart40.xml" ContentType="application/vnd.openxmlformats-officedocument.drawingml.chart+xml"/>
  <Override PartName="/customXml/itemProps2.xml" ContentType="application/vnd.openxmlformats-officedocument.customXmlProperties+xml"/>
  <Override PartName="/word/charts/chart89.xml" ContentType="application/vnd.openxmlformats-officedocument.drawingml.chart+xml"/>
  <Default Extension="emf" ContentType="image/x-emf"/>
  <Override PartName="/word/charts/chart49.xml" ContentType="application/vnd.openxmlformats-officedocument.drawingml.chart+xml"/>
  <Override PartName="/word/charts/chart78.xml" ContentType="application/vnd.openxmlformats-officedocument.drawingml.chart+xml"/>
  <Override PartName="/word/drawings/drawing7.xml" ContentType="application/vnd.openxmlformats-officedocument.drawingml.chartshapes+xml"/>
  <Override PartName="/word/charts/chart96.xml" ContentType="application/vnd.openxmlformats-officedocument.drawingml.chart+xml"/>
  <Override PartName="/word/charts/chart38.xml" ContentType="application/vnd.openxmlformats-officedocument.drawingml.chart+xml"/>
  <Override PartName="/word/charts/chart67.xml" ContentType="application/vnd.openxmlformats-officedocument.drawingml.chart+xml"/>
  <Override PartName="/word/drawings/drawing3.xml" ContentType="application/vnd.openxmlformats-officedocument.drawingml.chartshapes+xml"/>
  <Override PartName="/word/charts/chart85.xml" ContentType="application/vnd.openxmlformats-officedocument.drawingml.chart+xml"/>
  <Override PartName="/docProps/app.xml" ContentType="application/vnd.openxmlformats-officedocument.extended-properties+xml"/>
  <Override PartName="/word/charts/chart6.xml" ContentType="application/vnd.openxmlformats-officedocument.drawingml.chart+xml"/>
  <Override PartName="/word/charts/chart27.xml" ContentType="application/vnd.openxmlformats-officedocument.drawingml.chart+xml"/>
  <Override PartName="/word/charts/chart45.xml" ContentType="application/vnd.openxmlformats-officedocument.drawingml.chart+xml"/>
  <Override PartName="/word/charts/chart56.xml" ContentType="application/vnd.openxmlformats-officedocument.drawingml.chart+xml"/>
  <Override PartName="/word/charts/chart74.xml" ContentType="application/vnd.openxmlformats-officedocument.drawingml.chart+xml"/>
  <Override PartName="/word/charts/chart92.xml" ContentType="application/vnd.openxmlformats-officedocument.drawingml.chart+xml"/>
  <Override PartName="/word/header5.xml" ContentType="application/vnd.openxmlformats-officedocument.wordprocessingml.header+xml"/>
  <Override PartName="/word/charts/chart16.xml" ContentType="application/vnd.openxmlformats-officedocument.drawingml.chart+xml"/>
  <Override PartName="/word/charts/chart34.xml" ContentType="application/vnd.openxmlformats-officedocument.drawingml.chart+xml"/>
  <Override PartName="/word/charts/chart52.xml" ContentType="application/vnd.openxmlformats-officedocument.drawingml.chart+xml"/>
  <Override PartName="/word/charts/chart63.xml" ContentType="application/vnd.openxmlformats-officedocument.drawingml.chart+xml"/>
  <Override PartName="/word/charts/chart81.xml" ContentType="application/vnd.openxmlformats-officedocument.drawingml.chart+xml"/>
  <Override PartName="/word/charts/chart2.xml" ContentType="application/vnd.openxmlformats-officedocument.drawingml.chart+xml"/>
  <Override PartName="/word/charts/chart23.xml" ContentType="application/vnd.openxmlformats-officedocument.drawingml.chart+xml"/>
  <Override PartName="/word/charts/chart41.xml" ContentType="application/vnd.openxmlformats-officedocument.drawingml.chart+xml"/>
  <Override PartName="/word/charts/chart70.xml" ContentType="application/vnd.openxmlformats-officedocument.drawingml.chart+xml"/>
  <Override PartName="/word/drawings/drawing11.xml" ContentType="application/vnd.openxmlformats-officedocument.drawingml.chartshapes+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2.xml" ContentType="application/vnd.openxmlformats-officedocument.drawingml.chart+xml"/>
  <Override PartName="/word/charts/chart30.xml" ContentType="application/vnd.openxmlformats-officedocument.drawingml.chart+xml"/>
  <Override PartName="/docProps/core.xml" ContentType="application/vnd.openxmlformats-package.core-properties+xml"/>
  <Override PartName="/word/footnotes.xml" ContentType="application/vnd.openxmlformats-officedocument.wordprocessingml.footnotes+xml"/>
  <Override PartName="/customXml/itemProps3.xml" ContentType="application/vnd.openxmlformats-officedocument.customXmlProperties+xml"/>
  <Override PartName="/word/drawings/drawing8.xml" ContentType="application/vnd.openxmlformats-officedocument.drawingml.chartshapes+xml"/>
  <Override PartName="/word/charts/chart68.xml" ContentType="application/vnd.openxmlformats-officedocument.drawingml.chart+xml"/>
  <Override PartName="/word/charts/chart79.xml" ContentType="application/vnd.openxmlformats-officedocument.drawingml.chart+xml"/>
  <Override PartName="/word/charts/chart97.xml" ContentType="application/vnd.openxmlformats-officedocument.drawingml.chart+xml"/>
  <Default Extension="rels" ContentType="application/vnd.openxmlformats-package.relationships+xml"/>
  <Override PartName="/word/charts/chart28.xml" ContentType="application/vnd.openxmlformats-officedocument.drawingml.chart+xml"/>
  <Override PartName="/word/charts/chart39.xml" ContentType="application/vnd.openxmlformats-officedocument.drawingml.chart+xml"/>
  <Override PartName="/word/charts/chart57.xml" ContentType="application/vnd.openxmlformats-officedocument.drawingml.chart+xml"/>
  <Override PartName="/word/drawings/drawing4.xml" ContentType="application/vnd.openxmlformats-officedocument.drawingml.chartshapes+xml"/>
  <Override PartName="/word/charts/chart75.xml" ContentType="application/vnd.openxmlformats-officedocument.drawingml.chart+xml"/>
  <Override PartName="/word/charts/chart8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46.xml" ContentType="application/vnd.openxmlformats-officedocument.drawingml.chart+xml"/>
  <Override PartName="/word/charts/chart64.xml" ContentType="application/vnd.openxmlformats-officedocument.drawingml.chart+xml"/>
  <Override PartName="/word/charts/chart93.xml" ContentType="application/vnd.openxmlformats-officedocument.drawingml.chart+xml"/>
  <Override PartName="/word/header6.xml" ContentType="application/vnd.openxmlformats-officedocument.wordprocessingml.header+xml"/>
  <Override PartName="/word/footer1.xml" ContentType="application/vnd.openxmlformats-officedocument.wordprocessingml.footer+xml"/>
  <Override PartName="/word/charts/chart24.xml" ContentType="application/vnd.openxmlformats-officedocument.drawingml.chart+xml"/>
  <Override PartName="/word/charts/chart35.xml" ContentType="application/vnd.openxmlformats-officedocument.drawingml.chart+xml"/>
  <Override PartName="/word/charts/chart53.xml" ContentType="application/vnd.openxmlformats-officedocument.drawingml.chart+xml"/>
  <Override PartName="/word/charts/chart71.xml" ContentType="application/vnd.openxmlformats-officedocument.drawingml.chart+xml"/>
  <Override PartName="/word/charts/chart82.xml" ContentType="application/vnd.openxmlformats-officedocument.drawingml.chart+xml"/>
  <Override PartName="/word/header2.xml" ContentType="application/vnd.openxmlformats-officedocument.wordprocessingml.header+xml"/>
  <Override PartName="/word/charts/chart3.xml" ContentType="application/vnd.openxmlformats-officedocument.drawingml.chart+xml"/>
  <Override PartName="/word/charts/chart13.xml" ContentType="application/vnd.openxmlformats-officedocument.drawingml.chart+xml"/>
  <Override PartName="/word/charts/chart31.xml" ContentType="application/vnd.openxmlformats-officedocument.drawingml.chart+xml"/>
  <Override PartName="/word/charts/chart42.xml" ContentType="application/vnd.openxmlformats-officedocument.drawingml.chart+xml"/>
  <Override PartName="/word/charts/chart60.xml" ContentType="application/vnd.openxmlformats-officedocument.drawingml.chart+xml"/>
  <Override PartName="/word/charts/chart20.xml" ContentType="application/vnd.openxmlformats-officedocument.drawingml.chart+xml"/>
  <Override PartName="/customXml/itemProps4.xml" ContentType="application/vnd.openxmlformats-officedocument.customXmlProperties+xml"/>
  <Override PartName="/word/drawings/drawing9.xml" ContentType="application/vnd.openxmlformats-officedocument.drawingml.chartshapes+xml"/>
  <Override PartName="/word/charts/chart98.xml" ContentType="application/vnd.openxmlformats-officedocument.drawingml.chart+xml"/>
  <Default Extension="jpeg" ContentType="image/jpeg"/>
  <Override PartName="/word/charts/chart69.xml" ContentType="application/vnd.openxmlformats-officedocument.drawingml.chart+xml"/>
  <Override PartName="/word/charts/chart87.xml" ContentType="application/vnd.openxmlformats-officedocument.drawingml.chart+xml"/>
  <Override PartName="/word/numbering.xml" ContentType="application/vnd.openxmlformats-officedocument.wordprocessingml.numbering+xml"/>
  <Override PartName="/word/endnotes.xml" ContentType="application/vnd.openxmlformats-officedocument.wordprocessingml.endnotes+xml"/>
  <Override PartName="/word/charts/chart8.xml" ContentType="application/vnd.openxmlformats-officedocument.drawingml.chart+xml"/>
  <Override PartName="/word/charts/chart29.xml" ContentType="application/vnd.openxmlformats-officedocument.drawingml.chart+xml"/>
  <Override PartName="/word/charts/chart47.xml" ContentType="application/vnd.openxmlformats-officedocument.drawingml.chart+xml"/>
  <Override PartName="/word/charts/chart58.xml" ContentType="application/vnd.openxmlformats-officedocument.drawingml.chart+xml"/>
  <Override PartName="/word/drawings/drawing5.xml" ContentType="application/vnd.openxmlformats-officedocument.drawingml.chartshapes+xml"/>
  <Override PartName="/word/charts/chart76.xml" ContentType="application/vnd.openxmlformats-officedocument.drawingml.chart+xml"/>
  <Override PartName="/word/charts/chart94.xml" ContentType="application/vnd.openxmlformats-officedocument.drawingml.chart+xml"/>
  <Override PartName="/word/settings.xml" ContentType="application/vnd.openxmlformats-officedocument.wordprocessingml.settings+xml"/>
  <Override PartName="/word/footer2.xml" ContentType="application/vnd.openxmlformats-officedocument.wordprocessingml.footer+xml"/>
  <Override PartName="/word/charts/chart18.xml" ContentType="application/vnd.openxmlformats-officedocument.drawingml.chart+xml"/>
  <Override PartName="/word/drawings/drawing1.xml" ContentType="application/vnd.openxmlformats-officedocument.drawingml.chartshapes+xml"/>
  <Override PartName="/word/charts/chart36.xml" ContentType="application/vnd.openxmlformats-officedocument.drawingml.chart+xml"/>
  <Override PartName="/word/charts/chart54.xml" ContentType="application/vnd.openxmlformats-officedocument.drawingml.chart+xml"/>
  <Override PartName="/word/charts/chart65.xml" ContentType="application/vnd.openxmlformats-officedocument.drawingml.chart+xml"/>
  <Override PartName="/word/charts/chart83.xml" ContentType="application/vnd.openxmlformats-officedocument.drawingml.chart+xml"/>
  <Override PartName="/word/header7.xml" ContentType="application/vnd.openxmlformats-officedocument.wordprocessingml.header+xml"/>
  <Override PartName="/word/charts/chart4.xml" ContentType="application/vnd.openxmlformats-officedocument.drawingml.chart+xml"/>
  <Override PartName="/word/charts/chart25.xml" ContentType="application/vnd.openxmlformats-officedocument.drawingml.chart+xml"/>
  <Override PartName="/word/charts/chart43.xml" ContentType="application/vnd.openxmlformats-officedocument.drawingml.chart+xml"/>
  <Override PartName="/word/charts/chart72.xml" ContentType="application/vnd.openxmlformats-officedocument.drawingml.chart+xml"/>
  <Override PartName="/word/charts/chart90.xml" ContentType="application/vnd.openxmlformats-officedocument.drawingml.chart+xml"/>
  <Override PartName="/word/theme/theme1.xml" ContentType="application/vnd.openxmlformats-officedocument.theme+xml"/>
  <Override PartName="/word/header3.xml" ContentType="application/vnd.openxmlformats-officedocument.wordprocessingml.header+xml"/>
  <Override PartName="/word/charts/chart14.xml" ContentType="application/vnd.openxmlformats-officedocument.drawingml.chart+xml"/>
  <Override PartName="/word/charts/chart32.xml" ContentType="application/vnd.openxmlformats-officedocument.drawingml.chart+xml"/>
  <Override PartName="/word/charts/chart50.xml" ContentType="application/vnd.openxmlformats-officedocument.drawingml.chart+xml"/>
  <Override PartName="/word/charts/chart61.xml" ContentType="application/vnd.openxmlformats-officedocument.drawingml.chart+xml"/>
  <Override PartName="/word/charts/chart21.xml" ContentType="application/vnd.openxmlformats-officedocument.drawingml.chart+xml"/>
  <Override PartName="/word/charts/chart100.xml" ContentType="application/vnd.openxmlformats-officedocument.drawingml.chart+xml"/>
  <Override PartName="/customXml/itemProps1.xml" ContentType="application/vnd.openxmlformats-officedocument.customXmlProperties+xml"/>
  <Override PartName="/word/charts/chart99.xml" ContentType="application/vnd.openxmlformats-officedocument.drawingml.chart+xml"/>
  <Override PartName="/word/drawings/drawing6.xml" ContentType="application/vnd.openxmlformats-officedocument.drawingml.chartshapes+xml"/>
  <Override PartName="/word/charts/chart77.xml" ContentType="application/vnd.openxmlformats-officedocument.drawingml.chart+xml"/>
  <Override PartName="/word/charts/chart88.xml" ContentType="application/vnd.openxmlformats-officedocument.drawingml.chart+xml"/>
  <Override PartName="/word/charts/chart19.xml" ContentType="application/vnd.openxmlformats-officedocument.drawingml.chart+xml"/>
  <Override PartName="/word/charts/chart66.xml" ContentType="application/vnd.openxmlformats-officedocument.drawingml.chart+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336B" w:rsidRDefault="00E2336B"/>
    <w:tbl>
      <w:tblPr>
        <w:tblW w:w="4536" w:type="dxa"/>
        <w:jc w:val="center"/>
        <w:tblInd w:w="8" w:type="dxa"/>
        <w:tblLayout w:type="fixed"/>
        <w:tblCellMar>
          <w:left w:w="0" w:type="dxa"/>
          <w:right w:w="0" w:type="dxa"/>
        </w:tblCellMar>
        <w:tblLook w:val="0000"/>
      </w:tblPr>
      <w:tblGrid>
        <w:gridCol w:w="4536"/>
      </w:tblGrid>
      <w:tr w:rsidR="00E2336B">
        <w:trPr>
          <w:cantSplit/>
          <w:jc w:val="center"/>
        </w:trPr>
        <w:tc>
          <w:tcPr>
            <w:tcW w:w="4536" w:type="dxa"/>
          </w:tcPr>
          <w:p w:rsidR="00E2336B" w:rsidRDefault="00E2336B" w:rsidP="001678A4">
            <w:pPr>
              <w:pStyle w:val="zcompanyname"/>
              <w:jc w:val="left"/>
            </w:pPr>
            <w:bookmarkStart w:id="0" w:name="CompanyName1" w:colFirst="0" w:colLast="0"/>
          </w:p>
        </w:tc>
      </w:tr>
      <w:bookmarkStart w:id="1" w:name="ReportName1" w:colFirst="0" w:colLast="0"/>
      <w:bookmarkEnd w:id="0"/>
      <w:tr w:rsidR="00E2336B">
        <w:trPr>
          <w:cantSplit/>
          <w:jc w:val="center"/>
        </w:trPr>
        <w:tc>
          <w:tcPr>
            <w:tcW w:w="4536" w:type="dxa"/>
          </w:tcPr>
          <w:p w:rsidR="00E2336B" w:rsidRDefault="009154AB" w:rsidP="001F3CD2">
            <w:pPr>
              <w:pStyle w:val="zreportname"/>
            </w:pPr>
            <w:r>
              <w:fldChar w:fldCharType="begin"/>
            </w:r>
            <w:r w:rsidR="00E2336B">
              <w:instrText xml:space="preserve"> DocProperty KISSubject  \* CHARFORMAT </w:instrText>
            </w:r>
            <w:r>
              <w:fldChar w:fldCharType="separate"/>
            </w:r>
            <w:r w:rsidR="00E2336B">
              <w:t>Presente y futuro de los centros especiales de empleo</w:t>
            </w:r>
            <w:r>
              <w:fldChar w:fldCharType="end"/>
            </w:r>
          </w:p>
          <w:p w:rsidR="00E2336B" w:rsidRDefault="00E2336B" w:rsidP="001678A4">
            <w:pPr>
              <w:pStyle w:val="zreportname"/>
              <w:jc w:val="left"/>
            </w:pPr>
          </w:p>
        </w:tc>
      </w:tr>
      <w:bookmarkStart w:id="2" w:name="Subtitle" w:colFirst="0" w:colLast="0"/>
      <w:bookmarkEnd w:id="1"/>
      <w:tr w:rsidR="00E2336B">
        <w:trPr>
          <w:cantSplit/>
          <w:jc w:val="center"/>
        </w:trPr>
        <w:tc>
          <w:tcPr>
            <w:tcW w:w="4536" w:type="dxa"/>
          </w:tcPr>
          <w:p w:rsidR="00E2336B" w:rsidRDefault="009154AB" w:rsidP="002959F0">
            <w:pPr>
              <w:pStyle w:val="zreportsubtitle"/>
            </w:pPr>
            <w:r>
              <w:fldChar w:fldCharType="begin"/>
            </w:r>
            <w:r w:rsidR="00E2336B">
              <w:instrText xml:space="preserve"> DocProperty KISRepSubTitle  \* CHARFORMAT </w:instrText>
            </w:r>
            <w:r>
              <w:fldChar w:fldCharType="end"/>
            </w:r>
          </w:p>
        </w:tc>
      </w:tr>
    </w:tbl>
    <w:bookmarkEnd w:id="2"/>
    <w:p w:rsidR="005F45FF" w:rsidRPr="00A63150" w:rsidRDefault="005F45FF" w:rsidP="005F45FF">
      <w:pPr>
        <w:rPr>
          <w:b/>
          <w:szCs w:val="22"/>
        </w:rPr>
      </w:pPr>
      <w:r w:rsidRPr="00A63150">
        <w:rPr>
          <w:b/>
          <w:szCs w:val="22"/>
        </w:rPr>
        <w:t>COFINANCIA</w:t>
      </w:r>
    </w:p>
    <w:p w:rsidR="001678A4" w:rsidRDefault="001678A4" w:rsidP="005F45FF">
      <w:pPr>
        <w:rPr>
          <w:szCs w:val="22"/>
        </w:rPr>
      </w:pPr>
    </w:p>
    <w:p w:rsidR="005F45FF" w:rsidRDefault="005F45FF" w:rsidP="005F45FF">
      <w:pPr>
        <w:rPr>
          <w:szCs w:val="22"/>
        </w:rPr>
      </w:pPr>
      <w:r w:rsidRPr="00A63150">
        <w:rPr>
          <w:noProof/>
          <w:szCs w:val="22"/>
          <w:lang w:eastAsia="es-ES"/>
        </w:rPr>
        <w:drawing>
          <wp:inline distT="0" distB="0" distL="0" distR="0">
            <wp:extent cx="1499649" cy="864525"/>
            <wp:effectExtent l="19050" t="0" r="5301" b="0"/>
            <wp:docPr id="115" name="0 Imagen" descr="FSE_ALTA vector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E_ALTA vectorio.jpg"/>
                    <pic:cNvPicPr/>
                  </pic:nvPicPr>
                  <pic:blipFill>
                    <a:blip r:embed="rId8"/>
                    <a:stretch>
                      <a:fillRect/>
                    </a:stretch>
                  </pic:blipFill>
                  <pic:spPr>
                    <a:xfrm>
                      <a:off x="0" y="0"/>
                      <a:ext cx="1498982" cy="864140"/>
                    </a:xfrm>
                    <a:prstGeom prst="rect">
                      <a:avLst/>
                    </a:prstGeom>
                  </pic:spPr>
                </pic:pic>
              </a:graphicData>
            </a:graphic>
          </wp:inline>
        </w:drawing>
      </w:r>
      <w:r>
        <w:rPr>
          <w:szCs w:val="22"/>
        </w:rPr>
        <w:tab/>
      </w:r>
      <w:r>
        <w:rPr>
          <w:szCs w:val="22"/>
        </w:rPr>
        <w:tab/>
      </w:r>
      <w:r>
        <w:rPr>
          <w:noProof/>
          <w:szCs w:val="22"/>
          <w:lang w:eastAsia="es-ES"/>
        </w:rPr>
        <w:drawing>
          <wp:inline distT="0" distB="0" distL="0" distR="0">
            <wp:extent cx="2320892" cy="682760"/>
            <wp:effectExtent l="19050" t="0" r="3208" b="0"/>
            <wp:docPr id="117" name="2 Imagen" descr="EmpleoYSeguridadSoci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pleoYSeguridadSocial.jpg"/>
                    <pic:cNvPicPr/>
                  </pic:nvPicPr>
                  <pic:blipFill>
                    <a:blip r:embed="rId9"/>
                    <a:stretch>
                      <a:fillRect/>
                    </a:stretch>
                  </pic:blipFill>
                  <pic:spPr>
                    <a:xfrm>
                      <a:off x="0" y="0"/>
                      <a:ext cx="2320251" cy="682572"/>
                    </a:xfrm>
                    <a:prstGeom prst="rect">
                      <a:avLst/>
                    </a:prstGeom>
                  </pic:spPr>
                </pic:pic>
              </a:graphicData>
            </a:graphic>
          </wp:inline>
        </w:drawing>
      </w:r>
    </w:p>
    <w:p w:rsidR="005F45FF" w:rsidRPr="001678A4" w:rsidRDefault="005F45FF" w:rsidP="005F45FF">
      <w:pPr>
        <w:rPr>
          <w:szCs w:val="22"/>
          <w:u w:val="single"/>
        </w:rPr>
      </w:pPr>
    </w:p>
    <w:p w:rsidR="005F45FF" w:rsidRDefault="005F45FF" w:rsidP="005F45FF">
      <w:pPr>
        <w:rPr>
          <w:szCs w:val="22"/>
        </w:rPr>
      </w:pPr>
    </w:p>
    <w:p w:rsidR="005F45FF" w:rsidRDefault="005F45FF" w:rsidP="005F45FF">
      <w:pPr>
        <w:rPr>
          <w:szCs w:val="22"/>
        </w:rPr>
      </w:pPr>
      <w:r>
        <w:rPr>
          <w:noProof/>
          <w:szCs w:val="22"/>
          <w:lang w:eastAsia="es-ES"/>
        </w:rPr>
        <w:drawing>
          <wp:inline distT="0" distB="0" distL="0" distR="0">
            <wp:extent cx="1097521" cy="910193"/>
            <wp:effectExtent l="19050" t="0" r="7379" b="0"/>
            <wp:docPr id="118" name="5 Imagen" descr="Logo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03.jpg"/>
                    <pic:cNvPicPr/>
                  </pic:nvPicPr>
                  <pic:blipFill>
                    <a:blip r:embed="rId10"/>
                    <a:stretch>
                      <a:fillRect/>
                    </a:stretch>
                  </pic:blipFill>
                  <pic:spPr>
                    <a:xfrm>
                      <a:off x="0" y="0"/>
                      <a:ext cx="1098084" cy="910660"/>
                    </a:xfrm>
                    <a:prstGeom prst="rect">
                      <a:avLst/>
                    </a:prstGeom>
                  </pic:spPr>
                </pic:pic>
              </a:graphicData>
            </a:graphic>
          </wp:inline>
        </w:drawing>
      </w:r>
    </w:p>
    <w:p w:rsidR="005F45FF" w:rsidRDefault="005F45FF" w:rsidP="005F45FF">
      <w:pPr>
        <w:rPr>
          <w:szCs w:val="22"/>
        </w:rPr>
      </w:pPr>
    </w:p>
    <w:p w:rsidR="001678A4" w:rsidRDefault="001678A4" w:rsidP="005F45FF">
      <w:pPr>
        <w:rPr>
          <w:szCs w:val="22"/>
        </w:rPr>
      </w:pPr>
    </w:p>
    <w:p w:rsidR="005F45FF" w:rsidRDefault="005F45FF">
      <w:pPr>
        <w:rPr>
          <w:szCs w:val="22"/>
        </w:rPr>
      </w:pPr>
      <w:r>
        <w:rPr>
          <w:szCs w:val="22"/>
        </w:rPr>
        <w:t>COLABORA</w:t>
      </w:r>
    </w:p>
    <w:p w:rsidR="001678A4" w:rsidRDefault="001678A4">
      <w:pPr>
        <w:rPr>
          <w:szCs w:val="22"/>
        </w:rPr>
      </w:pPr>
    </w:p>
    <w:p w:rsidR="001678A4" w:rsidRDefault="001678A4">
      <w:pPr>
        <w:rPr>
          <w:szCs w:val="22"/>
        </w:rPr>
      </w:pPr>
      <w:r>
        <w:rPr>
          <w:noProof/>
          <w:szCs w:val="22"/>
          <w:lang w:eastAsia="es-ES"/>
        </w:rPr>
        <w:drawing>
          <wp:inline distT="0" distB="0" distL="0" distR="0">
            <wp:extent cx="724383" cy="628650"/>
            <wp:effectExtent l="19050" t="0" r="0" b="0"/>
            <wp:docPr id="141" name="131 Imagen" descr="logo feacem BUENA RESOLUCIÓ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feacem BUENA RESOLUCIÓN.JPG"/>
                    <pic:cNvPicPr/>
                  </pic:nvPicPr>
                  <pic:blipFill>
                    <a:blip r:embed="rId11"/>
                    <a:stretch>
                      <a:fillRect/>
                    </a:stretch>
                  </pic:blipFill>
                  <pic:spPr>
                    <a:xfrm>
                      <a:off x="0" y="0"/>
                      <a:ext cx="725206" cy="629364"/>
                    </a:xfrm>
                    <a:prstGeom prst="rect">
                      <a:avLst/>
                    </a:prstGeom>
                  </pic:spPr>
                </pic:pic>
              </a:graphicData>
            </a:graphic>
          </wp:inline>
        </w:drawing>
      </w:r>
    </w:p>
    <w:p w:rsidR="005F45FF" w:rsidRDefault="005F45FF">
      <w:pPr>
        <w:rPr>
          <w:szCs w:val="22"/>
        </w:rPr>
      </w:pPr>
    </w:p>
    <w:p w:rsidR="005F45FF" w:rsidRDefault="005F45FF">
      <w:pPr>
        <w:rPr>
          <w:szCs w:val="22"/>
        </w:rPr>
      </w:pPr>
    </w:p>
    <w:p w:rsidR="005F45FF" w:rsidRDefault="005F45FF" w:rsidP="005F45FF">
      <w:pPr>
        <w:rPr>
          <w:szCs w:val="22"/>
        </w:rPr>
      </w:pPr>
      <w:r>
        <w:rPr>
          <w:szCs w:val="22"/>
        </w:rPr>
        <w:t>Estudio elaborado por KPMG en el marco del Programa Operativo del FSE de Lucha contra la Discriminación 2007-2013 cofinanciado por el Fondo Social Europeo</w:t>
      </w:r>
    </w:p>
    <w:p w:rsidR="00E2336B" w:rsidRDefault="009154AB">
      <w:pPr>
        <w:rPr>
          <w:szCs w:val="22"/>
        </w:rPr>
      </w:pPr>
      <w:r w:rsidRPr="009154AB">
        <w:rPr>
          <w:noProof/>
          <w:lang w:eastAsia="es-ES"/>
        </w:rPr>
        <w:pict>
          <v:shapetype id="_x0000_t202" coordsize="21600,21600" o:spt="202" path="m,l,21600r21600,l21600,xe">
            <v:stroke joinstyle="miter"/>
            <v:path gradientshapeok="t" o:connecttype="rect"/>
          </v:shapetype>
          <v:shape id="KISCvrCopyright" o:spid="_x0000_s1026" type="#_x0000_t202" style="position:absolute;margin-left:0;margin-top:0;width:283.45pt;height:40.8pt;z-index:251656704;mso-position-horizontal:center;mso-position-horizontal-relative:margin;mso-position-vertical:bottom;mso-position-vertical-relative:page" filled="f" stroked="f">
            <v:textbox style="mso-next-textbox:#KISCvrCopyright">
              <w:txbxContent>
                <w:p w:rsidR="00A5357D" w:rsidRDefault="009154AB">
                  <w:pPr>
                    <w:jc w:val="center"/>
                    <w:rPr>
                      <w:rFonts w:ascii="Univers 55" w:hAnsi="Univers 55"/>
                      <w:sz w:val="12"/>
                    </w:rPr>
                  </w:pPr>
                  <w:r w:rsidRPr="00360D98">
                    <w:rPr>
                      <w:rFonts w:ascii="Univers 55" w:hAnsi="Univers 55"/>
                      <w:sz w:val="12"/>
                      <w:lang w:val="es-ES_tradnl"/>
                    </w:rPr>
                    <w:fldChar w:fldCharType="begin"/>
                  </w:r>
                  <w:r w:rsidR="00A5357D" w:rsidRPr="00360D98">
                    <w:rPr>
                      <w:rFonts w:ascii="Univers 55" w:hAnsi="Univers 55"/>
                      <w:sz w:val="12"/>
                      <w:lang w:val="es-ES_tradnl"/>
                    </w:rPr>
                    <w:instrText xml:space="preserve"> DOCPROPERTY  KISFirmCopyright </w:instrText>
                  </w:r>
                  <w:r w:rsidRPr="00360D98">
                    <w:rPr>
                      <w:rFonts w:ascii="Univers 55" w:hAnsi="Univers 55"/>
                      <w:sz w:val="12"/>
                      <w:lang w:val="es-ES_tradnl"/>
                    </w:rPr>
                    <w:fldChar w:fldCharType="separate"/>
                  </w:r>
                  <w:r w:rsidR="00A5357D">
                    <w:rPr>
                      <w:rFonts w:ascii="Univers 55" w:hAnsi="Univers 55"/>
                      <w:sz w:val="12"/>
                      <w:lang w:val="es-ES_tradnl"/>
                    </w:rPr>
                    <w:t>© 2012 KPMG Asesores S.L., sociedad española de responsabilidad limitada, es una filial de KPMG Europe LLP y firma miembro de la red KPMG de firmas independientes afiliadas a KPMG International Cooperative (“KPMG International”), sociedad suiza. Tod</w:t>
                  </w:r>
                  <w:r w:rsidRPr="00360D98">
                    <w:rPr>
                      <w:rFonts w:ascii="Univers 55" w:hAnsi="Univers 55"/>
                      <w:sz w:val="12"/>
                      <w:lang w:val="es-ES_tradnl"/>
                    </w:rPr>
                    <w:fldChar w:fldCharType="end"/>
                  </w:r>
                  <w:r>
                    <w:rPr>
                      <w:rFonts w:ascii="Univers 55" w:hAnsi="Univers 55"/>
                      <w:sz w:val="12"/>
                    </w:rPr>
                    <w:fldChar w:fldCharType="begin"/>
                  </w:r>
                  <w:r w:rsidR="00A5357D">
                    <w:rPr>
                      <w:rFonts w:ascii="Univers 55" w:hAnsi="Univers 55"/>
                      <w:sz w:val="12"/>
                    </w:rPr>
                    <w:instrText xml:space="preserve"> DOCPROPERTY  KISFirmCopyright2 </w:instrText>
                  </w:r>
                  <w:r>
                    <w:rPr>
                      <w:rFonts w:ascii="Univers 55" w:hAnsi="Univers 55"/>
                      <w:sz w:val="12"/>
                    </w:rPr>
                    <w:fldChar w:fldCharType="separate"/>
                  </w:r>
                  <w:r w:rsidR="00A5357D">
                    <w:rPr>
                      <w:rFonts w:ascii="Univers 55" w:hAnsi="Univers 55"/>
                      <w:sz w:val="12"/>
                    </w:rPr>
                    <w:t>os los derechos reservados.</w:t>
                  </w:r>
                  <w:r>
                    <w:rPr>
                      <w:rFonts w:ascii="Univers 55" w:hAnsi="Univers 55"/>
                      <w:sz w:val="12"/>
                    </w:rPr>
                    <w:fldChar w:fldCharType="end"/>
                  </w:r>
                </w:p>
              </w:txbxContent>
            </v:textbox>
            <w10:wrap anchorx="margin" anchory="page"/>
          </v:shape>
        </w:pict>
      </w:r>
    </w:p>
    <w:p w:rsidR="00E2336B" w:rsidRDefault="00E2336B"/>
    <w:p w:rsidR="00E2336B" w:rsidRDefault="00E2336B">
      <w:pPr>
        <w:sectPr w:rsidR="00E2336B">
          <w:headerReference w:type="even" r:id="rId12"/>
          <w:headerReference w:type="default" r:id="rId13"/>
          <w:footerReference w:type="even" r:id="rId14"/>
          <w:pgSz w:w="11907" w:h="16840" w:code="9"/>
          <w:pgMar w:top="6464" w:right="1474" w:bottom="1588" w:left="1474" w:header="737" w:footer="737" w:gutter="454"/>
          <w:pgNumType w:start="1"/>
          <w:cols w:space="720"/>
        </w:sectPr>
      </w:pPr>
    </w:p>
    <w:p w:rsidR="00E2336B" w:rsidRDefault="00E2336B">
      <w:pPr>
        <w:pStyle w:val="zcontents"/>
      </w:pPr>
      <w:r>
        <w:lastRenderedPageBreak/>
        <w:t>Contenidos</w:t>
      </w:r>
    </w:p>
    <w:p w:rsidR="00E2336B" w:rsidRDefault="00E2336B">
      <w:pPr>
        <w:pStyle w:val="TtulodeTDC"/>
      </w:pPr>
    </w:p>
    <w:p w:rsidR="00F61DE8" w:rsidRDefault="009154AB">
      <w:pPr>
        <w:pStyle w:val="TDC1"/>
        <w:rPr>
          <w:rFonts w:asciiTheme="minorHAnsi" w:eastAsiaTheme="minorEastAsia" w:hAnsiTheme="minorHAnsi" w:cstheme="minorBidi"/>
          <w:noProof/>
          <w:sz w:val="22"/>
          <w:szCs w:val="22"/>
          <w:lang w:eastAsia="es-ES"/>
        </w:rPr>
      </w:pPr>
      <w:r w:rsidRPr="009154AB">
        <w:fldChar w:fldCharType="begin"/>
      </w:r>
      <w:r w:rsidR="00E2336B">
        <w:instrText xml:space="preserve"> TOC \o "1-3" \h \z \u </w:instrText>
      </w:r>
      <w:r w:rsidRPr="009154AB">
        <w:fldChar w:fldCharType="separate"/>
      </w:r>
      <w:hyperlink w:anchor="_Toc352773538" w:history="1">
        <w:r w:rsidR="00F61DE8" w:rsidRPr="00EC50D0">
          <w:rPr>
            <w:rStyle w:val="Hipervnculo"/>
            <w:noProof/>
          </w:rPr>
          <w:t>1</w:t>
        </w:r>
        <w:r w:rsidR="00F61DE8">
          <w:rPr>
            <w:rFonts w:asciiTheme="minorHAnsi" w:eastAsiaTheme="minorEastAsia" w:hAnsiTheme="minorHAnsi" w:cstheme="minorBidi"/>
            <w:noProof/>
            <w:sz w:val="22"/>
            <w:szCs w:val="22"/>
            <w:lang w:eastAsia="es-ES"/>
          </w:rPr>
          <w:tab/>
        </w:r>
        <w:r w:rsidR="00F61DE8" w:rsidRPr="00EC50D0">
          <w:rPr>
            <w:rStyle w:val="Hipervnculo"/>
            <w:noProof/>
          </w:rPr>
          <w:t>Introducción</w:t>
        </w:r>
        <w:r w:rsidR="00F61DE8">
          <w:rPr>
            <w:noProof/>
            <w:webHidden/>
          </w:rPr>
          <w:tab/>
        </w:r>
        <w:r>
          <w:rPr>
            <w:noProof/>
            <w:webHidden/>
          </w:rPr>
          <w:fldChar w:fldCharType="begin"/>
        </w:r>
        <w:r w:rsidR="00F61DE8">
          <w:rPr>
            <w:noProof/>
            <w:webHidden/>
          </w:rPr>
          <w:instrText xml:space="preserve"> PAGEREF _Toc352773538 \h </w:instrText>
        </w:r>
        <w:r>
          <w:rPr>
            <w:noProof/>
            <w:webHidden/>
          </w:rPr>
        </w:r>
        <w:r>
          <w:rPr>
            <w:noProof/>
            <w:webHidden/>
          </w:rPr>
          <w:fldChar w:fldCharType="separate"/>
        </w:r>
        <w:r w:rsidR="00F61DE8">
          <w:rPr>
            <w:noProof/>
            <w:webHidden/>
          </w:rPr>
          <w:t>1</w:t>
        </w:r>
        <w:r>
          <w:rPr>
            <w:noProof/>
            <w:webHidden/>
          </w:rPr>
          <w:fldChar w:fldCharType="end"/>
        </w:r>
      </w:hyperlink>
    </w:p>
    <w:p w:rsidR="00F61DE8" w:rsidRDefault="009154AB">
      <w:pPr>
        <w:pStyle w:val="TDC2"/>
        <w:rPr>
          <w:rFonts w:asciiTheme="minorHAnsi" w:eastAsiaTheme="minorEastAsia" w:hAnsiTheme="minorHAnsi" w:cstheme="minorBidi"/>
          <w:noProof/>
          <w:sz w:val="22"/>
          <w:szCs w:val="22"/>
          <w:lang w:eastAsia="es-ES"/>
        </w:rPr>
      </w:pPr>
      <w:hyperlink w:anchor="_Toc352773539" w:history="1">
        <w:r w:rsidR="00F61DE8" w:rsidRPr="00EC50D0">
          <w:rPr>
            <w:rStyle w:val="Hipervnculo"/>
            <w:rFonts w:ascii="MinionPro-Regular" w:hAnsi="MinionPro-Regular"/>
            <w:noProof/>
            <w:lang w:val="es-ES_tradnl"/>
          </w:rPr>
          <w:t>1.1</w:t>
        </w:r>
        <w:r w:rsidR="00F61DE8">
          <w:rPr>
            <w:rFonts w:asciiTheme="minorHAnsi" w:eastAsiaTheme="minorEastAsia" w:hAnsiTheme="minorHAnsi" w:cstheme="minorBidi"/>
            <w:noProof/>
            <w:sz w:val="22"/>
            <w:szCs w:val="22"/>
            <w:lang w:eastAsia="es-ES"/>
          </w:rPr>
          <w:tab/>
        </w:r>
        <w:r w:rsidR="00F61DE8" w:rsidRPr="00EC50D0">
          <w:rPr>
            <w:rStyle w:val="Hipervnculo"/>
            <w:rFonts w:ascii="MinionPro-Regular" w:hAnsi="MinionPro-Regular"/>
            <w:noProof/>
            <w:lang w:val="es-ES_tradnl"/>
          </w:rPr>
          <w:t>La LISMI y su repercusión en el empleo protegido</w:t>
        </w:r>
        <w:r w:rsidR="00F61DE8">
          <w:rPr>
            <w:noProof/>
            <w:webHidden/>
          </w:rPr>
          <w:tab/>
        </w:r>
        <w:r>
          <w:rPr>
            <w:noProof/>
            <w:webHidden/>
          </w:rPr>
          <w:fldChar w:fldCharType="begin"/>
        </w:r>
        <w:r w:rsidR="00F61DE8">
          <w:rPr>
            <w:noProof/>
            <w:webHidden/>
          </w:rPr>
          <w:instrText xml:space="preserve"> PAGEREF _Toc352773539 \h </w:instrText>
        </w:r>
        <w:r>
          <w:rPr>
            <w:noProof/>
            <w:webHidden/>
          </w:rPr>
        </w:r>
        <w:r>
          <w:rPr>
            <w:noProof/>
            <w:webHidden/>
          </w:rPr>
          <w:fldChar w:fldCharType="separate"/>
        </w:r>
        <w:r w:rsidR="00F61DE8">
          <w:rPr>
            <w:noProof/>
            <w:webHidden/>
          </w:rPr>
          <w:t>3</w:t>
        </w:r>
        <w:r>
          <w:rPr>
            <w:noProof/>
            <w:webHidden/>
          </w:rPr>
          <w:fldChar w:fldCharType="end"/>
        </w:r>
      </w:hyperlink>
    </w:p>
    <w:p w:rsidR="00F61DE8" w:rsidRDefault="009154AB">
      <w:pPr>
        <w:pStyle w:val="TDC2"/>
        <w:rPr>
          <w:rFonts w:asciiTheme="minorHAnsi" w:eastAsiaTheme="minorEastAsia" w:hAnsiTheme="minorHAnsi" w:cstheme="minorBidi"/>
          <w:noProof/>
          <w:sz w:val="22"/>
          <w:szCs w:val="22"/>
          <w:lang w:eastAsia="es-ES"/>
        </w:rPr>
      </w:pPr>
      <w:hyperlink w:anchor="_Toc352773540" w:history="1">
        <w:r w:rsidR="00F61DE8" w:rsidRPr="00EC50D0">
          <w:rPr>
            <w:rStyle w:val="Hipervnculo"/>
            <w:rFonts w:ascii="MinionPro-Regular" w:hAnsi="MinionPro-Regular"/>
            <w:noProof/>
            <w:lang w:val="es-ES_tradnl"/>
          </w:rPr>
          <w:t>1.2</w:t>
        </w:r>
        <w:r w:rsidR="00F61DE8">
          <w:rPr>
            <w:rFonts w:asciiTheme="minorHAnsi" w:eastAsiaTheme="minorEastAsia" w:hAnsiTheme="minorHAnsi" w:cstheme="minorBidi"/>
            <w:noProof/>
            <w:sz w:val="22"/>
            <w:szCs w:val="22"/>
            <w:lang w:eastAsia="es-ES"/>
          </w:rPr>
          <w:tab/>
        </w:r>
        <w:r w:rsidR="00F61DE8" w:rsidRPr="00EC50D0">
          <w:rPr>
            <w:rStyle w:val="Hipervnculo"/>
            <w:noProof/>
            <w:lang w:val="es-ES_tradnl"/>
          </w:rPr>
          <w:t>Los centros especiales de empleo, un caso de éxito</w:t>
        </w:r>
        <w:r w:rsidR="00F61DE8">
          <w:rPr>
            <w:noProof/>
            <w:webHidden/>
          </w:rPr>
          <w:tab/>
        </w:r>
        <w:r>
          <w:rPr>
            <w:noProof/>
            <w:webHidden/>
          </w:rPr>
          <w:fldChar w:fldCharType="begin"/>
        </w:r>
        <w:r w:rsidR="00F61DE8">
          <w:rPr>
            <w:noProof/>
            <w:webHidden/>
          </w:rPr>
          <w:instrText xml:space="preserve"> PAGEREF _Toc352773540 \h </w:instrText>
        </w:r>
        <w:r>
          <w:rPr>
            <w:noProof/>
            <w:webHidden/>
          </w:rPr>
        </w:r>
        <w:r>
          <w:rPr>
            <w:noProof/>
            <w:webHidden/>
          </w:rPr>
          <w:fldChar w:fldCharType="separate"/>
        </w:r>
        <w:r w:rsidR="00F61DE8">
          <w:rPr>
            <w:noProof/>
            <w:webHidden/>
          </w:rPr>
          <w:t>6</w:t>
        </w:r>
        <w:r>
          <w:rPr>
            <w:noProof/>
            <w:webHidden/>
          </w:rPr>
          <w:fldChar w:fldCharType="end"/>
        </w:r>
      </w:hyperlink>
    </w:p>
    <w:p w:rsidR="00F61DE8" w:rsidRDefault="009154AB">
      <w:pPr>
        <w:pStyle w:val="TDC2"/>
        <w:rPr>
          <w:rFonts w:asciiTheme="minorHAnsi" w:eastAsiaTheme="minorEastAsia" w:hAnsiTheme="minorHAnsi" w:cstheme="minorBidi"/>
          <w:noProof/>
          <w:sz w:val="22"/>
          <w:szCs w:val="22"/>
          <w:lang w:eastAsia="es-ES"/>
        </w:rPr>
      </w:pPr>
      <w:hyperlink w:anchor="_Toc352773541" w:history="1">
        <w:r w:rsidR="00F61DE8" w:rsidRPr="00EC50D0">
          <w:rPr>
            <w:rStyle w:val="Hipervnculo"/>
            <w:rFonts w:ascii="MinionPro-Regular" w:hAnsi="MinionPro-Regular"/>
            <w:noProof/>
            <w:lang w:val="es-ES_tradnl"/>
          </w:rPr>
          <w:t>1.3</w:t>
        </w:r>
        <w:r w:rsidR="00F61DE8">
          <w:rPr>
            <w:rFonts w:asciiTheme="minorHAnsi" w:eastAsiaTheme="minorEastAsia" w:hAnsiTheme="minorHAnsi" w:cstheme="minorBidi"/>
            <w:noProof/>
            <w:sz w:val="22"/>
            <w:szCs w:val="22"/>
            <w:lang w:eastAsia="es-ES"/>
          </w:rPr>
          <w:tab/>
        </w:r>
        <w:r w:rsidR="00F61DE8" w:rsidRPr="00EC50D0">
          <w:rPr>
            <w:rStyle w:val="Hipervnculo"/>
            <w:noProof/>
            <w:lang w:val="es-ES_tradnl"/>
          </w:rPr>
          <w:t>Un instrumento eficiente para la integración</w:t>
        </w:r>
        <w:r w:rsidR="00F61DE8">
          <w:rPr>
            <w:noProof/>
            <w:webHidden/>
          </w:rPr>
          <w:tab/>
        </w:r>
        <w:r>
          <w:rPr>
            <w:noProof/>
            <w:webHidden/>
          </w:rPr>
          <w:fldChar w:fldCharType="begin"/>
        </w:r>
        <w:r w:rsidR="00F61DE8">
          <w:rPr>
            <w:noProof/>
            <w:webHidden/>
          </w:rPr>
          <w:instrText xml:space="preserve"> PAGEREF _Toc352773541 \h </w:instrText>
        </w:r>
        <w:r>
          <w:rPr>
            <w:noProof/>
            <w:webHidden/>
          </w:rPr>
        </w:r>
        <w:r>
          <w:rPr>
            <w:noProof/>
            <w:webHidden/>
          </w:rPr>
          <w:fldChar w:fldCharType="separate"/>
        </w:r>
        <w:r w:rsidR="00F61DE8">
          <w:rPr>
            <w:noProof/>
            <w:webHidden/>
          </w:rPr>
          <w:t>8</w:t>
        </w:r>
        <w:r>
          <w:rPr>
            <w:noProof/>
            <w:webHidden/>
          </w:rPr>
          <w:fldChar w:fldCharType="end"/>
        </w:r>
      </w:hyperlink>
    </w:p>
    <w:p w:rsidR="00F61DE8" w:rsidRDefault="009154AB">
      <w:pPr>
        <w:pStyle w:val="TDC2"/>
        <w:rPr>
          <w:rFonts w:asciiTheme="minorHAnsi" w:eastAsiaTheme="minorEastAsia" w:hAnsiTheme="minorHAnsi" w:cstheme="minorBidi"/>
          <w:noProof/>
          <w:sz w:val="22"/>
          <w:szCs w:val="22"/>
          <w:lang w:eastAsia="es-ES"/>
        </w:rPr>
      </w:pPr>
      <w:hyperlink w:anchor="_Toc352773542" w:history="1">
        <w:r w:rsidR="00F61DE8" w:rsidRPr="00EC50D0">
          <w:rPr>
            <w:rStyle w:val="Hipervnculo"/>
            <w:rFonts w:ascii="MinionPro-Regular" w:hAnsi="MinionPro-Regular"/>
            <w:noProof/>
            <w:lang w:val="es-ES_tradnl"/>
          </w:rPr>
          <w:t>1.4</w:t>
        </w:r>
        <w:r w:rsidR="00F61DE8">
          <w:rPr>
            <w:rFonts w:asciiTheme="minorHAnsi" w:eastAsiaTheme="minorEastAsia" w:hAnsiTheme="minorHAnsi" w:cstheme="minorBidi"/>
            <w:noProof/>
            <w:sz w:val="22"/>
            <w:szCs w:val="22"/>
            <w:lang w:eastAsia="es-ES"/>
          </w:rPr>
          <w:tab/>
        </w:r>
        <w:r w:rsidR="00F61DE8" w:rsidRPr="00EC50D0">
          <w:rPr>
            <w:rStyle w:val="Hipervnculo"/>
            <w:noProof/>
            <w:lang w:val="es-ES_tradnl"/>
          </w:rPr>
          <w:t>Reforzar el futuro de los centros especiales de empleo para cumplir los objetivos comunes</w:t>
        </w:r>
        <w:r w:rsidR="00F61DE8">
          <w:rPr>
            <w:noProof/>
            <w:webHidden/>
          </w:rPr>
          <w:tab/>
        </w:r>
        <w:r>
          <w:rPr>
            <w:noProof/>
            <w:webHidden/>
          </w:rPr>
          <w:fldChar w:fldCharType="begin"/>
        </w:r>
        <w:r w:rsidR="00F61DE8">
          <w:rPr>
            <w:noProof/>
            <w:webHidden/>
          </w:rPr>
          <w:instrText xml:space="preserve"> PAGEREF _Toc352773542 \h </w:instrText>
        </w:r>
        <w:r>
          <w:rPr>
            <w:noProof/>
            <w:webHidden/>
          </w:rPr>
        </w:r>
        <w:r>
          <w:rPr>
            <w:noProof/>
            <w:webHidden/>
          </w:rPr>
          <w:fldChar w:fldCharType="separate"/>
        </w:r>
        <w:r w:rsidR="00F61DE8">
          <w:rPr>
            <w:noProof/>
            <w:webHidden/>
          </w:rPr>
          <w:t>11</w:t>
        </w:r>
        <w:r>
          <w:rPr>
            <w:noProof/>
            <w:webHidden/>
          </w:rPr>
          <w:fldChar w:fldCharType="end"/>
        </w:r>
      </w:hyperlink>
    </w:p>
    <w:p w:rsidR="00F61DE8" w:rsidRDefault="009154AB">
      <w:pPr>
        <w:pStyle w:val="TDC1"/>
        <w:rPr>
          <w:rFonts w:asciiTheme="minorHAnsi" w:eastAsiaTheme="minorEastAsia" w:hAnsiTheme="minorHAnsi" w:cstheme="minorBidi"/>
          <w:noProof/>
          <w:sz w:val="22"/>
          <w:szCs w:val="22"/>
          <w:lang w:eastAsia="es-ES"/>
        </w:rPr>
      </w:pPr>
      <w:hyperlink w:anchor="_Toc352773543" w:history="1">
        <w:r w:rsidR="00F61DE8" w:rsidRPr="00EC50D0">
          <w:rPr>
            <w:rStyle w:val="Hipervnculo"/>
            <w:rFonts w:ascii="MinionPro-Regular" w:hAnsi="MinionPro-Regular"/>
            <w:noProof/>
          </w:rPr>
          <w:t>2</w:t>
        </w:r>
        <w:r w:rsidR="00F61DE8">
          <w:rPr>
            <w:rFonts w:asciiTheme="minorHAnsi" w:eastAsiaTheme="minorEastAsia" w:hAnsiTheme="minorHAnsi" w:cstheme="minorBidi"/>
            <w:noProof/>
            <w:sz w:val="22"/>
            <w:szCs w:val="22"/>
            <w:lang w:eastAsia="es-ES"/>
          </w:rPr>
          <w:tab/>
        </w:r>
        <w:r w:rsidR="00F61DE8" w:rsidRPr="00EC50D0">
          <w:rPr>
            <w:rStyle w:val="Hipervnculo"/>
            <w:rFonts w:ascii="MinionPro-Regular" w:hAnsi="MinionPro-Regular"/>
            <w:noProof/>
          </w:rPr>
          <w:t>Las personas con discapacidad en España son las más vulnerables de la OCDE</w:t>
        </w:r>
        <w:r w:rsidR="00F61DE8">
          <w:rPr>
            <w:noProof/>
            <w:webHidden/>
          </w:rPr>
          <w:tab/>
        </w:r>
        <w:r>
          <w:rPr>
            <w:noProof/>
            <w:webHidden/>
          </w:rPr>
          <w:fldChar w:fldCharType="begin"/>
        </w:r>
        <w:r w:rsidR="00F61DE8">
          <w:rPr>
            <w:noProof/>
            <w:webHidden/>
          </w:rPr>
          <w:instrText xml:space="preserve"> PAGEREF _Toc352773543 \h </w:instrText>
        </w:r>
        <w:r>
          <w:rPr>
            <w:noProof/>
            <w:webHidden/>
          </w:rPr>
        </w:r>
        <w:r>
          <w:rPr>
            <w:noProof/>
            <w:webHidden/>
          </w:rPr>
          <w:fldChar w:fldCharType="separate"/>
        </w:r>
        <w:r w:rsidR="00F61DE8">
          <w:rPr>
            <w:noProof/>
            <w:webHidden/>
          </w:rPr>
          <w:t>15</w:t>
        </w:r>
        <w:r>
          <w:rPr>
            <w:noProof/>
            <w:webHidden/>
          </w:rPr>
          <w:fldChar w:fldCharType="end"/>
        </w:r>
      </w:hyperlink>
    </w:p>
    <w:p w:rsidR="00F61DE8" w:rsidRDefault="009154AB">
      <w:pPr>
        <w:pStyle w:val="TDC2"/>
        <w:rPr>
          <w:rFonts w:asciiTheme="minorHAnsi" w:eastAsiaTheme="minorEastAsia" w:hAnsiTheme="minorHAnsi" w:cstheme="minorBidi"/>
          <w:noProof/>
          <w:sz w:val="22"/>
          <w:szCs w:val="22"/>
          <w:lang w:eastAsia="es-ES"/>
        </w:rPr>
      </w:pPr>
      <w:hyperlink w:anchor="_Toc352773544" w:history="1">
        <w:r w:rsidR="00F61DE8" w:rsidRPr="00EC50D0">
          <w:rPr>
            <w:rStyle w:val="Hipervnculo"/>
            <w:rFonts w:ascii="MinionPro-Regular" w:hAnsi="MinionPro-Regular"/>
            <w:noProof/>
          </w:rPr>
          <w:t>2.1</w:t>
        </w:r>
        <w:r w:rsidR="00F61DE8">
          <w:rPr>
            <w:rFonts w:asciiTheme="minorHAnsi" w:eastAsiaTheme="minorEastAsia" w:hAnsiTheme="minorHAnsi" w:cstheme="minorBidi"/>
            <w:noProof/>
            <w:sz w:val="22"/>
            <w:szCs w:val="22"/>
            <w:lang w:eastAsia="es-ES"/>
          </w:rPr>
          <w:tab/>
        </w:r>
        <w:r w:rsidR="00F61DE8" w:rsidRPr="00EC50D0">
          <w:rPr>
            <w:rStyle w:val="Hipervnculo"/>
            <w:rFonts w:ascii="MinionPro-Regular" w:hAnsi="MinionPro-Regular"/>
            <w:noProof/>
          </w:rPr>
          <w:t>La vida también es más cara para las personas con discapacidad</w:t>
        </w:r>
        <w:r w:rsidR="00F61DE8">
          <w:rPr>
            <w:noProof/>
            <w:webHidden/>
          </w:rPr>
          <w:tab/>
        </w:r>
        <w:r>
          <w:rPr>
            <w:noProof/>
            <w:webHidden/>
          </w:rPr>
          <w:fldChar w:fldCharType="begin"/>
        </w:r>
        <w:r w:rsidR="00F61DE8">
          <w:rPr>
            <w:noProof/>
            <w:webHidden/>
          </w:rPr>
          <w:instrText xml:space="preserve"> PAGEREF _Toc352773544 \h </w:instrText>
        </w:r>
        <w:r>
          <w:rPr>
            <w:noProof/>
            <w:webHidden/>
          </w:rPr>
        </w:r>
        <w:r>
          <w:rPr>
            <w:noProof/>
            <w:webHidden/>
          </w:rPr>
          <w:fldChar w:fldCharType="separate"/>
        </w:r>
        <w:r w:rsidR="00F61DE8">
          <w:rPr>
            <w:noProof/>
            <w:webHidden/>
          </w:rPr>
          <w:t>19</w:t>
        </w:r>
        <w:r>
          <w:rPr>
            <w:noProof/>
            <w:webHidden/>
          </w:rPr>
          <w:fldChar w:fldCharType="end"/>
        </w:r>
      </w:hyperlink>
    </w:p>
    <w:p w:rsidR="00F61DE8" w:rsidRDefault="009154AB">
      <w:pPr>
        <w:pStyle w:val="TDC1"/>
        <w:rPr>
          <w:rFonts w:asciiTheme="minorHAnsi" w:eastAsiaTheme="minorEastAsia" w:hAnsiTheme="minorHAnsi" w:cstheme="minorBidi"/>
          <w:noProof/>
          <w:sz w:val="22"/>
          <w:szCs w:val="22"/>
          <w:lang w:eastAsia="es-ES"/>
        </w:rPr>
      </w:pPr>
      <w:hyperlink w:anchor="_Toc352773545" w:history="1">
        <w:r w:rsidR="00F61DE8" w:rsidRPr="00EC50D0">
          <w:rPr>
            <w:rStyle w:val="Hipervnculo"/>
            <w:rFonts w:ascii="MinionPro-Regular" w:hAnsi="MinionPro-Regular"/>
            <w:noProof/>
          </w:rPr>
          <w:t>3</w:t>
        </w:r>
        <w:r w:rsidR="00F61DE8">
          <w:rPr>
            <w:rFonts w:asciiTheme="minorHAnsi" w:eastAsiaTheme="minorEastAsia" w:hAnsiTheme="minorHAnsi" w:cstheme="minorBidi"/>
            <w:noProof/>
            <w:sz w:val="22"/>
            <w:szCs w:val="22"/>
            <w:lang w:eastAsia="es-ES"/>
          </w:rPr>
          <w:tab/>
        </w:r>
        <w:r w:rsidR="00F61DE8" w:rsidRPr="00EC50D0">
          <w:rPr>
            <w:rStyle w:val="Hipervnculo"/>
            <w:rFonts w:ascii="MinionPro-Regular" w:hAnsi="MinionPro-Regular"/>
            <w:noProof/>
          </w:rPr>
          <w:t>La incorporación de las personas con discapacidad al empleo podría añadir un 0,3% anual al PIB de España</w:t>
        </w:r>
        <w:r w:rsidR="00F61DE8">
          <w:rPr>
            <w:noProof/>
            <w:webHidden/>
          </w:rPr>
          <w:tab/>
        </w:r>
        <w:r>
          <w:rPr>
            <w:noProof/>
            <w:webHidden/>
          </w:rPr>
          <w:fldChar w:fldCharType="begin"/>
        </w:r>
        <w:r w:rsidR="00F61DE8">
          <w:rPr>
            <w:noProof/>
            <w:webHidden/>
          </w:rPr>
          <w:instrText xml:space="preserve"> PAGEREF _Toc352773545 \h </w:instrText>
        </w:r>
        <w:r>
          <w:rPr>
            <w:noProof/>
            <w:webHidden/>
          </w:rPr>
        </w:r>
        <w:r>
          <w:rPr>
            <w:noProof/>
            <w:webHidden/>
          </w:rPr>
          <w:fldChar w:fldCharType="separate"/>
        </w:r>
        <w:r w:rsidR="00F61DE8">
          <w:rPr>
            <w:noProof/>
            <w:webHidden/>
          </w:rPr>
          <w:t>22</w:t>
        </w:r>
        <w:r>
          <w:rPr>
            <w:noProof/>
            <w:webHidden/>
          </w:rPr>
          <w:fldChar w:fldCharType="end"/>
        </w:r>
      </w:hyperlink>
    </w:p>
    <w:p w:rsidR="00F61DE8" w:rsidRDefault="009154AB">
      <w:pPr>
        <w:pStyle w:val="TDC1"/>
        <w:rPr>
          <w:rFonts w:asciiTheme="minorHAnsi" w:eastAsiaTheme="minorEastAsia" w:hAnsiTheme="minorHAnsi" w:cstheme="minorBidi"/>
          <w:noProof/>
          <w:sz w:val="22"/>
          <w:szCs w:val="22"/>
          <w:lang w:eastAsia="es-ES"/>
        </w:rPr>
      </w:pPr>
      <w:hyperlink w:anchor="_Toc352773546" w:history="1">
        <w:r w:rsidR="00F61DE8" w:rsidRPr="00EC50D0">
          <w:rPr>
            <w:rStyle w:val="Hipervnculo"/>
            <w:rFonts w:ascii="MinionPro-Regular" w:hAnsi="MinionPro-Regular"/>
            <w:noProof/>
          </w:rPr>
          <w:t>4</w:t>
        </w:r>
        <w:r w:rsidR="00F61DE8">
          <w:rPr>
            <w:rFonts w:asciiTheme="minorHAnsi" w:eastAsiaTheme="minorEastAsia" w:hAnsiTheme="minorHAnsi" w:cstheme="minorBidi"/>
            <w:noProof/>
            <w:sz w:val="22"/>
            <w:szCs w:val="22"/>
            <w:lang w:eastAsia="es-ES"/>
          </w:rPr>
          <w:tab/>
        </w:r>
        <w:r w:rsidR="00F61DE8" w:rsidRPr="00EC50D0">
          <w:rPr>
            <w:rStyle w:val="Hipervnculo"/>
            <w:rFonts w:ascii="MinionPro-Regular" w:hAnsi="MinionPro-Regular"/>
            <w:noProof/>
          </w:rPr>
          <w:t>Los datos de empleo de las personas con discapacidad siguen siendo muy bajos</w:t>
        </w:r>
        <w:r w:rsidR="00F61DE8">
          <w:rPr>
            <w:noProof/>
            <w:webHidden/>
          </w:rPr>
          <w:tab/>
        </w:r>
        <w:r>
          <w:rPr>
            <w:noProof/>
            <w:webHidden/>
          </w:rPr>
          <w:fldChar w:fldCharType="begin"/>
        </w:r>
        <w:r w:rsidR="00F61DE8">
          <w:rPr>
            <w:noProof/>
            <w:webHidden/>
          </w:rPr>
          <w:instrText xml:space="preserve"> PAGEREF _Toc352773546 \h </w:instrText>
        </w:r>
        <w:r>
          <w:rPr>
            <w:noProof/>
            <w:webHidden/>
          </w:rPr>
        </w:r>
        <w:r>
          <w:rPr>
            <w:noProof/>
            <w:webHidden/>
          </w:rPr>
          <w:fldChar w:fldCharType="separate"/>
        </w:r>
        <w:r w:rsidR="00F61DE8">
          <w:rPr>
            <w:noProof/>
            <w:webHidden/>
          </w:rPr>
          <w:t>38</w:t>
        </w:r>
        <w:r>
          <w:rPr>
            <w:noProof/>
            <w:webHidden/>
          </w:rPr>
          <w:fldChar w:fldCharType="end"/>
        </w:r>
      </w:hyperlink>
    </w:p>
    <w:p w:rsidR="00F61DE8" w:rsidRDefault="009154AB">
      <w:pPr>
        <w:pStyle w:val="TDC1"/>
        <w:rPr>
          <w:rFonts w:asciiTheme="minorHAnsi" w:eastAsiaTheme="minorEastAsia" w:hAnsiTheme="minorHAnsi" w:cstheme="minorBidi"/>
          <w:noProof/>
          <w:sz w:val="22"/>
          <w:szCs w:val="22"/>
          <w:lang w:eastAsia="es-ES"/>
        </w:rPr>
      </w:pPr>
      <w:hyperlink w:anchor="_Toc352773547" w:history="1">
        <w:r w:rsidR="00F61DE8" w:rsidRPr="00EC50D0">
          <w:rPr>
            <w:rStyle w:val="Hipervnculo"/>
            <w:rFonts w:ascii="MinionPro-Regular" w:hAnsi="MinionPro-Regular"/>
            <w:noProof/>
          </w:rPr>
          <w:t>5</w:t>
        </w:r>
        <w:r w:rsidR="00F61DE8">
          <w:rPr>
            <w:rFonts w:asciiTheme="minorHAnsi" w:eastAsiaTheme="minorEastAsia" w:hAnsiTheme="minorHAnsi" w:cstheme="minorBidi"/>
            <w:noProof/>
            <w:sz w:val="22"/>
            <w:szCs w:val="22"/>
            <w:lang w:eastAsia="es-ES"/>
          </w:rPr>
          <w:tab/>
        </w:r>
        <w:r w:rsidR="00F61DE8" w:rsidRPr="00EC50D0">
          <w:rPr>
            <w:rStyle w:val="Hipervnculo"/>
            <w:rFonts w:ascii="MinionPro-Regular" w:hAnsi="MinionPro-Regular"/>
            <w:noProof/>
          </w:rPr>
          <w:t>La discriminación todavía no ha desaparecido, especialmente en algunos colectivos</w:t>
        </w:r>
        <w:r w:rsidR="00F61DE8">
          <w:rPr>
            <w:noProof/>
            <w:webHidden/>
          </w:rPr>
          <w:tab/>
        </w:r>
        <w:r>
          <w:rPr>
            <w:noProof/>
            <w:webHidden/>
          </w:rPr>
          <w:fldChar w:fldCharType="begin"/>
        </w:r>
        <w:r w:rsidR="00F61DE8">
          <w:rPr>
            <w:noProof/>
            <w:webHidden/>
          </w:rPr>
          <w:instrText xml:space="preserve"> PAGEREF _Toc352773547 \h </w:instrText>
        </w:r>
        <w:r>
          <w:rPr>
            <w:noProof/>
            <w:webHidden/>
          </w:rPr>
        </w:r>
        <w:r>
          <w:rPr>
            <w:noProof/>
            <w:webHidden/>
          </w:rPr>
          <w:fldChar w:fldCharType="separate"/>
        </w:r>
        <w:r w:rsidR="00F61DE8">
          <w:rPr>
            <w:noProof/>
            <w:webHidden/>
          </w:rPr>
          <w:t>43</w:t>
        </w:r>
        <w:r>
          <w:rPr>
            <w:noProof/>
            <w:webHidden/>
          </w:rPr>
          <w:fldChar w:fldCharType="end"/>
        </w:r>
      </w:hyperlink>
    </w:p>
    <w:p w:rsidR="00F61DE8" w:rsidRDefault="009154AB">
      <w:pPr>
        <w:pStyle w:val="TDC1"/>
        <w:rPr>
          <w:rFonts w:asciiTheme="minorHAnsi" w:eastAsiaTheme="minorEastAsia" w:hAnsiTheme="minorHAnsi" w:cstheme="minorBidi"/>
          <w:noProof/>
          <w:sz w:val="22"/>
          <w:szCs w:val="22"/>
          <w:lang w:eastAsia="es-ES"/>
        </w:rPr>
      </w:pPr>
      <w:hyperlink w:anchor="_Toc352773548" w:history="1">
        <w:r w:rsidR="00F61DE8" w:rsidRPr="00EC50D0">
          <w:rPr>
            <w:rStyle w:val="Hipervnculo"/>
            <w:rFonts w:ascii="MinionPro-Regular" w:hAnsi="MinionPro-Regular"/>
            <w:noProof/>
            <w:lang w:val="es-ES_tradnl"/>
          </w:rPr>
          <w:t>6</w:t>
        </w:r>
        <w:r w:rsidR="00F61DE8">
          <w:rPr>
            <w:rFonts w:asciiTheme="minorHAnsi" w:eastAsiaTheme="minorEastAsia" w:hAnsiTheme="minorHAnsi" w:cstheme="minorBidi"/>
            <w:noProof/>
            <w:sz w:val="22"/>
            <w:szCs w:val="22"/>
            <w:lang w:eastAsia="es-ES"/>
          </w:rPr>
          <w:tab/>
        </w:r>
        <w:r w:rsidR="00F61DE8" w:rsidRPr="00EC50D0">
          <w:rPr>
            <w:rStyle w:val="Hipervnculo"/>
            <w:rFonts w:ascii="MinionPro-Regular" w:hAnsi="MinionPro-Regular"/>
            <w:noProof/>
            <w:lang w:val="es-ES_tradnl"/>
          </w:rPr>
          <w:t>Alinear incentivos para conseguir la integración</w:t>
        </w:r>
        <w:r w:rsidR="00F61DE8">
          <w:rPr>
            <w:noProof/>
            <w:webHidden/>
          </w:rPr>
          <w:tab/>
        </w:r>
        <w:r>
          <w:rPr>
            <w:noProof/>
            <w:webHidden/>
          </w:rPr>
          <w:fldChar w:fldCharType="begin"/>
        </w:r>
        <w:r w:rsidR="00F61DE8">
          <w:rPr>
            <w:noProof/>
            <w:webHidden/>
          </w:rPr>
          <w:instrText xml:space="preserve"> PAGEREF _Toc352773548 \h </w:instrText>
        </w:r>
        <w:r>
          <w:rPr>
            <w:noProof/>
            <w:webHidden/>
          </w:rPr>
        </w:r>
        <w:r>
          <w:rPr>
            <w:noProof/>
            <w:webHidden/>
          </w:rPr>
          <w:fldChar w:fldCharType="separate"/>
        </w:r>
        <w:r w:rsidR="00F61DE8">
          <w:rPr>
            <w:noProof/>
            <w:webHidden/>
          </w:rPr>
          <w:t>47</w:t>
        </w:r>
        <w:r>
          <w:rPr>
            <w:noProof/>
            <w:webHidden/>
          </w:rPr>
          <w:fldChar w:fldCharType="end"/>
        </w:r>
      </w:hyperlink>
    </w:p>
    <w:p w:rsidR="00F61DE8" w:rsidRDefault="009154AB">
      <w:pPr>
        <w:pStyle w:val="TDC2"/>
        <w:rPr>
          <w:rFonts w:asciiTheme="minorHAnsi" w:eastAsiaTheme="minorEastAsia" w:hAnsiTheme="minorHAnsi" w:cstheme="minorBidi"/>
          <w:noProof/>
          <w:sz w:val="22"/>
          <w:szCs w:val="22"/>
          <w:lang w:eastAsia="es-ES"/>
        </w:rPr>
      </w:pPr>
      <w:hyperlink w:anchor="_Toc352773549" w:history="1">
        <w:r w:rsidR="00F61DE8" w:rsidRPr="00EC50D0">
          <w:rPr>
            <w:rStyle w:val="Hipervnculo"/>
            <w:rFonts w:ascii="MinionPro-Regular" w:hAnsi="MinionPro-Regular"/>
            <w:noProof/>
            <w:lang w:val="es-ES_tradnl"/>
          </w:rPr>
          <w:t>6.1</w:t>
        </w:r>
        <w:r w:rsidR="00F61DE8">
          <w:rPr>
            <w:rFonts w:asciiTheme="minorHAnsi" w:eastAsiaTheme="minorEastAsia" w:hAnsiTheme="minorHAnsi" w:cstheme="minorBidi"/>
            <w:noProof/>
            <w:sz w:val="22"/>
            <w:szCs w:val="22"/>
            <w:lang w:eastAsia="es-ES"/>
          </w:rPr>
          <w:tab/>
        </w:r>
        <w:r w:rsidR="00F61DE8" w:rsidRPr="00EC50D0">
          <w:rPr>
            <w:rStyle w:val="Hipervnculo"/>
            <w:rFonts w:ascii="MinionPro-Regular" w:hAnsi="MinionPro-Regular"/>
            <w:noProof/>
            <w:lang w:val="es-ES_tradnl"/>
          </w:rPr>
          <w:t>Combatiendo la discriminación</w:t>
        </w:r>
        <w:r w:rsidR="00F61DE8">
          <w:rPr>
            <w:noProof/>
            <w:webHidden/>
          </w:rPr>
          <w:tab/>
        </w:r>
        <w:r>
          <w:rPr>
            <w:noProof/>
            <w:webHidden/>
          </w:rPr>
          <w:fldChar w:fldCharType="begin"/>
        </w:r>
        <w:r w:rsidR="00F61DE8">
          <w:rPr>
            <w:noProof/>
            <w:webHidden/>
          </w:rPr>
          <w:instrText xml:space="preserve"> PAGEREF _Toc352773549 \h </w:instrText>
        </w:r>
        <w:r>
          <w:rPr>
            <w:noProof/>
            <w:webHidden/>
          </w:rPr>
        </w:r>
        <w:r>
          <w:rPr>
            <w:noProof/>
            <w:webHidden/>
          </w:rPr>
          <w:fldChar w:fldCharType="separate"/>
        </w:r>
        <w:r w:rsidR="00F61DE8">
          <w:rPr>
            <w:noProof/>
            <w:webHidden/>
          </w:rPr>
          <w:t>48</w:t>
        </w:r>
        <w:r>
          <w:rPr>
            <w:noProof/>
            <w:webHidden/>
          </w:rPr>
          <w:fldChar w:fldCharType="end"/>
        </w:r>
      </w:hyperlink>
    </w:p>
    <w:p w:rsidR="00F61DE8" w:rsidRDefault="009154AB">
      <w:pPr>
        <w:pStyle w:val="TDC2"/>
        <w:rPr>
          <w:rFonts w:asciiTheme="minorHAnsi" w:eastAsiaTheme="minorEastAsia" w:hAnsiTheme="minorHAnsi" w:cstheme="minorBidi"/>
          <w:noProof/>
          <w:sz w:val="22"/>
          <w:szCs w:val="22"/>
          <w:lang w:eastAsia="es-ES"/>
        </w:rPr>
      </w:pPr>
      <w:hyperlink w:anchor="_Toc352773550" w:history="1">
        <w:r w:rsidR="00F61DE8" w:rsidRPr="00EC50D0">
          <w:rPr>
            <w:rStyle w:val="Hipervnculo"/>
            <w:rFonts w:ascii="MinionPro-Regular" w:hAnsi="MinionPro-Regular"/>
            <w:noProof/>
            <w:lang w:val="es-ES_tradnl"/>
          </w:rPr>
          <w:t>6.2</w:t>
        </w:r>
        <w:r w:rsidR="00F61DE8">
          <w:rPr>
            <w:rFonts w:asciiTheme="minorHAnsi" w:eastAsiaTheme="minorEastAsia" w:hAnsiTheme="minorHAnsi" w:cstheme="minorBidi"/>
            <w:noProof/>
            <w:sz w:val="22"/>
            <w:szCs w:val="22"/>
            <w:lang w:eastAsia="es-ES"/>
          </w:rPr>
          <w:tab/>
        </w:r>
        <w:r w:rsidR="00F61DE8" w:rsidRPr="00EC50D0">
          <w:rPr>
            <w:rStyle w:val="Hipervnculo"/>
            <w:rFonts w:ascii="MinionPro-Regular" w:hAnsi="MinionPro-Regular"/>
            <w:noProof/>
            <w:lang w:val="es-ES_tradnl"/>
          </w:rPr>
          <w:t>Eliminando las barreras de entrada</w:t>
        </w:r>
        <w:r w:rsidR="00F61DE8">
          <w:rPr>
            <w:noProof/>
            <w:webHidden/>
          </w:rPr>
          <w:tab/>
        </w:r>
        <w:r>
          <w:rPr>
            <w:noProof/>
            <w:webHidden/>
          </w:rPr>
          <w:fldChar w:fldCharType="begin"/>
        </w:r>
        <w:r w:rsidR="00F61DE8">
          <w:rPr>
            <w:noProof/>
            <w:webHidden/>
          </w:rPr>
          <w:instrText xml:space="preserve"> PAGEREF _Toc352773550 \h </w:instrText>
        </w:r>
        <w:r>
          <w:rPr>
            <w:noProof/>
            <w:webHidden/>
          </w:rPr>
        </w:r>
        <w:r>
          <w:rPr>
            <w:noProof/>
            <w:webHidden/>
          </w:rPr>
          <w:fldChar w:fldCharType="separate"/>
        </w:r>
        <w:r w:rsidR="00F61DE8">
          <w:rPr>
            <w:noProof/>
            <w:webHidden/>
          </w:rPr>
          <w:t>49</w:t>
        </w:r>
        <w:r>
          <w:rPr>
            <w:noProof/>
            <w:webHidden/>
          </w:rPr>
          <w:fldChar w:fldCharType="end"/>
        </w:r>
      </w:hyperlink>
    </w:p>
    <w:p w:rsidR="00F61DE8" w:rsidRDefault="009154AB">
      <w:pPr>
        <w:pStyle w:val="TDC2"/>
        <w:rPr>
          <w:rFonts w:asciiTheme="minorHAnsi" w:eastAsiaTheme="minorEastAsia" w:hAnsiTheme="minorHAnsi" w:cstheme="minorBidi"/>
          <w:noProof/>
          <w:sz w:val="22"/>
          <w:szCs w:val="22"/>
          <w:lang w:eastAsia="es-ES"/>
        </w:rPr>
      </w:pPr>
      <w:hyperlink w:anchor="_Toc352773551" w:history="1">
        <w:r w:rsidR="00F61DE8" w:rsidRPr="00EC50D0">
          <w:rPr>
            <w:rStyle w:val="Hipervnculo"/>
            <w:rFonts w:ascii="MinionPro-Regular" w:hAnsi="MinionPro-Regular"/>
            <w:noProof/>
            <w:lang w:val="es-ES_tradnl"/>
          </w:rPr>
          <w:t>6.3</w:t>
        </w:r>
        <w:r w:rsidR="00F61DE8">
          <w:rPr>
            <w:rFonts w:asciiTheme="minorHAnsi" w:eastAsiaTheme="minorEastAsia" w:hAnsiTheme="minorHAnsi" w:cstheme="minorBidi"/>
            <w:noProof/>
            <w:sz w:val="22"/>
            <w:szCs w:val="22"/>
            <w:lang w:eastAsia="es-ES"/>
          </w:rPr>
          <w:tab/>
        </w:r>
        <w:r w:rsidR="00F61DE8" w:rsidRPr="00EC50D0">
          <w:rPr>
            <w:rStyle w:val="Hipervnculo"/>
            <w:rFonts w:ascii="MinionPro-Regular" w:hAnsi="MinionPro-Regular"/>
            <w:noProof/>
            <w:lang w:val="es-ES_tradnl"/>
          </w:rPr>
          <w:t>Ofreciendo incentivos a empleadores y empleados</w:t>
        </w:r>
        <w:r w:rsidR="00F61DE8">
          <w:rPr>
            <w:noProof/>
            <w:webHidden/>
          </w:rPr>
          <w:tab/>
        </w:r>
        <w:r>
          <w:rPr>
            <w:noProof/>
            <w:webHidden/>
          </w:rPr>
          <w:fldChar w:fldCharType="begin"/>
        </w:r>
        <w:r w:rsidR="00F61DE8">
          <w:rPr>
            <w:noProof/>
            <w:webHidden/>
          </w:rPr>
          <w:instrText xml:space="preserve"> PAGEREF _Toc352773551 \h </w:instrText>
        </w:r>
        <w:r>
          <w:rPr>
            <w:noProof/>
            <w:webHidden/>
          </w:rPr>
        </w:r>
        <w:r>
          <w:rPr>
            <w:noProof/>
            <w:webHidden/>
          </w:rPr>
          <w:fldChar w:fldCharType="separate"/>
        </w:r>
        <w:r w:rsidR="00F61DE8">
          <w:rPr>
            <w:noProof/>
            <w:webHidden/>
          </w:rPr>
          <w:t>52</w:t>
        </w:r>
        <w:r>
          <w:rPr>
            <w:noProof/>
            <w:webHidden/>
          </w:rPr>
          <w:fldChar w:fldCharType="end"/>
        </w:r>
      </w:hyperlink>
    </w:p>
    <w:p w:rsidR="00F61DE8" w:rsidRDefault="009154AB">
      <w:pPr>
        <w:pStyle w:val="TDC2"/>
        <w:rPr>
          <w:rFonts w:asciiTheme="minorHAnsi" w:eastAsiaTheme="minorEastAsia" w:hAnsiTheme="minorHAnsi" w:cstheme="minorBidi"/>
          <w:noProof/>
          <w:sz w:val="22"/>
          <w:szCs w:val="22"/>
          <w:lang w:eastAsia="es-ES"/>
        </w:rPr>
      </w:pPr>
      <w:hyperlink w:anchor="_Toc352773552" w:history="1">
        <w:r w:rsidR="00F61DE8" w:rsidRPr="00EC50D0">
          <w:rPr>
            <w:rStyle w:val="Hipervnculo"/>
            <w:rFonts w:ascii="MinionPro-Regular" w:hAnsi="MinionPro-Regular"/>
            <w:noProof/>
            <w:lang w:val="es-ES_tradnl"/>
          </w:rPr>
          <w:t>6.4</w:t>
        </w:r>
        <w:r w:rsidR="00F61DE8">
          <w:rPr>
            <w:rFonts w:asciiTheme="minorHAnsi" w:eastAsiaTheme="minorEastAsia" w:hAnsiTheme="minorHAnsi" w:cstheme="minorBidi"/>
            <w:noProof/>
            <w:sz w:val="22"/>
            <w:szCs w:val="22"/>
            <w:lang w:eastAsia="es-ES"/>
          </w:rPr>
          <w:tab/>
        </w:r>
        <w:r w:rsidR="00F61DE8" w:rsidRPr="00EC50D0">
          <w:rPr>
            <w:rStyle w:val="Hipervnculo"/>
            <w:rFonts w:ascii="MinionPro-Regular" w:hAnsi="MinionPro-Regular"/>
            <w:noProof/>
            <w:lang w:val="es-ES_tradnl"/>
          </w:rPr>
          <w:t>Desde el empleo protegido</w:t>
        </w:r>
        <w:r w:rsidR="00F61DE8">
          <w:rPr>
            <w:noProof/>
            <w:webHidden/>
          </w:rPr>
          <w:tab/>
        </w:r>
        <w:r>
          <w:rPr>
            <w:noProof/>
            <w:webHidden/>
          </w:rPr>
          <w:fldChar w:fldCharType="begin"/>
        </w:r>
        <w:r w:rsidR="00F61DE8">
          <w:rPr>
            <w:noProof/>
            <w:webHidden/>
          </w:rPr>
          <w:instrText xml:space="preserve"> PAGEREF _Toc352773552 \h </w:instrText>
        </w:r>
        <w:r>
          <w:rPr>
            <w:noProof/>
            <w:webHidden/>
          </w:rPr>
        </w:r>
        <w:r>
          <w:rPr>
            <w:noProof/>
            <w:webHidden/>
          </w:rPr>
          <w:fldChar w:fldCharType="separate"/>
        </w:r>
        <w:r w:rsidR="00F61DE8">
          <w:rPr>
            <w:noProof/>
            <w:webHidden/>
          </w:rPr>
          <w:t>53</w:t>
        </w:r>
        <w:r>
          <w:rPr>
            <w:noProof/>
            <w:webHidden/>
          </w:rPr>
          <w:fldChar w:fldCharType="end"/>
        </w:r>
      </w:hyperlink>
    </w:p>
    <w:p w:rsidR="00F61DE8" w:rsidRDefault="009154AB">
      <w:pPr>
        <w:pStyle w:val="TDC2"/>
        <w:rPr>
          <w:rFonts w:asciiTheme="minorHAnsi" w:eastAsiaTheme="minorEastAsia" w:hAnsiTheme="minorHAnsi" w:cstheme="minorBidi"/>
          <w:noProof/>
          <w:sz w:val="22"/>
          <w:szCs w:val="22"/>
          <w:lang w:eastAsia="es-ES"/>
        </w:rPr>
      </w:pPr>
      <w:hyperlink w:anchor="_Toc352773553" w:history="1">
        <w:r w:rsidR="00F61DE8" w:rsidRPr="00EC50D0">
          <w:rPr>
            <w:rStyle w:val="Hipervnculo"/>
            <w:rFonts w:ascii="MinionPro-Regular" w:hAnsi="MinionPro-Regular"/>
            <w:noProof/>
            <w:lang w:val="es-ES_tradnl"/>
          </w:rPr>
          <w:t>6.5</w:t>
        </w:r>
        <w:r w:rsidR="00F61DE8">
          <w:rPr>
            <w:rFonts w:asciiTheme="minorHAnsi" w:eastAsiaTheme="minorEastAsia" w:hAnsiTheme="minorHAnsi" w:cstheme="minorBidi"/>
            <w:noProof/>
            <w:sz w:val="22"/>
            <w:szCs w:val="22"/>
            <w:lang w:eastAsia="es-ES"/>
          </w:rPr>
          <w:tab/>
        </w:r>
        <w:r w:rsidR="00F61DE8" w:rsidRPr="00EC50D0">
          <w:rPr>
            <w:rStyle w:val="Hipervnculo"/>
            <w:rFonts w:ascii="MinionPro-Regular" w:hAnsi="MinionPro-Regular"/>
            <w:noProof/>
            <w:lang w:val="es-ES_tradnl"/>
          </w:rPr>
          <w:t>Desde las agencias públicas de empleo</w:t>
        </w:r>
        <w:r w:rsidR="00F61DE8">
          <w:rPr>
            <w:noProof/>
            <w:webHidden/>
          </w:rPr>
          <w:tab/>
        </w:r>
        <w:r>
          <w:rPr>
            <w:noProof/>
            <w:webHidden/>
          </w:rPr>
          <w:fldChar w:fldCharType="begin"/>
        </w:r>
        <w:r w:rsidR="00F61DE8">
          <w:rPr>
            <w:noProof/>
            <w:webHidden/>
          </w:rPr>
          <w:instrText xml:space="preserve"> PAGEREF _Toc352773553 \h </w:instrText>
        </w:r>
        <w:r>
          <w:rPr>
            <w:noProof/>
            <w:webHidden/>
          </w:rPr>
        </w:r>
        <w:r>
          <w:rPr>
            <w:noProof/>
            <w:webHidden/>
          </w:rPr>
          <w:fldChar w:fldCharType="separate"/>
        </w:r>
        <w:r w:rsidR="00F61DE8">
          <w:rPr>
            <w:noProof/>
            <w:webHidden/>
          </w:rPr>
          <w:t>55</w:t>
        </w:r>
        <w:r>
          <w:rPr>
            <w:noProof/>
            <w:webHidden/>
          </w:rPr>
          <w:fldChar w:fldCharType="end"/>
        </w:r>
      </w:hyperlink>
    </w:p>
    <w:p w:rsidR="00F61DE8" w:rsidRDefault="009154AB">
      <w:pPr>
        <w:pStyle w:val="TDC2"/>
        <w:rPr>
          <w:rFonts w:asciiTheme="minorHAnsi" w:eastAsiaTheme="minorEastAsia" w:hAnsiTheme="minorHAnsi" w:cstheme="minorBidi"/>
          <w:noProof/>
          <w:sz w:val="22"/>
          <w:szCs w:val="22"/>
          <w:lang w:eastAsia="es-ES"/>
        </w:rPr>
      </w:pPr>
      <w:hyperlink w:anchor="_Toc352773554" w:history="1">
        <w:r w:rsidR="00F61DE8" w:rsidRPr="00EC50D0">
          <w:rPr>
            <w:rStyle w:val="Hipervnculo"/>
            <w:rFonts w:ascii="MinionPro-Regular" w:hAnsi="MinionPro-Regular"/>
            <w:noProof/>
            <w:lang w:val="es-ES_tradnl"/>
          </w:rPr>
          <w:t>6.6</w:t>
        </w:r>
        <w:r w:rsidR="00F61DE8">
          <w:rPr>
            <w:rFonts w:asciiTheme="minorHAnsi" w:eastAsiaTheme="minorEastAsia" w:hAnsiTheme="minorHAnsi" w:cstheme="minorBidi"/>
            <w:noProof/>
            <w:sz w:val="22"/>
            <w:szCs w:val="22"/>
            <w:lang w:eastAsia="es-ES"/>
          </w:rPr>
          <w:tab/>
        </w:r>
        <w:r w:rsidR="00F61DE8" w:rsidRPr="00EC50D0">
          <w:rPr>
            <w:rStyle w:val="Hipervnculo"/>
            <w:rFonts w:ascii="MinionPro-Regular" w:hAnsi="MinionPro-Regular"/>
            <w:noProof/>
            <w:lang w:val="es-ES_tradnl"/>
          </w:rPr>
          <w:t>Ofreciendo una ventanilla única e incentivos públicos</w:t>
        </w:r>
        <w:r w:rsidR="00F61DE8">
          <w:rPr>
            <w:noProof/>
            <w:webHidden/>
          </w:rPr>
          <w:tab/>
        </w:r>
        <w:r>
          <w:rPr>
            <w:noProof/>
            <w:webHidden/>
          </w:rPr>
          <w:fldChar w:fldCharType="begin"/>
        </w:r>
        <w:r w:rsidR="00F61DE8">
          <w:rPr>
            <w:noProof/>
            <w:webHidden/>
          </w:rPr>
          <w:instrText xml:space="preserve"> PAGEREF _Toc352773554 \h </w:instrText>
        </w:r>
        <w:r>
          <w:rPr>
            <w:noProof/>
            <w:webHidden/>
          </w:rPr>
        </w:r>
        <w:r>
          <w:rPr>
            <w:noProof/>
            <w:webHidden/>
          </w:rPr>
          <w:fldChar w:fldCharType="separate"/>
        </w:r>
        <w:r w:rsidR="00F61DE8">
          <w:rPr>
            <w:noProof/>
            <w:webHidden/>
          </w:rPr>
          <w:t>57</w:t>
        </w:r>
        <w:r>
          <w:rPr>
            <w:noProof/>
            <w:webHidden/>
          </w:rPr>
          <w:fldChar w:fldCharType="end"/>
        </w:r>
      </w:hyperlink>
    </w:p>
    <w:p w:rsidR="00F61DE8" w:rsidRDefault="009154AB">
      <w:pPr>
        <w:pStyle w:val="TDC2"/>
        <w:rPr>
          <w:rFonts w:asciiTheme="minorHAnsi" w:eastAsiaTheme="minorEastAsia" w:hAnsiTheme="minorHAnsi" w:cstheme="minorBidi"/>
          <w:noProof/>
          <w:sz w:val="22"/>
          <w:szCs w:val="22"/>
          <w:lang w:eastAsia="es-ES"/>
        </w:rPr>
      </w:pPr>
      <w:hyperlink w:anchor="_Toc352773555" w:history="1">
        <w:r w:rsidR="00F61DE8" w:rsidRPr="00EC50D0">
          <w:rPr>
            <w:rStyle w:val="Hipervnculo"/>
            <w:rFonts w:ascii="MinionPro-Regular" w:hAnsi="MinionPro-Regular"/>
            <w:noProof/>
            <w:lang w:val="es-ES_tradnl"/>
          </w:rPr>
          <w:t>6.7</w:t>
        </w:r>
        <w:r w:rsidR="00F61DE8">
          <w:rPr>
            <w:rFonts w:asciiTheme="minorHAnsi" w:eastAsiaTheme="minorEastAsia" w:hAnsiTheme="minorHAnsi" w:cstheme="minorBidi"/>
            <w:noProof/>
            <w:sz w:val="22"/>
            <w:szCs w:val="22"/>
            <w:lang w:eastAsia="es-ES"/>
          </w:rPr>
          <w:tab/>
        </w:r>
        <w:r w:rsidR="00F61DE8" w:rsidRPr="00EC50D0">
          <w:rPr>
            <w:rStyle w:val="Hipervnculo"/>
            <w:rFonts w:ascii="MinionPro-Regular" w:hAnsi="MinionPro-Regular"/>
            <w:noProof/>
            <w:lang w:val="es-ES_tradnl"/>
          </w:rPr>
          <w:t>Desde el emprendimiento con discapacidad</w:t>
        </w:r>
        <w:r w:rsidR="00F61DE8">
          <w:rPr>
            <w:noProof/>
            <w:webHidden/>
          </w:rPr>
          <w:tab/>
        </w:r>
        <w:r>
          <w:rPr>
            <w:noProof/>
            <w:webHidden/>
          </w:rPr>
          <w:fldChar w:fldCharType="begin"/>
        </w:r>
        <w:r w:rsidR="00F61DE8">
          <w:rPr>
            <w:noProof/>
            <w:webHidden/>
          </w:rPr>
          <w:instrText xml:space="preserve"> PAGEREF _Toc352773555 \h </w:instrText>
        </w:r>
        <w:r>
          <w:rPr>
            <w:noProof/>
            <w:webHidden/>
          </w:rPr>
        </w:r>
        <w:r>
          <w:rPr>
            <w:noProof/>
            <w:webHidden/>
          </w:rPr>
          <w:fldChar w:fldCharType="separate"/>
        </w:r>
        <w:r w:rsidR="00F61DE8">
          <w:rPr>
            <w:noProof/>
            <w:webHidden/>
          </w:rPr>
          <w:t>58</w:t>
        </w:r>
        <w:r>
          <w:rPr>
            <w:noProof/>
            <w:webHidden/>
          </w:rPr>
          <w:fldChar w:fldCharType="end"/>
        </w:r>
      </w:hyperlink>
    </w:p>
    <w:p w:rsidR="00F61DE8" w:rsidRDefault="009154AB">
      <w:pPr>
        <w:pStyle w:val="TDC1"/>
        <w:rPr>
          <w:rFonts w:asciiTheme="minorHAnsi" w:eastAsiaTheme="minorEastAsia" w:hAnsiTheme="minorHAnsi" w:cstheme="minorBidi"/>
          <w:noProof/>
          <w:sz w:val="22"/>
          <w:szCs w:val="22"/>
          <w:lang w:eastAsia="es-ES"/>
        </w:rPr>
      </w:pPr>
      <w:hyperlink w:anchor="_Toc352773556" w:history="1">
        <w:r w:rsidR="00F61DE8" w:rsidRPr="00EC50D0">
          <w:rPr>
            <w:rStyle w:val="Hipervnculo"/>
            <w:rFonts w:ascii="MinionPro-Regular" w:hAnsi="MinionPro-Regular"/>
            <w:noProof/>
            <w:lang w:val="es-ES_tradnl"/>
          </w:rPr>
          <w:t>7</w:t>
        </w:r>
        <w:r w:rsidR="00F61DE8">
          <w:rPr>
            <w:rFonts w:asciiTheme="minorHAnsi" w:eastAsiaTheme="minorEastAsia" w:hAnsiTheme="minorHAnsi" w:cstheme="minorBidi"/>
            <w:noProof/>
            <w:sz w:val="22"/>
            <w:szCs w:val="22"/>
            <w:lang w:eastAsia="es-ES"/>
          </w:rPr>
          <w:tab/>
        </w:r>
        <w:r w:rsidR="00F61DE8" w:rsidRPr="00EC50D0">
          <w:rPr>
            <w:rStyle w:val="Hipervnculo"/>
            <w:rFonts w:ascii="MinionPro-Regular" w:hAnsi="MinionPro-Regular"/>
            <w:noProof/>
            <w:lang w:val="es-ES_tradnl"/>
          </w:rPr>
          <w:t>Retrato de los centros especiales de empleo en España</w:t>
        </w:r>
        <w:r w:rsidR="00F61DE8">
          <w:rPr>
            <w:noProof/>
            <w:webHidden/>
          </w:rPr>
          <w:tab/>
        </w:r>
        <w:r>
          <w:rPr>
            <w:noProof/>
            <w:webHidden/>
          </w:rPr>
          <w:fldChar w:fldCharType="begin"/>
        </w:r>
        <w:r w:rsidR="00F61DE8">
          <w:rPr>
            <w:noProof/>
            <w:webHidden/>
          </w:rPr>
          <w:instrText xml:space="preserve"> PAGEREF _Toc352773556 \h </w:instrText>
        </w:r>
        <w:r>
          <w:rPr>
            <w:noProof/>
            <w:webHidden/>
          </w:rPr>
        </w:r>
        <w:r>
          <w:rPr>
            <w:noProof/>
            <w:webHidden/>
          </w:rPr>
          <w:fldChar w:fldCharType="separate"/>
        </w:r>
        <w:r w:rsidR="00F61DE8">
          <w:rPr>
            <w:noProof/>
            <w:webHidden/>
          </w:rPr>
          <w:t>61</w:t>
        </w:r>
        <w:r>
          <w:rPr>
            <w:noProof/>
            <w:webHidden/>
          </w:rPr>
          <w:fldChar w:fldCharType="end"/>
        </w:r>
      </w:hyperlink>
    </w:p>
    <w:p w:rsidR="00F61DE8" w:rsidRDefault="009154AB">
      <w:pPr>
        <w:pStyle w:val="TDC2"/>
        <w:rPr>
          <w:rFonts w:asciiTheme="minorHAnsi" w:eastAsiaTheme="minorEastAsia" w:hAnsiTheme="minorHAnsi" w:cstheme="minorBidi"/>
          <w:noProof/>
          <w:sz w:val="22"/>
          <w:szCs w:val="22"/>
          <w:lang w:eastAsia="es-ES"/>
        </w:rPr>
      </w:pPr>
      <w:hyperlink w:anchor="_Toc352773557" w:history="1">
        <w:r w:rsidR="00F61DE8" w:rsidRPr="00EC50D0">
          <w:rPr>
            <w:rStyle w:val="Hipervnculo"/>
            <w:rFonts w:ascii="MinionPro-Regular" w:hAnsi="MinionPro-Regular"/>
            <w:noProof/>
            <w:lang w:val="es-ES_tradnl"/>
          </w:rPr>
          <w:t>7.1</w:t>
        </w:r>
        <w:r w:rsidR="00F61DE8">
          <w:rPr>
            <w:rFonts w:asciiTheme="minorHAnsi" w:eastAsiaTheme="minorEastAsia" w:hAnsiTheme="minorHAnsi" w:cstheme="minorBidi"/>
            <w:noProof/>
            <w:sz w:val="22"/>
            <w:szCs w:val="22"/>
            <w:lang w:eastAsia="es-ES"/>
          </w:rPr>
          <w:tab/>
        </w:r>
        <w:r w:rsidR="00F61DE8" w:rsidRPr="00EC50D0">
          <w:rPr>
            <w:rStyle w:val="Hipervnculo"/>
            <w:rFonts w:ascii="MinionPro-Regular" w:hAnsi="MinionPro-Regular"/>
            <w:noProof/>
            <w:lang w:val="es-ES_tradnl"/>
          </w:rPr>
          <w:t>Centros especiales de empleo de iniciativa social</w:t>
        </w:r>
        <w:r w:rsidR="00F61DE8">
          <w:rPr>
            <w:noProof/>
            <w:webHidden/>
          </w:rPr>
          <w:tab/>
        </w:r>
        <w:r>
          <w:rPr>
            <w:noProof/>
            <w:webHidden/>
          </w:rPr>
          <w:fldChar w:fldCharType="begin"/>
        </w:r>
        <w:r w:rsidR="00F61DE8">
          <w:rPr>
            <w:noProof/>
            <w:webHidden/>
          </w:rPr>
          <w:instrText xml:space="preserve"> PAGEREF _Toc352773557 \h </w:instrText>
        </w:r>
        <w:r>
          <w:rPr>
            <w:noProof/>
            <w:webHidden/>
          </w:rPr>
        </w:r>
        <w:r>
          <w:rPr>
            <w:noProof/>
            <w:webHidden/>
          </w:rPr>
          <w:fldChar w:fldCharType="separate"/>
        </w:r>
        <w:r w:rsidR="00F61DE8">
          <w:rPr>
            <w:noProof/>
            <w:webHidden/>
          </w:rPr>
          <w:t>81</w:t>
        </w:r>
        <w:r>
          <w:rPr>
            <w:noProof/>
            <w:webHidden/>
          </w:rPr>
          <w:fldChar w:fldCharType="end"/>
        </w:r>
      </w:hyperlink>
    </w:p>
    <w:p w:rsidR="00F61DE8" w:rsidRDefault="009154AB">
      <w:pPr>
        <w:pStyle w:val="TDC2"/>
        <w:rPr>
          <w:rFonts w:asciiTheme="minorHAnsi" w:eastAsiaTheme="minorEastAsia" w:hAnsiTheme="minorHAnsi" w:cstheme="minorBidi"/>
          <w:noProof/>
          <w:sz w:val="22"/>
          <w:szCs w:val="22"/>
          <w:lang w:eastAsia="es-ES"/>
        </w:rPr>
      </w:pPr>
      <w:hyperlink w:anchor="_Toc352773558" w:history="1">
        <w:r w:rsidR="00F61DE8" w:rsidRPr="00EC50D0">
          <w:rPr>
            <w:rStyle w:val="Hipervnculo"/>
            <w:rFonts w:ascii="MinionPro-Regular" w:hAnsi="MinionPro-Regular"/>
            <w:noProof/>
            <w:lang w:val="es-ES_tradnl"/>
          </w:rPr>
          <w:t>7.2</w:t>
        </w:r>
        <w:r w:rsidR="00F61DE8">
          <w:rPr>
            <w:rFonts w:asciiTheme="minorHAnsi" w:eastAsiaTheme="minorEastAsia" w:hAnsiTheme="minorHAnsi" w:cstheme="minorBidi"/>
            <w:noProof/>
            <w:sz w:val="22"/>
            <w:szCs w:val="22"/>
            <w:lang w:eastAsia="es-ES"/>
          </w:rPr>
          <w:tab/>
        </w:r>
        <w:r w:rsidR="00F61DE8" w:rsidRPr="00EC50D0">
          <w:rPr>
            <w:rStyle w:val="Hipervnculo"/>
            <w:rFonts w:ascii="MinionPro-Regular" w:hAnsi="MinionPro-Regular"/>
            <w:noProof/>
            <w:lang w:val="es-ES_tradnl"/>
          </w:rPr>
          <w:t>Lo que opinan las personas que trabajan en los centros</w:t>
        </w:r>
        <w:r w:rsidR="00F61DE8">
          <w:rPr>
            <w:noProof/>
            <w:webHidden/>
          </w:rPr>
          <w:tab/>
        </w:r>
        <w:r>
          <w:rPr>
            <w:noProof/>
            <w:webHidden/>
          </w:rPr>
          <w:fldChar w:fldCharType="begin"/>
        </w:r>
        <w:r w:rsidR="00F61DE8">
          <w:rPr>
            <w:noProof/>
            <w:webHidden/>
          </w:rPr>
          <w:instrText xml:space="preserve"> PAGEREF _Toc352773558 \h </w:instrText>
        </w:r>
        <w:r>
          <w:rPr>
            <w:noProof/>
            <w:webHidden/>
          </w:rPr>
        </w:r>
        <w:r>
          <w:rPr>
            <w:noProof/>
            <w:webHidden/>
          </w:rPr>
          <w:fldChar w:fldCharType="separate"/>
        </w:r>
        <w:r w:rsidR="00F61DE8">
          <w:rPr>
            <w:noProof/>
            <w:webHidden/>
          </w:rPr>
          <w:t>85</w:t>
        </w:r>
        <w:r>
          <w:rPr>
            <w:noProof/>
            <w:webHidden/>
          </w:rPr>
          <w:fldChar w:fldCharType="end"/>
        </w:r>
      </w:hyperlink>
    </w:p>
    <w:p w:rsidR="00F61DE8" w:rsidRDefault="009154AB">
      <w:pPr>
        <w:pStyle w:val="TDC3"/>
        <w:rPr>
          <w:rFonts w:asciiTheme="minorHAnsi" w:eastAsiaTheme="minorEastAsia" w:hAnsiTheme="minorHAnsi" w:cstheme="minorBidi"/>
          <w:noProof/>
          <w:sz w:val="22"/>
          <w:szCs w:val="22"/>
          <w:lang w:eastAsia="es-ES"/>
        </w:rPr>
      </w:pPr>
      <w:hyperlink w:anchor="_Toc352773559" w:history="1">
        <w:r w:rsidR="00F61DE8" w:rsidRPr="00EC50D0">
          <w:rPr>
            <w:rStyle w:val="Hipervnculo"/>
            <w:noProof/>
            <w:lang w:val="es-ES_tradnl"/>
          </w:rPr>
          <w:t>7.2.1</w:t>
        </w:r>
        <w:r w:rsidR="00F61DE8">
          <w:rPr>
            <w:rFonts w:asciiTheme="minorHAnsi" w:eastAsiaTheme="minorEastAsia" w:hAnsiTheme="minorHAnsi" w:cstheme="minorBidi"/>
            <w:noProof/>
            <w:sz w:val="22"/>
            <w:szCs w:val="22"/>
            <w:lang w:eastAsia="es-ES"/>
          </w:rPr>
          <w:tab/>
        </w:r>
        <w:r w:rsidR="00F61DE8" w:rsidRPr="00EC50D0">
          <w:rPr>
            <w:rStyle w:val="Hipervnculo"/>
            <w:noProof/>
            <w:lang w:val="es-ES_tradnl"/>
          </w:rPr>
          <w:t>Un 12% de las personas tiene titulación universitaria</w:t>
        </w:r>
        <w:r w:rsidR="00F61DE8">
          <w:rPr>
            <w:noProof/>
            <w:webHidden/>
          </w:rPr>
          <w:tab/>
        </w:r>
        <w:r>
          <w:rPr>
            <w:noProof/>
            <w:webHidden/>
          </w:rPr>
          <w:fldChar w:fldCharType="begin"/>
        </w:r>
        <w:r w:rsidR="00F61DE8">
          <w:rPr>
            <w:noProof/>
            <w:webHidden/>
          </w:rPr>
          <w:instrText xml:space="preserve"> PAGEREF _Toc352773559 \h </w:instrText>
        </w:r>
        <w:r>
          <w:rPr>
            <w:noProof/>
            <w:webHidden/>
          </w:rPr>
        </w:r>
        <w:r>
          <w:rPr>
            <w:noProof/>
            <w:webHidden/>
          </w:rPr>
          <w:fldChar w:fldCharType="separate"/>
        </w:r>
        <w:r w:rsidR="00F61DE8">
          <w:rPr>
            <w:noProof/>
            <w:webHidden/>
          </w:rPr>
          <w:t>87</w:t>
        </w:r>
        <w:r>
          <w:rPr>
            <w:noProof/>
            <w:webHidden/>
          </w:rPr>
          <w:fldChar w:fldCharType="end"/>
        </w:r>
      </w:hyperlink>
    </w:p>
    <w:p w:rsidR="00F61DE8" w:rsidRDefault="009154AB">
      <w:pPr>
        <w:pStyle w:val="TDC3"/>
        <w:rPr>
          <w:rFonts w:asciiTheme="minorHAnsi" w:eastAsiaTheme="minorEastAsia" w:hAnsiTheme="minorHAnsi" w:cstheme="minorBidi"/>
          <w:noProof/>
          <w:sz w:val="22"/>
          <w:szCs w:val="22"/>
          <w:lang w:eastAsia="es-ES"/>
        </w:rPr>
      </w:pPr>
      <w:hyperlink w:anchor="_Toc352773560" w:history="1">
        <w:r w:rsidR="00F61DE8" w:rsidRPr="00EC50D0">
          <w:rPr>
            <w:rStyle w:val="Hipervnculo"/>
            <w:noProof/>
            <w:lang w:val="es-ES_tradnl"/>
          </w:rPr>
          <w:t>7.2.2</w:t>
        </w:r>
        <w:r w:rsidR="00F61DE8">
          <w:rPr>
            <w:rFonts w:asciiTheme="minorHAnsi" w:eastAsiaTheme="minorEastAsia" w:hAnsiTheme="minorHAnsi" w:cstheme="minorBidi"/>
            <w:noProof/>
            <w:sz w:val="22"/>
            <w:szCs w:val="22"/>
            <w:lang w:eastAsia="es-ES"/>
          </w:rPr>
          <w:tab/>
        </w:r>
        <w:r w:rsidR="00F61DE8" w:rsidRPr="00EC50D0">
          <w:rPr>
            <w:rStyle w:val="Hipervnculo"/>
            <w:noProof/>
            <w:lang w:val="es-ES_tradnl"/>
          </w:rPr>
          <w:t>La formación en los centros, un área de mejora</w:t>
        </w:r>
        <w:r w:rsidR="00F61DE8">
          <w:rPr>
            <w:noProof/>
            <w:webHidden/>
          </w:rPr>
          <w:tab/>
        </w:r>
        <w:r>
          <w:rPr>
            <w:noProof/>
            <w:webHidden/>
          </w:rPr>
          <w:fldChar w:fldCharType="begin"/>
        </w:r>
        <w:r w:rsidR="00F61DE8">
          <w:rPr>
            <w:noProof/>
            <w:webHidden/>
          </w:rPr>
          <w:instrText xml:space="preserve"> PAGEREF _Toc352773560 \h </w:instrText>
        </w:r>
        <w:r>
          <w:rPr>
            <w:noProof/>
            <w:webHidden/>
          </w:rPr>
        </w:r>
        <w:r>
          <w:rPr>
            <w:noProof/>
            <w:webHidden/>
          </w:rPr>
          <w:fldChar w:fldCharType="separate"/>
        </w:r>
        <w:r w:rsidR="00F61DE8">
          <w:rPr>
            <w:noProof/>
            <w:webHidden/>
          </w:rPr>
          <w:t>89</w:t>
        </w:r>
        <w:r>
          <w:rPr>
            <w:noProof/>
            <w:webHidden/>
          </w:rPr>
          <w:fldChar w:fldCharType="end"/>
        </w:r>
      </w:hyperlink>
    </w:p>
    <w:p w:rsidR="00F61DE8" w:rsidRDefault="009154AB">
      <w:pPr>
        <w:pStyle w:val="TDC3"/>
        <w:rPr>
          <w:rFonts w:asciiTheme="minorHAnsi" w:eastAsiaTheme="minorEastAsia" w:hAnsiTheme="minorHAnsi" w:cstheme="minorBidi"/>
          <w:noProof/>
          <w:sz w:val="22"/>
          <w:szCs w:val="22"/>
          <w:lang w:eastAsia="es-ES"/>
        </w:rPr>
      </w:pPr>
      <w:hyperlink w:anchor="_Toc352773561" w:history="1">
        <w:r w:rsidR="00F61DE8" w:rsidRPr="00EC50D0">
          <w:rPr>
            <w:rStyle w:val="Hipervnculo"/>
            <w:noProof/>
            <w:lang w:val="es-ES_tradnl"/>
          </w:rPr>
          <w:t>7.2.3</w:t>
        </w:r>
        <w:r w:rsidR="00F61DE8">
          <w:rPr>
            <w:rFonts w:asciiTheme="minorHAnsi" w:eastAsiaTheme="minorEastAsia" w:hAnsiTheme="minorHAnsi" w:cstheme="minorBidi"/>
            <w:noProof/>
            <w:sz w:val="22"/>
            <w:szCs w:val="22"/>
            <w:lang w:eastAsia="es-ES"/>
          </w:rPr>
          <w:tab/>
        </w:r>
        <w:r w:rsidR="00F61DE8" w:rsidRPr="00EC50D0">
          <w:rPr>
            <w:rStyle w:val="Hipervnculo"/>
            <w:noProof/>
            <w:lang w:val="es-ES_tradnl"/>
          </w:rPr>
          <w:t>La red asociativa, clave para el empleo</w:t>
        </w:r>
        <w:r w:rsidR="00F61DE8">
          <w:rPr>
            <w:noProof/>
            <w:webHidden/>
          </w:rPr>
          <w:tab/>
        </w:r>
        <w:r>
          <w:rPr>
            <w:noProof/>
            <w:webHidden/>
          </w:rPr>
          <w:fldChar w:fldCharType="begin"/>
        </w:r>
        <w:r w:rsidR="00F61DE8">
          <w:rPr>
            <w:noProof/>
            <w:webHidden/>
          </w:rPr>
          <w:instrText xml:space="preserve"> PAGEREF _Toc352773561 \h </w:instrText>
        </w:r>
        <w:r>
          <w:rPr>
            <w:noProof/>
            <w:webHidden/>
          </w:rPr>
        </w:r>
        <w:r>
          <w:rPr>
            <w:noProof/>
            <w:webHidden/>
          </w:rPr>
          <w:fldChar w:fldCharType="separate"/>
        </w:r>
        <w:r w:rsidR="00F61DE8">
          <w:rPr>
            <w:noProof/>
            <w:webHidden/>
          </w:rPr>
          <w:t>90</w:t>
        </w:r>
        <w:r>
          <w:rPr>
            <w:noProof/>
            <w:webHidden/>
          </w:rPr>
          <w:fldChar w:fldCharType="end"/>
        </w:r>
      </w:hyperlink>
    </w:p>
    <w:p w:rsidR="00F61DE8" w:rsidRDefault="009154AB">
      <w:pPr>
        <w:pStyle w:val="TDC3"/>
        <w:rPr>
          <w:rFonts w:asciiTheme="minorHAnsi" w:eastAsiaTheme="minorEastAsia" w:hAnsiTheme="minorHAnsi" w:cstheme="minorBidi"/>
          <w:noProof/>
          <w:sz w:val="22"/>
          <w:szCs w:val="22"/>
          <w:lang w:eastAsia="es-ES"/>
        </w:rPr>
      </w:pPr>
      <w:hyperlink w:anchor="_Toc352773562" w:history="1">
        <w:r w:rsidR="00F61DE8" w:rsidRPr="00EC50D0">
          <w:rPr>
            <w:rStyle w:val="Hipervnculo"/>
            <w:noProof/>
            <w:lang w:val="es-ES_tradnl"/>
          </w:rPr>
          <w:t>7.2.4</w:t>
        </w:r>
        <w:r w:rsidR="00F61DE8">
          <w:rPr>
            <w:rFonts w:asciiTheme="minorHAnsi" w:eastAsiaTheme="minorEastAsia" w:hAnsiTheme="minorHAnsi" w:cstheme="minorBidi"/>
            <w:noProof/>
            <w:sz w:val="22"/>
            <w:szCs w:val="22"/>
            <w:lang w:eastAsia="es-ES"/>
          </w:rPr>
          <w:tab/>
        </w:r>
        <w:r w:rsidR="00F61DE8" w:rsidRPr="00EC50D0">
          <w:rPr>
            <w:rStyle w:val="Hipervnculo"/>
            <w:noProof/>
            <w:lang w:val="es-ES_tradnl"/>
          </w:rPr>
          <w:t>Un 45% de las personas proceden del desempleo</w:t>
        </w:r>
        <w:r w:rsidR="00F61DE8">
          <w:rPr>
            <w:noProof/>
            <w:webHidden/>
          </w:rPr>
          <w:tab/>
        </w:r>
        <w:r>
          <w:rPr>
            <w:noProof/>
            <w:webHidden/>
          </w:rPr>
          <w:fldChar w:fldCharType="begin"/>
        </w:r>
        <w:r w:rsidR="00F61DE8">
          <w:rPr>
            <w:noProof/>
            <w:webHidden/>
          </w:rPr>
          <w:instrText xml:space="preserve"> PAGEREF _Toc352773562 \h </w:instrText>
        </w:r>
        <w:r>
          <w:rPr>
            <w:noProof/>
            <w:webHidden/>
          </w:rPr>
        </w:r>
        <w:r>
          <w:rPr>
            <w:noProof/>
            <w:webHidden/>
          </w:rPr>
          <w:fldChar w:fldCharType="separate"/>
        </w:r>
        <w:r w:rsidR="00F61DE8">
          <w:rPr>
            <w:noProof/>
            <w:webHidden/>
          </w:rPr>
          <w:t>91</w:t>
        </w:r>
        <w:r>
          <w:rPr>
            <w:noProof/>
            <w:webHidden/>
          </w:rPr>
          <w:fldChar w:fldCharType="end"/>
        </w:r>
      </w:hyperlink>
    </w:p>
    <w:p w:rsidR="00F61DE8" w:rsidRDefault="009154AB">
      <w:pPr>
        <w:pStyle w:val="TDC3"/>
        <w:rPr>
          <w:rFonts w:asciiTheme="minorHAnsi" w:eastAsiaTheme="minorEastAsia" w:hAnsiTheme="minorHAnsi" w:cstheme="minorBidi"/>
          <w:noProof/>
          <w:sz w:val="22"/>
          <w:szCs w:val="22"/>
          <w:lang w:eastAsia="es-ES"/>
        </w:rPr>
      </w:pPr>
      <w:hyperlink w:anchor="_Toc352773563" w:history="1">
        <w:r w:rsidR="00F61DE8" w:rsidRPr="00EC50D0">
          <w:rPr>
            <w:rStyle w:val="Hipervnculo"/>
            <w:noProof/>
            <w:lang w:val="es-ES_tradnl"/>
          </w:rPr>
          <w:t>7.2.5</w:t>
        </w:r>
        <w:r w:rsidR="00F61DE8">
          <w:rPr>
            <w:rFonts w:asciiTheme="minorHAnsi" w:eastAsiaTheme="minorEastAsia" w:hAnsiTheme="minorHAnsi" w:cstheme="minorBidi"/>
            <w:noProof/>
            <w:sz w:val="22"/>
            <w:szCs w:val="22"/>
            <w:lang w:eastAsia="es-ES"/>
          </w:rPr>
          <w:tab/>
        </w:r>
        <w:r w:rsidR="00F61DE8" w:rsidRPr="00EC50D0">
          <w:rPr>
            <w:rStyle w:val="Hipervnculo"/>
            <w:noProof/>
            <w:lang w:val="es-ES_tradnl"/>
          </w:rPr>
          <w:t>El salario y el deseo de aprender, las principales motivaciones al cambio</w:t>
        </w:r>
        <w:r w:rsidR="00F61DE8">
          <w:rPr>
            <w:noProof/>
            <w:webHidden/>
          </w:rPr>
          <w:tab/>
        </w:r>
        <w:r>
          <w:rPr>
            <w:noProof/>
            <w:webHidden/>
          </w:rPr>
          <w:fldChar w:fldCharType="begin"/>
        </w:r>
        <w:r w:rsidR="00F61DE8">
          <w:rPr>
            <w:noProof/>
            <w:webHidden/>
          </w:rPr>
          <w:instrText xml:space="preserve"> PAGEREF _Toc352773563 \h </w:instrText>
        </w:r>
        <w:r>
          <w:rPr>
            <w:noProof/>
            <w:webHidden/>
          </w:rPr>
        </w:r>
        <w:r>
          <w:rPr>
            <w:noProof/>
            <w:webHidden/>
          </w:rPr>
          <w:fldChar w:fldCharType="separate"/>
        </w:r>
        <w:r w:rsidR="00F61DE8">
          <w:rPr>
            <w:noProof/>
            <w:webHidden/>
          </w:rPr>
          <w:t>92</w:t>
        </w:r>
        <w:r>
          <w:rPr>
            <w:noProof/>
            <w:webHidden/>
          </w:rPr>
          <w:fldChar w:fldCharType="end"/>
        </w:r>
      </w:hyperlink>
    </w:p>
    <w:p w:rsidR="00F61DE8" w:rsidRDefault="009154AB">
      <w:pPr>
        <w:pStyle w:val="TDC3"/>
        <w:rPr>
          <w:rFonts w:asciiTheme="minorHAnsi" w:eastAsiaTheme="minorEastAsia" w:hAnsiTheme="minorHAnsi" w:cstheme="minorBidi"/>
          <w:noProof/>
          <w:sz w:val="22"/>
          <w:szCs w:val="22"/>
          <w:lang w:eastAsia="es-ES"/>
        </w:rPr>
      </w:pPr>
      <w:hyperlink w:anchor="_Toc352773564" w:history="1">
        <w:r w:rsidR="00F61DE8" w:rsidRPr="00EC50D0">
          <w:rPr>
            <w:rStyle w:val="Hipervnculo"/>
            <w:noProof/>
            <w:lang w:val="es-ES_tradnl"/>
          </w:rPr>
          <w:t>7.2.6</w:t>
        </w:r>
        <w:r w:rsidR="00F61DE8">
          <w:rPr>
            <w:rFonts w:asciiTheme="minorHAnsi" w:eastAsiaTheme="minorEastAsia" w:hAnsiTheme="minorHAnsi" w:cstheme="minorBidi"/>
            <w:noProof/>
            <w:sz w:val="22"/>
            <w:szCs w:val="22"/>
            <w:lang w:eastAsia="es-ES"/>
          </w:rPr>
          <w:tab/>
        </w:r>
        <w:r w:rsidR="00F61DE8" w:rsidRPr="00EC50D0">
          <w:rPr>
            <w:rStyle w:val="Hipervnculo"/>
            <w:noProof/>
            <w:lang w:val="es-ES_tradnl"/>
          </w:rPr>
          <w:t>Un salario insuficiente</w:t>
        </w:r>
        <w:r w:rsidR="00F61DE8">
          <w:rPr>
            <w:noProof/>
            <w:webHidden/>
          </w:rPr>
          <w:tab/>
        </w:r>
        <w:r>
          <w:rPr>
            <w:noProof/>
            <w:webHidden/>
          </w:rPr>
          <w:fldChar w:fldCharType="begin"/>
        </w:r>
        <w:r w:rsidR="00F61DE8">
          <w:rPr>
            <w:noProof/>
            <w:webHidden/>
          </w:rPr>
          <w:instrText xml:space="preserve"> PAGEREF _Toc352773564 \h </w:instrText>
        </w:r>
        <w:r>
          <w:rPr>
            <w:noProof/>
            <w:webHidden/>
          </w:rPr>
        </w:r>
        <w:r>
          <w:rPr>
            <w:noProof/>
            <w:webHidden/>
          </w:rPr>
          <w:fldChar w:fldCharType="separate"/>
        </w:r>
        <w:r w:rsidR="00F61DE8">
          <w:rPr>
            <w:noProof/>
            <w:webHidden/>
          </w:rPr>
          <w:t>93</w:t>
        </w:r>
        <w:r>
          <w:rPr>
            <w:noProof/>
            <w:webHidden/>
          </w:rPr>
          <w:fldChar w:fldCharType="end"/>
        </w:r>
      </w:hyperlink>
    </w:p>
    <w:p w:rsidR="00F61DE8" w:rsidRDefault="009154AB">
      <w:pPr>
        <w:pStyle w:val="TDC3"/>
        <w:rPr>
          <w:rFonts w:asciiTheme="minorHAnsi" w:eastAsiaTheme="minorEastAsia" w:hAnsiTheme="minorHAnsi" w:cstheme="minorBidi"/>
          <w:noProof/>
          <w:sz w:val="22"/>
          <w:szCs w:val="22"/>
          <w:lang w:eastAsia="es-ES"/>
        </w:rPr>
      </w:pPr>
      <w:hyperlink w:anchor="_Toc352773565" w:history="1">
        <w:r w:rsidR="00F61DE8" w:rsidRPr="00EC50D0">
          <w:rPr>
            <w:rStyle w:val="Hipervnculo"/>
            <w:noProof/>
            <w:lang w:val="es-ES_tradnl"/>
          </w:rPr>
          <w:t>7.2.7</w:t>
        </w:r>
        <w:r w:rsidR="00F61DE8">
          <w:rPr>
            <w:rFonts w:asciiTheme="minorHAnsi" w:eastAsiaTheme="minorEastAsia" w:hAnsiTheme="minorHAnsi" w:cstheme="minorBidi"/>
            <w:noProof/>
            <w:sz w:val="22"/>
            <w:szCs w:val="22"/>
            <w:lang w:eastAsia="es-ES"/>
          </w:rPr>
          <w:tab/>
        </w:r>
        <w:r w:rsidR="00F61DE8" w:rsidRPr="00EC50D0">
          <w:rPr>
            <w:rStyle w:val="Hipervnculo"/>
            <w:noProof/>
            <w:lang w:val="es-ES_tradnl"/>
          </w:rPr>
          <w:t>La importancia del transporte</w:t>
        </w:r>
        <w:r w:rsidR="00F61DE8">
          <w:rPr>
            <w:noProof/>
            <w:webHidden/>
          </w:rPr>
          <w:tab/>
        </w:r>
        <w:r>
          <w:rPr>
            <w:noProof/>
            <w:webHidden/>
          </w:rPr>
          <w:fldChar w:fldCharType="begin"/>
        </w:r>
        <w:r w:rsidR="00F61DE8">
          <w:rPr>
            <w:noProof/>
            <w:webHidden/>
          </w:rPr>
          <w:instrText xml:space="preserve"> PAGEREF _Toc352773565 \h </w:instrText>
        </w:r>
        <w:r>
          <w:rPr>
            <w:noProof/>
            <w:webHidden/>
          </w:rPr>
        </w:r>
        <w:r>
          <w:rPr>
            <w:noProof/>
            <w:webHidden/>
          </w:rPr>
          <w:fldChar w:fldCharType="separate"/>
        </w:r>
        <w:r w:rsidR="00F61DE8">
          <w:rPr>
            <w:noProof/>
            <w:webHidden/>
          </w:rPr>
          <w:t>95</w:t>
        </w:r>
        <w:r>
          <w:rPr>
            <w:noProof/>
            <w:webHidden/>
          </w:rPr>
          <w:fldChar w:fldCharType="end"/>
        </w:r>
      </w:hyperlink>
    </w:p>
    <w:p w:rsidR="00F61DE8" w:rsidRDefault="009154AB">
      <w:pPr>
        <w:pStyle w:val="TDC3"/>
        <w:rPr>
          <w:rFonts w:asciiTheme="minorHAnsi" w:eastAsiaTheme="minorEastAsia" w:hAnsiTheme="minorHAnsi" w:cstheme="minorBidi"/>
          <w:noProof/>
          <w:sz w:val="22"/>
          <w:szCs w:val="22"/>
          <w:lang w:eastAsia="es-ES"/>
        </w:rPr>
      </w:pPr>
      <w:hyperlink w:anchor="_Toc352773566" w:history="1">
        <w:r w:rsidR="00F61DE8" w:rsidRPr="00EC50D0">
          <w:rPr>
            <w:rStyle w:val="Hipervnculo"/>
            <w:noProof/>
            <w:lang w:val="es-ES_tradnl"/>
          </w:rPr>
          <w:t>7.2.8</w:t>
        </w:r>
        <w:r w:rsidR="00F61DE8">
          <w:rPr>
            <w:rFonts w:asciiTheme="minorHAnsi" w:eastAsiaTheme="minorEastAsia" w:hAnsiTheme="minorHAnsi" w:cstheme="minorBidi"/>
            <w:noProof/>
            <w:sz w:val="22"/>
            <w:szCs w:val="22"/>
            <w:lang w:eastAsia="es-ES"/>
          </w:rPr>
          <w:tab/>
        </w:r>
        <w:r w:rsidR="00F61DE8" w:rsidRPr="00EC50D0">
          <w:rPr>
            <w:rStyle w:val="Hipervnculo"/>
            <w:noProof/>
            <w:lang w:val="es-ES_tradnl"/>
          </w:rPr>
          <w:t>Autonomía, autoestima y el buen clima laboral, las principales motivaciones que aporta el trabajo</w:t>
        </w:r>
        <w:r w:rsidR="00F61DE8">
          <w:rPr>
            <w:noProof/>
            <w:webHidden/>
          </w:rPr>
          <w:tab/>
        </w:r>
        <w:r>
          <w:rPr>
            <w:noProof/>
            <w:webHidden/>
          </w:rPr>
          <w:fldChar w:fldCharType="begin"/>
        </w:r>
        <w:r w:rsidR="00F61DE8">
          <w:rPr>
            <w:noProof/>
            <w:webHidden/>
          </w:rPr>
          <w:instrText xml:space="preserve"> PAGEREF _Toc352773566 \h </w:instrText>
        </w:r>
        <w:r>
          <w:rPr>
            <w:noProof/>
            <w:webHidden/>
          </w:rPr>
        </w:r>
        <w:r>
          <w:rPr>
            <w:noProof/>
            <w:webHidden/>
          </w:rPr>
          <w:fldChar w:fldCharType="separate"/>
        </w:r>
        <w:r w:rsidR="00F61DE8">
          <w:rPr>
            <w:noProof/>
            <w:webHidden/>
          </w:rPr>
          <w:t>95</w:t>
        </w:r>
        <w:r>
          <w:rPr>
            <w:noProof/>
            <w:webHidden/>
          </w:rPr>
          <w:fldChar w:fldCharType="end"/>
        </w:r>
      </w:hyperlink>
    </w:p>
    <w:p w:rsidR="00F61DE8" w:rsidRDefault="009154AB">
      <w:pPr>
        <w:pStyle w:val="TDC2"/>
        <w:rPr>
          <w:rFonts w:asciiTheme="minorHAnsi" w:eastAsiaTheme="minorEastAsia" w:hAnsiTheme="minorHAnsi" w:cstheme="minorBidi"/>
          <w:noProof/>
          <w:sz w:val="22"/>
          <w:szCs w:val="22"/>
          <w:lang w:eastAsia="es-ES"/>
        </w:rPr>
      </w:pPr>
      <w:hyperlink w:anchor="_Toc352773567" w:history="1">
        <w:r w:rsidR="00F61DE8" w:rsidRPr="00EC50D0">
          <w:rPr>
            <w:rStyle w:val="Hipervnculo"/>
            <w:rFonts w:ascii="MinionPro-Regular" w:hAnsi="MinionPro-Regular"/>
            <w:noProof/>
            <w:lang w:val="es-ES_tradnl"/>
          </w:rPr>
          <w:t>7.3</w:t>
        </w:r>
        <w:r w:rsidR="00F61DE8">
          <w:rPr>
            <w:rFonts w:asciiTheme="minorHAnsi" w:eastAsiaTheme="minorEastAsia" w:hAnsiTheme="minorHAnsi" w:cstheme="minorBidi"/>
            <w:noProof/>
            <w:sz w:val="22"/>
            <w:szCs w:val="22"/>
            <w:lang w:eastAsia="es-ES"/>
          </w:rPr>
          <w:tab/>
        </w:r>
        <w:r w:rsidR="00F61DE8" w:rsidRPr="00EC50D0">
          <w:rPr>
            <w:rStyle w:val="Hipervnculo"/>
            <w:noProof/>
            <w:lang w:val="es-ES_tradnl"/>
          </w:rPr>
          <w:t>La opinión de los gestores de centros especiales de empleo</w:t>
        </w:r>
        <w:r w:rsidR="00F61DE8">
          <w:rPr>
            <w:noProof/>
            <w:webHidden/>
          </w:rPr>
          <w:tab/>
        </w:r>
        <w:r>
          <w:rPr>
            <w:noProof/>
            <w:webHidden/>
          </w:rPr>
          <w:fldChar w:fldCharType="begin"/>
        </w:r>
        <w:r w:rsidR="00F61DE8">
          <w:rPr>
            <w:noProof/>
            <w:webHidden/>
          </w:rPr>
          <w:instrText xml:space="preserve"> PAGEREF _Toc352773567 \h </w:instrText>
        </w:r>
        <w:r>
          <w:rPr>
            <w:noProof/>
            <w:webHidden/>
          </w:rPr>
        </w:r>
        <w:r>
          <w:rPr>
            <w:noProof/>
            <w:webHidden/>
          </w:rPr>
          <w:fldChar w:fldCharType="separate"/>
        </w:r>
        <w:r w:rsidR="00F61DE8">
          <w:rPr>
            <w:noProof/>
            <w:webHidden/>
          </w:rPr>
          <w:t>97</w:t>
        </w:r>
        <w:r>
          <w:rPr>
            <w:noProof/>
            <w:webHidden/>
          </w:rPr>
          <w:fldChar w:fldCharType="end"/>
        </w:r>
      </w:hyperlink>
    </w:p>
    <w:p w:rsidR="00F61DE8" w:rsidRDefault="009154AB">
      <w:pPr>
        <w:pStyle w:val="TDC1"/>
        <w:rPr>
          <w:rFonts w:asciiTheme="minorHAnsi" w:eastAsiaTheme="minorEastAsia" w:hAnsiTheme="minorHAnsi" w:cstheme="minorBidi"/>
          <w:noProof/>
          <w:sz w:val="22"/>
          <w:szCs w:val="22"/>
          <w:lang w:eastAsia="es-ES"/>
        </w:rPr>
      </w:pPr>
      <w:hyperlink w:anchor="_Toc352773568" w:history="1">
        <w:r w:rsidR="00F61DE8" w:rsidRPr="00EC50D0">
          <w:rPr>
            <w:rStyle w:val="Hipervnculo"/>
            <w:noProof/>
            <w:lang w:val="es-ES_tradnl"/>
          </w:rPr>
          <w:t>8</w:t>
        </w:r>
        <w:r w:rsidR="00F61DE8">
          <w:rPr>
            <w:rFonts w:asciiTheme="minorHAnsi" w:eastAsiaTheme="minorEastAsia" w:hAnsiTheme="minorHAnsi" w:cstheme="minorBidi"/>
            <w:noProof/>
            <w:sz w:val="22"/>
            <w:szCs w:val="22"/>
            <w:lang w:eastAsia="es-ES"/>
          </w:rPr>
          <w:tab/>
        </w:r>
        <w:r w:rsidR="00F61DE8" w:rsidRPr="00EC50D0">
          <w:rPr>
            <w:rStyle w:val="Hipervnculo"/>
            <w:noProof/>
            <w:lang w:val="es-ES_tradnl"/>
          </w:rPr>
          <w:t>Los modelos distintos al español</w:t>
        </w:r>
        <w:r w:rsidR="00F61DE8">
          <w:rPr>
            <w:noProof/>
            <w:webHidden/>
          </w:rPr>
          <w:tab/>
        </w:r>
        <w:r>
          <w:rPr>
            <w:noProof/>
            <w:webHidden/>
          </w:rPr>
          <w:fldChar w:fldCharType="begin"/>
        </w:r>
        <w:r w:rsidR="00F61DE8">
          <w:rPr>
            <w:noProof/>
            <w:webHidden/>
          </w:rPr>
          <w:instrText xml:space="preserve"> PAGEREF _Toc352773568 \h </w:instrText>
        </w:r>
        <w:r>
          <w:rPr>
            <w:noProof/>
            <w:webHidden/>
          </w:rPr>
        </w:r>
        <w:r>
          <w:rPr>
            <w:noProof/>
            <w:webHidden/>
          </w:rPr>
          <w:fldChar w:fldCharType="separate"/>
        </w:r>
        <w:r w:rsidR="00F61DE8">
          <w:rPr>
            <w:noProof/>
            <w:webHidden/>
          </w:rPr>
          <w:t>107</w:t>
        </w:r>
        <w:r>
          <w:rPr>
            <w:noProof/>
            <w:webHidden/>
          </w:rPr>
          <w:fldChar w:fldCharType="end"/>
        </w:r>
      </w:hyperlink>
    </w:p>
    <w:p w:rsidR="00F61DE8" w:rsidRDefault="009154AB">
      <w:pPr>
        <w:pStyle w:val="TDC2"/>
        <w:rPr>
          <w:rFonts w:asciiTheme="minorHAnsi" w:eastAsiaTheme="minorEastAsia" w:hAnsiTheme="minorHAnsi" w:cstheme="minorBidi"/>
          <w:noProof/>
          <w:sz w:val="22"/>
          <w:szCs w:val="22"/>
          <w:lang w:eastAsia="es-ES"/>
        </w:rPr>
      </w:pPr>
      <w:hyperlink w:anchor="_Toc352773569" w:history="1">
        <w:r w:rsidR="00F61DE8" w:rsidRPr="00EC50D0">
          <w:rPr>
            <w:rStyle w:val="Hipervnculo"/>
            <w:rFonts w:ascii="MinionPro-Regular" w:hAnsi="MinionPro-Regular"/>
            <w:noProof/>
            <w:lang w:val="es-ES_tradnl"/>
          </w:rPr>
          <w:t>8.1</w:t>
        </w:r>
        <w:r w:rsidR="00F61DE8">
          <w:rPr>
            <w:rFonts w:asciiTheme="minorHAnsi" w:eastAsiaTheme="minorEastAsia" w:hAnsiTheme="minorHAnsi" w:cstheme="minorBidi"/>
            <w:noProof/>
            <w:sz w:val="22"/>
            <w:szCs w:val="22"/>
            <w:lang w:eastAsia="es-ES"/>
          </w:rPr>
          <w:tab/>
        </w:r>
        <w:r w:rsidR="00F61DE8" w:rsidRPr="00EC50D0">
          <w:rPr>
            <w:rStyle w:val="Hipervnculo"/>
            <w:rFonts w:ascii="MinionPro-Regular" w:hAnsi="MinionPro-Regular"/>
            <w:noProof/>
            <w:lang w:val="es-ES_tradnl"/>
          </w:rPr>
          <w:t>La calidad de las políticas de integración no es homogénea</w:t>
        </w:r>
        <w:r w:rsidR="00F61DE8">
          <w:rPr>
            <w:noProof/>
            <w:webHidden/>
          </w:rPr>
          <w:tab/>
        </w:r>
        <w:r>
          <w:rPr>
            <w:noProof/>
            <w:webHidden/>
          </w:rPr>
          <w:fldChar w:fldCharType="begin"/>
        </w:r>
        <w:r w:rsidR="00F61DE8">
          <w:rPr>
            <w:noProof/>
            <w:webHidden/>
          </w:rPr>
          <w:instrText xml:space="preserve"> PAGEREF _Toc352773569 \h </w:instrText>
        </w:r>
        <w:r>
          <w:rPr>
            <w:noProof/>
            <w:webHidden/>
          </w:rPr>
        </w:r>
        <w:r>
          <w:rPr>
            <w:noProof/>
            <w:webHidden/>
          </w:rPr>
          <w:fldChar w:fldCharType="separate"/>
        </w:r>
        <w:r w:rsidR="00F61DE8">
          <w:rPr>
            <w:noProof/>
            <w:webHidden/>
          </w:rPr>
          <w:t>107</w:t>
        </w:r>
        <w:r>
          <w:rPr>
            <w:noProof/>
            <w:webHidden/>
          </w:rPr>
          <w:fldChar w:fldCharType="end"/>
        </w:r>
      </w:hyperlink>
    </w:p>
    <w:p w:rsidR="00F61DE8" w:rsidRDefault="009154AB">
      <w:pPr>
        <w:pStyle w:val="TDC2"/>
        <w:rPr>
          <w:rFonts w:asciiTheme="minorHAnsi" w:eastAsiaTheme="minorEastAsia" w:hAnsiTheme="minorHAnsi" w:cstheme="minorBidi"/>
          <w:noProof/>
          <w:sz w:val="22"/>
          <w:szCs w:val="22"/>
          <w:lang w:eastAsia="es-ES"/>
        </w:rPr>
      </w:pPr>
      <w:hyperlink w:anchor="_Toc352773570" w:history="1">
        <w:r w:rsidR="00F61DE8" w:rsidRPr="00EC50D0">
          <w:rPr>
            <w:rStyle w:val="Hipervnculo"/>
            <w:rFonts w:ascii="MinionPro-Regular" w:hAnsi="MinionPro-Regular"/>
            <w:noProof/>
            <w:lang w:val="es-ES_tradnl"/>
          </w:rPr>
          <w:t>8.2</w:t>
        </w:r>
        <w:r w:rsidR="00F61DE8">
          <w:rPr>
            <w:rFonts w:asciiTheme="minorHAnsi" w:eastAsiaTheme="minorEastAsia" w:hAnsiTheme="minorHAnsi" w:cstheme="minorBidi"/>
            <w:noProof/>
            <w:sz w:val="22"/>
            <w:szCs w:val="22"/>
            <w:lang w:eastAsia="es-ES"/>
          </w:rPr>
          <w:tab/>
        </w:r>
        <w:r w:rsidR="00F61DE8" w:rsidRPr="00EC50D0">
          <w:rPr>
            <w:rStyle w:val="Hipervnculo"/>
            <w:rFonts w:ascii="MinionPro-Regular" w:hAnsi="MinionPro-Regular"/>
            <w:noProof/>
            <w:lang w:val="es-ES_tradnl"/>
          </w:rPr>
          <w:t>Diferentes consideraciones sobre la definición de discapacidad</w:t>
        </w:r>
        <w:r w:rsidR="00F61DE8">
          <w:rPr>
            <w:noProof/>
            <w:webHidden/>
          </w:rPr>
          <w:tab/>
        </w:r>
        <w:r>
          <w:rPr>
            <w:noProof/>
            <w:webHidden/>
          </w:rPr>
          <w:fldChar w:fldCharType="begin"/>
        </w:r>
        <w:r w:rsidR="00F61DE8">
          <w:rPr>
            <w:noProof/>
            <w:webHidden/>
          </w:rPr>
          <w:instrText xml:space="preserve"> PAGEREF _Toc352773570 \h </w:instrText>
        </w:r>
        <w:r>
          <w:rPr>
            <w:noProof/>
            <w:webHidden/>
          </w:rPr>
        </w:r>
        <w:r>
          <w:rPr>
            <w:noProof/>
            <w:webHidden/>
          </w:rPr>
          <w:fldChar w:fldCharType="separate"/>
        </w:r>
        <w:r w:rsidR="00F61DE8">
          <w:rPr>
            <w:noProof/>
            <w:webHidden/>
          </w:rPr>
          <w:t>109</w:t>
        </w:r>
        <w:r>
          <w:rPr>
            <w:noProof/>
            <w:webHidden/>
          </w:rPr>
          <w:fldChar w:fldCharType="end"/>
        </w:r>
      </w:hyperlink>
    </w:p>
    <w:p w:rsidR="00F61DE8" w:rsidRDefault="009154AB">
      <w:pPr>
        <w:pStyle w:val="TDC2"/>
        <w:rPr>
          <w:rFonts w:asciiTheme="minorHAnsi" w:eastAsiaTheme="minorEastAsia" w:hAnsiTheme="minorHAnsi" w:cstheme="minorBidi"/>
          <w:noProof/>
          <w:sz w:val="22"/>
          <w:szCs w:val="22"/>
          <w:lang w:eastAsia="es-ES"/>
        </w:rPr>
      </w:pPr>
      <w:hyperlink w:anchor="_Toc352773571" w:history="1">
        <w:r w:rsidR="00F61DE8" w:rsidRPr="00EC50D0">
          <w:rPr>
            <w:rStyle w:val="Hipervnculo"/>
            <w:rFonts w:ascii="MinionPro-Regular" w:hAnsi="MinionPro-Regular"/>
            <w:noProof/>
            <w:lang w:val="es-ES_tradnl"/>
          </w:rPr>
          <w:t>8.3</w:t>
        </w:r>
        <w:r w:rsidR="00F61DE8">
          <w:rPr>
            <w:rFonts w:asciiTheme="minorHAnsi" w:eastAsiaTheme="minorEastAsia" w:hAnsiTheme="minorHAnsi" w:cstheme="minorBidi"/>
            <w:noProof/>
            <w:sz w:val="22"/>
            <w:szCs w:val="22"/>
            <w:lang w:eastAsia="es-ES"/>
          </w:rPr>
          <w:tab/>
        </w:r>
        <w:r w:rsidR="00F61DE8" w:rsidRPr="00EC50D0">
          <w:rPr>
            <w:rStyle w:val="Hipervnculo"/>
            <w:rFonts w:ascii="MinionPro-Regular" w:hAnsi="MinionPro-Regular"/>
            <w:noProof/>
            <w:lang w:val="es-ES_tradnl"/>
          </w:rPr>
          <w:t>La tasa de discapacidad disminuye al relacionarla con la empleabilidad</w:t>
        </w:r>
        <w:r w:rsidR="00F61DE8">
          <w:rPr>
            <w:noProof/>
            <w:webHidden/>
          </w:rPr>
          <w:tab/>
        </w:r>
        <w:r>
          <w:rPr>
            <w:noProof/>
            <w:webHidden/>
          </w:rPr>
          <w:fldChar w:fldCharType="begin"/>
        </w:r>
        <w:r w:rsidR="00F61DE8">
          <w:rPr>
            <w:noProof/>
            <w:webHidden/>
          </w:rPr>
          <w:instrText xml:space="preserve"> PAGEREF _Toc352773571 \h </w:instrText>
        </w:r>
        <w:r>
          <w:rPr>
            <w:noProof/>
            <w:webHidden/>
          </w:rPr>
        </w:r>
        <w:r>
          <w:rPr>
            <w:noProof/>
            <w:webHidden/>
          </w:rPr>
          <w:fldChar w:fldCharType="separate"/>
        </w:r>
        <w:r w:rsidR="00F61DE8">
          <w:rPr>
            <w:noProof/>
            <w:webHidden/>
          </w:rPr>
          <w:t>112</w:t>
        </w:r>
        <w:r>
          <w:rPr>
            <w:noProof/>
            <w:webHidden/>
          </w:rPr>
          <w:fldChar w:fldCharType="end"/>
        </w:r>
      </w:hyperlink>
    </w:p>
    <w:p w:rsidR="00F61DE8" w:rsidRDefault="009154AB">
      <w:pPr>
        <w:pStyle w:val="TDC2"/>
        <w:rPr>
          <w:rFonts w:asciiTheme="minorHAnsi" w:eastAsiaTheme="minorEastAsia" w:hAnsiTheme="minorHAnsi" w:cstheme="minorBidi"/>
          <w:noProof/>
          <w:sz w:val="22"/>
          <w:szCs w:val="22"/>
          <w:lang w:eastAsia="es-ES"/>
        </w:rPr>
      </w:pPr>
      <w:hyperlink w:anchor="_Toc352773572" w:history="1">
        <w:r w:rsidR="00F61DE8" w:rsidRPr="00EC50D0">
          <w:rPr>
            <w:rStyle w:val="Hipervnculo"/>
            <w:rFonts w:ascii="MinionPro-Regular" w:hAnsi="MinionPro-Regular"/>
            <w:noProof/>
            <w:lang w:val="es-ES_tradnl"/>
          </w:rPr>
          <w:t>8.4</w:t>
        </w:r>
        <w:r w:rsidR="00F61DE8">
          <w:rPr>
            <w:rFonts w:asciiTheme="minorHAnsi" w:eastAsiaTheme="minorEastAsia" w:hAnsiTheme="minorHAnsi" w:cstheme="minorBidi"/>
            <w:noProof/>
            <w:sz w:val="22"/>
            <w:szCs w:val="22"/>
            <w:lang w:eastAsia="es-ES"/>
          </w:rPr>
          <w:tab/>
        </w:r>
        <w:r w:rsidR="00F61DE8" w:rsidRPr="00EC50D0">
          <w:rPr>
            <w:rStyle w:val="Hipervnculo"/>
            <w:rFonts w:ascii="MinionPro-Regular" w:hAnsi="MinionPro-Regular"/>
            <w:noProof/>
            <w:lang w:val="es-ES_tradnl"/>
          </w:rPr>
          <w:t>Existen notables desigualdades en el nivel de empleo en función del país</w:t>
        </w:r>
        <w:r w:rsidR="00F61DE8">
          <w:rPr>
            <w:noProof/>
            <w:webHidden/>
          </w:rPr>
          <w:tab/>
        </w:r>
        <w:r>
          <w:rPr>
            <w:noProof/>
            <w:webHidden/>
          </w:rPr>
          <w:fldChar w:fldCharType="begin"/>
        </w:r>
        <w:r w:rsidR="00F61DE8">
          <w:rPr>
            <w:noProof/>
            <w:webHidden/>
          </w:rPr>
          <w:instrText xml:space="preserve"> PAGEREF _Toc352773572 \h </w:instrText>
        </w:r>
        <w:r>
          <w:rPr>
            <w:noProof/>
            <w:webHidden/>
          </w:rPr>
        </w:r>
        <w:r>
          <w:rPr>
            <w:noProof/>
            <w:webHidden/>
          </w:rPr>
          <w:fldChar w:fldCharType="separate"/>
        </w:r>
        <w:r w:rsidR="00F61DE8">
          <w:rPr>
            <w:noProof/>
            <w:webHidden/>
          </w:rPr>
          <w:t>113</w:t>
        </w:r>
        <w:r>
          <w:rPr>
            <w:noProof/>
            <w:webHidden/>
          </w:rPr>
          <w:fldChar w:fldCharType="end"/>
        </w:r>
      </w:hyperlink>
    </w:p>
    <w:p w:rsidR="00F61DE8" w:rsidRDefault="009154AB">
      <w:pPr>
        <w:pStyle w:val="TDC3"/>
        <w:rPr>
          <w:rFonts w:asciiTheme="minorHAnsi" w:eastAsiaTheme="minorEastAsia" w:hAnsiTheme="minorHAnsi" w:cstheme="minorBidi"/>
          <w:noProof/>
          <w:sz w:val="22"/>
          <w:szCs w:val="22"/>
          <w:lang w:eastAsia="es-ES"/>
        </w:rPr>
      </w:pPr>
      <w:hyperlink w:anchor="_Toc352773573" w:history="1">
        <w:r w:rsidR="00F61DE8" w:rsidRPr="00EC50D0">
          <w:rPr>
            <w:rStyle w:val="Hipervnculo"/>
            <w:noProof/>
            <w:lang w:val="es-ES_tradnl"/>
          </w:rPr>
          <w:t>8.4.1</w:t>
        </w:r>
        <w:r w:rsidR="00F61DE8">
          <w:rPr>
            <w:rFonts w:asciiTheme="minorHAnsi" w:eastAsiaTheme="minorEastAsia" w:hAnsiTheme="minorHAnsi" w:cstheme="minorBidi"/>
            <w:noProof/>
            <w:sz w:val="22"/>
            <w:szCs w:val="22"/>
            <w:lang w:eastAsia="es-ES"/>
          </w:rPr>
          <w:tab/>
        </w:r>
        <w:r w:rsidR="00F61DE8" w:rsidRPr="00EC50D0">
          <w:rPr>
            <w:rStyle w:val="Hipervnculo"/>
            <w:noProof/>
            <w:lang w:val="es-ES_tradnl"/>
          </w:rPr>
          <w:t>La tasa española de fracaso escolar entre las personas con discapacidad multiplica por tres la de Suecia</w:t>
        </w:r>
        <w:r w:rsidR="00F61DE8">
          <w:rPr>
            <w:noProof/>
            <w:webHidden/>
          </w:rPr>
          <w:tab/>
        </w:r>
        <w:r>
          <w:rPr>
            <w:noProof/>
            <w:webHidden/>
          </w:rPr>
          <w:fldChar w:fldCharType="begin"/>
        </w:r>
        <w:r w:rsidR="00F61DE8">
          <w:rPr>
            <w:noProof/>
            <w:webHidden/>
          </w:rPr>
          <w:instrText xml:space="preserve"> PAGEREF _Toc352773573 \h </w:instrText>
        </w:r>
        <w:r>
          <w:rPr>
            <w:noProof/>
            <w:webHidden/>
          </w:rPr>
        </w:r>
        <w:r>
          <w:rPr>
            <w:noProof/>
            <w:webHidden/>
          </w:rPr>
          <w:fldChar w:fldCharType="separate"/>
        </w:r>
        <w:r w:rsidR="00F61DE8">
          <w:rPr>
            <w:noProof/>
            <w:webHidden/>
          </w:rPr>
          <w:t>118</w:t>
        </w:r>
        <w:r>
          <w:rPr>
            <w:noProof/>
            <w:webHidden/>
          </w:rPr>
          <w:fldChar w:fldCharType="end"/>
        </w:r>
      </w:hyperlink>
    </w:p>
    <w:p w:rsidR="00F61DE8" w:rsidRDefault="009154AB">
      <w:pPr>
        <w:pStyle w:val="TDC3"/>
        <w:rPr>
          <w:rFonts w:asciiTheme="minorHAnsi" w:eastAsiaTheme="minorEastAsia" w:hAnsiTheme="minorHAnsi" w:cstheme="minorBidi"/>
          <w:noProof/>
          <w:sz w:val="22"/>
          <w:szCs w:val="22"/>
          <w:lang w:eastAsia="es-ES"/>
        </w:rPr>
      </w:pPr>
      <w:hyperlink w:anchor="_Toc352773574" w:history="1">
        <w:r w:rsidR="00F61DE8" w:rsidRPr="00EC50D0">
          <w:rPr>
            <w:rStyle w:val="Hipervnculo"/>
            <w:noProof/>
            <w:lang w:val="es-ES_tradnl"/>
          </w:rPr>
          <w:t>8.4.2</w:t>
        </w:r>
        <w:r w:rsidR="00F61DE8">
          <w:rPr>
            <w:rFonts w:asciiTheme="minorHAnsi" w:eastAsiaTheme="minorEastAsia" w:hAnsiTheme="minorHAnsi" w:cstheme="minorBidi"/>
            <w:noProof/>
            <w:sz w:val="22"/>
            <w:szCs w:val="22"/>
            <w:lang w:eastAsia="es-ES"/>
          </w:rPr>
          <w:tab/>
        </w:r>
        <w:r w:rsidR="00F61DE8" w:rsidRPr="00EC50D0">
          <w:rPr>
            <w:rStyle w:val="Hipervnculo"/>
            <w:noProof/>
            <w:lang w:val="es-ES_tradnl"/>
          </w:rPr>
          <w:t>El diferencial del riesgo de pobreza entre las personas con y sin discapacidad es menor en España que en Alemania y Reino Unido.</w:t>
        </w:r>
        <w:r w:rsidR="00F61DE8">
          <w:rPr>
            <w:noProof/>
            <w:webHidden/>
          </w:rPr>
          <w:tab/>
        </w:r>
        <w:r>
          <w:rPr>
            <w:noProof/>
            <w:webHidden/>
          </w:rPr>
          <w:fldChar w:fldCharType="begin"/>
        </w:r>
        <w:r w:rsidR="00F61DE8">
          <w:rPr>
            <w:noProof/>
            <w:webHidden/>
          </w:rPr>
          <w:instrText xml:space="preserve"> PAGEREF _Toc352773574 \h </w:instrText>
        </w:r>
        <w:r>
          <w:rPr>
            <w:noProof/>
            <w:webHidden/>
          </w:rPr>
        </w:r>
        <w:r>
          <w:rPr>
            <w:noProof/>
            <w:webHidden/>
          </w:rPr>
          <w:fldChar w:fldCharType="separate"/>
        </w:r>
        <w:r w:rsidR="00F61DE8">
          <w:rPr>
            <w:noProof/>
            <w:webHidden/>
          </w:rPr>
          <w:t>121</w:t>
        </w:r>
        <w:r>
          <w:rPr>
            <w:noProof/>
            <w:webHidden/>
          </w:rPr>
          <w:fldChar w:fldCharType="end"/>
        </w:r>
      </w:hyperlink>
    </w:p>
    <w:p w:rsidR="00F61DE8" w:rsidRDefault="009154AB">
      <w:pPr>
        <w:pStyle w:val="TDC2"/>
        <w:rPr>
          <w:rFonts w:asciiTheme="minorHAnsi" w:eastAsiaTheme="minorEastAsia" w:hAnsiTheme="minorHAnsi" w:cstheme="minorBidi"/>
          <w:noProof/>
          <w:sz w:val="22"/>
          <w:szCs w:val="22"/>
          <w:lang w:eastAsia="es-ES"/>
        </w:rPr>
      </w:pPr>
      <w:hyperlink w:anchor="_Toc352773575" w:history="1">
        <w:r w:rsidR="00F61DE8" w:rsidRPr="00EC50D0">
          <w:rPr>
            <w:rStyle w:val="Hipervnculo"/>
            <w:rFonts w:ascii="MinionPro-Regular" w:hAnsi="MinionPro-Regular"/>
            <w:strike/>
            <w:noProof/>
            <w:lang w:val="es-ES_tradnl"/>
          </w:rPr>
          <w:t>8.5</w:t>
        </w:r>
        <w:r w:rsidR="00F61DE8">
          <w:rPr>
            <w:rFonts w:asciiTheme="minorHAnsi" w:eastAsiaTheme="minorEastAsia" w:hAnsiTheme="minorHAnsi" w:cstheme="minorBidi"/>
            <w:noProof/>
            <w:sz w:val="22"/>
            <w:szCs w:val="22"/>
            <w:lang w:eastAsia="es-ES"/>
          </w:rPr>
          <w:tab/>
        </w:r>
        <w:r w:rsidR="00F61DE8" w:rsidRPr="00EC50D0">
          <w:rPr>
            <w:rStyle w:val="Hipervnculo"/>
            <w:rFonts w:ascii="MinionPro-Regular" w:hAnsi="MinionPro-Regular"/>
            <w:noProof/>
            <w:lang w:val="es-ES_tradnl"/>
          </w:rPr>
          <w:t>Existen diferentes medidas de discriminación positiva</w:t>
        </w:r>
        <w:r w:rsidR="00F61DE8">
          <w:rPr>
            <w:noProof/>
            <w:webHidden/>
          </w:rPr>
          <w:tab/>
        </w:r>
        <w:r>
          <w:rPr>
            <w:noProof/>
            <w:webHidden/>
          </w:rPr>
          <w:fldChar w:fldCharType="begin"/>
        </w:r>
        <w:r w:rsidR="00F61DE8">
          <w:rPr>
            <w:noProof/>
            <w:webHidden/>
          </w:rPr>
          <w:instrText xml:space="preserve"> PAGEREF _Toc352773575 \h </w:instrText>
        </w:r>
        <w:r>
          <w:rPr>
            <w:noProof/>
            <w:webHidden/>
          </w:rPr>
        </w:r>
        <w:r>
          <w:rPr>
            <w:noProof/>
            <w:webHidden/>
          </w:rPr>
          <w:fldChar w:fldCharType="separate"/>
        </w:r>
        <w:r w:rsidR="00F61DE8">
          <w:rPr>
            <w:noProof/>
            <w:webHidden/>
          </w:rPr>
          <w:t>125</w:t>
        </w:r>
        <w:r>
          <w:rPr>
            <w:noProof/>
            <w:webHidden/>
          </w:rPr>
          <w:fldChar w:fldCharType="end"/>
        </w:r>
      </w:hyperlink>
    </w:p>
    <w:p w:rsidR="00F61DE8" w:rsidRDefault="009154AB">
      <w:pPr>
        <w:pStyle w:val="TDC2"/>
        <w:rPr>
          <w:rFonts w:asciiTheme="minorHAnsi" w:eastAsiaTheme="minorEastAsia" w:hAnsiTheme="minorHAnsi" w:cstheme="minorBidi"/>
          <w:noProof/>
          <w:sz w:val="22"/>
          <w:szCs w:val="22"/>
          <w:lang w:eastAsia="es-ES"/>
        </w:rPr>
      </w:pPr>
      <w:hyperlink w:anchor="_Toc352773576" w:history="1">
        <w:r w:rsidR="00F61DE8" w:rsidRPr="00EC50D0">
          <w:rPr>
            <w:rStyle w:val="Hipervnculo"/>
            <w:rFonts w:ascii="MinionPro-Regular" w:hAnsi="MinionPro-Regular"/>
            <w:noProof/>
            <w:lang w:val="es-ES_tradnl"/>
          </w:rPr>
          <w:t>8.6</w:t>
        </w:r>
        <w:r w:rsidR="00F61DE8">
          <w:rPr>
            <w:rFonts w:asciiTheme="minorHAnsi" w:eastAsiaTheme="minorEastAsia" w:hAnsiTheme="minorHAnsi" w:cstheme="minorBidi"/>
            <w:noProof/>
            <w:sz w:val="22"/>
            <w:szCs w:val="22"/>
            <w:lang w:eastAsia="es-ES"/>
          </w:rPr>
          <w:tab/>
        </w:r>
        <w:r w:rsidR="00F61DE8" w:rsidRPr="00EC50D0">
          <w:rPr>
            <w:rStyle w:val="Hipervnculo"/>
            <w:rFonts w:ascii="MinionPro-Regular" w:hAnsi="MinionPro-Regular"/>
            <w:noProof/>
            <w:lang w:val="es-ES_tradnl"/>
          </w:rPr>
          <w:t>El empleo protegido</w:t>
        </w:r>
        <w:r w:rsidR="00F61DE8">
          <w:rPr>
            <w:noProof/>
            <w:webHidden/>
          </w:rPr>
          <w:tab/>
        </w:r>
        <w:r>
          <w:rPr>
            <w:noProof/>
            <w:webHidden/>
          </w:rPr>
          <w:fldChar w:fldCharType="begin"/>
        </w:r>
        <w:r w:rsidR="00F61DE8">
          <w:rPr>
            <w:noProof/>
            <w:webHidden/>
          </w:rPr>
          <w:instrText xml:space="preserve"> PAGEREF _Toc352773576 \h </w:instrText>
        </w:r>
        <w:r>
          <w:rPr>
            <w:noProof/>
            <w:webHidden/>
          </w:rPr>
        </w:r>
        <w:r>
          <w:rPr>
            <w:noProof/>
            <w:webHidden/>
          </w:rPr>
          <w:fldChar w:fldCharType="separate"/>
        </w:r>
        <w:r w:rsidR="00F61DE8">
          <w:rPr>
            <w:noProof/>
            <w:webHidden/>
          </w:rPr>
          <w:t>129</w:t>
        </w:r>
        <w:r>
          <w:rPr>
            <w:noProof/>
            <w:webHidden/>
          </w:rPr>
          <w:fldChar w:fldCharType="end"/>
        </w:r>
      </w:hyperlink>
    </w:p>
    <w:p w:rsidR="00F61DE8" w:rsidRDefault="009154AB">
      <w:pPr>
        <w:pStyle w:val="TDC2"/>
        <w:rPr>
          <w:rFonts w:asciiTheme="minorHAnsi" w:eastAsiaTheme="minorEastAsia" w:hAnsiTheme="minorHAnsi" w:cstheme="minorBidi"/>
          <w:noProof/>
          <w:sz w:val="22"/>
          <w:szCs w:val="22"/>
          <w:lang w:eastAsia="es-ES"/>
        </w:rPr>
      </w:pPr>
      <w:hyperlink w:anchor="_Toc352773577" w:history="1">
        <w:r w:rsidR="00F61DE8" w:rsidRPr="00EC50D0">
          <w:rPr>
            <w:rStyle w:val="Hipervnculo"/>
            <w:rFonts w:ascii="MinionPro-Regular" w:hAnsi="MinionPro-Regular"/>
            <w:noProof/>
            <w:lang w:val="es-ES_tradnl"/>
          </w:rPr>
          <w:t>8.7</w:t>
        </w:r>
        <w:r w:rsidR="00F61DE8">
          <w:rPr>
            <w:rFonts w:asciiTheme="minorHAnsi" w:eastAsiaTheme="minorEastAsia" w:hAnsiTheme="minorHAnsi" w:cstheme="minorBidi"/>
            <w:noProof/>
            <w:sz w:val="22"/>
            <w:szCs w:val="22"/>
            <w:lang w:eastAsia="es-ES"/>
          </w:rPr>
          <w:tab/>
        </w:r>
        <w:r w:rsidR="00F61DE8" w:rsidRPr="00EC50D0">
          <w:rPr>
            <w:rStyle w:val="Hipervnculo"/>
            <w:rFonts w:ascii="MinionPro-Regular" w:hAnsi="MinionPro-Regular"/>
            <w:noProof/>
            <w:lang w:val="es-ES_tradnl"/>
          </w:rPr>
          <w:t>Programas de apoyo al empleo y ejemplos destacados</w:t>
        </w:r>
        <w:r w:rsidR="00F61DE8">
          <w:rPr>
            <w:noProof/>
            <w:webHidden/>
          </w:rPr>
          <w:tab/>
        </w:r>
        <w:r>
          <w:rPr>
            <w:noProof/>
            <w:webHidden/>
          </w:rPr>
          <w:fldChar w:fldCharType="begin"/>
        </w:r>
        <w:r w:rsidR="00F61DE8">
          <w:rPr>
            <w:noProof/>
            <w:webHidden/>
          </w:rPr>
          <w:instrText xml:space="preserve"> PAGEREF _Toc352773577 \h </w:instrText>
        </w:r>
        <w:r>
          <w:rPr>
            <w:noProof/>
            <w:webHidden/>
          </w:rPr>
        </w:r>
        <w:r>
          <w:rPr>
            <w:noProof/>
            <w:webHidden/>
          </w:rPr>
          <w:fldChar w:fldCharType="separate"/>
        </w:r>
        <w:r w:rsidR="00F61DE8">
          <w:rPr>
            <w:noProof/>
            <w:webHidden/>
          </w:rPr>
          <w:t>134</w:t>
        </w:r>
        <w:r>
          <w:rPr>
            <w:noProof/>
            <w:webHidden/>
          </w:rPr>
          <w:fldChar w:fldCharType="end"/>
        </w:r>
      </w:hyperlink>
    </w:p>
    <w:p w:rsidR="00F61DE8" w:rsidRDefault="009154AB">
      <w:pPr>
        <w:pStyle w:val="TDC2"/>
        <w:rPr>
          <w:rFonts w:asciiTheme="minorHAnsi" w:eastAsiaTheme="minorEastAsia" w:hAnsiTheme="minorHAnsi" w:cstheme="minorBidi"/>
          <w:noProof/>
          <w:sz w:val="22"/>
          <w:szCs w:val="22"/>
          <w:lang w:eastAsia="es-ES"/>
        </w:rPr>
      </w:pPr>
      <w:hyperlink w:anchor="_Toc352773578" w:history="1">
        <w:r w:rsidR="00F61DE8" w:rsidRPr="00EC50D0">
          <w:rPr>
            <w:rStyle w:val="Hipervnculo"/>
            <w:rFonts w:ascii="MinionPro-Regular" w:hAnsi="MinionPro-Regular"/>
            <w:noProof/>
            <w:lang w:val="es-ES_tradnl"/>
          </w:rPr>
          <w:t>8.8</w:t>
        </w:r>
        <w:r w:rsidR="00F61DE8">
          <w:rPr>
            <w:rFonts w:asciiTheme="minorHAnsi" w:eastAsiaTheme="minorEastAsia" w:hAnsiTheme="minorHAnsi" w:cstheme="minorBidi"/>
            <w:noProof/>
            <w:sz w:val="22"/>
            <w:szCs w:val="22"/>
            <w:lang w:eastAsia="es-ES"/>
          </w:rPr>
          <w:tab/>
        </w:r>
        <w:r w:rsidR="00F61DE8" w:rsidRPr="00EC50D0">
          <w:rPr>
            <w:rStyle w:val="Hipervnculo"/>
            <w:rFonts w:ascii="MinionPro-Regular" w:hAnsi="MinionPro-Regular"/>
            <w:noProof/>
            <w:lang w:val="es-ES_tradnl"/>
          </w:rPr>
          <w:t>Ayudas y beneficios para las personas con discapacidad</w:t>
        </w:r>
        <w:r w:rsidR="00F61DE8">
          <w:rPr>
            <w:noProof/>
            <w:webHidden/>
          </w:rPr>
          <w:tab/>
        </w:r>
        <w:r>
          <w:rPr>
            <w:noProof/>
            <w:webHidden/>
          </w:rPr>
          <w:fldChar w:fldCharType="begin"/>
        </w:r>
        <w:r w:rsidR="00F61DE8">
          <w:rPr>
            <w:noProof/>
            <w:webHidden/>
          </w:rPr>
          <w:instrText xml:space="preserve"> PAGEREF _Toc352773578 \h </w:instrText>
        </w:r>
        <w:r>
          <w:rPr>
            <w:noProof/>
            <w:webHidden/>
          </w:rPr>
        </w:r>
        <w:r>
          <w:rPr>
            <w:noProof/>
            <w:webHidden/>
          </w:rPr>
          <w:fldChar w:fldCharType="separate"/>
        </w:r>
        <w:r w:rsidR="00F61DE8">
          <w:rPr>
            <w:noProof/>
            <w:webHidden/>
          </w:rPr>
          <w:t>137</w:t>
        </w:r>
        <w:r>
          <w:rPr>
            <w:noProof/>
            <w:webHidden/>
          </w:rPr>
          <w:fldChar w:fldCharType="end"/>
        </w:r>
      </w:hyperlink>
    </w:p>
    <w:p w:rsidR="00F61DE8" w:rsidRDefault="009154AB">
      <w:pPr>
        <w:pStyle w:val="TDC1"/>
        <w:rPr>
          <w:rFonts w:asciiTheme="minorHAnsi" w:eastAsiaTheme="minorEastAsia" w:hAnsiTheme="minorHAnsi" w:cstheme="minorBidi"/>
          <w:noProof/>
          <w:sz w:val="22"/>
          <w:szCs w:val="22"/>
          <w:lang w:eastAsia="es-ES"/>
        </w:rPr>
      </w:pPr>
      <w:hyperlink w:anchor="_Toc352773579" w:history="1">
        <w:r w:rsidR="00F61DE8" w:rsidRPr="00EC50D0">
          <w:rPr>
            <w:rStyle w:val="Hipervnculo"/>
            <w:rFonts w:ascii="MinionPro-Regular" w:hAnsi="MinionPro-Regular"/>
            <w:strike/>
            <w:noProof/>
            <w:lang w:val="es-ES_tradnl"/>
          </w:rPr>
          <w:t>9</w:t>
        </w:r>
        <w:r w:rsidR="00F61DE8">
          <w:rPr>
            <w:rFonts w:asciiTheme="minorHAnsi" w:eastAsiaTheme="minorEastAsia" w:hAnsiTheme="minorHAnsi" w:cstheme="minorBidi"/>
            <w:noProof/>
            <w:sz w:val="22"/>
            <w:szCs w:val="22"/>
            <w:lang w:eastAsia="es-ES"/>
          </w:rPr>
          <w:tab/>
        </w:r>
        <w:r w:rsidR="00F61DE8" w:rsidRPr="00EC50D0">
          <w:rPr>
            <w:rStyle w:val="Hipervnculo"/>
            <w:rFonts w:ascii="MinionPro-Regular" w:hAnsi="MinionPro-Regular"/>
            <w:noProof/>
            <w:lang w:val="es-ES_tradnl"/>
          </w:rPr>
          <w:t>Impacto de los centros especiales de empleo en España</w:t>
        </w:r>
        <w:r w:rsidR="00F61DE8">
          <w:rPr>
            <w:noProof/>
            <w:webHidden/>
          </w:rPr>
          <w:tab/>
        </w:r>
        <w:r>
          <w:rPr>
            <w:noProof/>
            <w:webHidden/>
          </w:rPr>
          <w:fldChar w:fldCharType="begin"/>
        </w:r>
        <w:r w:rsidR="00F61DE8">
          <w:rPr>
            <w:noProof/>
            <w:webHidden/>
          </w:rPr>
          <w:instrText xml:space="preserve"> PAGEREF _Toc352773579 \h </w:instrText>
        </w:r>
        <w:r>
          <w:rPr>
            <w:noProof/>
            <w:webHidden/>
          </w:rPr>
        </w:r>
        <w:r>
          <w:rPr>
            <w:noProof/>
            <w:webHidden/>
          </w:rPr>
          <w:fldChar w:fldCharType="separate"/>
        </w:r>
        <w:r w:rsidR="00F61DE8">
          <w:rPr>
            <w:noProof/>
            <w:webHidden/>
          </w:rPr>
          <w:t>145</w:t>
        </w:r>
        <w:r>
          <w:rPr>
            <w:noProof/>
            <w:webHidden/>
          </w:rPr>
          <w:fldChar w:fldCharType="end"/>
        </w:r>
      </w:hyperlink>
    </w:p>
    <w:p w:rsidR="00F61DE8" w:rsidRDefault="009154AB">
      <w:pPr>
        <w:pStyle w:val="TDC2"/>
        <w:rPr>
          <w:rFonts w:asciiTheme="minorHAnsi" w:eastAsiaTheme="minorEastAsia" w:hAnsiTheme="minorHAnsi" w:cstheme="minorBidi"/>
          <w:noProof/>
          <w:sz w:val="22"/>
          <w:szCs w:val="22"/>
          <w:lang w:eastAsia="es-ES"/>
        </w:rPr>
      </w:pPr>
      <w:hyperlink w:anchor="_Toc352773580" w:history="1">
        <w:r w:rsidR="00F61DE8" w:rsidRPr="00EC50D0">
          <w:rPr>
            <w:rStyle w:val="Hipervnculo"/>
            <w:rFonts w:ascii="MinionPro-Regular" w:hAnsi="MinionPro-Regular"/>
            <w:noProof/>
            <w:lang w:val="es-ES_tradnl"/>
          </w:rPr>
          <w:t>9.1</w:t>
        </w:r>
        <w:r w:rsidR="00F61DE8">
          <w:rPr>
            <w:rFonts w:asciiTheme="minorHAnsi" w:eastAsiaTheme="minorEastAsia" w:hAnsiTheme="minorHAnsi" w:cstheme="minorBidi"/>
            <w:noProof/>
            <w:sz w:val="22"/>
            <w:szCs w:val="22"/>
            <w:lang w:eastAsia="es-ES"/>
          </w:rPr>
          <w:tab/>
        </w:r>
        <w:r w:rsidR="00F61DE8" w:rsidRPr="00EC50D0">
          <w:rPr>
            <w:rStyle w:val="Hipervnculo"/>
            <w:rFonts w:ascii="MinionPro-Regular" w:hAnsi="MinionPro-Regular"/>
            <w:noProof/>
            <w:lang w:val="es-ES_tradnl"/>
          </w:rPr>
          <w:t>Premisas y limitaciones en la estimación del impacto de los centros especiales de empleo en España</w:t>
        </w:r>
        <w:r w:rsidR="00F61DE8">
          <w:rPr>
            <w:noProof/>
            <w:webHidden/>
          </w:rPr>
          <w:tab/>
        </w:r>
        <w:r>
          <w:rPr>
            <w:noProof/>
            <w:webHidden/>
          </w:rPr>
          <w:fldChar w:fldCharType="begin"/>
        </w:r>
        <w:r w:rsidR="00F61DE8">
          <w:rPr>
            <w:noProof/>
            <w:webHidden/>
          </w:rPr>
          <w:instrText xml:space="preserve"> PAGEREF _Toc352773580 \h </w:instrText>
        </w:r>
        <w:r>
          <w:rPr>
            <w:noProof/>
            <w:webHidden/>
          </w:rPr>
        </w:r>
        <w:r>
          <w:rPr>
            <w:noProof/>
            <w:webHidden/>
          </w:rPr>
          <w:fldChar w:fldCharType="separate"/>
        </w:r>
        <w:r w:rsidR="00F61DE8">
          <w:rPr>
            <w:noProof/>
            <w:webHidden/>
          </w:rPr>
          <w:t>146</w:t>
        </w:r>
        <w:r>
          <w:rPr>
            <w:noProof/>
            <w:webHidden/>
          </w:rPr>
          <w:fldChar w:fldCharType="end"/>
        </w:r>
      </w:hyperlink>
    </w:p>
    <w:p w:rsidR="00F61DE8" w:rsidRDefault="009154AB">
      <w:pPr>
        <w:pStyle w:val="TDC2"/>
        <w:rPr>
          <w:rFonts w:asciiTheme="minorHAnsi" w:eastAsiaTheme="minorEastAsia" w:hAnsiTheme="minorHAnsi" w:cstheme="minorBidi"/>
          <w:noProof/>
          <w:sz w:val="22"/>
          <w:szCs w:val="22"/>
          <w:lang w:eastAsia="es-ES"/>
        </w:rPr>
      </w:pPr>
      <w:hyperlink w:anchor="_Toc352773581" w:history="1">
        <w:r w:rsidR="00F61DE8" w:rsidRPr="00EC50D0">
          <w:rPr>
            <w:rStyle w:val="Hipervnculo"/>
            <w:rFonts w:ascii="MinionPro-Regular" w:hAnsi="MinionPro-Regular"/>
            <w:noProof/>
            <w:lang w:val="es-ES_tradnl"/>
          </w:rPr>
          <w:t>9.2</w:t>
        </w:r>
        <w:r w:rsidR="00F61DE8">
          <w:rPr>
            <w:rFonts w:asciiTheme="minorHAnsi" w:eastAsiaTheme="minorEastAsia" w:hAnsiTheme="minorHAnsi" w:cstheme="minorBidi"/>
            <w:noProof/>
            <w:sz w:val="22"/>
            <w:szCs w:val="22"/>
            <w:lang w:eastAsia="es-ES"/>
          </w:rPr>
          <w:tab/>
        </w:r>
        <w:r w:rsidR="00F61DE8" w:rsidRPr="00EC50D0">
          <w:rPr>
            <w:rStyle w:val="Hipervnculo"/>
            <w:rFonts w:ascii="MinionPro-Regular" w:hAnsi="MinionPro-Regular"/>
            <w:noProof/>
            <w:lang w:val="es-ES_tradnl"/>
          </w:rPr>
          <w:t>Ayudas de la administración pública que implican salida de efectivo</w:t>
        </w:r>
        <w:r w:rsidR="00F61DE8">
          <w:rPr>
            <w:noProof/>
            <w:webHidden/>
          </w:rPr>
          <w:tab/>
        </w:r>
        <w:r>
          <w:rPr>
            <w:noProof/>
            <w:webHidden/>
          </w:rPr>
          <w:fldChar w:fldCharType="begin"/>
        </w:r>
        <w:r w:rsidR="00F61DE8">
          <w:rPr>
            <w:noProof/>
            <w:webHidden/>
          </w:rPr>
          <w:instrText xml:space="preserve"> PAGEREF _Toc352773581 \h </w:instrText>
        </w:r>
        <w:r>
          <w:rPr>
            <w:noProof/>
            <w:webHidden/>
          </w:rPr>
        </w:r>
        <w:r>
          <w:rPr>
            <w:noProof/>
            <w:webHidden/>
          </w:rPr>
          <w:fldChar w:fldCharType="separate"/>
        </w:r>
        <w:r w:rsidR="00F61DE8">
          <w:rPr>
            <w:noProof/>
            <w:webHidden/>
          </w:rPr>
          <w:t>150</w:t>
        </w:r>
        <w:r>
          <w:rPr>
            <w:noProof/>
            <w:webHidden/>
          </w:rPr>
          <w:fldChar w:fldCharType="end"/>
        </w:r>
      </w:hyperlink>
    </w:p>
    <w:p w:rsidR="00F61DE8" w:rsidRDefault="009154AB">
      <w:pPr>
        <w:pStyle w:val="TDC2"/>
        <w:rPr>
          <w:rFonts w:asciiTheme="minorHAnsi" w:eastAsiaTheme="minorEastAsia" w:hAnsiTheme="minorHAnsi" w:cstheme="minorBidi"/>
          <w:noProof/>
          <w:sz w:val="22"/>
          <w:szCs w:val="22"/>
          <w:lang w:eastAsia="es-ES"/>
        </w:rPr>
      </w:pPr>
      <w:hyperlink w:anchor="_Toc352773582" w:history="1">
        <w:r w:rsidR="00F61DE8" w:rsidRPr="00EC50D0">
          <w:rPr>
            <w:rStyle w:val="Hipervnculo"/>
            <w:rFonts w:ascii="MinionPro-Regular" w:hAnsi="MinionPro-Regular"/>
            <w:noProof/>
            <w:lang w:val="es-ES_tradnl"/>
          </w:rPr>
          <w:t>9.3</w:t>
        </w:r>
        <w:r w:rsidR="00F61DE8">
          <w:rPr>
            <w:rFonts w:asciiTheme="minorHAnsi" w:eastAsiaTheme="minorEastAsia" w:hAnsiTheme="minorHAnsi" w:cstheme="minorBidi"/>
            <w:noProof/>
            <w:sz w:val="22"/>
            <w:szCs w:val="22"/>
            <w:lang w:eastAsia="es-ES"/>
          </w:rPr>
          <w:tab/>
        </w:r>
        <w:r w:rsidR="00F61DE8" w:rsidRPr="00EC50D0">
          <w:rPr>
            <w:rStyle w:val="Hipervnculo"/>
            <w:rFonts w:ascii="MinionPro-Regular" w:hAnsi="MinionPro-Regular"/>
            <w:noProof/>
            <w:lang w:val="es-ES_tradnl"/>
          </w:rPr>
          <w:t>Ayudas de la administración pública que no implican salida de efectivo</w:t>
        </w:r>
        <w:r w:rsidR="00F61DE8">
          <w:rPr>
            <w:noProof/>
            <w:webHidden/>
          </w:rPr>
          <w:tab/>
        </w:r>
        <w:r>
          <w:rPr>
            <w:noProof/>
            <w:webHidden/>
          </w:rPr>
          <w:fldChar w:fldCharType="begin"/>
        </w:r>
        <w:r w:rsidR="00F61DE8">
          <w:rPr>
            <w:noProof/>
            <w:webHidden/>
          </w:rPr>
          <w:instrText xml:space="preserve"> PAGEREF _Toc352773582 \h </w:instrText>
        </w:r>
        <w:r>
          <w:rPr>
            <w:noProof/>
            <w:webHidden/>
          </w:rPr>
        </w:r>
        <w:r>
          <w:rPr>
            <w:noProof/>
            <w:webHidden/>
          </w:rPr>
          <w:fldChar w:fldCharType="separate"/>
        </w:r>
        <w:r w:rsidR="00F61DE8">
          <w:rPr>
            <w:noProof/>
            <w:webHidden/>
          </w:rPr>
          <w:t>150</w:t>
        </w:r>
        <w:r>
          <w:rPr>
            <w:noProof/>
            <w:webHidden/>
          </w:rPr>
          <w:fldChar w:fldCharType="end"/>
        </w:r>
      </w:hyperlink>
    </w:p>
    <w:p w:rsidR="00F61DE8" w:rsidRDefault="009154AB">
      <w:pPr>
        <w:pStyle w:val="TDC2"/>
        <w:rPr>
          <w:rFonts w:asciiTheme="minorHAnsi" w:eastAsiaTheme="minorEastAsia" w:hAnsiTheme="minorHAnsi" w:cstheme="minorBidi"/>
          <w:noProof/>
          <w:sz w:val="22"/>
          <w:szCs w:val="22"/>
          <w:lang w:eastAsia="es-ES"/>
        </w:rPr>
      </w:pPr>
      <w:hyperlink w:anchor="_Toc352773583" w:history="1">
        <w:r w:rsidR="00F61DE8" w:rsidRPr="00EC50D0">
          <w:rPr>
            <w:rStyle w:val="Hipervnculo"/>
            <w:rFonts w:ascii="MinionPro-Regular" w:hAnsi="MinionPro-Regular"/>
            <w:noProof/>
            <w:lang w:val="es-ES_tradnl"/>
          </w:rPr>
          <w:t>9.4</w:t>
        </w:r>
        <w:r w:rsidR="00F61DE8">
          <w:rPr>
            <w:rFonts w:asciiTheme="minorHAnsi" w:eastAsiaTheme="minorEastAsia" w:hAnsiTheme="minorHAnsi" w:cstheme="minorBidi"/>
            <w:noProof/>
            <w:sz w:val="22"/>
            <w:szCs w:val="22"/>
            <w:lang w:eastAsia="es-ES"/>
          </w:rPr>
          <w:tab/>
        </w:r>
        <w:r w:rsidR="00F61DE8" w:rsidRPr="00EC50D0">
          <w:rPr>
            <w:rStyle w:val="Hipervnculo"/>
            <w:rFonts w:ascii="MinionPro-Regular" w:hAnsi="MinionPro-Regular"/>
            <w:noProof/>
            <w:lang w:val="es-ES_tradnl"/>
          </w:rPr>
          <w:t>Retornos de los centros especiales de empleo que implican salida de efectivo</w:t>
        </w:r>
        <w:r w:rsidR="00F61DE8">
          <w:rPr>
            <w:noProof/>
            <w:webHidden/>
          </w:rPr>
          <w:tab/>
        </w:r>
        <w:r>
          <w:rPr>
            <w:noProof/>
            <w:webHidden/>
          </w:rPr>
          <w:fldChar w:fldCharType="begin"/>
        </w:r>
        <w:r w:rsidR="00F61DE8">
          <w:rPr>
            <w:noProof/>
            <w:webHidden/>
          </w:rPr>
          <w:instrText xml:space="preserve"> PAGEREF _Toc352773583 \h </w:instrText>
        </w:r>
        <w:r>
          <w:rPr>
            <w:noProof/>
            <w:webHidden/>
          </w:rPr>
        </w:r>
        <w:r>
          <w:rPr>
            <w:noProof/>
            <w:webHidden/>
          </w:rPr>
          <w:fldChar w:fldCharType="separate"/>
        </w:r>
        <w:r w:rsidR="00F61DE8">
          <w:rPr>
            <w:noProof/>
            <w:webHidden/>
          </w:rPr>
          <w:t>151</w:t>
        </w:r>
        <w:r>
          <w:rPr>
            <w:noProof/>
            <w:webHidden/>
          </w:rPr>
          <w:fldChar w:fldCharType="end"/>
        </w:r>
      </w:hyperlink>
    </w:p>
    <w:p w:rsidR="00F61DE8" w:rsidRDefault="009154AB">
      <w:pPr>
        <w:pStyle w:val="TDC3"/>
        <w:rPr>
          <w:rFonts w:asciiTheme="minorHAnsi" w:eastAsiaTheme="minorEastAsia" w:hAnsiTheme="minorHAnsi" w:cstheme="minorBidi"/>
          <w:noProof/>
          <w:sz w:val="22"/>
          <w:szCs w:val="22"/>
          <w:lang w:eastAsia="es-ES"/>
        </w:rPr>
      </w:pPr>
      <w:hyperlink w:anchor="_Toc352773584" w:history="1">
        <w:r w:rsidR="00F61DE8" w:rsidRPr="00EC50D0">
          <w:rPr>
            <w:rStyle w:val="Hipervnculo"/>
            <w:rFonts w:ascii="MinionPro-Regular" w:hAnsi="MinionPro-Regular"/>
            <w:noProof/>
            <w:lang w:val="es-ES_tradnl"/>
          </w:rPr>
          <w:t>9.4.1</w:t>
        </w:r>
        <w:r w:rsidR="00F61DE8">
          <w:rPr>
            <w:rFonts w:asciiTheme="minorHAnsi" w:eastAsiaTheme="minorEastAsia" w:hAnsiTheme="minorHAnsi" w:cstheme="minorBidi"/>
            <w:noProof/>
            <w:sz w:val="22"/>
            <w:szCs w:val="22"/>
            <w:lang w:eastAsia="es-ES"/>
          </w:rPr>
          <w:tab/>
        </w:r>
        <w:r w:rsidR="00F61DE8" w:rsidRPr="00EC50D0">
          <w:rPr>
            <w:rStyle w:val="Hipervnculo"/>
            <w:rFonts w:ascii="MinionPro-Regular" w:hAnsi="MinionPro-Regular"/>
            <w:noProof/>
            <w:lang w:val="es-ES_tradnl"/>
          </w:rPr>
          <w:t>IRPF y cotizaciones a la seguridad social</w:t>
        </w:r>
        <w:r w:rsidR="00F61DE8">
          <w:rPr>
            <w:noProof/>
            <w:webHidden/>
          </w:rPr>
          <w:tab/>
        </w:r>
        <w:r>
          <w:rPr>
            <w:noProof/>
            <w:webHidden/>
          </w:rPr>
          <w:fldChar w:fldCharType="begin"/>
        </w:r>
        <w:r w:rsidR="00F61DE8">
          <w:rPr>
            <w:noProof/>
            <w:webHidden/>
          </w:rPr>
          <w:instrText xml:space="preserve"> PAGEREF _Toc352773584 \h </w:instrText>
        </w:r>
        <w:r>
          <w:rPr>
            <w:noProof/>
            <w:webHidden/>
          </w:rPr>
        </w:r>
        <w:r>
          <w:rPr>
            <w:noProof/>
            <w:webHidden/>
          </w:rPr>
          <w:fldChar w:fldCharType="separate"/>
        </w:r>
        <w:r w:rsidR="00F61DE8">
          <w:rPr>
            <w:noProof/>
            <w:webHidden/>
          </w:rPr>
          <w:t>151</w:t>
        </w:r>
        <w:r>
          <w:rPr>
            <w:noProof/>
            <w:webHidden/>
          </w:rPr>
          <w:fldChar w:fldCharType="end"/>
        </w:r>
      </w:hyperlink>
    </w:p>
    <w:p w:rsidR="00F61DE8" w:rsidRDefault="009154AB">
      <w:pPr>
        <w:pStyle w:val="TDC3"/>
        <w:rPr>
          <w:rFonts w:asciiTheme="minorHAnsi" w:eastAsiaTheme="minorEastAsia" w:hAnsiTheme="minorHAnsi" w:cstheme="minorBidi"/>
          <w:noProof/>
          <w:sz w:val="22"/>
          <w:szCs w:val="22"/>
          <w:lang w:eastAsia="es-ES"/>
        </w:rPr>
      </w:pPr>
      <w:hyperlink w:anchor="_Toc352773585" w:history="1">
        <w:r w:rsidR="00F61DE8" w:rsidRPr="00EC50D0">
          <w:rPr>
            <w:rStyle w:val="Hipervnculo"/>
            <w:rFonts w:ascii="MinionPro-Regular" w:hAnsi="MinionPro-Regular"/>
            <w:noProof/>
            <w:lang w:val="es-ES_tradnl"/>
          </w:rPr>
          <w:t>9.4.2</w:t>
        </w:r>
        <w:r w:rsidR="00F61DE8">
          <w:rPr>
            <w:rFonts w:asciiTheme="minorHAnsi" w:eastAsiaTheme="minorEastAsia" w:hAnsiTheme="minorHAnsi" w:cstheme="minorBidi"/>
            <w:noProof/>
            <w:sz w:val="22"/>
            <w:szCs w:val="22"/>
            <w:lang w:eastAsia="es-ES"/>
          </w:rPr>
          <w:tab/>
        </w:r>
        <w:r w:rsidR="00F61DE8" w:rsidRPr="00EC50D0">
          <w:rPr>
            <w:rStyle w:val="Hipervnculo"/>
            <w:rFonts w:ascii="MinionPro-Regular" w:hAnsi="MinionPro-Regular"/>
            <w:noProof/>
            <w:lang w:val="es-ES_tradnl"/>
          </w:rPr>
          <w:t>Impuesto sobre el valor añadido</w:t>
        </w:r>
        <w:r w:rsidR="00F61DE8">
          <w:rPr>
            <w:noProof/>
            <w:webHidden/>
          </w:rPr>
          <w:tab/>
        </w:r>
        <w:r>
          <w:rPr>
            <w:noProof/>
            <w:webHidden/>
          </w:rPr>
          <w:fldChar w:fldCharType="begin"/>
        </w:r>
        <w:r w:rsidR="00F61DE8">
          <w:rPr>
            <w:noProof/>
            <w:webHidden/>
          </w:rPr>
          <w:instrText xml:space="preserve"> PAGEREF _Toc352773585 \h </w:instrText>
        </w:r>
        <w:r>
          <w:rPr>
            <w:noProof/>
            <w:webHidden/>
          </w:rPr>
        </w:r>
        <w:r>
          <w:rPr>
            <w:noProof/>
            <w:webHidden/>
          </w:rPr>
          <w:fldChar w:fldCharType="separate"/>
        </w:r>
        <w:r w:rsidR="00F61DE8">
          <w:rPr>
            <w:noProof/>
            <w:webHidden/>
          </w:rPr>
          <w:t>156</w:t>
        </w:r>
        <w:r>
          <w:rPr>
            <w:noProof/>
            <w:webHidden/>
          </w:rPr>
          <w:fldChar w:fldCharType="end"/>
        </w:r>
      </w:hyperlink>
    </w:p>
    <w:p w:rsidR="00F61DE8" w:rsidRDefault="009154AB">
      <w:pPr>
        <w:pStyle w:val="TDC3"/>
        <w:rPr>
          <w:rFonts w:asciiTheme="minorHAnsi" w:eastAsiaTheme="minorEastAsia" w:hAnsiTheme="minorHAnsi" w:cstheme="minorBidi"/>
          <w:noProof/>
          <w:sz w:val="22"/>
          <w:szCs w:val="22"/>
          <w:lang w:eastAsia="es-ES"/>
        </w:rPr>
      </w:pPr>
      <w:hyperlink w:anchor="_Toc352773586" w:history="1">
        <w:r w:rsidR="00F61DE8" w:rsidRPr="00EC50D0">
          <w:rPr>
            <w:rStyle w:val="Hipervnculo"/>
            <w:rFonts w:ascii="MinionPro-Regular" w:hAnsi="MinionPro-Regular"/>
            <w:noProof/>
            <w:lang w:val="es-ES_tradnl"/>
          </w:rPr>
          <w:t>9.4.3</w:t>
        </w:r>
        <w:r w:rsidR="00F61DE8">
          <w:rPr>
            <w:rFonts w:asciiTheme="minorHAnsi" w:eastAsiaTheme="minorEastAsia" w:hAnsiTheme="minorHAnsi" w:cstheme="minorBidi"/>
            <w:noProof/>
            <w:sz w:val="22"/>
            <w:szCs w:val="22"/>
            <w:lang w:eastAsia="es-ES"/>
          </w:rPr>
          <w:tab/>
        </w:r>
        <w:r w:rsidR="00F61DE8" w:rsidRPr="00EC50D0">
          <w:rPr>
            <w:rStyle w:val="Hipervnculo"/>
            <w:rFonts w:ascii="MinionPro-Regular" w:hAnsi="MinionPro-Regular"/>
            <w:noProof/>
            <w:lang w:val="es-ES_tradnl"/>
          </w:rPr>
          <w:t>Impuesto de sociedades</w:t>
        </w:r>
        <w:r w:rsidR="00F61DE8">
          <w:rPr>
            <w:noProof/>
            <w:webHidden/>
          </w:rPr>
          <w:tab/>
        </w:r>
        <w:r>
          <w:rPr>
            <w:noProof/>
            <w:webHidden/>
          </w:rPr>
          <w:fldChar w:fldCharType="begin"/>
        </w:r>
        <w:r w:rsidR="00F61DE8">
          <w:rPr>
            <w:noProof/>
            <w:webHidden/>
          </w:rPr>
          <w:instrText xml:space="preserve"> PAGEREF _Toc352773586 \h </w:instrText>
        </w:r>
        <w:r>
          <w:rPr>
            <w:noProof/>
            <w:webHidden/>
          </w:rPr>
        </w:r>
        <w:r>
          <w:rPr>
            <w:noProof/>
            <w:webHidden/>
          </w:rPr>
          <w:fldChar w:fldCharType="separate"/>
        </w:r>
        <w:r w:rsidR="00F61DE8">
          <w:rPr>
            <w:noProof/>
            <w:webHidden/>
          </w:rPr>
          <w:t>158</w:t>
        </w:r>
        <w:r>
          <w:rPr>
            <w:noProof/>
            <w:webHidden/>
          </w:rPr>
          <w:fldChar w:fldCharType="end"/>
        </w:r>
      </w:hyperlink>
    </w:p>
    <w:p w:rsidR="00F61DE8" w:rsidRDefault="009154AB">
      <w:pPr>
        <w:pStyle w:val="TDC2"/>
        <w:rPr>
          <w:rFonts w:asciiTheme="minorHAnsi" w:eastAsiaTheme="minorEastAsia" w:hAnsiTheme="minorHAnsi" w:cstheme="minorBidi"/>
          <w:noProof/>
          <w:sz w:val="22"/>
          <w:szCs w:val="22"/>
          <w:lang w:eastAsia="es-ES"/>
        </w:rPr>
      </w:pPr>
      <w:hyperlink w:anchor="_Toc352773587" w:history="1">
        <w:r w:rsidR="00F61DE8" w:rsidRPr="00EC50D0">
          <w:rPr>
            <w:rStyle w:val="Hipervnculo"/>
            <w:rFonts w:ascii="MinionPro-Regular" w:hAnsi="MinionPro-Regular"/>
            <w:noProof/>
            <w:lang w:val="es-ES_tradnl"/>
          </w:rPr>
          <w:t>9.5</w:t>
        </w:r>
        <w:r w:rsidR="00F61DE8">
          <w:rPr>
            <w:rFonts w:asciiTheme="minorHAnsi" w:eastAsiaTheme="minorEastAsia" w:hAnsiTheme="minorHAnsi" w:cstheme="minorBidi"/>
            <w:noProof/>
            <w:sz w:val="22"/>
            <w:szCs w:val="22"/>
            <w:lang w:eastAsia="es-ES"/>
          </w:rPr>
          <w:tab/>
        </w:r>
        <w:r w:rsidR="00F61DE8" w:rsidRPr="00EC50D0">
          <w:rPr>
            <w:rStyle w:val="Hipervnculo"/>
            <w:rFonts w:ascii="MinionPro-Regular" w:hAnsi="MinionPro-Regular"/>
            <w:noProof/>
            <w:lang w:val="es-ES_tradnl"/>
          </w:rPr>
          <w:t>Retornos de los centros especiales de empleo que no implican salida de efectivo</w:t>
        </w:r>
        <w:r w:rsidR="00F61DE8">
          <w:rPr>
            <w:noProof/>
            <w:webHidden/>
          </w:rPr>
          <w:tab/>
        </w:r>
        <w:r>
          <w:rPr>
            <w:noProof/>
            <w:webHidden/>
          </w:rPr>
          <w:fldChar w:fldCharType="begin"/>
        </w:r>
        <w:r w:rsidR="00F61DE8">
          <w:rPr>
            <w:noProof/>
            <w:webHidden/>
          </w:rPr>
          <w:instrText xml:space="preserve"> PAGEREF _Toc352773587 \h </w:instrText>
        </w:r>
        <w:r>
          <w:rPr>
            <w:noProof/>
            <w:webHidden/>
          </w:rPr>
        </w:r>
        <w:r>
          <w:rPr>
            <w:noProof/>
            <w:webHidden/>
          </w:rPr>
          <w:fldChar w:fldCharType="separate"/>
        </w:r>
        <w:r w:rsidR="00F61DE8">
          <w:rPr>
            <w:noProof/>
            <w:webHidden/>
          </w:rPr>
          <w:t>161</w:t>
        </w:r>
        <w:r>
          <w:rPr>
            <w:noProof/>
            <w:webHidden/>
          </w:rPr>
          <w:fldChar w:fldCharType="end"/>
        </w:r>
      </w:hyperlink>
    </w:p>
    <w:p w:rsidR="00F61DE8" w:rsidRDefault="009154AB">
      <w:pPr>
        <w:pStyle w:val="TDC3"/>
        <w:rPr>
          <w:rFonts w:asciiTheme="minorHAnsi" w:eastAsiaTheme="minorEastAsia" w:hAnsiTheme="minorHAnsi" w:cstheme="minorBidi"/>
          <w:noProof/>
          <w:sz w:val="22"/>
          <w:szCs w:val="22"/>
          <w:lang w:eastAsia="es-ES"/>
        </w:rPr>
      </w:pPr>
      <w:hyperlink w:anchor="_Toc352773588" w:history="1">
        <w:r w:rsidR="00F61DE8" w:rsidRPr="00EC50D0">
          <w:rPr>
            <w:rStyle w:val="Hipervnculo"/>
            <w:rFonts w:ascii="MinionPro-Regular" w:hAnsi="MinionPro-Regular"/>
            <w:noProof/>
          </w:rPr>
          <w:t>9.5.1</w:t>
        </w:r>
        <w:r w:rsidR="00F61DE8">
          <w:rPr>
            <w:rFonts w:asciiTheme="minorHAnsi" w:eastAsiaTheme="minorEastAsia" w:hAnsiTheme="minorHAnsi" w:cstheme="minorBidi"/>
            <w:noProof/>
            <w:sz w:val="22"/>
            <w:szCs w:val="22"/>
            <w:lang w:eastAsia="es-ES"/>
          </w:rPr>
          <w:tab/>
        </w:r>
        <w:r w:rsidR="00F61DE8" w:rsidRPr="00EC50D0">
          <w:rPr>
            <w:rStyle w:val="Hipervnculo"/>
            <w:rFonts w:ascii="MinionPro-Regular" w:hAnsi="MinionPro-Regular"/>
            <w:noProof/>
          </w:rPr>
          <w:t>Ayudas de la LISMI</w:t>
        </w:r>
        <w:r w:rsidR="00F61DE8">
          <w:rPr>
            <w:noProof/>
            <w:webHidden/>
          </w:rPr>
          <w:tab/>
        </w:r>
        <w:r>
          <w:rPr>
            <w:noProof/>
            <w:webHidden/>
          </w:rPr>
          <w:fldChar w:fldCharType="begin"/>
        </w:r>
        <w:r w:rsidR="00F61DE8">
          <w:rPr>
            <w:noProof/>
            <w:webHidden/>
          </w:rPr>
          <w:instrText xml:space="preserve"> PAGEREF _Toc352773588 \h </w:instrText>
        </w:r>
        <w:r>
          <w:rPr>
            <w:noProof/>
            <w:webHidden/>
          </w:rPr>
        </w:r>
        <w:r>
          <w:rPr>
            <w:noProof/>
            <w:webHidden/>
          </w:rPr>
          <w:fldChar w:fldCharType="separate"/>
        </w:r>
        <w:r w:rsidR="00F61DE8">
          <w:rPr>
            <w:noProof/>
            <w:webHidden/>
          </w:rPr>
          <w:t>161</w:t>
        </w:r>
        <w:r>
          <w:rPr>
            <w:noProof/>
            <w:webHidden/>
          </w:rPr>
          <w:fldChar w:fldCharType="end"/>
        </w:r>
      </w:hyperlink>
    </w:p>
    <w:p w:rsidR="00F61DE8" w:rsidRDefault="009154AB">
      <w:pPr>
        <w:pStyle w:val="TDC3"/>
        <w:rPr>
          <w:rFonts w:asciiTheme="minorHAnsi" w:eastAsiaTheme="minorEastAsia" w:hAnsiTheme="minorHAnsi" w:cstheme="minorBidi"/>
          <w:noProof/>
          <w:sz w:val="22"/>
          <w:szCs w:val="22"/>
          <w:lang w:eastAsia="es-ES"/>
        </w:rPr>
      </w:pPr>
      <w:hyperlink w:anchor="_Toc352773589" w:history="1">
        <w:r w:rsidR="00F61DE8" w:rsidRPr="00EC50D0">
          <w:rPr>
            <w:rStyle w:val="Hipervnculo"/>
            <w:noProof/>
          </w:rPr>
          <w:t>9.5.2</w:t>
        </w:r>
        <w:r w:rsidR="00F61DE8">
          <w:rPr>
            <w:rFonts w:asciiTheme="minorHAnsi" w:eastAsiaTheme="minorEastAsia" w:hAnsiTheme="minorHAnsi" w:cstheme="minorBidi"/>
            <w:noProof/>
            <w:sz w:val="22"/>
            <w:szCs w:val="22"/>
            <w:lang w:eastAsia="es-ES"/>
          </w:rPr>
          <w:tab/>
        </w:r>
        <w:r w:rsidR="00F61DE8" w:rsidRPr="00EC50D0">
          <w:rPr>
            <w:rStyle w:val="Hipervnculo"/>
            <w:noProof/>
          </w:rPr>
          <w:t>Pensiones no contributivas</w:t>
        </w:r>
        <w:r w:rsidR="00F61DE8">
          <w:rPr>
            <w:noProof/>
            <w:webHidden/>
          </w:rPr>
          <w:tab/>
        </w:r>
        <w:r>
          <w:rPr>
            <w:noProof/>
            <w:webHidden/>
          </w:rPr>
          <w:fldChar w:fldCharType="begin"/>
        </w:r>
        <w:r w:rsidR="00F61DE8">
          <w:rPr>
            <w:noProof/>
            <w:webHidden/>
          </w:rPr>
          <w:instrText xml:space="preserve"> PAGEREF _Toc352773589 \h </w:instrText>
        </w:r>
        <w:r>
          <w:rPr>
            <w:noProof/>
            <w:webHidden/>
          </w:rPr>
        </w:r>
        <w:r>
          <w:rPr>
            <w:noProof/>
            <w:webHidden/>
          </w:rPr>
          <w:fldChar w:fldCharType="separate"/>
        </w:r>
        <w:r w:rsidR="00F61DE8">
          <w:rPr>
            <w:noProof/>
            <w:webHidden/>
          </w:rPr>
          <w:t>166</w:t>
        </w:r>
        <w:r>
          <w:rPr>
            <w:noProof/>
            <w:webHidden/>
          </w:rPr>
          <w:fldChar w:fldCharType="end"/>
        </w:r>
      </w:hyperlink>
    </w:p>
    <w:p w:rsidR="00F61DE8" w:rsidRDefault="009154AB">
      <w:pPr>
        <w:pStyle w:val="TDC3"/>
        <w:rPr>
          <w:rFonts w:asciiTheme="minorHAnsi" w:eastAsiaTheme="minorEastAsia" w:hAnsiTheme="minorHAnsi" w:cstheme="minorBidi"/>
          <w:noProof/>
          <w:sz w:val="22"/>
          <w:szCs w:val="22"/>
          <w:lang w:eastAsia="es-ES"/>
        </w:rPr>
      </w:pPr>
      <w:hyperlink w:anchor="_Toc352773590" w:history="1">
        <w:r w:rsidR="00F61DE8" w:rsidRPr="00EC50D0">
          <w:rPr>
            <w:rStyle w:val="Hipervnculo"/>
            <w:rFonts w:ascii="MinionPro-Regular" w:hAnsi="MinionPro-Regular"/>
            <w:noProof/>
          </w:rPr>
          <w:t>9.5.3</w:t>
        </w:r>
        <w:r w:rsidR="00F61DE8">
          <w:rPr>
            <w:rFonts w:asciiTheme="minorHAnsi" w:eastAsiaTheme="minorEastAsia" w:hAnsiTheme="minorHAnsi" w:cstheme="minorBidi"/>
            <w:noProof/>
            <w:sz w:val="22"/>
            <w:szCs w:val="22"/>
            <w:lang w:eastAsia="es-ES"/>
          </w:rPr>
          <w:tab/>
        </w:r>
        <w:r w:rsidR="00F61DE8" w:rsidRPr="00EC50D0">
          <w:rPr>
            <w:rStyle w:val="Hipervnculo"/>
            <w:rFonts w:ascii="MinionPro-Regular" w:hAnsi="MinionPro-Regular"/>
            <w:noProof/>
          </w:rPr>
          <w:t>Pensiones contributivas</w:t>
        </w:r>
        <w:r w:rsidR="00F61DE8">
          <w:rPr>
            <w:noProof/>
            <w:webHidden/>
          </w:rPr>
          <w:tab/>
        </w:r>
        <w:r>
          <w:rPr>
            <w:noProof/>
            <w:webHidden/>
          </w:rPr>
          <w:fldChar w:fldCharType="begin"/>
        </w:r>
        <w:r w:rsidR="00F61DE8">
          <w:rPr>
            <w:noProof/>
            <w:webHidden/>
          </w:rPr>
          <w:instrText xml:space="preserve"> PAGEREF _Toc352773590 \h </w:instrText>
        </w:r>
        <w:r>
          <w:rPr>
            <w:noProof/>
            <w:webHidden/>
          </w:rPr>
        </w:r>
        <w:r>
          <w:rPr>
            <w:noProof/>
            <w:webHidden/>
          </w:rPr>
          <w:fldChar w:fldCharType="separate"/>
        </w:r>
        <w:r w:rsidR="00F61DE8">
          <w:rPr>
            <w:noProof/>
            <w:webHidden/>
          </w:rPr>
          <w:t>170</w:t>
        </w:r>
        <w:r>
          <w:rPr>
            <w:noProof/>
            <w:webHidden/>
          </w:rPr>
          <w:fldChar w:fldCharType="end"/>
        </w:r>
      </w:hyperlink>
    </w:p>
    <w:p w:rsidR="00F61DE8" w:rsidRDefault="009154AB">
      <w:pPr>
        <w:pStyle w:val="TDC3"/>
        <w:rPr>
          <w:rFonts w:asciiTheme="minorHAnsi" w:eastAsiaTheme="minorEastAsia" w:hAnsiTheme="minorHAnsi" w:cstheme="minorBidi"/>
          <w:noProof/>
          <w:sz w:val="22"/>
          <w:szCs w:val="22"/>
          <w:lang w:eastAsia="es-ES"/>
        </w:rPr>
      </w:pPr>
      <w:hyperlink w:anchor="_Toc352773591" w:history="1">
        <w:r w:rsidR="00F61DE8" w:rsidRPr="00EC50D0">
          <w:rPr>
            <w:rStyle w:val="Hipervnculo"/>
            <w:rFonts w:ascii="MinionPro-Regular" w:hAnsi="MinionPro-Regular"/>
            <w:noProof/>
          </w:rPr>
          <w:t>9.5.4</w:t>
        </w:r>
        <w:r w:rsidR="00F61DE8">
          <w:rPr>
            <w:rFonts w:asciiTheme="minorHAnsi" w:eastAsiaTheme="minorEastAsia" w:hAnsiTheme="minorHAnsi" w:cstheme="minorBidi"/>
            <w:noProof/>
            <w:sz w:val="22"/>
            <w:szCs w:val="22"/>
            <w:lang w:eastAsia="es-ES"/>
          </w:rPr>
          <w:tab/>
        </w:r>
        <w:r w:rsidR="00F61DE8" w:rsidRPr="00EC50D0">
          <w:rPr>
            <w:rStyle w:val="Hipervnculo"/>
            <w:rFonts w:ascii="MinionPro-Regular" w:hAnsi="MinionPro-Regular"/>
            <w:noProof/>
          </w:rPr>
          <w:t>Ahorro en gasto sanitario.</w:t>
        </w:r>
        <w:r w:rsidR="00F61DE8">
          <w:rPr>
            <w:noProof/>
            <w:webHidden/>
          </w:rPr>
          <w:tab/>
        </w:r>
        <w:r>
          <w:rPr>
            <w:noProof/>
            <w:webHidden/>
          </w:rPr>
          <w:fldChar w:fldCharType="begin"/>
        </w:r>
        <w:r w:rsidR="00F61DE8">
          <w:rPr>
            <w:noProof/>
            <w:webHidden/>
          </w:rPr>
          <w:instrText xml:space="preserve"> PAGEREF _Toc352773591 \h </w:instrText>
        </w:r>
        <w:r>
          <w:rPr>
            <w:noProof/>
            <w:webHidden/>
          </w:rPr>
        </w:r>
        <w:r>
          <w:rPr>
            <w:noProof/>
            <w:webHidden/>
          </w:rPr>
          <w:fldChar w:fldCharType="separate"/>
        </w:r>
        <w:r w:rsidR="00F61DE8">
          <w:rPr>
            <w:noProof/>
            <w:webHidden/>
          </w:rPr>
          <w:t>173</w:t>
        </w:r>
        <w:r>
          <w:rPr>
            <w:noProof/>
            <w:webHidden/>
          </w:rPr>
          <w:fldChar w:fldCharType="end"/>
        </w:r>
      </w:hyperlink>
    </w:p>
    <w:p w:rsidR="00F61DE8" w:rsidRDefault="009154AB">
      <w:pPr>
        <w:pStyle w:val="TDC3"/>
        <w:rPr>
          <w:rFonts w:asciiTheme="minorHAnsi" w:eastAsiaTheme="minorEastAsia" w:hAnsiTheme="minorHAnsi" w:cstheme="minorBidi"/>
          <w:noProof/>
          <w:sz w:val="22"/>
          <w:szCs w:val="22"/>
          <w:lang w:eastAsia="es-ES"/>
        </w:rPr>
      </w:pPr>
      <w:hyperlink w:anchor="_Toc352773592" w:history="1">
        <w:r w:rsidR="00F61DE8" w:rsidRPr="00EC50D0">
          <w:rPr>
            <w:rStyle w:val="Hipervnculo"/>
            <w:rFonts w:ascii="MinionPro-Regular" w:hAnsi="MinionPro-Regular"/>
            <w:noProof/>
          </w:rPr>
          <w:t>9.5.5</w:t>
        </w:r>
        <w:r w:rsidR="00F61DE8">
          <w:rPr>
            <w:rFonts w:asciiTheme="minorHAnsi" w:eastAsiaTheme="minorEastAsia" w:hAnsiTheme="minorHAnsi" w:cstheme="minorBidi"/>
            <w:noProof/>
            <w:sz w:val="22"/>
            <w:szCs w:val="22"/>
            <w:lang w:eastAsia="es-ES"/>
          </w:rPr>
          <w:tab/>
        </w:r>
        <w:r w:rsidR="00F61DE8" w:rsidRPr="00EC50D0">
          <w:rPr>
            <w:rStyle w:val="Hipervnculo"/>
            <w:rFonts w:ascii="MinionPro-Regular" w:hAnsi="MinionPro-Regular"/>
            <w:noProof/>
          </w:rPr>
          <w:t>Ahorro en plazas ocupacionales</w:t>
        </w:r>
        <w:r w:rsidR="00F61DE8">
          <w:rPr>
            <w:noProof/>
            <w:webHidden/>
          </w:rPr>
          <w:tab/>
        </w:r>
        <w:r>
          <w:rPr>
            <w:noProof/>
            <w:webHidden/>
          </w:rPr>
          <w:fldChar w:fldCharType="begin"/>
        </w:r>
        <w:r w:rsidR="00F61DE8">
          <w:rPr>
            <w:noProof/>
            <w:webHidden/>
          </w:rPr>
          <w:instrText xml:space="preserve"> PAGEREF _Toc352773592 \h </w:instrText>
        </w:r>
        <w:r>
          <w:rPr>
            <w:noProof/>
            <w:webHidden/>
          </w:rPr>
        </w:r>
        <w:r>
          <w:rPr>
            <w:noProof/>
            <w:webHidden/>
          </w:rPr>
          <w:fldChar w:fldCharType="separate"/>
        </w:r>
        <w:r w:rsidR="00F61DE8">
          <w:rPr>
            <w:noProof/>
            <w:webHidden/>
          </w:rPr>
          <w:t>175</w:t>
        </w:r>
        <w:r>
          <w:rPr>
            <w:noProof/>
            <w:webHidden/>
          </w:rPr>
          <w:fldChar w:fldCharType="end"/>
        </w:r>
      </w:hyperlink>
    </w:p>
    <w:p w:rsidR="00F61DE8" w:rsidRDefault="009154AB">
      <w:pPr>
        <w:pStyle w:val="TDC2"/>
        <w:rPr>
          <w:rFonts w:asciiTheme="minorHAnsi" w:eastAsiaTheme="minorEastAsia" w:hAnsiTheme="minorHAnsi" w:cstheme="minorBidi"/>
          <w:noProof/>
          <w:sz w:val="22"/>
          <w:szCs w:val="22"/>
          <w:lang w:eastAsia="es-ES"/>
        </w:rPr>
      </w:pPr>
      <w:hyperlink w:anchor="_Toc352773593" w:history="1">
        <w:r w:rsidR="00F61DE8" w:rsidRPr="00EC50D0">
          <w:rPr>
            <w:rStyle w:val="Hipervnculo"/>
            <w:rFonts w:ascii="MinionPro-Regular" w:hAnsi="MinionPro-Regular"/>
            <w:noProof/>
          </w:rPr>
          <w:t>9.6</w:t>
        </w:r>
        <w:r w:rsidR="00F61DE8">
          <w:rPr>
            <w:rFonts w:asciiTheme="minorHAnsi" w:eastAsiaTheme="minorEastAsia" w:hAnsiTheme="minorHAnsi" w:cstheme="minorBidi"/>
            <w:noProof/>
            <w:sz w:val="22"/>
            <w:szCs w:val="22"/>
            <w:lang w:eastAsia="es-ES"/>
          </w:rPr>
          <w:tab/>
        </w:r>
        <w:r w:rsidR="00F61DE8" w:rsidRPr="00EC50D0">
          <w:rPr>
            <w:rStyle w:val="Hipervnculo"/>
            <w:rFonts w:ascii="MinionPro-Regular" w:hAnsi="MinionPro-Regular"/>
            <w:noProof/>
          </w:rPr>
          <w:t>Conclusiones de la estimación del impacto</w:t>
        </w:r>
        <w:r w:rsidR="00F61DE8">
          <w:rPr>
            <w:noProof/>
            <w:webHidden/>
          </w:rPr>
          <w:tab/>
        </w:r>
        <w:r>
          <w:rPr>
            <w:noProof/>
            <w:webHidden/>
          </w:rPr>
          <w:fldChar w:fldCharType="begin"/>
        </w:r>
        <w:r w:rsidR="00F61DE8">
          <w:rPr>
            <w:noProof/>
            <w:webHidden/>
          </w:rPr>
          <w:instrText xml:space="preserve"> PAGEREF _Toc352773593 \h </w:instrText>
        </w:r>
        <w:r>
          <w:rPr>
            <w:noProof/>
            <w:webHidden/>
          </w:rPr>
        </w:r>
        <w:r>
          <w:rPr>
            <w:noProof/>
            <w:webHidden/>
          </w:rPr>
          <w:fldChar w:fldCharType="separate"/>
        </w:r>
        <w:r w:rsidR="00F61DE8">
          <w:rPr>
            <w:noProof/>
            <w:webHidden/>
          </w:rPr>
          <w:t>177</w:t>
        </w:r>
        <w:r>
          <w:rPr>
            <w:noProof/>
            <w:webHidden/>
          </w:rPr>
          <w:fldChar w:fldCharType="end"/>
        </w:r>
      </w:hyperlink>
    </w:p>
    <w:p w:rsidR="00F61DE8" w:rsidRDefault="009154AB">
      <w:pPr>
        <w:pStyle w:val="TDC3"/>
        <w:rPr>
          <w:rFonts w:asciiTheme="minorHAnsi" w:eastAsiaTheme="minorEastAsia" w:hAnsiTheme="minorHAnsi" w:cstheme="minorBidi"/>
          <w:noProof/>
          <w:sz w:val="22"/>
          <w:szCs w:val="22"/>
          <w:lang w:eastAsia="es-ES"/>
        </w:rPr>
      </w:pPr>
      <w:hyperlink w:anchor="_Toc352773594" w:history="1">
        <w:r w:rsidR="00F61DE8" w:rsidRPr="00EC50D0">
          <w:rPr>
            <w:rStyle w:val="Hipervnculo"/>
            <w:rFonts w:ascii="MinionPro-Regular" w:hAnsi="MinionPro-Regular"/>
            <w:noProof/>
          </w:rPr>
          <w:t>9.6.1</w:t>
        </w:r>
        <w:r w:rsidR="00F61DE8">
          <w:rPr>
            <w:rFonts w:asciiTheme="minorHAnsi" w:eastAsiaTheme="minorEastAsia" w:hAnsiTheme="minorHAnsi" w:cstheme="minorBidi"/>
            <w:noProof/>
            <w:sz w:val="22"/>
            <w:szCs w:val="22"/>
            <w:lang w:eastAsia="es-ES"/>
          </w:rPr>
          <w:tab/>
        </w:r>
        <w:r w:rsidR="00F61DE8" w:rsidRPr="00EC50D0">
          <w:rPr>
            <w:rStyle w:val="Hipervnculo"/>
            <w:rFonts w:ascii="MinionPro-Regular" w:hAnsi="MinionPro-Regular"/>
            <w:noProof/>
          </w:rPr>
          <w:t>Si comparamos ayudas y retornos que implican salida de efectivo, por cada euro que reciben de las administraciones públicas, los centros especiales de empleo ingresan a las arcas del Estado 1,42 euros.</w:t>
        </w:r>
        <w:r w:rsidR="00F61DE8">
          <w:rPr>
            <w:noProof/>
            <w:webHidden/>
          </w:rPr>
          <w:tab/>
        </w:r>
        <w:r>
          <w:rPr>
            <w:noProof/>
            <w:webHidden/>
          </w:rPr>
          <w:fldChar w:fldCharType="begin"/>
        </w:r>
        <w:r w:rsidR="00F61DE8">
          <w:rPr>
            <w:noProof/>
            <w:webHidden/>
          </w:rPr>
          <w:instrText xml:space="preserve"> PAGEREF _Toc352773594 \h </w:instrText>
        </w:r>
        <w:r>
          <w:rPr>
            <w:noProof/>
            <w:webHidden/>
          </w:rPr>
        </w:r>
        <w:r>
          <w:rPr>
            <w:noProof/>
            <w:webHidden/>
          </w:rPr>
          <w:fldChar w:fldCharType="separate"/>
        </w:r>
        <w:r w:rsidR="00F61DE8">
          <w:rPr>
            <w:noProof/>
            <w:webHidden/>
          </w:rPr>
          <w:t>180</w:t>
        </w:r>
        <w:r>
          <w:rPr>
            <w:noProof/>
            <w:webHidden/>
          </w:rPr>
          <w:fldChar w:fldCharType="end"/>
        </w:r>
      </w:hyperlink>
    </w:p>
    <w:p w:rsidR="00F61DE8" w:rsidRDefault="009154AB">
      <w:pPr>
        <w:pStyle w:val="TDC3"/>
        <w:rPr>
          <w:rFonts w:asciiTheme="minorHAnsi" w:eastAsiaTheme="minorEastAsia" w:hAnsiTheme="minorHAnsi" w:cstheme="minorBidi"/>
          <w:noProof/>
          <w:sz w:val="22"/>
          <w:szCs w:val="22"/>
          <w:lang w:eastAsia="es-ES"/>
        </w:rPr>
      </w:pPr>
      <w:hyperlink w:anchor="_Toc352773595" w:history="1">
        <w:r w:rsidR="00F61DE8" w:rsidRPr="00EC50D0">
          <w:rPr>
            <w:rStyle w:val="Hipervnculo"/>
            <w:rFonts w:ascii="MinionPro-Regular" w:hAnsi="MinionPro-Regular"/>
            <w:noProof/>
          </w:rPr>
          <w:t>9.6.2</w:t>
        </w:r>
        <w:r w:rsidR="00F61DE8">
          <w:rPr>
            <w:rFonts w:asciiTheme="minorHAnsi" w:eastAsiaTheme="minorEastAsia" w:hAnsiTheme="minorHAnsi" w:cstheme="minorBidi"/>
            <w:noProof/>
            <w:sz w:val="22"/>
            <w:szCs w:val="22"/>
            <w:lang w:eastAsia="es-ES"/>
          </w:rPr>
          <w:tab/>
        </w:r>
        <w:r w:rsidR="00F61DE8" w:rsidRPr="00EC50D0">
          <w:rPr>
            <w:rStyle w:val="Hipervnculo"/>
            <w:rFonts w:ascii="MinionPro-Regular" w:hAnsi="MinionPro-Regular"/>
            <w:noProof/>
          </w:rPr>
          <w:t>Si comparamos las ayudas y retornos que no implican salida de efectivo, por cada euro recibido de la administración, los centros especiales de empleo retornan 1,47</w:t>
        </w:r>
        <w:r w:rsidR="00F61DE8">
          <w:rPr>
            <w:noProof/>
            <w:webHidden/>
          </w:rPr>
          <w:tab/>
        </w:r>
        <w:r>
          <w:rPr>
            <w:noProof/>
            <w:webHidden/>
          </w:rPr>
          <w:fldChar w:fldCharType="begin"/>
        </w:r>
        <w:r w:rsidR="00F61DE8">
          <w:rPr>
            <w:noProof/>
            <w:webHidden/>
          </w:rPr>
          <w:instrText xml:space="preserve"> PAGEREF _Toc352773595 \h </w:instrText>
        </w:r>
        <w:r>
          <w:rPr>
            <w:noProof/>
            <w:webHidden/>
          </w:rPr>
        </w:r>
        <w:r>
          <w:rPr>
            <w:noProof/>
            <w:webHidden/>
          </w:rPr>
          <w:fldChar w:fldCharType="separate"/>
        </w:r>
        <w:r w:rsidR="00F61DE8">
          <w:rPr>
            <w:noProof/>
            <w:webHidden/>
          </w:rPr>
          <w:t>181</w:t>
        </w:r>
        <w:r>
          <w:rPr>
            <w:noProof/>
            <w:webHidden/>
          </w:rPr>
          <w:fldChar w:fldCharType="end"/>
        </w:r>
      </w:hyperlink>
    </w:p>
    <w:p w:rsidR="00F61DE8" w:rsidRDefault="009154AB">
      <w:pPr>
        <w:pStyle w:val="TDC3"/>
        <w:rPr>
          <w:rFonts w:asciiTheme="minorHAnsi" w:eastAsiaTheme="minorEastAsia" w:hAnsiTheme="minorHAnsi" w:cstheme="minorBidi"/>
          <w:noProof/>
          <w:sz w:val="22"/>
          <w:szCs w:val="22"/>
          <w:lang w:eastAsia="es-ES"/>
        </w:rPr>
      </w:pPr>
      <w:hyperlink w:anchor="_Toc352773596" w:history="1">
        <w:r w:rsidR="00F61DE8" w:rsidRPr="00EC50D0">
          <w:rPr>
            <w:rStyle w:val="Hipervnculo"/>
            <w:noProof/>
          </w:rPr>
          <w:t>9.6.3</w:t>
        </w:r>
        <w:r w:rsidR="00F61DE8">
          <w:rPr>
            <w:rFonts w:asciiTheme="minorHAnsi" w:eastAsiaTheme="minorEastAsia" w:hAnsiTheme="minorHAnsi" w:cstheme="minorBidi"/>
            <w:noProof/>
            <w:sz w:val="22"/>
            <w:szCs w:val="22"/>
            <w:lang w:eastAsia="es-ES"/>
          </w:rPr>
          <w:tab/>
        </w:r>
        <w:r w:rsidR="00F61DE8" w:rsidRPr="00EC50D0">
          <w:rPr>
            <w:rStyle w:val="Hipervnculo"/>
            <w:noProof/>
          </w:rPr>
          <w:t>Si comparamos todos los conceptos, los centros especiales de empleo retornan 1,44 euros por cada euro que perciben de la administración pública</w:t>
        </w:r>
        <w:r w:rsidR="00F61DE8">
          <w:rPr>
            <w:noProof/>
            <w:webHidden/>
          </w:rPr>
          <w:tab/>
        </w:r>
        <w:r>
          <w:rPr>
            <w:noProof/>
            <w:webHidden/>
          </w:rPr>
          <w:fldChar w:fldCharType="begin"/>
        </w:r>
        <w:r w:rsidR="00F61DE8">
          <w:rPr>
            <w:noProof/>
            <w:webHidden/>
          </w:rPr>
          <w:instrText xml:space="preserve"> PAGEREF _Toc352773596 \h </w:instrText>
        </w:r>
        <w:r>
          <w:rPr>
            <w:noProof/>
            <w:webHidden/>
          </w:rPr>
        </w:r>
        <w:r>
          <w:rPr>
            <w:noProof/>
            <w:webHidden/>
          </w:rPr>
          <w:fldChar w:fldCharType="separate"/>
        </w:r>
        <w:r w:rsidR="00F61DE8">
          <w:rPr>
            <w:noProof/>
            <w:webHidden/>
          </w:rPr>
          <w:t>183</w:t>
        </w:r>
        <w:r>
          <w:rPr>
            <w:noProof/>
            <w:webHidden/>
          </w:rPr>
          <w:fldChar w:fldCharType="end"/>
        </w:r>
      </w:hyperlink>
    </w:p>
    <w:p w:rsidR="00F61DE8" w:rsidRDefault="009154AB">
      <w:pPr>
        <w:pStyle w:val="TDC2"/>
        <w:rPr>
          <w:rFonts w:asciiTheme="minorHAnsi" w:eastAsiaTheme="minorEastAsia" w:hAnsiTheme="minorHAnsi" w:cstheme="minorBidi"/>
          <w:noProof/>
          <w:sz w:val="22"/>
          <w:szCs w:val="22"/>
          <w:lang w:eastAsia="es-ES"/>
        </w:rPr>
      </w:pPr>
      <w:hyperlink w:anchor="_Toc352773597" w:history="1">
        <w:r w:rsidR="00F61DE8" w:rsidRPr="00EC50D0">
          <w:rPr>
            <w:rStyle w:val="Hipervnculo"/>
            <w:rFonts w:ascii="MinionPro-Regular" w:hAnsi="MinionPro-Regular"/>
            <w:noProof/>
          </w:rPr>
          <w:t>9.7</w:t>
        </w:r>
        <w:r w:rsidR="00F61DE8">
          <w:rPr>
            <w:rFonts w:asciiTheme="minorHAnsi" w:eastAsiaTheme="minorEastAsia" w:hAnsiTheme="minorHAnsi" w:cstheme="minorBidi"/>
            <w:noProof/>
            <w:sz w:val="22"/>
            <w:szCs w:val="22"/>
            <w:lang w:eastAsia="es-ES"/>
          </w:rPr>
          <w:tab/>
        </w:r>
        <w:r w:rsidR="00F61DE8" w:rsidRPr="00EC50D0">
          <w:rPr>
            <w:rStyle w:val="Hipervnculo"/>
            <w:rFonts w:ascii="MinionPro-Regular" w:hAnsi="MinionPro-Regular"/>
            <w:noProof/>
          </w:rPr>
          <w:t>Otras consideraciones en el estudio de impacto</w:t>
        </w:r>
        <w:r w:rsidR="00F61DE8">
          <w:rPr>
            <w:noProof/>
            <w:webHidden/>
          </w:rPr>
          <w:tab/>
        </w:r>
        <w:r>
          <w:rPr>
            <w:noProof/>
            <w:webHidden/>
          </w:rPr>
          <w:fldChar w:fldCharType="begin"/>
        </w:r>
        <w:r w:rsidR="00F61DE8">
          <w:rPr>
            <w:noProof/>
            <w:webHidden/>
          </w:rPr>
          <w:instrText xml:space="preserve"> PAGEREF _Toc352773597 \h </w:instrText>
        </w:r>
        <w:r>
          <w:rPr>
            <w:noProof/>
            <w:webHidden/>
          </w:rPr>
        </w:r>
        <w:r>
          <w:rPr>
            <w:noProof/>
            <w:webHidden/>
          </w:rPr>
          <w:fldChar w:fldCharType="separate"/>
        </w:r>
        <w:r w:rsidR="00F61DE8">
          <w:rPr>
            <w:noProof/>
            <w:webHidden/>
          </w:rPr>
          <w:t>184</w:t>
        </w:r>
        <w:r>
          <w:rPr>
            <w:noProof/>
            <w:webHidden/>
          </w:rPr>
          <w:fldChar w:fldCharType="end"/>
        </w:r>
      </w:hyperlink>
    </w:p>
    <w:p w:rsidR="00F61DE8" w:rsidRDefault="009154AB">
      <w:pPr>
        <w:pStyle w:val="TDC2"/>
        <w:rPr>
          <w:rFonts w:asciiTheme="minorHAnsi" w:eastAsiaTheme="minorEastAsia" w:hAnsiTheme="minorHAnsi" w:cstheme="minorBidi"/>
          <w:noProof/>
          <w:sz w:val="22"/>
          <w:szCs w:val="22"/>
          <w:lang w:eastAsia="es-ES"/>
        </w:rPr>
      </w:pPr>
      <w:hyperlink w:anchor="_Toc352773598" w:history="1">
        <w:r w:rsidR="00F61DE8" w:rsidRPr="00EC50D0">
          <w:rPr>
            <w:rStyle w:val="Hipervnculo"/>
            <w:rFonts w:ascii="MinionPro-Regular" w:hAnsi="MinionPro-Regular"/>
            <w:noProof/>
          </w:rPr>
          <w:t>9.7.1</w:t>
        </w:r>
        <w:r w:rsidR="00F61DE8">
          <w:rPr>
            <w:rFonts w:asciiTheme="minorHAnsi" w:eastAsiaTheme="minorEastAsia" w:hAnsiTheme="minorHAnsi" w:cstheme="minorBidi"/>
            <w:noProof/>
            <w:sz w:val="22"/>
            <w:szCs w:val="22"/>
            <w:lang w:eastAsia="es-ES"/>
          </w:rPr>
          <w:tab/>
        </w:r>
        <w:r w:rsidR="00F61DE8" w:rsidRPr="00EC50D0">
          <w:rPr>
            <w:rStyle w:val="Hipervnculo"/>
            <w:rFonts w:ascii="MinionPro-Regular" w:hAnsi="MinionPro-Regular"/>
            <w:noProof/>
          </w:rPr>
          <w:t>Prestaciones por desempleo</w:t>
        </w:r>
        <w:r w:rsidR="00F61DE8">
          <w:rPr>
            <w:noProof/>
            <w:webHidden/>
          </w:rPr>
          <w:tab/>
        </w:r>
        <w:r>
          <w:rPr>
            <w:noProof/>
            <w:webHidden/>
          </w:rPr>
          <w:fldChar w:fldCharType="begin"/>
        </w:r>
        <w:r w:rsidR="00F61DE8">
          <w:rPr>
            <w:noProof/>
            <w:webHidden/>
          </w:rPr>
          <w:instrText xml:space="preserve"> PAGEREF _Toc352773598 \h </w:instrText>
        </w:r>
        <w:r>
          <w:rPr>
            <w:noProof/>
            <w:webHidden/>
          </w:rPr>
        </w:r>
        <w:r>
          <w:rPr>
            <w:noProof/>
            <w:webHidden/>
          </w:rPr>
          <w:fldChar w:fldCharType="separate"/>
        </w:r>
        <w:r w:rsidR="00F61DE8">
          <w:rPr>
            <w:noProof/>
            <w:webHidden/>
          </w:rPr>
          <w:t>184</w:t>
        </w:r>
        <w:r>
          <w:rPr>
            <w:noProof/>
            <w:webHidden/>
          </w:rPr>
          <w:fldChar w:fldCharType="end"/>
        </w:r>
      </w:hyperlink>
    </w:p>
    <w:p w:rsidR="00F61DE8" w:rsidRDefault="009154AB">
      <w:pPr>
        <w:pStyle w:val="TDC2"/>
        <w:rPr>
          <w:rFonts w:asciiTheme="minorHAnsi" w:eastAsiaTheme="minorEastAsia" w:hAnsiTheme="minorHAnsi" w:cstheme="minorBidi"/>
          <w:noProof/>
          <w:sz w:val="22"/>
          <w:szCs w:val="22"/>
          <w:lang w:eastAsia="es-ES"/>
        </w:rPr>
      </w:pPr>
      <w:hyperlink w:anchor="_Toc352773599" w:history="1">
        <w:r w:rsidR="00F61DE8" w:rsidRPr="00EC50D0">
          <w:rPr>
            <w:rStyle w:val="Hipervnculo"/>
            <w:rFonts w:ascii="MinionPro-Regular" w:hAnsi="MinionPro-Regular"/>
            <w:noProof/>
          </w:rPr>
          <w:t>9.7.2</w:t>
        </w:r>
        <w:r w:rsidR="00F61DE8">
          <w:rPr>
            <w:rFonts w:asciiTheme="minorHAnsi" w:eastAsiaTheme="minorEastAsia" w:hAnsiTheme="minorHAnsi" w:cstheme="minorBidi"/>
            <w:noProof/>
            <w:sz w:val="22"/>
            <w:szCs w:val="22"/>
            <w:lang w:eastAsia="es-ES"/>
          </w:rPr>
          <w:tab/>
        </w:r>
        <w:r w:rsidR="00F61DE8" w:rsidRPr="00EC50D0">
          <w:rPr>
            <w:rStyle w:val="Hipervnculo"/>
            <w:rFonts w:ascii="MinionPro-Regular" w:hAnsi="MinionPro-Regular"/>
            <w:noProof/>
          </w:rPr>
          <w:t>Los centros especiales de empleo dedican 772 millones de euros al pago de salarios a personas con discapacidad</w:t>
        </w:r>
        <w:r w:rsidR="00F61DE8">
          <w:rPr>
            <w:noProof/>
            <w:webHidden/>
          </w:rPr>
          <w:tab/>
        </w:r>
        <w:r>
          <w:rPr>
            <w:noProof/>
            <w:webHidden/>
          </w:rPr>
          <w:fldChar w:fldCharType="begin"/>
        </w:r>
        <w:r w:rsidR="00F61DE8">
          <w:rPr>
            <w:noProof/>
            <w:webHidden/>
          </w:rPr>
          <w:instrText xml:space="preserve"> PAGEREF _Toc352773599 \h </w:instrText>
        </w:r>
        <w:r>
          <w:rPr>
            <w:noProof/>
            <w:webHidden/>
          </w:rPr>
        </w:r>
        <w:r>
          <w:rPr>
            <w:noProof/>
            <w:webHidden/>
          </w:rPr>
          <w:fldChar w:fldCharType="separate"/>
        </w:r>
        <w:r w:rsidR="00F61DE8">
          <w:rPr>
            <w:noProof/>
            <w:webHidden/>
          </w:rPr>
          <w:t>185</w:t>
        </w:r>
        <w:r>
          <w:rPr>
            <w:noProof/>
            <w:webHidden/>
          </w:rPr>
          <w:fldChar w:fldCharType="end"/>
        </w:r>
      </w:hyperlink>
    </w:p>
    <w:p w:rsidR="00F61DE8" w:rsidRDefault="009154AB">
      <w:pPr>
        <w:pStyle w:val="TDC2"/>
        <w:rPr>
          <w:rFonts w:asciiTheme="minorHAnsi" w:eastAsiaTheme="minorEastAsia" w:hAnsiTheme="minorHAnsi" w:cstheme="minorBidi"/>
          <w:noProof/>
          <w:sz w:val="22"/>
          <w:szCs w:val="22"/>
          <w:lang w:eastAsia="es-ES"/>
        </w:rPr>
      </w:pPr>
      <w:hyperlink w:anchor="_Toc352773600" w:history="1">
        <w:r w:rsidR="00F61DE8" w:rsidRPr="00EC50D0">
          <w:rPr>
            <w:rStyle w:val="Hipervnculo"/>
            <w:rFonts w:ascii="MinionPro-Regular" w:hAnsi="MinionPro-Regular"/>
            <w:noProof/>
          </w:rPr>
          <w:t>9.8</w:t>
        </w:r>
        <w:r w:rsidR="00F61DE8">
          <w:rPr>
            <w:rFonts w:asciiTheme="minorHAnsi" w:eastAsiaTheme="minorEastAsia" w:hAnsiTheme="minorHAnsi" w:cstheme="minorBidi"/>
            <w:noProof/>
            <w:sz w:val="22"/>
            <w:szCs w:val="22"/>
            <w:lang w:eastAsia="es-ES"/>
          </w:rPr>
          <w:tab/>
        </w:r>
        <w:r w:rsidR="00F61DE8" w:rsidRPr="00EC50D0">
          <w:rPr>
            <w:rStyle w:val="Hipervnculo"/>
            <w:rFonts w:ascii="MinionPro-Regular" w:hAnsi="MinionPro-Regular"/>
            <w:noProof/>
          </w:rPr>
          <w:t>Los centros especiales de empleo suponen el 0,3% de la economía nacional</w:t>
        </w:r>
        <w:r w:rsidR="00F61DE8">
          <w:rPr>
            <w:noProof/>
            <w:webHidden/>
          </w:rPr>
          <w:tab/>
        </w:r>
        <w:r>
          <w:rPr>
            <w:noProof/>
            <w:webHidden/>
          </w:rPr>
          <w:fldChar w:fldCharType="begin"/>
        </w:r>
        <w:r w:rsidR="00F61DE8">
          <w:rPr>
            <w:noProof/>
            <w:webHidden/>
          </w:rPr>
          <w:instrText xml:space="preserve"> PAGEREF _Toc352773600 \h </w:instrText>
        </w:r>
        <w:r>
          <w:rPr>
            <w:noProof/>
            <w:webHidden/>
          </w:rPr>
        </w:r>
        <w:r>
          <w:rPr>
            <w:noProof/>
            <w:webHidden/>
          </w:rPr>
          <w:fldChar w:fldCharType="separate"/>
        </w:r>
        <w:r w:rsidR="00F61DE8">
          <w:rPr>
            <w:noProof/>
            <w:webHidden/>
          </w:rPr>
          <w:t>187</w:t>
        </w:r>
        <w:r>
          <w:rPr>
            <w:noProof/>
            <w:webHidden/>
          </w:rPr>
          <w:fldChar w:fldCharType="end"/>
        </w:r>
      </w:hyperlink>
    </w:p>
    <w:p w:rsidR="00F61DE8" w:rsidRDefault="009154AB">
      <w:pPr>
        <w:pStyle w:val="TDC2"/>
        <w:rPr>
          <w:rFonts w:asciiTheme="minorHAnsi" w:eastAsiaTheme="minorEastAsia" w:hAnsiTheme="minorHAnsi" w:cstheme="minorBidi"/>
          <w:noProof/>
          <w:sz w:val="22"/>
          <w:szCs w:val="22"/>
          <w:lang w:eastAsia="es-ES"/>
        </w:rPr>
      </w:pPr>
      <w:hyperlink w:anchor="_Toc352773601" w:history="1">
        <w:r w:rsidR="00F61DE8" w:rsidRPr="00EC50D0">
          <w:rPr>
            <w:rStyle w:val="Hipervnculo"/>
            <w:rFonts w:ascii="MinionPro-Regular" w:hAnsi="MinionPro-Regular"/>
            <w:noProof/>
          </w:rPr>
          <w:t>9.9</w:t>
        </w:r>
        <w:r w:rsidR="00F61DE8">
          <w:rPr>
            <w:rFonts w:asciiTheme="minorHAnsi" w:eastAsiaTheme="minorEastAsia" w:hAnsiTheme="minorHAnsi" w:cstheme="minorBidi"/>
            <w:noProof/>
            <w:sz w:val="22"/>
            <w:szCs w:val="22"/>
            <w:lang w:eastAsia="es-ES"/>
          </w:rPr>
          <w:tab/>
        </w:r>
        <w:r w:rsidR="00F61DE8" w:rsidRPr="00EC50D0">
          <w:rPr>
            <w:rStyle w:val="Hipervnculo"/>
            <w:noProof/>
          </w:rPr>
          <w:t>La importancia de la convergencia salarial y la estructura de las ayudas para los retornos a la administración pública</w:t>
        </w:r>
        <w:r w:rsidR="00F61DE8">
          <w:rPr>
            <w:noProof/>
            <w:webHidden/>
          </w:rPr>
          <w:tab/>
        </w:r>
        <w:r>
          <w:rPr>
            <w:noProof/>
            <w:webHidden/>
          </w:rPr>
          <w:fldChar w:fldCharType="begin"/>
        </w:r>
        <w:r w:rsidR="00F61DE8">
          <w:rPr>
            <w:noProof/>
            <w:webHidden/>
          </w:rPr>
          <w:instrText xml:space="preserve"> PAGEREF _Toc352773601 \h </w:instrText>
        </w:r>
        <w:r>
          <w:rPr>
            <w:noProof/>
            <w:webHidden/>
          </w:rPr>
        </w:r>
        <w:r>
          <w:rPr>
            <w:noProof/>
            <w:webHidden/>
          </w:rPr>
          <w:fldChar w:fldCharType="separate"/>
        </w:r>
        <w:r w:rsidR="00F61DE8">
          <w:rPr>
            <w:noProof/>
            <w:webHidden/>
          </w:rPr>
          <w:t>189</w:t>
        </w:r>
        <w:r>
          <w:rPr>
            <w:noProof/>
            <w:webHidden/>
          </w:rPr>
          <w:fldChar w:fldCharType="end"/>
        </w:r>
      </w:hyperlink>
    </w:p>
    <w:p w:rsidR="00F61DE8" w:rsidRDefault="009154AB">
      <w:pPr>
        <w:pStyle w:val="TDC2"/>
        <w:rPr>
          <w:rFonts w:asciiTheme="minorHAnsi" w:eastAsiaTheme="minorEastAsia" w:hAnsiTheme="minorHAnsi" w:cstheme="minorBidi"/>
          <w:noProof/>
          <w:sz w:val="22"/>
          <w:szCs w:val="22"/>
          <w:lang w:eastAsia="es-ES"/>
        </w:rPr>
      </w:pPr>
      <w:hyperlink w:anchor="_Toc352773602" w:history="1">
        <w:r w:rsidR="00F61DE8" w:rsidRPr="00EC50D0">
          <w:rPr>
            <w:rStyle w:val="Hipervnculo"/>
            <w:rFonts w:ascii="MinionPro-Regular" w:hAnsi="MinionPro-Regular"/>
            <w:noProof/>
            <w:lang w:val="es-ES_tradnl"/>
          </w:rPr>
          <w:t>9.10</w:t>
        </w:r>
        <w:r w:rsidR="00F61DE8">
          <w:rPr>
            <w:rFonts w:asciiTheme="minorHAnsi" w:eastAsiaTheme="minorEastAsia" w:hAnsiTheme="minorHAnsi" w:cstheme="minorBidi"/>
            <w:noProof/>
            <w:sz w:val="22"/>
            <w:szCs w:val="22"/>
            <w:lang w:eastAsia="es-ES"/>
          </w:rPr>
          <w:tab/>
        </w:r>
        <w:r w:rsidR="00F61DE8" w:rsidRPr="00EC50D0">
          <w:rPr>
            <w:rStyle w:val="Hipervnculo"/>
            <w:rFonts w:ascii="MinionPro-Regular" w:hAnsi="MinionPro-Regular"/>
            <w:noProof/>
            <w:lang w:val="es-ES_tradnl"/>
          </w:rPr>
          <w:t>Estimación a 2020 de las ayudas de la administración pública que implican salida de efectivo</w:t>
        </w:r>
        <w:r w:rsidR="00F61DE8">
          <w:rPr>
            <w:noProof/>
            <w:webHidden/>
          </w:rPr>
          <w:tab/>
        </w:r>
        <w:r>
          <w:rPr>
            <w:noProof/>
            <w:webHidden/>
          </w:rPr>
          <w:fldChar w:fldCharType="begin"/>
        </w:r>
        <w:r w:rsidR="00F61DE8">
          <w:rPr>
            <w:noProof/>
            <w:webHidden/>
          </w:rPr>
          <w:instrText xml:space="preserve"> PAGEREF _Toc352773602 \h </w:instrText>
        </w:r>
        <w:r>
          <w:rPr>
            <w:noProof/>
            <w:webHidden/>
          </w:rPr>
        </w:r>
        <w:r>
          <w:rPr>
            <w:noProof/>
            <w:webHidden/>
          </w:rPr>
          <w:fldChar w:fldCharType="separate"/>
        </w:r>
        <w:r w:rsidR="00F61DE8">
          <w:rPr>
            <w:noProof/>
            <w:webHidden/>
          </w:rPr>
          <w:t>193</w:t>
        </w:r>
        <w:r>
          <w:rPr>
            <w:noProof/>
            <w:webHidden/>
          </w:rPr>
          <w:fldChar w:fldCharType="end"/>
        </w:r>
      </w:hyperlink>
    </w:p>
    <w:p w:rsidR="00F61DE8" w:rsidRDefault="009154AB">
      <w:pPr>
        <w:pStyle w:val="TDC2"/>
        <w:rPr>
          <w:rFonts w:asciiTheme="minorHAnsi" w:eastAsiaTheme="minorEastAsia" w:hAnsiTheme="minorHAnsi" w:cstheme="minorBidi"/>
          <w:noProof/>
          <w:sz w:val="22"/>
          <w:szCs w:val="22"/>
          <w:lang w:eastAsia="es-ES"/>
        </w:rPr>
      </w:pPr>
      <w:hyperlink w:anchor="_Toc352773603" w:history="1">
        <w:r w:rsidR="00F61DE8" w:rsidRPr="00EC50D0">
          <w:rPr>
            <w:rStyle w:val="Hipervnculo"/>
            <w:rFonts w:ascii="MinionPro-Regular" w:hAnsi="MinionPro-Regular"/>
            <w:noProof/>
            <w:lang w:val="es-ES_tradnl"/>
          </w:rPr>
          <w:t>9.11</w:t>
        </w:r>
        <w:r w:rsidR="00F61DE8">
          <w:rPr>
            <w:rFonts w:asciiTheme="minorHAnsi" w:eastAsiaTheme="minorEastAsia" w:hAnsiTheme="minorHAnsi" w:cstheme="minorBidi"/>
            <w:noProof/>
            <w:sz w:val="22"/>
            <w:szCs w:val="22"/>
            <w:lang w:eastAsia="es-ES"/>
          </w:rPr>
          <w:tab/>
        </w:r>
        <w:r w:rsidR="00F61DE8" w:rsidRPr="00EC50D0">
          <w:rPr>
            <w:rStyle w:val="Hipervnculo"/>
            <w:noProof/>
            <w:lang w:val="es-ES_tradnl"/>
          </w:rPr>
          <w:t>Estimación a 2020 de las ayudas de la administración pública que no implican salida de efectivo</w:t>
        </w:r>
        <w:r w:rsidR="00F61DE8">
          <w:rPr>
            <w:noProof/>
            <w:webHidden/>
          </w:rPr>
          <w:tab/>
        </w:r>
        <w:r>
          <w:rPr>
            <w:noProof/>
            <w:webHidden/>
          </w:rPr>
          <w:fldChar w:fldCharType="begin"/>
        </w:r>
        <w:r w:rsidR="00F61DE8">
          <w:rPr>
            <w:noProof/>
            <w:webHidden/>
          </w:rPr>
          <w:instrText xml:space="preserve"> PAGEREF _Toc352773603 \h </w:instrText>
        </w:r>
        <w:r>
          <w:rPr>
            <w:noProof/>
            <w:webHidden/>
          </w:rPr>
        </w:r>
        <w:r>
          <w:rPr>
            <w:noProof/>
            <w:webHidden/>
          </w:rPr>
          <w:fldChar w:fldCharType="separate"/>
        </w:r>
        <w:r w:rsidR="00F61DE8">
          <w:rPr>
            <w:noProof/>
            <w:webHidden/>
          </w:rPr>
          <w:t>193</w:t>
        </w:r>
        <w:r>
          <w:rPr>
            <w:noProof/>
            <w:webHidden/>
          </w:rPr>
          <w:fldChar w:fldCharType="end"/>
        </w:r>
      </w:hyperlink>
    </w:p>
    <w:p w:rsidR="00F61DE8" w:rsidRDefault="009154AB">
      <w:pPr>
        <w:pStyle w:val="TDC2"/>
        <w:rPr>
          <w:rFonts w:asciiTheme="minorHAnsi" w:eastAsiaTheme="minorEastAsia" w:hAnsiTheme="minorHAnsi" w:cstheme="minorBidi"/>
          <w:noProof/>
          <w:sz w:val="22"/>
          <w:szCs w:val="22"/>
          <w:lang w:eastAsia="es-ES"/>
        </w:rPr>
      </w:pPr>
      <w:hyperlink w:anchor="_Toc352773604" w:history="1">
        <w:r w:rsidR="00F61DE8" w:rsidRPr="00EC50D0">
          <w:rPr>
            <w:rStyle w:val="Hipervnculo"/>
            <w:rFonts w:ascii="MinionPro-Regular" w:hAnsi="MinionPro-Regular"/>
            <w:noProof/>
            <w:lang w:val="es-ES_tradnl"/>
          </w:rPr>
          <w:t>9.12</w:t>
        </w:r>
        <w:r w:rsidR="00F61DE8">
          <w:rPr>
            <w:rFonts w:asciiTheme="minorHAnsi" w:eastAsiaTheme="minorEastAsia" w:hAnsiTheme="minorHAnsi" w:cstheme="minorBidi"/>
            <w:noProof/>
            <w:sz w:val="22"/>
            <w:szCs w:val="22"/>
            <w:lang w:eastAsia="es-ES"/>
          </w:rPr>
          <w:tab/>
        </w:r>
        <w:r w:rsidR="00F61DE8" w:rsidRPr="00EC50D0">
          <w:rPr>
            <w:rStyle w:val="Hipervnculo"/>
            <w:noProof/>
            <w:lang w:val="es-ES_tradnl"/>
          </w:rPr>
          <w:t>Retornos a 2020 de los centros especiales de empleo que implican salida de efectivo hacia las arcas públicas, en función de los escenarios</w:t>
        </w:r>
        <w:r w:rsidR="00F61DE8">
          <w:rPr>
            <w:noProof/>
            <w:webHidden/>
          </w:rPr>
          <w:tab/>
        </w:r>
        <w:r>
          <w:rPr>
            <w:noProof/>
            <w:webHidden/>
          </w:rPr>
          <w:fldChar w:fldCharType="begin"/>
        </w:r>
        <w:r w:rsidR="00F61DE8">
          <w:rPr>
            <w:noProof/>
            <w:webHidden/>
          </w:rPr>
          <w:instrText xml:space="preserve"> PAGEREF _Toc352773604 \h </w:instrText>
        </w:r>
        <w:r>
          <w:rPr>
            <w:noProof/>
            <w:webHidden/>
          </w:rPr>
        </w:r>
        <w:r>
          <w:rPr>
            <w:noProof/>
            <w:webHidden/>
          </w:rPr>
          <w:fldChar w:fldCharType="separate"/>
        </w:r>
        <w:r w:rsidR="00F61DE8">
          <w:rPr>
            <w:noProof/>
            <w:webHidden/>
          </w:rPr>
          <w:t>193</w:t>
        </w:r>
        <w:r>
          <w:rPr>
            <w:noProof/>
            <w:webHidden/>
          </w:rPr>
          <w:fldChar w:fldCharType="end"/>
        </w:r>
      </w:hyperlink>
    </w:p>
    <w:p w:rsidR="00F61DE8" w:rsidRDefault="009154AB">
      <w:pPr>
        <w:pStyle w:val="TDC2"/>
        <w:rPr>
          <w:rFonts w:asciiTheme="minorHAnsi" w:eastAsiaTheme="minorEastAsia" w:hAnsiTheme="minorHAnsi" w:cstheme="minorBidi"/>
          <w:noProof/>
          <w:sz w:val="22"/>
          <w:szCs w:val="22"/>
          <w:lang w:eastAsia="es-ES"/>
        </w:rPr>
      </w:pPr>
      <w:hyperlink w:anchor="_Toc352773605" w:history="1">
        <w:r w:rsidR="00F61DE8" w:rsidRPr="00EC50D0">
          <w:rPr>
            <w:rStyle w:val="Hipervnculo"/>
            <w:rFonts w:ascii="MinionPro-Regular" w:hAnsi="MinionPro-Regular"/>
            <w:noProof/>
            <w:lang w:val="es-ES_tradnl"/>
          </w:rPr>
          <w:t>9.13</w:t>
        </w:r>
        <w:r w:rsidR="00F61DE8">
          <w:rPr>
            <w:rFonts w:asciiTheme="minorHAnsi" w:eastAsiaTheme="minorEastAsia" w:hAnsiTheme="minorHAnsi" w:cstheme="minorBidi"/>
            <w:noProof/>
            <w:sz w:val="22"/>
            <w:szCs w:val="22"/>
            <w:lang w:eastAsia="es-ES"/>
          </w:rPr>
          <w:tab/>
        </w:r>
        <w:r w:rsidR="00F61DE8" w:rsidRPr="00EC50D0">
          <w:rPr>
            <w:rStyle w:val="Hipervnculo"/>
            <w:rFonts w:ascii="MinionPro-Regular" w:hAnsi="MinionPro-Regular"/>
            <w:noProof/>
            <w:lang w:val="es-ES_tradnl"/>
          </w:rPr>
          <w:t>Retornos a 2020 de los centros especiales de empleo que no implican salida de efectivo</w:t>
        </w:r>
        <w:r w:rsidR="00F61DE8">
          <w:rPr>
            <w:noProof/>
            <w:webHidden/>
          </w:rPr>
          <w:tab/>
        </w:r>
        <w:r>
          <w:rPr>
            <w:noProof/>
            <w:webHidden/>
          </w:rPr>
          <w:fldChar w:fldCharType="begin"/>
        </w:r>
        <w:r w:rsidR="00F61DE8">
          <w:rPr>
            <w:noProof/>
            <w:webHidden/>
          </w:rPr>
          <w:instrText xml:space="preserve"> PAGEREF _Toc352773605 \h </w:instrText>
        </w:r>
        <w:r>
          <w:rPr>
            <w:noProof/>
            <w:webHidden/>
          </w:rPr>
        </w:r>
        <w:r>
          <w:rPr>
            <w:noProof/>
            <w:webHidden/>
          </w:rPr>
          <w:fldChar w:fldCharType="separate"/>
        </w:r>
        <w:r w:rsidR="00F61DE8">
          <w:rPr>
            <w:noProof/>
            <w:webHidden/>
          </w:rPr>
          <w:t>198</w:t>
        </w:r>
        <w:r>
          <w:rPr>
            <w:noProof/>
            <w:webHidden/>
          </w:rPr>
          <w:fldChar w:fldCharType="end"/>
        </w:r>
      </w:hyperlink>
    </w:p>
    <w:p w:rsidR="00F61DE8" w:rsidRDefault="009154AB">
      <w:pPr>
        <w:pStyle w:val="TDC2"/>
        <w:rPr>
          <w:rFonts w:asciiTheme="minorHAnsi" w:eastAsiaTheme="minorEastAsia" w:hAnsiTheme="minorHAnsi" w:cstheme="minorBidi"/>
          <w:noProof/>
          <w:sz w:val="22"/>
          <w:szCs w:val="22"/>
          <w:lang w:eastAsia="es-ES"/>
        </w:rPr>
      </w:pPr>
      <w:hyperlink w:anchor="_Toc352773606" w:history="1">
        <w:r w:rsidR="00F61DE8" w:rsidRPr="00EC50D0">
          <w:rPr>
            <w:rStyle w:val="Hipervnculo"/>
            <w:rFonts w:ascii="MinionPro-Regular" w:hAnsi="MinionPro-Regular"/>
            <w:noProof/>
            <w:lang w:val="es-ES_tradnl"/>
          </w:rPr>
          <w:t>9.14</w:t>
        </w:r>
        <w:r w:rsidR="00F61DE8">
          <w:rPr>
            <w:rFonts w:asciiTheme="minorHAnsi" w:eastAsiaTheme="minorEastAsia" w:hAnsiTheme="minorHAnsi" w:cstheme="minorBidi"/>
            <w:noProof/>
            <w:sz w:val="22"/>
            <w:szCs w:val="22"/>
            <w:lang w:eastAsia="es-ES"/>
          </w:rPr>
          <w:tab/>
        </w:r>
        <w:r w:rsidR="00F61DE8" w:rsidRPr="00EC50D0">
          <w:rPr>
            <w:rStyle w:val="Hipervnculo"/>
            <w:rFonts w:ascii="MinionPro-Regular" w:hAnsi="MinionPro-Regular"/>
            <w:noProof/>
            <w:lang w:val="es-ES_tradnl"/>
          </w:rPr>
          <w:t>Retornos totales 2020 de las ayudas totales a los centros especiales de empleo</w:t>
        </w:r>
        <w:r w:rsidR="00F61DE8">
          <w:rPr>
            <w:noProof/>
            <w:webHidden/>
          </w:rPr>
          <w:tab/>
        </w:r>
        <w:r>
          <w:rPr>
            <w:noProof/>
            <w:webHidden/>
          </w:rPr>
          <w:fldChar w:fldCharType="begin"/>
        </w:r>
        <w:r w:rsidR="00F61DE8">
          <w:rPr>
            <w:noProof/>
            <w:webHidden/>
          </w:rPr>
          <w:instrText xml:space="preserve"> PAGEREF _Toc352773606 \h </w:instrText>
        </w:r>
        <w:r>
          <w:rPr>
            <w:noProof/>
            <w:webHidden/>
          </w:rPr>
        </w:r>
        <w:r>
          <w:rPr>
            <w:noProof/>
            <w:webHidden/>
          </w:rPr>
          <w:fldChar w:fldCharType="separate"/>
        </w:r>
        <w:r w:rsidR="00F61DE8">
          <w:rPr>
            <w:noProof/>
            <w:webHidden/>
          </w:rPr>
          <w:t>199</w:t>
        </w:r>
        <w:r>
          <w:rPr>
            <w:noProof/>
            <w:webHidden/>
          </w:rPr>
          <w:fldChar w:fldCharType="end"/>
        </w:r>
      </w:hyperlink>
    </w:p>
    <w:p w:rsidR="00F61DE8" w:rsidRDefault="009154AB">
      <w:pPr>
        <w:pStyle w:val="TDC1"/>
        <w:rPr>
          <w:rFonts w:asciiTheme="minorHAnsi" w:eastAsiaTheme="minorEastAsia" w:hAnsiTheme="minorHAnsi" w:cstheme="minorBidi"/>
          <w:noProof/>
          <w:sz w:val="22"/>
          <w:szCs w:val="22"/>
          <w:lang w:eastAsia="es-ES"/>
        </w:rPr>
      </w:pPr>
      <w:hyperlink w:anchor="_Toc352773607" w:history="1">
        <w:r w:rsidR="00F61DE8" w:rsidRPr="00EC50D0">
          <w:rPr>
            <w:rStyle w:val="Hipervnculo"/>
            <w:noProof/>
          </w:rPr>
          <w:t>10</w:t>
        </w:r>
        <w:r w:rsidR="00F61DE8">
          <w:rPr>
            <w:rFonts w:asciiTheme="minorHAnsi" w:eastAsiaTheme="minorEastAsia" w:hAnsiTheme="minorHAnsi" w:cstheme="minorBidi"/>
            <w:noProof/>
            <w:sz w:val="22"/>
            <w:szCs w:val="22"/>
            <w:lang w:eastAsia="es-ES"/>
          </w:rPr>
          <w:tab/>
        </w:r>
        <w:r w:rsidR="00F61DE8" w:rsidRPr="00EC50D0">
          <w:rPr>
            <w:rStyle w:val="Hipervnculo"/>
            <w:noProof/>
          </w:rPr>
          <w:t>Una visión 2020 para los centros especiales de empleo</w:t>
        </w:r>
        <w:r w:rsidR="00F61DE8">
          <w:rPr>
            <w:noProof/>
            <w:webHidden/>
          </w:rPr>
          <w:tab/>
        </w:r>
        <w:r>
          <w:rPr>
            <w:noProof/>
            <w:webHidden/>
          </w:rPr>
          <w:fldChar w:fldCharType="begin"/>
        </w:r>
        <w:r w:rsidR="00F61DE8">
          <w:rPr>
            <w:noProof/>
            <w:webHidden/>
          </w:rPr>
          <w:instrText xml:space="preserve"> PAGEREF _Toc352773607 \h </w:instrText>
        </w:r>
        <w:r>
          <w:rPr>
            <w:noProof/>
            <w:webHidden/>
          </w:rPr>
        </w:r>
        <w:r>
          <w:rPr>
            <w:noProof/>
            <w:webHidden/>
          </w:rPr>
          <w:fldChar w:fldCharType="separate"/>
        </w:r>
        <w:r w:rsidR="00F61DE8">
          <w:rPr>
            <w:noProof/>
            <w:webHidden/>
          </w:rPr>
          <w:t>204</w:t>
        </w:r>
        <w:r>
          <w:rPr>
            <w:noProof/>
            <w:webHidden/>
          </w:rPr>
          <w:fldChar w:fldCharType="end"/>
        </w:r>
      </w:hyperlink>
    </w:p>
    <w:p w:rsidR="00F61DE8" w:rsidRDefault="009154AB">
      <w:pPr>
        <w:pStyle w:val="TDC2"/>
        <w:rPr>
          <w:rFonts w:asciiTheme="minorHAnsi" w:eastAsiaTheme="minorEastAsia" w:hAnsiTheme="minorHAnsi" w:cstheme="minorBidi"/>
          <w:noProof/>
          <w:sz w:val="22"/>
          <w:szCs w:val="22"/>
          <w:lang w:eastAsia="es-ES"/>
        </w:rPr>
      </w:pPr>
      <w:hyperlink w:anchor="_Toc352773608" w:history="1">
        <w:r w:rsidR="00F61DE8" w:rsidRPr="00EC50D0">
          <w:rPr>
            <w:rStyle w:val="Hipervnculo"/>
            <w:rFonts w:ascii="MinionPro-Regular" w:hAnsi="MinionPro-Regular"/>
            <w:noProof/>
            <w:lang w:val="es-ES_tradnl"/>
          </w:rPr>
          <w:t>10.1</w:t>
        </w:r>
        <w:r w:rsidR="00F61DE8">
          <w:rPr>
            <w:rFonts w:asciiTheme="minorHAnsi" w:eastAsiaTheme="minorEastAsia" w:hAnsiTheme="minorHAnsi" w:cstheme="minorBidi"/>
            <w:noProof/>
            <w:sz w:val="22"/>
            <w:szCs w:val="22"/>
            <w:lang w:eastAsia="es-ES"/>
          </w:rPr>
          <w:tab/>
        </w:r>
        <w:r w:rsidR="00F61DE8" w:rsidRPr="00EC50D0">
          <w:rPr>
            <w:rStyle w:val="Hipervnculo"/>
            <w:noProof/>
            <w:lang w:val="es-ES_tradnl"/>
          </w:rPr>
          <w:t>Una visión de empleabilidad, competitividad y confianza</w:t>
        </w:r>
        <w:r w:rsidR="00F61DE8">
          <w:rPr>
            <w:noProof/>
            <w:webHidden/>
          </w:rPr>
          <w:tab/>
        </w:r>
        <w:r>
          <w:rPr>
            <w:noProof/>
            <w:webHidden/>
          </w:rPr>
          <w:fldChar w:fldCharType="begin"/>
        </w:r>
        <w:r w:rsidR="00F61DE8">
          <w:rPr>
            <w:noProof/>
            <w:webHidden/>
          </w:rPr>
          <w:instrText xml:space="preserve"> PAGEREF _Toc352773608 \h </w:instrText>
        </w:r>
        <w:r>
          <w:rPr>
            <w:noProof/>
            <w:webHidden/>
          </w:rPr>
        </w:r>
        <w:r>
          <w:rPr>
            <w:noProof/>
            <w:webHidden/>
          </w:rPr>
          <w:fldChar w:fldCharType="separate"/>
        </w:r>
        <w:r w:rsidR="00F61DE8">
          <w:rPr>
            <w:noProof/>
            <w:webHidden/>
          </w:rPr>
          <w:t>207</w:t>
        </w:r>
        <w:r>
          <w:rPr>
            <w:noProof/>
            <w:webHidden/>
          </w:rPr>
          <w:fldChar w:fldCharType="end"/>
        </w:r>
      </w:hyperlink>
    </w:p>
    <w:p w:rsidR="00F61DE8" w:rsidRDefault="009154AB">
      <w:pPr>
        <w:pStyle w:val="TDC2"/>
        <w:rPr>
          <w:rFonts w:asciiTheme="minorHAnsi" w:eastAsiaTheme="minorEastAsia" w:hAnsiTheme="minorHAnsi" w:cstheme="minorBidi"/>
          <w:noProof/>
          <w:sz w:val="22"/>
          <w:szCs w:val="22"/>
          <w:lang w:eastAsia="es-ES"/>
        </w:rPr>
      </w:pPr>
      <w:hyperlink w:anchor="_Toc352773609" w:history="1">
        <w:r w:rsidR="00F61DE8" w:rsidRPr="00EC50D0">
          <w:rPr>
            <w:rStyle w:val="Hipervnculo"/>
            <w:rFonts w:ascii="MinionPro-Regular" w:hAnsi="MinionPro-Regular"/>
            <w:noProof/>
            <w:lang w:val="es-ES_tradnl"/>
          </w:rPr>
          <w:t>10.2</w:t>
        </w:r>
        <w:r w:rsidR="00F61DE8">
          <w:rPr>
            <w:rFonts w:asciiTheme="minorHAnsi" w:eastAsiaTheme="minorEastAsia" w:hAnsiTheme="minorHAnsi" w:cstheme="minorBidi"/>
            <w:noProof/>
            <w:sz w:val="22"/>
            <w:szCs w:val="22"/>
            <w:lang w:eastAsia="es-ES"/>
          </w:rPr>
          <w:tab/>
        </w:r>
        <w:r w:rsidR="00F61DE8" w:rsidRPr="00EC50D0">
          <w:rPr>
            <w:rStyle w:val="Hipervnculo"/>
            <w:noProof/>
            <w:lang w:val="es-ES_tradnl"/>
          </w:rPr>
          <w:t>Actuar sobre la empleabilidad</w:t>
        </w:r>
        <w:r w:rsidR="00F61DE8">
          <w:rPr>
            <w:noProof/>
            <w:webHidden/>
          </w:rPr>
          <w:tab/>
        </w:r>
        <w:r>
          <w:rPr>
            <w:noProof/>
            <w:webHidden/>
          </w:rPr>
          <w:fldChar w:fldCharType="begin"/>
        </w:r>
        <w:r w:rsidR="00F61DE8">
          <w:rPr>
            <w:noProof/>
            <w:webHidden/>
          </w:rPr>
          <w:instrText xml:space="preserve"> PAGEREF _Toc352773609 \h </w:instrText>
        </w:r>
        <w:r>
          <w:rPr>
            <w:noProof/>
            <w:webHidden/>
          </w:rPr>
        </w:r>
        <w:r>
          <w:rPr>
            <w:noProof/>
            <w:webHidden/>
          </w:rPr>
          <w:fldChar w:fldCharType="separate"/>
        </w:r>
        <w:r w:rsidR="00F61DE8">
          <w:rPr>
            <w:noProof/>
            <w:webHidden/>
          </w:rPr>
          <w:t>210</w:t>
        </w:r>
        <w:r>
          <w:rPr>
            <w:noProof/>
            <w:webHidden/>
          </w:rPr>
          <w:fldChar w:fldCharType="end"/>
        </w:r>
      </w:hyperlink>
    </w:p>
    <w:p w:rsidR="00F61DE8" w:rsidRDefault="009154AB">
      <w:pPr>
        <w:pStyle w:val="TDC3"/>
        <w:rPr>
          <w:rFonts w:asciiTheme="minorHAnsi" w:eastAsiaTheme="minorEastAsia" w:hAnsiTheme="minorHAnsi" w:cstheme="minorBidi"/>
          <w:noProof/>
          <w:sz w:val="22"/>
          <w:szCs w:val="22"/>
          <w:lang w:eastAsia="es-ES"/>
        </w:rPr>
      </w:pPr>
      <w:hyperlink w:anchor="_Toc352773610" w:history="1">
        <w:r w:rsidR="00F61DE8" w:rsidRPr="00EC50D0">
          <w:rPr>
            <w:rStyle w:val="Hipervnculo"/>
            <w:noProof/>
            <w:lang w:val="es-ES_tradnl"/>
          </w:rPr>
          <w:t>10.2.1</w:t>
        </w:r>
        <w:r w:rsidR="00F61DE8">
          <w:rPr>
            <w:rFonts w:asciiTheme="minorHAnsi" w:eastAsiaTheme="minorEastAsia" w:hAnsiTheme="minorHAnsi" w:cstheme="minorBidi"/>
            <w:noProof/>
            <w:sz w:val="22"/>
            <w:szCs w:val="22"/>
            <w:lang w:eastAsia="es-ES"/>
          </w:rPr>
          <w:tab/>
        </w:r>
        <w:r w:rsidR="00F61DE8" w:rsidRPr="00EC50D0">
          <w:rPr>
            <w:rStyle w:val="Hipervnculo"/>
            <w:noProof/>
            <w:lang w:val="es-ES_tradnl"/>
          </w:rPr>
          <w:t>Foco en la empleabilidad y adaptación del objetivo de tránsito hacia el empleo ordinario que tienen actualmente los centros especiales de empleo</w:t>
        </w:r>
        <w:r w:rsidR="00F61DE8">
          <w:rPr>
            <w:noProof/>
            <w:webHidden/>
          </w:rPr>
          <w:tab/>
        </w:r>
        <w:r>
          <w:rPr>
            <w:noProof/>
            <w:webHidden/>
          </w:rPr>
          <w:fldChar w:fldCharType="begin"/>
        </w:r>
        <w:r w:rsidR="00F61DE8">
          <w:rPr>
            <w:noProof/>
            <w:webHidden/>
          </w:rPr>
          <w:instrText xml:space="preserve"> PAGEREF _Toc352773610 \h </w:instrText>
        </w:r>
        <w:r>
          <w:rPr>
            <w:noProof/>
            <w:webHidden/>
          </w:rPr>
        </w:r>
        <w:r>
          <w:rPr>
            <w:noProof/>
            <w:webHidden/>
          </w:rPr>
          <w:fldChar w:fldCharType="separate"/>
        </w:r>
        <w:r w:rsidR="00F61DE8">
          <w:rPr>
            <w:noProof/>
            <w:webHidden/>
          </w:rPr>
          <w:t>210</w:t>
        </w:r>
        <w:r>
          <w:rPr>
            <w:noProof/>
            <w:webHidden/>
          </w:rPr>
          <w:fldChar w:fldCharType="end"/>
        </w:r>
      </w:hyperlink>
    </w:p>
    <w:p w:rsidR="00F61DE8" w:rsidRDefault="009154AB">
      <w:pPr>
        <w:pStyle w:val="TDC3"/>
        <w:rPr>
          <w:rFonts w:asciiTheme="minorHAnsi" w:eastAsiaTheme="minorEastAsia" w:hAnsiTheme="minorHAnsi" w:cstheme="minorBidi"/>
          <w:noProof/>
          <w:sz w:val="22"/>
          <w:szCs w:val="22"/>
          <w:lang w:eastAsia="es-ES"/>
        </w:rPr>
      </w:pPr>
      <w:hyperlink w:anchor="_Toc352773611" w:history="1">
        <w:r w:rsidR="00F61DE8" w:rsidRPr="00EC50D0">
          <w:rPr>
            <w:rStyle w:val="Hipervnculo"/>
            <w:noProof/>
            <w:lang w:val="es-ES_tradnl"/>
          </w:rPr>
          <w:t>10.2.2</w:t>
        </w:r>
        <w:r w:rsidR="00F61DE8">
          <w:rPr>
            <w:rFonts w:asciiTheme="minorHAnsi" w:eastAsiaTheme="minorEastAsia" w:hAnsiTheme="minorHAnsi" w:cstheme="minorBidi"/>
            <w:noProof/>
            <w:sz w:val="22"/>
            <w:szCs w:val="22"/>
            <w:lang w:eastAsia="es-ES"/>
          </w:rPr>
          <w:tab/>
        </w:r>
        <w:r w:rsidR="00F61DE8" w:rsidRPr="00EC50D0">
          <w:rPr>
            <w:rStyle w:val="Hipervnculo"/>
            <w:noProof/>
            <w:lang w:val="es-ES_tradnl"/>
          </w:rPr>
          <w:t>Mayor implicación de las empresas en el empleo de personas con discapacidad modificando la cuota de reserva  y la aplicación de las medidas alternativas</w:t>
        </w:r>
        <w:r w:rsidR="00F61DE8">
          <w:rPr>
            <w:noProof/>
            <w:webHidden/>
          </w:rPr>
          <w:tab/>
        </w:r>
        <w:r>
          <w:rPr>
            <w:noProof/>
            <w:webHidden/>
          </w:rPr>
          <w:fldChar w:fldCharType="begin"/>
        </w:r>
        <w:r w:rsidR="00F61DE8">
          <w:rPr>
            <w:noProof/>
            <w:webHidden/>
          </w:rPr>
          <w:instrText xml:space="preserve"> PAGEREF _Toc352773611 \h </w:instrText>
        </w:r>
        <w:r>
          <w:rPr>
            <w:noProof/>
            <w:webHidden/>
          </w:rPr>
        </w:r>
        <w:r>
          <w:rPr>
            <w:noProof/>
            <w:webHidden/>
          </w:rPr>
          <w:fldChar w:fldCharType="separate"/>
        </w:r>
        <w:r w:rsidR="00F61DE8">
          <w:rPr>
            <w:noProof/>
            <w:webHidden/>
          </w:rPr>
          <w:t>216</w:t>
        </w:r>
        <w:r>
          <w:rPr>
            <w:noProof/>
            <w:webHidden/>
          </w:rPr>
          <w:fldChar w:fldCharType="end"/>
        </w:r>
      </w:hyperlink>
    </w:p>
    <w:p w:rsidR="00F61DE8" w:rsidRDefault="009154AB">
      <w:pPr>
        <w:pStyle w:val="TDC3"/>
        <w:rPr>
          <w:rFonts w:asciiTheme="minorHAnsi" w:eastAsiaTheme="minorEastAsia" w:hAnsiTheme="minorHAnsi" w:cstheme="minorBidi"/>
          <w:noProof/>
          <w:sz w:val="22"/>
          <w:szCs w:val="22"/>
          <w:lang w:eastAsia="es-ES"/>
        </w:rPr>
      </w:pPr>
      <w:hyperlink w:anchor="_Toc352773612" w:history="1">
        <w:r w:rsidR="00F61DE8" w:rsidRPr="00EC50D0">
          <w:rPr>
            <w:rStyle w:val="Hipervnculo"/>
            <w:noProof/>
            <w:lang w:val="es-ES_tradnl"/>
          </w:rPr>
          <w:t>10.2.3</w:t>
        </w:r>
        <w:r w:rsidR="00F61DE8">
          <w:rPr>
            <w:rFonts w:asciiTheme="minorHAnsi" w:eastAsiaTheme="minorEastAsia" w:hAnsiTheme="minorHAnsi" w:cstheme="minorBidi"/>
            <w:noProof/>
            <w:sz w:val="22"/>
            <w:szCs w:val="22"/>
            <w:lang w:eastAsia="es-ES"/>
          </w:rPr>
          <w:tab/>
        </w:r>
        <w:r w:rsidR="00F61DE8" w:rsidRPr="00EC50D0">
          <w:rPr>
            <w:rStyle w:val="Hipervnculo"/>
            <w:noProof/>
          </w:rPr>
          <w:t>Convergencia salarial</w:t>
        </w:r>
        <w:r w:rsidR="00F61DE8">
          <w:rPr>
            <w:noProof/>
            <w:webHidden/>
          </w:rPr>
          <w:tab/>
        </w:r>
        <w:r>
          <w:rPr>
            <w:noProof/>
            <w:webHidden/>
          </w:rPr>
          <w:fldChar w:fldCharType="begin"/>
        </w:r>
        <w:r w:rsidR="00F61DE8">
          <w:rPr>
            <w:noProof/>
            <w:webHidden/>
          </w:rPr>
          <w:instrText xml:space="preserve"> PAGEREF _Toc352773612 \h </w:instrText>
        </w:r>
        <w:r>
          <w:rPr>
            <w:noProof/>
            <w:webHidden/>
          </w:rPr>
        </w:r>
        <w:r>
          <w:rPr>
            <w:noProof/>
            <w:webHidden/>
          </w:rPr>
          <w:fldChar w:fldCharType="separate"/>
        </w:r>
        <w:r w:rsidR="00F61DE8">
          <w:rPr>
            <w:noProof/>
            <w:webHidden/>
          </w:rPr>
          <w:t>219</w:t>
        </w:r>
        <w:r>
          <w:rPr>
            <w:noProof/>
            <w:webHidden/>
          </w:rPr>
          <w:fldChar w:fldCharType="end"/>
        </w:r>
      </w:hyperlink>
    </w:p>
    <w:p w:rsidR="00F61DE8" w:rsidRDefault="009154AB">
      <w:pPr>
        <w:pStyle w:val="TDC2"/>
        <w:rPr>
          <w:rFonts w:asciiTheme="minorHAnsi" w:eastAsiaTheme="minorEastAsia" w:hAnsiTheme="minorHAnsi" w:cstheme="minorBidi"/>
          <w:noProof/>
          <w:sz w:val="22"/>
          <w:szCs w:val="22"/>
          <w:lang w:eastAsia="es-ES"/>
        </w:rPr>
      </w:pPr>
      <w:hyperlink w:anchor="_Toc352773613" w:history="1">
        <w:r w:rsidR="00F61DE8" w:rsidRPr="00EC50D0">
          <w:rPr>
            <w:rStyle w:val="Hipervnculo"/>
            <w:rFonts w:ascii="MinionPro-Regular" w:hAnsi="MinionPro-Regular"/>
            <w:noProof/>
          </w:rPr>
          <w:t>10.3</w:t>
        </w:r>
        <w:r w:rsidR="00F61DE8">
          <w:rPr>
            <w:rFonts w:asciiTheme="minorHAnsi" w:eastAsiaTheme="minorEastAsia" w:hAnsiTheme="minorHAnsi" w:cstheme="minorBidi"/>
            <w:noProof/>
            <w:sz w:val="22"/>
            <w:szCs w:val="22"/>
            <w:lang w:eastAsia="es-ES"/>
          </w:rPr>
          <w:tab/>
        </w:r>
        <w:r w:rsidR="00F61DE8" w:rsidRPr="00EC50D0">
          <w:rPr>
            <w:rStyle w:val="Hipervnculo"/>
            <w:noProof/>
          </w:rPr>
          <w:t>Actuar sobre la competitividad</w:t>
        </w:r>
        <w:r w:rsidR="00F61DE8">
          <w:rPr>
            <w:noProof/>
            <w:webHidden/>
          </w:rPr>
          <w:tab/>
        </w:r>
        <w:r>
          <w:rPr>
            <w:noProof/>
            <w:webHidden/>
          </w:rPr>
          <w:fldChar w:fldCharType="begin"/>
        </w:r>
        <w:r w:rsidR="00F61DE8">
          <w:rPr>
            <w:noProof/>
            <w:webHidden/>
          </w:rPr>
          <w:instrText xml:space="preserve"> PAGEREF _Toc352773613 \h </w:instrText>
        </w:r>
        <w:r>
          <w:rPr>
            <w:noProof/>
            <w:webHidden/>
          </w:rPr>
        </w:r>
        <w:r>
          <w:rPr>
            <w:noProof/>
            <w:webHidden/>
          </w:rPr>
          <w:fldChar w:fldCharType="separate"/>
        </w:r>
        <w:r w:rsidR="00F61DE8">
          <w:rPr>
            <w:noProof/>
            <w:webHidden/>
          </w:rPr>
          <w:t>224</w:t>
        </w:r>
        <w:r>
          <w:rPr>
            <w:noProof/>
            <w:webHidden/>
          </w:rPr>
          <w:fldChar w:fldCharType="end"/>
        </w:r>
      </w:hyperlink>
    </w:p>
    <w:p w:rsidR="00F61DE8" w:rsidRDefault="009154AB">
      <w:pPr>
        <w:pStyle w:val="TDC3"/>
        <w:rPr>
          <w:rFonts w:asciiTheme="minorHAnsi" w:eastAsiaTheme="minorEastAsia" w:hAnsiTheme="minorHAnsi" w:cstheme="minorBidi"/>
          <w:noProof/>
          <w:sz w:val="22"/>
          <w:szCs w:val="22"/>
          <w:lang w:eastAsia="es-ES"/>
        </w:rPr>
      </w:pPr>
      <w:hyperlink w:anchor="_Toc352773614" w:history="1">
        <w:r w:rsidR="00F61DE8" w:rsidRPr="00EC50D0">
          <w:rPr>
            <w:rStyle w:val="Hipervnculo"/>
            <w:noProof/>
            <w:lang w:val="es-ES_tradnl"/>
          </w:rPr>
          <w:t>10.3.1</w:t>
        </w:r>
        <w:r w:rsidR="00F61DE8">
          <w:rPr>
            <w:rFonts w:asciiTheme="minorHAnsi" w:eastAsiaTheme="minorEastAsia" w:hAnsiTheme="minorHAnsi" w:cstheme="minorBidi"/>
            <w:noProof/>
            <w:sz w:val="22"/>
            <w:szCs w:val="22"/>
            <w:lang w:eastAsia="es-ES"/>
          </w:rPr>
          <w:tab/>
        </w:r>
        <w:r w:rsidR="00F61DE8" w:rsidRPr="00EC50D0">
          <w:rPr>
            <w:rStyle w:val="Hipervnculo"/>
            <w:noProof/>
            <w:lang w:val="es-ES_tradnl"/>
          </w:rPr>
          <w:t>Mayor unidad de mercado y menos trabas administrativas</w:t>
        </w:r>
        <w:r w:rsidR="00F61DE8">
          <w:rPr>
            <w:noProof/>
            <w:webHidden/>
          </w:rPr>
          <w:tab/>
        </w:r>
        <w:r>
          <w:rPr>
            <w:noProof/>
            <w:webHidden/>
          </w:rPr>
          <w:fldChar w:fldCharType="begin"/>
        </w:r>
        <w:r w:rsidR="00F61DE8">
          <w:rPr>
            <w:noProof/>
            <w:webHidden/>
          </w:rPr>
          <w:instrText xml:space="preserve"> PAGEREF _Toc352773614 \h </w:instrText>
        </w:r>
        <w:r>
          <w:rPr>
            <w:noProof/>
            <w:webHidden/>
          </w:rPr>
        </w:r>
        <w:r>
          <w:rPr>
            <w:noProof/>
            <w:webHidden/>
          </w:rPr>
          <w:fldChar w:fldCharType="separate"/>
        </w:r>
        <w:r w:rsidR="00F61DE8">
          <w:rPr>
            <w:noProof/>
            <w:webHidden/>
          </w:rPr>
          <w:t>224</w:t>
        </w:r>
        <w:r>
          <w:rPr>
            <w:noProof/>
            <w:webHidden/>
          </w:rPr>
          <w:fldChar w:fldCharType="end"/>
        </w:r>
      </w:hyperlink>
    </w:p>
    <w:p w:rsidR="00F61DE8" w:rsidRDefault="009154AB">
      <w:pPr>
        <w:pStyle w:val="TDC3"/>
        <w:rPr>
          <w:rFonts w:asciiTheme="minorHAnsi" w:eastAsiaTheme="minorEastAsia" w:hAnsiTheme="minorHAnsi" w:cstheme="minorBidi"/>
          <w:noProof/>
          <w:sz w:val="22"/>
          <w:szCs w:val="22"/>
          <w:lang w:eastAsia="es-ES"/>
        </w:rPr>
      </w:pPr>
      <w:hyperlink w:anchor="_Toc352773615" w:history="1">
        <w:r w:rsidR="00F61DE8" w:rsidRPr="00EC50D0">
          <w:rPr>
            <w:rStyle w:val="Hipervnculo"/>
            <w:noProof/>
            <w:lang w:val="es-ES_tradnl"/>
          </w:rPr>
          <w:t>10.3.2</w:t>
        </w:r>
        <w:r w:rsidR="00F61DE8">
          <w:rPr>
            <w:rFonts w:asciiTheme="minorHAnsi" w:eastAsiaTheme="minorEastAsia" w:hAnsiTheme="minorHAnsi" w:cstheme="minorBidi"/>
            <w:noProof/>
            <w:sz w:val="22"/>
            <w:szCs w:val="22"/>
            <w:lang w:eastAsia="es-ES"/>
          </w:rPr>
          <w:tab/>
        </w:r>
        <w:r w:rsidR="00F61DE8" w:rsidRPr="00EC50D0">
          <w:rPr>
            <w:rStyle w:val="Hipervnculo"/>
            <w:noProof/>
            <w:lang w:val="es-ES_tradnl"/>
          </w:rPr>
          <w:t>Incentivos a la innovación, la eficiencia y la mejora</w:t>
        </w:r>
        <w:r w:rsidR="00F61DE8">
          <w:rPr>
            <w:noProof/>
            <w:webHidden/>
          </w:rPr>
          <w:tab/>
        </w:r>
        <w:r>
          <w:rPr>
            <w:noProof/>
            <w:webHidden/>
          </w:rPr>
          <w:fldChar w:fldCharType="begin"/>
        </w:r>
        <w:r w:rsidR="00F61DE8">
          <w:rPr>
            <w:noProof/>
            <w:webHidden/>
          </w:rPr>
          <w:instrText xml:space="preserve"> PAGEREF _Toc352773615 \h </w:instrText>
        </w:r>
        <w:r>
          <w:rPr>
            <w:noProof/>
            <w:webHidden/>
          </w:rPr>
        </w:r>
        <w:r>
          <w:rPr>
            <w:noProof/>
            <w:webHidden/>
          </w:rPr>
          <w:fldChar w:fldCharType="separate"/>
        </w:r>
        <w:r w:rsidR="00F61DE8">
          <w:rPr>
            <w:noProof/>
            <w:webHidden/>
          </w:rPr>
          <w:t>226</w:t>
        </w:r>
        <w:r>
          <w:rPr>
            <w:noProof/>
            <w:webHidden/>
          </w:rPr>
          <w:fldChar w:fldCharType="end"/>
        </w:r>
      </w:hyperlink>
    </w:p>
    <w:p w:rsidR="00F61DE8" w:rsidRDefault="009154AB">
      <w:pPr>
        <w:pStyle w:val="TDC3"/>
        <w:rPr>
          <w:rFonts w:asciiTheme="minorHAnsi" w:eastAsiaTheme="minorEastAsia" w:hAnsiTheme="minorHAnsi" w:cstheme="minorBidi"/>
          <w:noProof/>
          <w:sz w:val="22"/>
          <w:szCs w:val="22"/>
          <w:lang w:eastAsia="es-ES"/>
        </w:rPr>
      </w:pPr>
      <w:hyperlink w:anchor="_Toc352773616" w:history="1">
        <w:r w:rsidR="00F61DE8" w:rsidRPr="00EC50D0">
          <w:rPr>
            <w:rStyle w:val="Hipervnculo"/>
            <w:noProof/>
            <w:lang w:val="es-ES_tradnl"/>
          </w:rPr>
          <w:t>10.3.3</w:t>
        </w:r>
        <w:r w:rsidR="00F61DE8">
          <w:rPr>
            <w:rFonts w:asciiTheme="minorHAnsi" w:eastAsiaTheme="minorEastAsia" w:hAnsiTheme="minorHAnsi" w:cstheme="minorBidi"/>
            <w:noProof/>
            <w:sz w:val="22"/>
            <w:szCs w:val="22"/>
            <w:lang w:eastAsia="es-ES"/>
          </w:rPr>
          <w:tab/>
        </w:r>
        <w:r w:rsidR="00F61DE8" w:rsidRPr="00EC50D0">
          <w:rPr>
            <w:rStyle w:val="Hipervnculo"/>
            <w:noProof/>
            <w:lang w:val="es-ES_tradnl"/>
          </w:rPr>
          <w:t>Dotar de mayor flexibilidad al modelo</w:t>
        </w:r>
        <w:r w:rsidR="00F61DE8">
          <w:rPr>
            <w:noProof/>
            <w:webHidden/>
          </w:rPr>
          <w:tab/>
        </w:r>
        <w:r>
          <w:rPr>
            <w:noProof/>
            <w:webHidden/>
          </w:rPr>
          <w:fldChar w:fldCharType="begin"/>
        </w:r>
        <w:r w:rsidR="00F61DE8">
          <w:rPr>
            <w:noProof/>
            <w:webHidden/>
          </w:rPr>
          <w:instrText xml:space="preserve"> PAGEREF _Toc352773616 \h </w:instrText>
        </w:r>
        <w:r>
          <w:rPr>
            <w:noProof/>
            <w:webHidden/>
          </w:rPr>
        </w:r>
        <w:r>
          <w:rPr>
            <w:noProof/>
            <w:webHidden/>
          </w:rPr>
          <w:fldChar w:fldCharType="separate"/>
        </w:r>
        <w:r w:rsidR="00F61DE8">
          <w:rPr>
            <w:noProof/>
            <w:webHidden/>
          </w:rPr>
          <w:t>230</w:t>
        </w:r>
        <w:r>
          <w:rPr>
            <w:noProof/>
            <w:webHidden/>
          </w:rPr>
          <w:fldChar w:fldCharType="end"/>
        </w:r>
      </w:hyperlink>
    </w:p>
    <w:p w:rsidR="00F61DE8" w:rsidRDefault="009154AB">
      <w:pPr>
        <w:pStyle w:val="TDC3"/>
        <w:rPr>
          <w:rFonts w:asciiTheme="minorHAnsi" w:eastAsiaTheme="minorEastAsia" w:hAnsiTheme="minorHAnsi" w:cstheme="minorBidi"/>
          <w:noProof/>
          <w:sz w:val="22"/>
          <w:szCs w:val="22"/>
          <w:lang w:eastAsia="es-ES"/>
        </w:rPr>
      </w:pPr>
      <w:hyperlink w:anchor="_Toc352773617" w:history="1">
        <w:r w:rsidR="00F61DE8" w:rsidRPr="00EC50D0">
          <w:rPr>
            <w:rStyle w:val="Hipervnculo"/>
            <w:noProof/>
            <w:lang w:val="es-ES_tradnl"/>
          </w:rPr>
          <w:t>10.3.4</w:t>
        </w:r>
        <w:r w:rsidR="00F61DE8">
          <w:rPr>
            <w:rFonts w:asciiTheme="minorHAnsi" w:eastAsiaTheme="minorEastAsia" w:hAnsiTheme="minorHAnsi" w:cstheme="minorBidi"/>
            <w:noProof/>
            <w:sz w:val="22"/>
            <w:szCs w:val="22"/>
            <w:lang w:eastAsia="es-ES"/>
          </w:rPr>
          <w:tab/>
        </w:r>
        <w:r w:rsidR="00F61DE8" w:rsidRPr="00EC50D0">
          <w:rPr>
            <w:rStyle w:val="Hipervnculo"/>
            <w:noProof/>
            <w:lang w:val="es-ES_tradnl"/>
          </w:rPr>
          <w:t>Profesionalizar la gestión</w:t>
        </w:r>
        <w:r w:rsidR="00F61DE8">
          <w:rPr>
            <w:noProof/>
            <w:webHidden/>
          </w:rPr>
          <w:tab/>
        </w:r>
        <w:r>
          <w:rPr>
            <w:noProof/>
            <w:webHidden/>
          </w:rPr>
          <w:fldChar w:fldCharType="begin"/>
        </w:r>
        <w:r w:rsidR="00F61DE8">
          <w:rPr>
            <w:noProof/>
            <w:webHidden/>
          </w:rPr>
          <w:instrText xml:space="preserve"> PAGEREF _Toc352773617 \h </w:instrText>
        </w:r>
        <w:r>
          <w:rPr>
            <w:noProof/>
            <w:webHidden/>
          </w:rPr>
        </w:r>
        <w:r>
          <w:rPr>
            <w:noProof/>
            <w:webHidden/>
          </w:rPr>
          <w:fldChar w:fldCharType="separate"/>
        </w:r>
        <w:r w:rsidR="00F61DE8">
          <w:rPr>
            <w:noProof/>
            <w:webHidden/>
          </w:rPr>
          <w:t>232</w:t>
        </w:r>
        <w:r>
          <w:rPr>
            <w:noProof/>
            <w:webHidden/>
          </w:rPr>
          <w:fldChar w:fldCharType="end"/>
        </w:r>
      </w:hyperlink>
    </w:p>
    <w:p w:rsidR="00F61DE8" w:rsidRDefault="009154AB">
      <w:pPr>
        <w:pStyle w:val="TDC2"/>
        <w:rPr>
          <w:rFonts w:asciiTheme="minorHAnsi" w:eastAsiaTheme="minorEastAsia" w:hAnsiTheme="minorHAnsi" w:cstheme="minorBidi"/>
          <w:noProof/>
          <w:sz w:val="22"/>
          <w:szCs w:val="22"/>
          <w:lang w:eastAsia="es-ES"/>
        </w:rPr>
      </w:pPr>
      <w:hyperlink w:anchor="_Toc352773618" w:history="1">
        <w:r w:rsidR="00F61DE8" w:rsidRPr="00EC50D0">
          <w:rPr>
            <w:rStyle w:val="Hipervnculo"/>
            <w:rFonts w:ascii="MinionPro-Regular" w:hAnsi="MinionPro-Regular"/>
            <w:noProof/>
          </w:rPr>
          <w:t>10.4</w:t>
        </w:r>
        <w:r w:rsidR="00F61DE8">
          <w:rPr>
            <w:rFonts w:asciiTheme="minorHAnsi" w:eastAsiaTheme="minorEastAsia" w:hAnsiTheme="minorHAnsi" w:cstheme="minorBidi"/>
            <w:noProof/>
            <w:sz w:val="22"/>
            <w:szCs w:val="22"/>
            <w:lang w:eastAsia="es-ES"/>
          </w:rPr>
          <w:tab/>
        </w:r>
        <w:r w:rsidR="00F61DE8" w:rsidRPr="00EC50D0">
          <w:rPr>
            <w:rStyle w:val="Hipervnculo"/>
            <w:noProof/>
          </w:rPr>
          <w:t>Actuar sobre la confianza</w:t>
        </w:r>
        <w:r w:rsidR="00F61DE8">
          <w:rPr>
            <w:noProof/>
            <w:webHidden/>
          </w:rPr>
          <w:tab/>
        </w:r>
        <w:r>
          <w:rPr>
            <w:noProof/>
            <w:webHidden/>
          </w:rPr>
          <w:fldChar w:fldCharType="begin"/>
        </w:r>
        <w:r w:rsidR="00F61DE8">
          <w:rPr>
            <w:noProof/>
            <w:webHidden/>
          </w:rPr>
          <w:instrText xml:space="preserve"> PAGEREF _Toc352773618 \h </w:instrText>
        </w:r>
        <w:r>
          <w:rPr>
            <w:noProof/>
            <w:webHidden/>
          </w:rPr>
        </w:r>
        <w:r>
          <w:rPr>
            <w:noProof/>
            <w:webHidden/>
          </w:rPr>
          <w:fldChar w:fldCharType="separate"/>
        </w:r>
        <w:r w:rsidR="00F61DE8">
          <w:rPr>
            <w:noProof/>
            <w:webHidden/>
          </w:rPr>
          <w:t>235</w:t>
        </w:r>
        <w:r>
          <w:rPr>
            <w:noProof/>
            <w:webHidden/>
          </w:rPr>
          <w:fldChar w:fldCharType="end"/>
        </w:r>
      </w:hyperlink>
    </w:p>
    <w:p w:rsidR="00F61DE8" w:rsidRDefault="009154AB">
      <w:pPr>
        <w:pStyle w:val="TDC3"/>
        <w:rPr>
          <w:rFonts w:asciiTheme="minorHAnsi" w:eastAsiaTheme="minorEastAsia" w:hAnsiTheme="minorHAnsi" w:cstheme="minorBidi"/>
          <w:noProof/>
          <w:sz w:val="22"/>
          <w:szCs w:val="22"/>
          <w:lang w:eastAsia="es-ES"/>
        </w:rPr>
      </w:pPr>
      <w:hyperlink w:anchor="_Toc352773619" w:history="1">
        <w:r w:rsidR="00F61DE8" w:rsidRPr="00EC50D0">
          <w:rPr>
            <w:rStyle w:val="Hipervnculo"/>
            <w:rFonts w:ascii="MinionPro-Regular" w:hAnsi="MinionPro-Regular"/>
            <w:noProof/>
            <w:lang w:val="es-ES_tradnl"/>
          </w:rPr>
          <w:t>10.4.1</w:t>
        </w:r>
        <w:r w:rsidR="00F61DE8">
          <w:rPr>
            <w:rFonts w:asciiTheme="minorHAnsi" w:eastAsiaTheme="minorEastAsia" w:hAnsiTheme="minorHAnsi" w:cstheme="minorBidi"/>
            <w:noProof/>
            <w:sz w:val="22"/>
            <w:szCs w:val="22"/>
            <w:lang w:eastAsia="es-ES"/>
          </w:rPr>
          <w:tab/>
        </w:r>
        <w:r w:rsidR="00F61DE8" w:rsidRPr="00EC50D0">
          <w:rPr>
            <w:rStyle w:val="Hipervnculo"/>
            <w:noProof/>
            <w:lang w:val="es-ES_tradnl"/>
          </w:rPr>
          <w:t>Exigencia y rigor en el cumplimiento de la cuota de reserva y en las medidas alternativas.</w:t>
        </w:r>
        <w:r w:rsidR="00F61DE8">
          <w:rPr>
            <w:noProof/>
            <w:webHidden/>
          </w:rPr>
          <w:tab/>
        </w:r>
        <w:r>
          <w:rPr>
            <w:noProof/>
            <w:webHidden/>
          </w:rPr>
          <w:fldChar w:fldCharType="begin"/>
        </w:r>
        <w:r w:rsidR="00F61DE8">
          <w:rPr>
            <w:noProof/>
            <w:webHidden/>
          </w:rPr>
          <w:instrText xml:space="preserve"> PAGEREF _Toc352773619 \h </w:instrText>
        </w:r>
        <w:r>
          <w:rPr>
            <w:noProof/>
            <w:webHidden/>
          </w:rPr>
        </w:r>
        <w:r>
          <w:rPr>
            <w:noProof/>
            <w:webHidden/>
          </w:rPr>
          <w:fldChar w:fldCharType="separate"/>
        </w:r>
        <w:r w:rsidR="00F61DE8">
          <w:rPr>
            <w:noProof/>
            <w:webHidden/>
          </w:rPr>
          <w:t>235</w:t>
        </w:r>
        <w:r>
          <w:rPr>
            <w:noProof/>
            <w:webHidden/>
          </w:rPr>
          <w:fldChar w:fldCharType="end"/>
        </w:r>
      </w:hyperlink>
    </w:p>
    <w:p w:rsidR="00F61DE8" w:rsidRDefault="009154AB">
      <w:pPr>
        <w:pStyle w:val="TDC3"/>
        <w:rPr>
          <w:rFonts w:asciiTheme="minorHAnsi" w:eastAsiaTheme="minorEastAsia" w:hAnsiTheme="minorHAnsi" w:cstheme="minorBidi"/>
          <w:noProof/>
          <w:sz w:val="22"/>
          <w:szCs w:val="22"/>
          <w:lang w:eastAsia="es-ES"/>
        </w:rPr>
      </w:pPr>
      <w:hyperlink w:anchor="_Toc352773620" w:history="1">
        <w:r w:rsidR="00F61DE8" w:rsidRPr="00EC50D0">
          <w:rPr>
            <w:rStyle w:val="Hipervnculo"/>
            <w:noProof/>
            <w:lang w:val="es-ES_tradnl"/>
          </w:rPr>
          <w:t>10.4.2</w:t>
        </w:r>
        <w:r w:rsidR="00F61DE8">
          <w:rPr>
            <w:rFonts w:asciiTheme="minorHAnsi" w:eastAsiaTheme="minorEastAsia" w:hAnsiTheme="minorHAnsi" w:cstheme="minorBidi"/>
            <w:noProof/>
            <w:sz w:val="22"/>
            <w:szCs w:val="22"/>
            <w:lang w:eastAsia="es-ES"/>
          </w:rPr>
          <w:tab/>
        </w:r>
        <w:r w:rsidR="00F61DE8" w:rsidRPr="00EC50D0">
          <w:rPr>
            <w:rStyle w:val="Hipervnculo"/>
            <w:noProof/>
            <w:lang w:val="es-ES_tradnl"/>
          </w:rPr>
          <w:t>Control y transparencia</w:t>
        </w:r>
        <w:r w:rsidR="00F61DE8">
          <w:rPr>
            <w:noProof/>
            <w:webHidden/>
          </w:rPr>
          <w:tab/>
        </w:r>
        <w:r>
          <w:rPr>
            <w:noProof/>
            <w:webHidden/>
          </w:rPr>
          <w:fldChar w:fldCharType="begin"/>
        </w:r>
        <w:r w:rsidR="00F61DE8">
          <w:rPr>
            <w:noProof/>
            <w:webHidden/>
          </w:rPr>
          <w:instrText xml:space="preserve"> PAGEREF _Toc352773620 \h </w:instrText>
        </w:r>
        <w:r>
          <w:rPr>
            <w:noProof/>
            <w:webHidden/>
          </w:rPr>
        </w:r>
        <w:r>
          <w:rPr>
            <w:noProof/>
            <w:webHidden/>
          </w:rPr>
          <w:fldChar w:fldCharType="separate"/>
        </w:r>
        <w:r w:rsidR="00F61DE8">
          <w:rPr>
            <w:noProof/>
            <w:webHidden/>
          </w:rPr>
          <w:t>239</w:t>
        </w:r>
        <w:r>
          <w:rPr>
            <w:noProof/>
            <w:webHidden/>
          </w:rPr>
          <w:fldChar w:fldCharType="end"/>
        </w:r>
      </w:hyperlink>
    </w:p>
    <w:p w:rsidR="00F61DE8" w:rsidRDefault="009154AB">
      <w:pPr>
        <w:pStyle w:val="TDC3"/>
        <w:rPr>
          <w:rFonts w:asciiTheme="minorHAnsi" w:eastAsiaTheme="minorEastAsia" w:hAnsiTheme="minorHAnsi" w:cstheme="minorBidi"/>
          <w:noProof/>
          <w:sz w:val="22"/>
          <w:szCs w:val="22"/>
          <w:lang w:eastAsia="es-ES"/>
        </w:rPr>
      </w:pPr>
      <w:hyperlink w:anchor="_Toc352773621" w:history="1">
        <w:r w:rsidR="00F61DE8" w:rsidRPr="00EC50D0">
          <w:rPr>
            <w:rStyle w:val="Hipervnculo"/>
            <w:noProof/>
          </w:rPr>
          <w:t>10.4.3</w:t>
        </w:r>
        <w:r w:rsidR="00F61DE8">
          <w:rPr>
            <w:rFonts w:asciiTheme="minorHAnsi" w:eastAsiaTheme="minorEastAsia" w:hAnsiTheme="minorHAnsi" w:cstheme="minorBidi"/>
            <w:noProof/>
            <w:sz w:val="22"/>
            <w:szCs w:val="22"/>
            <w:lang w:eastAsia="es-ES"/>
          </w:rPr>
          <w:tab/>
        </w:r>
        <w:r w:rsidR="00F61DE8" w:rsidRPr="00EC50D0">
          <w:rPr>
            <w:rStyle w:val="Hipervnculo"/>
            <w:noProof/>
          </w:rPr>
          <w:t>Un marco de ayudas eficiente y sostenible</w:t>
        </w:r>
        <w:r w:rsidR="00F61DE8">
          <w:rPr>
            <w:noProof/>
            <w:webHidden/>
          </w:rPr>
          <w:tab/>
        </w:r>
        <w:r>
          <w:rPr>
            <w:noProof/>
            <w:webHidden/>
          </w:rPr>
          <w:fldChar w:fldCharType="begin"/>
        </w:r>
        <w:r w:rsidR="00F61DE8">
          <w:rPr>
            <w:noProof/>
            <w:webHidden/>
          </w:rPr>
          <w:instrText xml:space="preserve"> PAGEREF _Toc352773621 \h </w:instrText>
        </w:r>
        <w:r>
          <w:rPr>
            <w:noProof/>
            <w:webHidden/>
          </w:rPr>
        </w:r>
        <w:r>
          <w:rPr>
            <w:noProof/>
            <w:webHidden/>
          </w:rPr>
          <w:fldChar w:fldCharType="separate"/>
        </w:r>
        <w:r w:rsidR="00F61DE8">
          <w:rPr>
            <w:noProof/>
            <w:webHidden/>
          </w:rPr>
          <w:t>243</w:t>
        </w:r>
        <w:r>
          <w:rPr>
            <w:noProof/>
            <w:webHidden/>
          </w:rPr>
          <w:fldChar w:fldCharType="end"/>
        </w:r>
      </w:hyperlink>
    </w:p>
    <w:p w:rsidR="00F61DE8" w:rsidRDefault="009154AB">
      <w:pPr>
        <w:pStyle w:val="TDC1"/>
        <w:rPr>
          <w:rFonts w:asciiTheme="minorHAnsi" w:eastAsiaTheme="minorEastAsia" w:hAnsiTheme="minorHAnsi" w:cstheme="minorBidi"/>
          <w:noProof/>
          <w:sz w:val="22"/>
          <w:szCs w:val="22"/>
          <w:lang w:eastAsia="es-ES"/>
        </w:rPr>
      </w:pPr>
      <w:hyperlink w:anchor="_Toc352773622" w:history="1">
        <w:r w:rsidR="00F61DE8" w:rsidRPr="00EC50D0">
          <w:rPr>
            <w:rStyle w:val="Hipervnculo"/>
            <w:rFonts w:ascii="MinionPro-Regular" w:hAnsi="MinionPro-Regular"/>
            <w:noProof/>
            <w:lang w:val="es-ES_tradnl"/>
          </w:rPr>
          <w:t>11</w:t>
        </w:r>
        <w:r w:rsidR="00F61DE8">
          <w:rPr>
            <w:rFonts w:asciiTheme="minorHAnsi" w:eastAsiaTheme="minorEastAsia" w:hAnsiTheme="minorHAnsi" w:cstheme="minorBidi"/>
            <w:noProof/>
            <w:sz w:val="22"/>
            <w:szCs w:val="22"/>
            <w:lang w:eastAsia="es-ES"/>
          </w:rPr>
          <w:tab/>
        </w:r>
        <w:r w:rsidR="00F61DE8" w:rsidRPr="00EC50D0">
          <w:rPr>
            <w:rStyle w:val="Hipervnculo"/>
            <w:rFonts w:ascii="MinionPro-Regular" w:hAnsi="MinionPro-Regular"/>
            <w:noProof/>
            <w:lang w:val="es-ES_tradnl"/>
          </w:rPr>
          <w:t>Bibliografía</w:t>
        </w:r>
        <w:r w:rsidR="00F61DE8">
          <w:rPr>
            <w:noProof/>
            <w:webHidden/>
          </w:rPr>
          <w:tab/>
        </w:r>
        <w:r>
          <w:rPr>
            <w:noProof/>
            <w:webHidden/>
          </w:rPr>
          <w:fldChar w:fldCharType="begin"/>
        </w:r>
        <w:r w:rsidR="00F61DE8">
          <w:rPr>
            <w:noProof/>
            <w:webHidden/>
          </w:rPr>
          <w:instrText xml:space="preserve"> PAGEREF _Toc352773622 \h </w:instrText>
        </w:r>
        <w:r>
          <w:rPr>
            <w:noProof/>
            <w:webHidden/>
          </w:rPr>
        </w:r>
        <w:r>
          <w:rPr>
            <w:noProof/>
            <w:webHidden/>
          </w:rPr>
          <w:fldChar w:fldCharType="separate"/>
        </w:r>
        <w:r w:rsidR="00F61DE8">
          <w:rPr>
            <w:noProof/>
            <w:webHidden/>
          </w:rPr>
          <w:t>250</w:t>
        </w:r>
        <w:r>
          <w:rPr>
            <w:noProof/>
            <w:webHidden/>
          </w:rPr>
          <w:fldChar w:fldCharType="end"/>
        </w:r>
      </w:hyperlink>
    </w:p>
    <w:p w:rsidR="00F61DE8" w:rsidRDefault="009154AB">
      <w:pPr>
        <w:pStyle w:val="TDC2"/>
        <w:rPr>
          <w:rFonts w:asciiTheme="minorHAnsi" w:eastAsiaTheme="minorEastAsia" w:hAnsiTheme="minorHAnsi" w:cstheme="minorBidi"/>
          <w:noProof/>
          <w:sz w:val="22"/>
          <w:szCs w:val="22"/>
          <w:lang w:eastAsia="es-ES"/>
        </w:rPr>
      </w:pPr>
      <w:hyperlink w:anchor="_Toc352773623" w:history="1">
        <w:r w:rsidR="00F61DE8" w:rsidRPr="00EC50D0">
          <w:rPr>
            <w:rStyle w:val="Hipervnculo"/>
            <w:rFonts w:ascii="MinionPro-Regular" w:hAnsi="MinionPro-Regular"/>
            <w:noProof/>
            <w:lang w:val="es-ES_tradnl"/>
          </w:rPr>
          <w:t>11.1</w:t>
        </w:r>
        <w:r w:rsidR="00F61DE8">
          <w:rPr>
            <w:rFonts w:asciiTheme="minorHAnsi" w:eastAsiaTheme="minorEastAsia" w:hAnsiTheme="minorHAnsi" w:cstheme="minorBidi"/>
            <w:noProof/>
            <w:sz w:val="22"/>
            <w:szCs w:val="22"/>
            <w:lang w:eastAsia="es-ES"/>
          </w:rPr>
          <w:tab/>
        </w:r>
        <w:r w:rsidR="00F61DE8" w:rsidRPr="00EC50D0">
          <w:rPr>
            <w:rStyle w:val="Hipervnculo"/>
            <w:noProof/>
            <w:lang w:val="es-ES_tradnl"/>
          </w:rPr>
          <w:t>Normativa</w:t>
        </w:r>
        <w:r w:rsidR="00F61DE8">
          <w:rPr>
            <w:noProof/>
            <w:webHidden/>
          </w:rPr>
          <w:tab/>
        </w:r>
        <w:r>
          <w:rPr>
            <w:noProof/>
            <w:webHidden/>
          </w:rPr>
          <w:fldChar w:fldCharType="begin"/>
        </w:r>
        <w:r w:rsidR="00F61DE8">
          <w:rPr>
            <w:noProof/>
            <w:webHidden/>
          </w:rPr>
          <w:instrText xml:space="preserve"> PAGEREF _Toc352773623 \h </w:instrText>
        </w:r>
        <w:r>
          <w:rPr>
            <w:noProof/>
            <w:webHidden/>
          </w:rPr>
        </w:r>
        <w:r>
          <w:rPr>
            <w:noProof/>
            <w:webHidden/>
          </w:rPr>
          <w:fldChar w:fldCharType="separate"/>
        </w:r>
        <w:r w:rsidR="00F61DE8">
          <w:rPr>
            <w:noProof/>
            <w:webHidden/>
          </w:rPr>
          <w:t>257</w:t>
        </w:r>
        <w:r>
          <w:rPr>
            <w:noProof/>
            <w:webHidden/>
          </w:rPr>
          <w:fldChar w:fldCharType="end"/>
        </w:r>
      </w:hyperlink>
    </w:p>
    <w:p w:rsidR="00F61DE8" w:rsidRDefault="009154AB">
      <w:pPr>
        <w:pStyle w:val="TDC1"/>
        <w:rPr>
          <w:rFonts w:asciiTheme="minorHAnsi" w:eastAsiaTheme="minorEastAsia" w:hAnsiTheme="minorHAnsi" w:cstheme="minorBidi"/>
          <w:noProof/>
          <w:sz w:val="22"/>
          <w:szCs w:val="22"/>
          <w:lang w:eastAsia="es-ES"/>
        </w:rPr>
      </w:pPr>
      <w:hyperlink w:anchor="_Toc352773624" w:history="1">
        <w:r w:rsidR="00F61DE8" w:rsidRPr="00EC50D0">
          <w:rPr>
            <w:rStyle w:val="Hipervnculo"/>
            <w:rFonts w:ascii="MinionPro-Regular" w:hAnsi="MinionPro-Regular"/>
            <w:noProof/>
            <w:lang w:val="es-ES_tradnl"/>
          </w:rPr>
          <w:t>12</w:t>
        </w:r>
        <w:r w:rsidR="00F61DE8">
          <w:rPr>
            <w:rFonts w:asciiTheme="minorHAnsi" w:eastAsiaTheme="minorEastAsia" w:hAnsiTheme="minorHAnsi" w:cstheme="minorBidi"/>
            <w:noProof/>
            <w:sz w:val="22"/>
            <w:szCs w:val="22"/>
            <w:lang w:eastAsia="es-ES"/>
          </w:rPr>
          <w:tab/>
        </w:r>
        <w:r w:rsidR="00F61DE8" w:rsidRPr="00EC50D0">
          <w:rPr>
            <w:rStyle w:val="Hipervnculo"/>
            <w:rFonts w:ascii="MinionPro-Regular" w:hAnsi="MinionPro-Regular"/>
            <w:noProof/>
            <w:lang w:val="es-ES_tradnl"/>
          </w:rPr>
          <w:t>Anexos</w:t>
        </w:r>
        <w:r w:rsidR="00F61DE8">
          <w:rPr>
            <w:noProof/>
            <w:webHidden/>
          </w:rPr>
          <w:tab/>
        </w:r>
        <w:r>
          <w:rPr>
            <w:noProof/>
            <w:webHidden/>
          </w:rPr>
          <w:fldChar w:fldCharType="begin"/>
        </w:r>
        <w:r w:rsidR="00F61DE8">
          <w:rPr>
            <w:noProof/>
            <w:webHidden/>
          </w:rPr>
          <w:instrText xml:space="preserve"> PAGEREF _Toc352773624 \h </w:instrText>
        </w:r>
        <w:r>
          <w:rPr>
            <w:noProof/>
            <w:webHidden/>
          </w:rPr>
        </w:r>
        <w:r>
          <w:rPr>
            <w:noProof/>
            <w:webHidden/>
          </w:rPr>
          <w:fldChar w:fldCharType="separate"/>
        </w:r>
        <w:r w:rsidR="00F61DE8">
          <w:rPr>
            <w:noProof/>
            <w:webHidden/>
          </w:rPr>
          <w:t>261</w:t>
        </w:r>
        <w:r>
          <w:rPr>
            <w:noProof/>
            <w:webHidden/>
          </w:rPr>
          <w:fldChar w:fldCharType="end"/>
        </w:r>
      </w:hyperlink>
    </w:p>
    <w:p w:rsidR="00F61DE8" w:rsidRDefault="009154AB">
      <w:pPr>
        <w:pStyle w:val="TDC2"/>
        <w:rPr>
          <w:rFonts w:asciiTheme="minorHAnsi" w:eastAsiaTheme="minorEastAsia" w:hAnsiTheme="minorHAnsi" w:cstheme="minorBidi"/>
          <w:noProof/>
          <w:sz w:val="22"/>
          <w:szCs w:val="22"/>
          <w:lang w:eastAsia="es-ES"/>
        </w:rPr>
      </w:pPr>
      <w:hyperlink w:anchor="_Toc352773625" w:history="1">
        <w:r w:rsidR="00F61DE8" w:rsidRPr="00EC50D0">
          <w:rPr>
            <w:rStyle w:val="Hipervnculo"/>
            <w:rFonts w:ascii="MinionPro-Regular" w:hAnsi="MinionPro-Regular"/>
            <w:noProof/>
            <w:lang w:val="es-ES_tradnl"/>
          </w:rPr>
          <w:t>12.1</w:t>
        </w:r>
        <w:r w:rsidR="00F61DE8">
          <w:rPr>
            <w:rFonts w:asciiTheme="minorHAnsi" w:eastAsiaTheme="minorEastAsia" w:hAnsiTheme="minorHAnsi" w:cstheme="minorBidi"/>
            <w:noProof/>
            <w:sz w:val="22"/>
            <w:szCs w:val="22"/>
            <w:lang w:eastAsia="es-ES"/>
          </w:rPr>
          <w:tab/>
        </w:r>
        <w:r w:rsidR="00F61DE8" w:rsidRPr="00EC50D0">
          <w:rPr>
            <w:rStyle w:val="Hipervnculo"/>
            <w:rFonts w:ascii="MinionPro-Regular" w:hAnsi="MinionPro-Regular"/>
            <w:noProof/>
            <w:lang w:val="es-ES_tradnl"/>
          </w:rPr>
          <w:t>Agradecimientos a las personas que han participado del estudio</w:t>
        </w:r>
        <w:r w:rsidR="00F61DE8">
          <w:rPr>
            <w:noProof/>
            <w:webHidden/>
          </w:rPr>
          <w:tab/>
        </w:r>
        <w:r>
          <w:rPr>
            <w:noProof/>
            <w:webHidden/>
          </w:rPr>
          <w:fldChar w:fldCharType="begin"/>
        </w:r>
        <w:r w:rsidR="00F61DE8">
          <w:rPr>
            <w:noProof/>
            <w:webHidden/>
          </w:rPr>
          <w:instrText xml:space="preserve"> PAGEREF _Toc352773625 \h </w:instrText>
        </w:r>
        <w:r>
          <w:rPr>
            <w:noProof/>
            <w:webHidden/>
          </w:rPr>
        </w:r>
        <w:r>
          <w:rPr>
            <w:noProof/>
            <w:webHidden/>
          </w:rPr>
          <w:fldChar w:fldCharType="separate"/>
        </w:r>
        <w:r w:rsidR="00F61DE8">
          <w:rPr>
            <w:noProof/>
            <w:webHidden/>
          </w:rPr>
          <w:t>261</w:t>
        </w:r>
        <w:r>
          <w:rPr>
            <w:noProof/>
            <w:webHidden/>
          </w:rPr>
          <w:fldChar w:fldCharType="end"/>
        </w:r>
      </w:hyperlink>
    </w:p>
    <w:p w:rsidR="00F61DE8" w:rsidRDefault="009154AB">
      <w:pPr>
        <w:pStyle w:val="TDC2"/>
        <w:rPr>
          <w:rFonts w:asciiTheme="minorHAnsi" w:eastAsiaTheme="minorEastAsia" w:hAnsiTheme="minorHAnsi" w:cstheme="minorBidi"/>
          <w:noProof/>
          <w:sz w:val="22"/>
          <w:szCs w:val="22"/>
          <w:lang w:eastAsia="es-ES"/>
        </w:rPr>
      </w:pPr>
      <w:hyperlink w:anchor="_Toc352773626" w:history="1">
        <w:r w:rsidR="00F61DE8" w:rsidRPr="00EC50D0">
          <w:rPr>
            <w:rStyle w:val="Hipervnculo"/>
            <w:rFonts w:ascii="MinionPro-Regular" w:hAnsi="MinionPro-Regular"/>
            <w:noProof/>
            <w:lang w:val="es-ES_tradnl"/>
          </w:rPr>
          <w:t>12.2</w:t>
        </w:r>
        <w:r w:rsidR="00F61DE8">
          <w:rPr>
            <w:rFonts w:asciiTheme="minorHAnsi" w:eastAsiaTheme="minorEastAsia" w:hAnsiTheme="minorHAnsi" w:cstheme="minorBidi"/>
            <w:noProof/>
            <w:sz w:val="22"/>
            <w:szCs w:val="22"/>
            <w:lang w:eastAsia="es-ES"/>
          </w:rPr>
          <w:tab/>
        </w:r>
        <w:r w:rsidR="00F61DE8" w:rsidRPr="00EC50D0">
          <w:rPr>
            <w:rStyle w:val="Hipervnculo"/>
            <w:rFonts w:ascii="MinionPro-Regular" w:hAnsi="MinionPro-Regular"/>
            <w:noProof/>
            <w:lang w:val="es-ES_tradnl"/>
          </w:rPr>
          <w:t>Anexo I: Entrevistas a expertos del sector</w:t>
        </w:r>
        <w:r w:rsidR="00F61DE8">
          <w:rPr>
            <w:noProof/>
            <w:webHidden/>
          </w:rPr>
          <w:tab/>
        </w:r>
        <w:r>
          <w:rPr>
            <w:noProof/>
            <w:webHidden/>
          </w:rPr>
          <w:fldChar w:fldCharType="begin"/>
        </w:r>
        <w:r w:rsidR="00F61DE8">
          <w:rPr>
            <w:noProof/>
            <w:webHidden/>
          </w:rPr>
          <w:instrText xml:space="preserve"> PAGEREF _Toc352773626 \h </w:instrText>
        </w:r>
        <w:r>
          <w:rPr>
            <w:noProof/>
            <w:webHidden/>
          </w:rPr>
        </w:r>
        <w:r>
          <w:rPr>
            <w:noProof/>
            <w:webHidden/>
          </w:rPr>
          <w:fldChar w:fldCharType="separate"/>
        </w:r>
        <w:r w:rsidR="00F61DE8">
          <w:rPr>
            <w:noProof/>
            <w:webHidden/>
          </w:rPr>
          <w:t>263</w:t>
        </w:r>
        <w:r>
          <w:rPr>
            <w:noProof/>
            <w:webHidden/>
          </w:rPr>
          <w:fldChar w:fldCharType="end"/>
        </w:r>
      </w:hyperlink>
    </w:p>
    <w:p w:rsidR="00F61DE8" w:rsidRDefault="009154AB">
      <w:pPr>
        <w:pStyle w:val="TDC2"/>
        <w:rPr>
          <w:rFonts w:asciiTheme="minorHAnsi" w:eastAsiaTheme="minorEastAsia" w:hAnsiTheme="minorHAnsi" w:cstheme="minorBidi"/>
          <w:noProof/>
          <w:sz w:val="22"/>
          <w:szCs w:val="22"/>
          <w:lang w:eastAsia="es-ES"/>
        </w:rPr>
      </w:pPr>
      <w:hyperlink w:anchor="_Toc352773627" w:history="1">
        <w:r w:rsidR="00F61DE8" w:rsidRPr="00EC50D0">
          <w:rPr>
            <w:rStyle w:val="Hipervnculo"/>
            <w:rFonts w:ascii="MinionPro-Regular" w:hAnsi="MinionPro-Regular"/>
            <w:noProof/>
            <w:lang w:val="es-ES_tradnl"/>
          </w:rPr>
          <w:t>12.3</w:t>
        </w:r>
        <w:r w:rsidR="00F61DE8">
          <w:rPr>
            <w:rFonts w:asciiTheme="minorHAnsi" w:eastAsiaTheme="minorEastAsia" w:hAnsiTheme="minorHAnsi" w:cstheme="minorBidi"/>
            <w:noProof/>
            <w:sz w:val="22"/>
            <w:szCs w:val="22"/>
            <w:lang w:eastAsia="es-ES"/>
          </w:rPr>
          <w:tab/>
        </w:r>
        <w:r w:rsidR="00F61DE8" w:rsidRPr="00EC50D0">
          <w:rPr>
            <w:rStyle w:val="Hipervnculo"/>
            <w:rFonts w:ascii="MinionPro-Regular" w:hAnsi="MinionPro-Regular"/>
            <w:noProof/>
            <w:lang w:val="es-ES_tradnl"/>
          </w:rPr>
          <w:t>Anexo II: Visitas a Centros Especiales de Empleo</w:t>
        </w:r>
        <w:r w:rsidR="00F61DE8">
          <w:rPr>
            <w:noProof/>
            <w:webHidden/>
          </w:rPr>
          <w:tab/>
        </w:r>
        <w:r>
          <w:rPr>
            <w:noProof/>
            <w:webHidden/>
          </w:rPr>
          <w:fldChar w:fldCharType="begin"/>
        </w:r>
        <w:r w:rsidR="00F61DE8">
          <w:rPr>
            <w:noProof/>
            <w:webHidden/>
          </w:rPr>
          <w:instrText xml:space="preserve"> PAGEREF _Toc352773627 \h </w:instrText>
        </w:r>
        <w:r>
          <w:rPr>
            <w:noProof/>
            <w:webHidden/>
          </w:rPr>
        </w:r>
        <w:r>
          <w:rPr>
            <w:noProof/>
            <w:webHidden/>
          </w:rPr>
          <w:fldChar w:fldCharType="separate"/>
        </w:r>
        <w:r w:rsidR="00F61DE8">
          <w:rPr>
            <w:noProof/>
            <w:webHidden/>
          </w:rPr>
          <w:t>264</w:t>
        </w:r>
        <w:r>
          <w:rPr>
            <w:noProof/>
            <w:webHidden/>
          </w:rPr>
          <w:fldChar w:fldCharType="end"/>
        </w:r>
      </w:hyperlink>
    </w:p>
    <w:p w:rsidR="00F61DE8" w:rsidRDefault="009154AB">
      <w:pPr>
        <w:pStyle w:val="TDC2"/>
        <w:rPr>
          <w:rFonts w:asciiTheme="minorHAnsi" w:eastAsiaTheme="minorEastAsia" w:hAnsiTheme="minorHAnsi" w:cstheme="minorBidi"/>
          <w:noProof/>
          <w:sz w:val="22"/>
          <w:szCs w:val="22"/>
          <w:lang w:eastAsia="es-ES"/>
        </w:rPr>
      </w:pPr>
      <w:hyperlink w:anchor="_Toc352773628" w:history="1">
        <w:r w:rsidR="00F61DE8" w:rsidRPr="00EC50D0">
          <w:rPr>
            <w:rStyle w:val="Hipervnculo"/>
            <w:rFonts w:ascii="MinionPro-Regular" w:hAnsi="MinionPro-Regular"/>
            <w:noProof/>
            <w:lang w:val="es-ES_tradnl"/>
          </w:rPr>
          <w:t>12.4</w:t>
        </w:r>
        <w:r w:rsidR="00F61DE8">
          <w:rPr>
            <w:rFonts w:asciiTheme="minorHAnsi" w:eastAsiaTheme="minorEastAsia" w:hAnsiTheme="minorHAnsi" w:cstheme="minorBidi"/>
            <w:noProof/>
            <w:sz w:val="22"/>
            <w:szCs w:val="22"/>
            <w:lang w:eastAsia="es-ES"/>
          </w:rPr>
          <w:tab/>
        </w:r>
        <w:r w:rsidR="00F61DE8" w:rsidRPr="00EC50D0">
          <w:rPr>
            <w:rStyle w:val="Hipervnculo"/>
            <w:rFonts w:ascii="MinionPro-Regular" w:hAnsi="MinionPro-Regular"/>
            <w:noProof/>
            <w:lang w:val="es-ES_tradnl"/>
          </w:rPr>
          <w:t>Anexo III: Encuesta online enviada a los centros especiales de empleo</w:t>
        </w:r>
        <w:r w:rsidR="00F61DE8">
          <w:rPr>
            <w:noProof/>
            <w:webHidden/>
          </w:rPr>
          <w:tab/>
        </w:r>
        <w:r>
          <w:rPr>
            <w:noProof/>
            <w:webHidden/>
          </w:rPr>
          <w:fldChar w:fldCharType="begin"/>
        </w:r>
        <w:r w:rsidR="00F61DE8">
          <w:rPr>
            <w:noProof/>
            <w:webHidden/>
          </w:rPr>
          <w:instrText xml:space="preserve"> PAGEREF _Toc352773628 \h </w:instrText>
        </w:r>
        <w:r>
          <w:rPr>
            <w:noProof/>
            <w:webHidden/>
          </w:rPr>
        </w:r>
        <w:r>
          <w:rPr>
            <w:noProof/>
            <w:webHidden/>
          </w:rPr>
          <w:fldChar w:fldCharType="separate"/>
        </w:r>
        <w:r w:rsidR="00F61DE8">
          <w:rPr>
            <w:noProof/>
            <w:webHidden/>
          </w:rPr>
          <w:t>270</w:t>
        </w:r>
        <w:r>
          <w:rPr>
            <w:noProof/>
            <w:webHidden/>
          </w:rPr>
          <w:fldChar w:fldCharType="end"/>
        </w:r>
      </w:hyperlink>
    </w:p>
    <w:p w:rsidR="00F61DE8" w:rsidRDefault="009154AB">
      <w:pPr>
        <w:pStyle w:val="TDC2"/>
        <w:rPr>
          <w:rFonts w:asciiTheme="minorHAnsi" w:eastAsiaTheme="minorEastAsia" w:hAnsiTheme="minorHAnsi" w:cstheme="minorBidi"/>
          <w:noProof/>
          <w:sz w:val="22"/>
          <w:szCs w:val="22"/>
          <w:lang w:eastAsia="es-ES"/>
        </w:rPr>
      </w:pPr>
      <w:hyperlink w:anchor="_Toc352773629" w:history="1">
        <w:r w:rsidR="00F61DE8" w:rsidRPr="00EC50D0">
          <w:rPr>
            <w:rStyle w:val="Hipervnculo"/>
            <w:rFonts w:ascii="MinionPro-Regular" w:hAnsi="MinionPro-Regular"/>
            <w:noProof/>
            <w:lang w:val="es-ES_tradnl"/>
          </w:rPr>
          <w:t>12.5</w:t>
        </w:r>
        <w:r w:rsidR="00F61DE8">
          <w:rPr>
            <w:rFonts w:asciiTheme="minorHAnsi" w:eastAsiaTheme="minorEastAsia" w:hAnsiTheme="minorHAnsi" w:cstheme="minorBidi"/>
            <w:noProof/>
            <w:sz w:val="22"/>
            <w:szCs w:val="22"/>
            <w:lang w:eastAsia="es-ES"/>
          </w:rPr>
          <w:tab/>
        </w:r>
        <w:r w:rsidR="00F61DE8" w:rsidRPr="00EC50D0">
          <w:rPr>
            <w:rStyle w:val="Hipervnculo"/>
            <w:rFonts w:ascii="MinionPro-Regular" w:hAnsi="MinionPro-Regular"/>
            <w:noProof/>
            <w:lang w:val="es-ES_tradnl"/>
          </w:rPr>
          <w:t>Anexo III: Mesas de trabajo</w:t>
        </w:r>
        <w:r w:rsidR="00F61DE8">
          <w:rPr>
            <w:noProof/>
            <w:webHidden/>
          </w:rPr>
          <w:tab/>
        </w:r>
        <w:r>
          <w:rPr>
            <w:noProof/>
            <w:webHidden/>
          </w:rPr>
          <w:fldChar w:fldCharType="begin"/>
        </w:r>
        <w:r w:rsidR="00F61DE8">
          <w:rPr>
            <w:noProof/>
            <w:webHidden/>
          </w:rPr>
          <w:instrText xml:space="preserve"> PAGEREF _Toc352773629 \h </w:instrText>
        </w:r>
        <w:r>
          <w:rPr>
            <w:noProof/>
            <w:webHidden/>
          </w:rPr>
        </w:r>
        <w:r>
          <w:rPr>
            <w:noProof/>
            <w:webHidden/>
          </w:rPr>
          <w:fldChar w:fldCharType="separate"/>
        </w:r>
        <w:r w:rsidR="00F61DE8">
          <w:rPr>
            <w:noProof/>
            <w:webHidden/>
          </w:rPr>
          <w:t>278</w:t>
        </w:r>
        <w:r>
          <w:rPr>
            <w:noProof/>
            <w:webHidden/>
          </w:rPr>
          <w:fldChar w:fldCharType="end"/>
        </w:r>
      </w:hyperlink>
    </w:p>
    <w:p w:rsidR="00E2336B" w:rsidRDefault="009154AB">
      <w:r>
        <w:fldChar w:fldCharType="end"/>
      </w:r>
    </w:p>
    <w:p w:rsidR="00E2336B" w:rsidRPr="005573EA" w:rsidRDefault="00E2336B" w:rsidP="005573EA">
      <w:pPr>
        <w:sectPr w:rsidR="00E2336B" w:rsidRPr="005573EA">
          <w:headerReference w:type="even" r:id="rId15"/>
          <w:headerReference w:type="default" r:id="rId16"/>
          <w:footerReference w:type="default" r:id="rId17"/>
          <w:headerReference w:type="first" r:id="rId18"/>
          <w:pgSz w:w="11907" w:h="16840" w:code="9"/>
          <w:pgMar w:top="2835" w:right="1474" w:bottom="1588" w:left="1474" w:header="1077" w:footer="709" w:gutter="454"/>
          <w:pgNumType w:fmt="lowerRoman" w:start="1"/>
          <w:cols w:space="737"/>
        </w:sectPr>
      </w:pPr>
    </w:p>
    <w:p w:rsidR="00E2336B" w:rsidRDefault="00E2336B" w:rsidP="0007541A">
      <w:pPr>
        <w:pStyle w:val="Ttulo1"/>
        <w:numPr>
          <w:ilvl w:val="0"/>
          <w:numId w:val="3"/>
        </w:numPr>
      </w:pPr>
      <w:bookmarkStart w:id="3" w:name="Text"/>
      <w:bookmarkStart w:id="4" w:name="_Toc339900959"/>
      <w:bookmarkStart w:id="5" w:name="_Toc352773538"/>
      <w:bookmarkStart w:id="6" w:name="_Toc340340540"/>
      <w:bookmarkEnd w:id="3"/>
      <w:bookmarkEnd w:id="4"/>
      <w:r>
        <w:lastRenderedPageBreak/>
        <w:t>Introducción</w:t>
      </w:r>
      <w:bookmarkEnd w:id="5"/>
    </w:p>
    <w:p w:rsidR="00E2336B" w:rsidRDefault="00E2336B" w:rsidP="00967861">
      <w:pPr>
        <w:pStyle w:val="Textoindependiente"/>
        <w:rPr>
          <w:lang w:val="es-ES_tradnl"/>
        </w:rPr>
      </w:pPr>
    </w:p>
    <w:p w:rsidR="00E2336B" w:rsidRDefault="00E2336B" w:rsidP="00CC46B8">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Las personas con discapacidad se enfrentan a dificultades mayores que el resto de la población en numerosos ámbitos de la vida cotidiana. Especialmente en el educativo y en el de la inserción laboral. Ello redunda en la generación de un proceso de feedback negativo, un círculo vicioso, que concluye con las personas con discapacidad sufriendo mayores tasas de pobreza y de exclusión social. España no es ajena a los problemas anteriores. Más bien al contrario; de entre los países más avanzados, España tiene el triste privilegio de encontrarse entre aquellos que ponen las cosas más difíciles a las personas con discapacidad. Quizá el relativo retraso español esté relacionado con el menor porcentaje del PIB que nuestro país dedica, en comparación con otros países europeos, y de acuerdo a los datos de los organismos internacionales, a la integración de personas con discapacidad.</w:t>
      </w:r>
    </w:p>
    <w:p w:rsidR="00E2336B" w:rsidRDefault="00E2336B" w:rsidP="00CC46B8">
      <w:pPr>
        <w:autoSpaceDE w:val="0"/>
        <w:autoSpaceDN w:val="0"/>
        <w:spacing w:line="360" w:lineRule="auto"/>
        <w:jc w:val="both"/>
        <w:rPr>
          <w:rFonts w:ascii="MinionPro-Regular" w:hAnsi="MinionPro-Regular"/>
          <w:sz w:val="24"/>
          <w:szCs w:val="24"/>
          <w:lang w:val="es-ES_tradnl"/>
        </w:rPr>
      </w:pPr>
    </w:p>
    <w:p w:rsidR="00E2336B" w:rsidRDefault="00E2336B" w:rsidP="00CC46B8">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Por si fuera poco, la situación económica del país no ayuda a la mejora del bienestar de colectivos vulnerables. Según recoge el documento “Assesing the impact of European Governments’ austerity plan son the rights of people with disabilities”, elaborado en octubre de 2012 por el European Foundation Centre, los recortes de presupuesto dedicado a servicios y beneficios sociales relacionados con la discapacidad han constituido uno de los focos de las políticas de austeridad. Con el objetivo de crear sistemas más sostenibles, las reformas ponen en riesgo la capacidad de las personas con discapacidad de encontrar un empleo.  Este riesgo es aún mayor cuando no existen indicadores fiables a través de los que se pueda medir el impacto real de las medidas de austeridad, tal y como señala el mismo documento.</w:t>
      </w:r>
    </w:p>
    <w:p w:rsidR="00E2336B" w:rsidRDefault="00E2336B" w:rsidP="00CC46B8">
      <w:pPr>
        <w:autoSpaceDE w:val="0"/>
        <w:autoSpaceDN w:val="0"/>
        <w:spacing w:line="360" w:lineRule="auto"/>
        <w:jc w:val="both"/>
        <w:rPr>
          <w:rFonts w:ascii="MinionPro-Regular" w:hAnsi="MinionPro-Regular"/>
          <w:sz w:val="24"/>
          <w:szCs w:val="24"/>
          <w:lang w:val="es-ES_tradnl"/>
        </w:rPr>
      </w:pPr>
    </w:p>
    <w:p w:rsidR="00E2336B" w:rsidRPr="00D373FC" w:rsidRDefault="00E2336B" w:rsidP="00CC46B8">
      <w:pPr>
        <w:autoSpaceDE w:val="0"/>
        <w:autoSpaceDN w:val="0"/>
        <w:spacing w:line="360" w:lineRule="auto"/>
        <w:jc w:val="both"/>
        <w:rPr>
          <w:rFonts w:ascii="MinionPro-Regular" w:hAnsi="MinionPro-Regular"/>
          <w:sz w:val="24"/>
          <w:szCs w:val="24"/>
        </w:rPr>
      </w:pPr>
      <w:r>
        <w:rPr>
          <w:rFonts w:ascii="MinionPro-Regular" w:hAnsi="MinionPro-Regular"/>
          <w:sz w:val="24"/>
          <w:szCs w:val="24"/>
          <w:lang w:val="es-ES_tradnl"/>
        </w:rPr>
        <w:lastRenderedPageBreak/>
        <w:t>Los recortes en personal, presupuestos, y ayudas desde el sector público resultan en cierto modo contradictorias con el creciente número de personas que necesitan apoyo. No debemos olvidar, por ejemplo, que la pérdida de empleo y los problemas económicos y personales que lleva asociada han provocado un incremento considerable de las enfermedades mentales</w:t>
      </w:r>
      <w:r>
        <w:rPr>
          <w:rStyle w:val="Refdenotaalpie"/>
          <w:rFonts w:ascii="MinionPro-Regular" w:hAnsi="MinionPro-Regular"/>
          <w:sz w:val="24"/>
          <w:szCs w:val="24"/>
          <w:lang w:val="es-ES_tradnl"/>
        </w:rPr>
        <w:footnoteReference w:id="1"/>
      </w:r>
      <w:r>
        <w:rPr>
          <w:rFonts w:ascii="MinionPro-Regular" w:hAnsi="MinionPro-Regular"/>
          <w:sz w:val="24"/>
          <w:szCs w:val="24"/>
          <w:lang w:val="es-ES_tradnl"/>
        </w:rPr>
        <w:t>.</w:t>
      </w:r>
    </w:p>
    <w:p w:rsidR="00E2336B" w:rsidRDefault="00E2336B" w:rsidP="00CC46B8">
      <w:pPr>
        <w:autoSpaceDE w:val="0"/>
        <w:autoSpaceDN w:val="0"/>
        <w:spacing w:line="360" w:lineRule="auto"/>
        <w:jc w:val="both"/>
        <w:rPr>
          <w:rFonts w:ascii="MinionPro-Regular" w:hAnsi="MinionPro-Regular"/>
          <w:sz w:val="24"/>
          <w:szCs w:val="24"/>
          <w:lang w:val="es-ES_tradnl"/>
        </w:rPr>
      </w:pPr>
    </w:p>
    <w:p w:rsidR="00E2336B" w:rsidRPr="00E2336B" w:rsidRDefault="00E2336B" w:rsidP="00CC46B8">
      <w:pPr>
        <w:autoSpaceDE w:val="0"/>
        <w:autoSpaceDN w:val="0"/>
        <w:spacing w:line="360" w:lineRule="auto"/>
        <w:jc w:val="both"/>
        <w:rPr>
          <w:rFonts w:ascii="MinionPro-Regular" w:hAnsi="MinionPro-Regular"/>
          <w:color w:val="FF0000"/>
          <w:sz w:val="24"/>
          <w:szCs w:val="24"/>
          <w:u w:val="single"/>
          <w:lang w:val="es-ES_tradnl"/>
        </w:rPr>
      </w:pPr>
      <w:r>
        <w:rPr>
          <w:rFonts w:ascii="MinionPro-Regular" w:hAnsi="MinionPro-Regular"/>
          <w:sz w:val="24"/>
          <w:szCs w:val="24"/>
          <w:lang w:val="es-ES_tradnl"/>
        </w:rPr>
        <w:t>Debido a que las personas con discapacidad tienen un mayor riesgo de pobreza, el acceso al trabajo constituye una de las vías principales para asegurar que, tal y como se establece en la Convención sobre los Derechos de las Personas con D</w:t>
      </w:r>
      <w:r w:rsidRPr="008657D7">
        <w:rPr>
          <w:rFonts w:ascii="MinionPro-Regular" w:hAnsi="MinionPro-Regular"/>
          <w:sz w:val="24"/>
          <w:szCs w:val="24"/>
          <w:lang w:val="es-ES_tradnl"/>
        </w:rPr>
        <w:t>iscapacidad</w:t>
      </w:r>
      <w:r>
        <w:rPr>
          <w:rFonts w:ascii="MinionPro-Regular" w:hAnsi="MinionPro-Regular"/>
          <w:sz w:val="24"/>
          <w:szCs w:val="24"/>
          <w:lang w:val="es-ES_tradnl"/>
        </w:rPr>
        <w:t xml:space="preserve"> de Naciones Unidas, éstas puedan</w:t>
      </w:r>
      <w:r w:rsidRPr="00895AD2">
        <w:rPr>
          <w:rFonts w:ascii="MinionPro-Regular" w:hAnsi="MinionPro-Regular"/>
          <w:sz w:val="24"/>
          <w:szCs w:val="24"/>
          <w:lang w:val="es-ES_tradnl"/>
        </w:rPr>
        <w:t xml:space="preserve"> gozar plenamente de todos los derechos </w:t>
      </w:r>
      <w:r>
        <w:rPr>
          <w:rFonts w:ascii="MinionPro-Regular" w:hAnsi="MinionPro-Regular"/>
          <w:sz w:val="24"/>
          <w:szCs w:val="24"/>
          <w:lang w:val="es-ES_tradnl"/>
        </w:rPr>
        <w:t>y</w:t>
      </w:r>
      <w:r w:rsidRPr="00895AD2">
        <w:rPr>
          <w:rFonts w:ascii="MinionPro-Regular" w:hAnsi="MinionPro-Regular"/>
          <w:sz w:val="24"/>
          <w:szCs w:val="24"/>
          <w:lang w:val="es-ES_tradnl"/>
        </w:rPr>
        <w:t xml:space="preserve"> libertades fundamentales</w:t>
      </w:r>
      <w:r>
        <w:rPr>
          <w:rFonts w:ascii="MinionPro-Regular" w:hAnsi="MinionPro-Regular"/>
          <w:sz w:val="24"/>
          <w:szCs w:val="24"/>
          <w:lang w:val="es-ES_tradnl"/>
        </w:rPr>
        <w:t>. La misma convención establece el</w:t>
      </w:r>
      <w:r w:rsidRPr="00895AD2">
        <w:rPr>
          <w:rFonts w:ascii="MinionPro-Regular" w:hAnsi="MinionPro-Regular"/>
          <w:sz w:val="24"/>
          <w:szCs w:val="24"/>
          <w:lang w:val="es-ES_tradnl"/>
        </w:rPr>
        <w:t xml:space="preserve"> derecho de las personas con discapacidad a trabajar</w:t>
      </w:r>
      <w:r>
        <w:rPr>
          <w:rFonts w:ascii="MinionPro-Regular" w:hAnsi="MinionPro-Regular"/>
          <w:sz w:val="24"/>
          <w:szCs w:val="24"/>
          <w:lang w:val="es-ES_tradnl"/>
        </w:rPr>
        <w:t xml:space="preserve"> y ganarse la vida</w:t>
      </w:r>
      <w:r w:rsidRPr="00895AD2">
        <w:rPr>
          <w:rFonts w:ascii="MinionPro-Regular" w:hAnsi="MinionPro-Regular"/>
          <w:sz w:val="24"/>
          <w:szCs w:val="24"/>
          <w:lang w:val="es-ES_tradnl"/>
        </w:rPr>
        <w:t>, en igualdad de</w:t>
      </w:r>
      <w:r>
        <w:rPr>
          <w:rFonts w:ascii="MinionPro-Regular" w:hAnsi="MinionPro-Regular"/>
          <w:sz w:val="24"/>
          <w:szCs w:val="24"/>
          <w:lang w:val="es-ES_tradnl"/>
        </w:rPr>
        <w:t xml:space="preserve"> condiciones con las demás, en</w:t>
      </w:r>
      <w:r w:rsidRPr="00895AD2">
        <w:rPr>
          <w:rFonts w:ascii="MinionPro-Regular" w:hAnsi="MinionPro-Regular"/>
          <w:sz w:val="24"/>
          <w:szCs w:val="24"/>
          <w:lang w:val="es-ES_tradnl"/>
        </w:rPr>
        <w:t xml:space="preserve"> un trabajo libremente elegido</w:t>
      </w:r>
      <w:r>
        <w:rPr>
          <w:rFonts w:ascii="MinionPro-Regular" w:hAnsi="MinionPro-Regular"/>
          <w:sz w:val="24"/>
          <w:szCs w:val="24"/>
          <w:lang w:val="es-ES_tradnl"/>
        </w:rPr>
        <w:t xml:space="preserve"> y</w:t>
      </w:r>
      <w:r w:rsidRPr="00895AD2">
        <w:rPr>
          <w:rFonts w:ascii="MinionPro-Regular" w:hAnsi="MinionPro-Regular"/>
          <w:sz w:val="24"/>
          <w:szCs w:val="24"/>
          <w:lang w:val="es-ES_tradnl"/>
        </w:rPr>
        <w:t xml:space="preserve"> en un entorno</w:t>
      </w:r>
      <w:r>
        <w:rPr>
          <w:rFonts w:ascii="MinionPro-Regular" w:hAnsi="MinionPro-Regular"/>
          <w:sz w:val="24"/>
          <w:szCs w:val="24"/>
          <w:lang w:val="es-ES_tradnl"/>
        </w:rPr>
        <w:t xml:space="preserve"> que sea abierto, inclusivo y accesible</w:t>
      </w:r>
      <w:r w:rsidRPr="00895AD2">
        <w:rPr>
          <w:rFonts w:ascii="MinionPro-Regular" w:hAnsi="MinionPro-Regular"/>
          <w:sz w:val="24"/>
          <w:szCs w:val="24"/>
          <w:lang w:val="es-ES_tradnl"/>
        </w:rPr>
        <w:t>.</w:t>
      </w:r>
      <w:r>
        <w:rPr>
          <w:rFonts w:ascii="MinionPro-Regular" w:hAnsi="MinionPro-Regular"/>
          <w:sz w:val="24"/>
          <w:szCs w:val="24"/>
          <w:lang w:val="es-ES_tradnl"/>
        </w:rPr>
        <w:t xml:space="preserve"> En el mismo texto, además, se describe la discapacidad como un concepto que evoluciona y que depende de la integración de las personas y de las barreras actitudinales y de entorno que dificultan su participación plena y efectiva en la sociedad. </w:t>
      </w:r>
    </w:p>
    <w:p w:rsidR="00E2336B" w:rsidRDefault="00E2336B" w:rsidP="00793AAC">
      <w:pPr>
        <w:autoSpaceDE w:val="0"/>
        <w:autoSpaceDN w:val="0"/>
        <w:spacing w:line="360" w:lineRule="auto"/>
        <w:jc w:val="both"/>
        <w:rPr>
          <w:rFonts w:ascii="MinionPro-Regular" w:hAnsi="MinionPro-Regular"/>
          <w:sz w:val="24"/>
          <w:szCs w:val="24"/>
          <w:lang w:val="es-ES_tradnl"/>
        </w:rPr>
      </w:pPr>
    </w:p>
    <w:p w:rsidR="00E2336B" w:rsidRDefault="00E2336B" w:rsidP="00793AAC">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La integración en el mercado laboral es condición necesaria para garantizar los derechos de las personas con discapacidad y es un asunto poliédrico; en el que confluyen diversos actores y que puede ser analizado desde diferentes puntos de vista. Pasa, entre otros, por combatir la discriminación, por eliminar las barreras de entrada al mercado laboral o por incentivar a empleados y emplea</w:t>
      </w:r>
      <w:r w:rsidR="00F61DE8">
        <w:rPr>
          <w:rFonts w:ascii="MinionPro-Regular" w:hAnsi="MinionPro-Regular"/>
          <w:sz w:val="24"/>
          <w:szCs w:val="24"/>
          <w:lang w:val="es-ES_tradnl"/>
        </w:rPr>
        <w:t>dores.</w:t>
      </w:r>
      <w:r>
        <w:rPr>
          <w:rFonts w:ascii="MinionPro-Regular" w:hAnsi="MinionPro-Regular"/>
          <w:sz w:val="24"/>
          <w:szCs w:val="24"/>
          <w:lang w:val="es-ES_tradnl"/>
        </w:rPr>
        <w:t xml:space="preserve"> Pero la integración también requiere de la existencia de entornos de trabajo en los que las personas con discapacidad puedan desarrollar su potencial, de agencias públicas de empleo </w:t>
      </w:r>
      <w:r w:rsidRPr="002959F0">
        <w:rPr>
          <w:rFonts w:ascii="MinionPro-Regular" w:hAnsi="MinionPro-Regular"/>
          <w:sz w:val="24"/>
          <w:szCs w:val="24"/>
          <w:lang w:val="es-ES_tradnl"/>
        </w:rPr>
        <w:t>o servicios especial</w:t>
      </w:r>
      <w:r w:rsidR="002959F0">
        <w:rPr>
          <w:rFonts w:ascii="MinionPro-Regular" w:hAnsi="MinionPro-Regular"/>
          <w:sz w:val="24"/>
          <w:szCs w:val="24"/>
          <w:lang w:val="es-ES_tradnl"/>
        </w:rPr>
        <w:t>izados</w:t>
      </w:r>
      <w:r>
        <w:rPr>
          <w:rFonts w:ascii="MinionPro-Regular" w:hAnsi="MinionPro-Regular"/>
          <w:color w:val="FF0000"/>
          <w:sz w:val="24"/>
          <w:szCs w:val="24"/>
          <w:u w:val="single"/>
          <w:lang w:val="es-ES_tradnl"/>
        </w:rPr>
        <w:t xml:space="preserve"> </w:t>
      </w:r>
      <w:r>
        <w:rPr>
          <w:rFonts w:ascii="MinionPro-Regular" w:hAnsi="MinionPro-Regular"/>
          <w:sz w:val="24"/>
          <w:szCs w:val="24"/>
          <w:lang w:val="es-ES_tradnl"/>
        </w:rPr>
        <w:lastRenderedPageBreak/>
        <w:t xml:space="preserve">capaces de atender también a las necesidades de este colectivo o del apoyo y reconocimiento social a los </w:t>
      </w:r>
      <w:r w:rsidRPr="002959F0">
        <w:rPr>
          <w:rFonts w:ascii="MinionPro-Regular" w:hAnsi="MinionPro-Regular"/>
          <w:sz w:val="24"/>
          <w:szCs w:val="24"/>
          <w:lang w:val="es-ES_tradnl"/>
        </w:rPr>
        <w:t>empleadores</w:t>
      </w:r>
      <w:r>
        <w:rPr>
          <w:rFonts w:ascii="MinionPro-Regular" w:hAnsi="MinionPro-Regular"/>
          <w:color w:val="FF0000"/>
          <w:sz w:val="24"/>
          <w:szCs w:val="24"/>
          <w:u w:val="single"/>
          <w:lang w:val="es-ES_tradnl"/>
        </w:rPr>
        <w:t xml:space="preserve"> </w:t>
      </w:r>
      <w:r>
        <w:rPr>
          <w:rFonts w:ascii="MinionPro-Regular" w:hAnsi="MinionPro-Regular"/>
          <w:sz w:val="24"/>
          <w:szCs w:val="24"/>
          <w:lang w:val="es-ES_tradnl"/>
        </w:rPr>
        <w:t xml:space="preserve">que les ofrecen oportunidades. </w:t>
      </w:r>
    </w:p>
    <w:p w:rsidR="00E2336B" w:rsidRDefault="00E2336B" w:rsidP="00EB093F">
      <w:pPr>
        <w:autoSpaceDE w:val="0"/>
        <w:autoSpaceDN w:val="0"/>
        <w:spacing w:line="360" w:lineRule="auto"/>
        <w:jc w:val="both"/>
        <w:rPr>
          <w:rFonts w:ascii="MinionPro-Regular" w:hAnsi="MinionPro-Regular"/>
          <w:sz w:val="24"/>
          <w:szCs w:val="24"/>
          <w:lang w:val="es-ES_tradnl"/>
        </w:rPr>
      </w:pPr>
    </w:p>
    <w:p w:rsidR="007E6433" w:rsidRDefault="00E2336B" w:rsidP="00793AAC">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 xml:space="preserve">La revisión de las iniciativas públicas y del marco institucional en otros países permite extraer algunas enseñanzas relevantes para nuestro país en lo que se refiere a la integración </w:t>
      </w:r>
      <w:r w:rsidRPr="00455028">
        <w:rPr>
          <w:rFonts w:ascii="MinionPro-Regular" w:hAnsi="MinionPro-Regular"/>
          <w:sz w:val="24"/>
          <w:szCs w:val="24"/>
          <w:lang w:val="es-ES_tradnl"/>
        </w:rPr>
        <w:t xml:space="preserve">de las personas con discapacidad en el </w:t>
      </w:r>
      <w:r w:rsidRPr="002959F0">
        <w:rPr>
          <w:rFonts w:ascii="MinionPro-Regular" w:hAnsi="MinionPro-Regular"/>
          <w:sz w:val="24"/>
          <w:szCs w:val="24"/>
          <w:lang w:val="es-ES_tradnl"/>
        </w:rPr>
        <w:t xml:space="preserve">mercado </w:t>
      </w:r>
      <w:r w:rsidRPr="00455028">
        <w:rPr>
          <w:rFonts w:ascii="MinionPro-Regular" w:hAnsi="MinionPro-Regular"/>
          <w:sz w:val="24"/>
          <w:szCs w:val="24"/>
          <w:lang w:val="es-ES_tradnl"/>
        </w:rPr>
        <w:t>laboral.</w:t>
      </w:r>
      <w:r>
        <w:rPr>
          <w:rFonts w:ascii="MinionPro-Regular" w:hAnsi="MinionPro-Regular"/>
          <w:sz w:val="24"/>
          <w:szCs w:val="24"/>
          <w:lang w:val="es-ES_tradnl"/>
        </w:rPr>
        <w:t xml:space="preserve"> Estas oportunidades son especialmente evidentes en lo que se refiere al papel que pueden desempeñar las agencias públicas de empleo; en el rigor en lo que se refiere a la convergencia salarial entre personas con y sin discapacidad; y en </w:t>
      </w:r>
      <w:r w:rsidRPr="002959F0">
        <w:rPr>
          <w:rFonts w:ascii="MinionPro-Regular" w:hAnsi="MinionPro-Regular"/>
          <w:sz w:val="24"/>
          <w:szCs w:val="24"/>
          <w:lang w:val="es-ES_tradnl"/>
        </w:rPr>
        <w:t xml:space="preserve">la </w:t>
      </w:r>
      <w:r w:rsidR="002959F0">
        <w:rPr>
          <w:rFonts w:ascii="MinionPro-Regular" w:hAnsi="MinionPro-Regular"/>
          <w:sz w:val="24"/>
          <w:szCs w:val="24"/>
          <w:lang w:val="es-ES_tradnl"/>
        </w:rPr>
        <w:t>normativa específi</w:t>
      </w:r>
      <w:r w:rsidRPr="002959F0">
        <w:rPr>
          <w:rFonts w:ascii="MinionPro-Regular" w:hAnsi="MinionPro-Regular"/>
          <w:sz w:val="24"/>
          <w:szCs w:val="24"/>
          <w:lang w:val="es-ES_tradnl"/>
        </w:rPr>
        <w:t xml:space="preserve">ca y </w:t>
      </w:r>
      <w:r>
        <w:rPr>
          <w:rFonts w:ascii="MinionPro-Regular" w:hAnsi="MinionPro-Regular"/>
          <w:sz w:val="24"/>
          <w:szCs w:val="24"/>
          <w:lang w:val="es-ES_tradnl"/>
        </w:rPr>
        <w:t>el cumplimiento de las normas relacionadas con la incorporación al empleo de las personas con discapacidad</w:t>
      </w:r>
      <w:r w:rsidR="002A607D">
        <w:rPr>
          <w:rFonts w:ascii="MinionPro-Regular" w:hAnsi="MinionPro-Regular"/>
          <w:sz w:val="24"/>
          <w:szCs w:val="24"/>
          <w:lang w:val="es-ES_tradnl"/>
        </w:rPr>
        <w:t xml:space="preserve">. Por </w:t>
      </w:r>
      <w:r w:rsidR="00F23441" w:rsidRPr="002A607D">
        <w:rPr>
          <w:rFonts w:ascii="MinionPro-Regular" w:hAnsi="MinionPro-Regular"/>
          <w:sz w:val="24"/>
          <w:szCs w:val="24"/>
          <w:lang w:val="es-ES_tradnl"/>
        </w:rPr>
        <w:t>ejemplo, la cuota de reserva alemana es superior a la española y aplica a compañías de menor tamaño. Si tenemos en cuenta que el tamaño medio de las compañías alemanas es aproximadamente el doble que las españolas, nos encontramos con que las oportunidades de empleo ordinario, como resultado de la cuota, son significativamente mayores en Alemania que en España tanto en términos absolutos como ponderado</w:t>
      </w:r>
      <w:r w:rsidR="002A607D">
        <w:rPr>
          <w:rFonts w:ascii="MinionPro-Regular" w:hAnsi="MinionPro-Regular"/>
          <w:sz w:val="24"/>
          <w:szCs w:val="24"/>
          <w:lang w:val="es-ES_tradnl"/>
        </w:rPr>
        <w:t>s al tamaño de nuestra economía</w:t>
      </w:r>
      <w:r w:rsidR="00F23441" w:rsidRPr="002A607D">
        <w:rPr>
          <w:rFonts w:ascii="MinionPro-Regular" w:hAnsi="MinionPro-Regular"/>
          <w:sz w:val="24"/>
          <w:szCs w:val="24"/>
          <w:lang w:val="es-ES_tradnl"/>
        </w:rPr>
        <w:t>.</w:t>
      </w:r>
      <w:r w:rsidRPr="002A607D">
        <w:rPr>
          <w:rFonts w:ascii="MinionPro-Regular" w:hAnsi="MinionPro-Regular"/>
          <w:sz w:val="24"/>
          <w:szCs w:val="24"/>
          <w:lang w:val="es-ES_tradnl"/>
        </w:rPr>
        <w:t xml:space="preserve"> </w:t>
      </w:r>
    </w:p>
    <w:p w:rsidR="007E6433" w:rsidRPr="00355E56" w:rsidRDefault="007E6433" w:rsidP="0007541A">
      <w:pPr>
        <w:pStyle w:val="Ttulo2"/>
        <w:numPr>
          <w:ilvl w:val="1"/>
          <w:numId w:val="3"/>
        </w:numPr>
        <w:ind w:left="0"/>
        <w:rPr>
          <w:rFonts w:ascii="MinionPro-Regular" w:hAnsi="MinionPro-Regular"/>
          <w:sz w:val="24"/>
          <w:szCs w:val="24"/>
          <w:lang w:val="es-ES_tradnl"/>
        </w:rPr>
      </w:pPr>
      <w:bookmarkStart w:id="7" w:name="_Toc352773539"/>
      <w:r w:rsidRPr="00355E56">
        <w:rPr>
          <w:rFonts w:ascii="MinionPro-Regular" w:hAnsi="MinionPro-Regular"/>
          <w:sz w:val="24"/>
          <w:szCs w:val="24"/>
          <w:lang w:val="es-ES_tradnl"/>
        </w:rPr>
        <w:t>La LISMI y su repercusión en el empleo protegido</w:t>
      </w:r>
      <w:bookmarkEnd w:id="7"/>
    </w:p>
    <w:p w:rsidR="00355E56" w:rsidRPr="00355E56" w:rsidRDefault="00355E56" w:rsidP="0023788B">
      <w:pPr>
        <w:autoSpaceDE w:val="0"/>
        <w:autoSpaceDN w:val="0"/>
        <w:spacing w:line="360" w:lineRule="auto"/>
        <w:jc w:val="both"/>
        <w:rPr>
          <w:rFonts w:ascii="MinionPro-Regular" w:hAnsi="MinionPro-Regular"/>
          <w:sz w:val="24"/>
          <w:szCs w:val="24"/>
          <w:lang w:val="es-ES_tradnl"/>
        </w:rPr>
      </w:pPr>
    </w:p>
    <w:p w:rsidR="00A903F6" w:rsidRDefault="00AA59DA" w:rsidP="0023788B">
      <w:pPr>
        <w:autoSpaceDE w:val="0"/>
        <w:autoSpaceDN w:val="0"/>
        <w:spacing w:line="360" w:lineRule="auto"/>
        <w:jc w:val="both"/>
        <w:rPr>
          <w:rFonts w:ascii="MinionPro-Regular" w:hAnsi="MinionPro-Regular"/>
          <w:sz w:val="24"/>
          <w:szCs w:val="24"/>
          <w:lang w:val="es-ES_tradnl"/>
        </w:rPr>
      </w:pPr>
      <w:r w:rsidRPr="00355E56">
        <w:rPr>
          <w:rFonts w:ascii="MinionPro-Regular" w:hAnsi="MinionPro-Regular"/>
          <w:sz w:val="24"/>
          <w:szCs w:val="24"/>
          <w:lang w:val="es-ES_tradnl"/>
        </w:rPr>
        <w:t xml:space="preserve">El objetivo del sistema de empleo protegido en España ha sido el favorecer </w:t>
      </w:r>
      <w:r w:rsidR="00A903F6">
        <w:rPr>
          <w:rFonts w:ascii="MinionPro-Regular" w:hAnsi="MinionPro-Regular"/>
          <w:sz w:val="24"/>
          <w:szCs w:val="24"/>
          <w:lang w:val="es-ES_tradnl"/>
        </w:rPr>
        <w:t>el acceso a los derechos</w:t>
      </w:r>
      <w:r w:rsidRPr="00355E56">
        <w:rPr>
          <w:rFonts w:ascii="MinionPro-Regular" w:hAnsi="MinionPro-Regular"/>
          <w:sz w:val="24"/>
          <w:szCs w:val="24"/>
          <w:lang w:val="es-ES_tradnl"/>
        </w:rPr>
        <w:t xml:space="preserve"> de las personas con discapacidad. </w:t>
      </w:r>
      <w:r w:rsidR="00A903F6">
        <w:rPr>
          <w:rFonts w:ascii="MinionPro-Regular" w:hAnsi="MinionPro-Regular"/>
          <w:sz w:val="24"/>
          <w:szCs w:val="24"/>
          <w:lang w:val="es-ES_tradnl"/>
        </w:rPr>
        <w:t>L</w:t>
      </w:r>
      <w:r w:rsidRPr="00355E56">
        <w:rPr>
          <w:rFonts w:ascii="MinionPro-Regular" w:hAnsi="MinionPro-Regular"/>
          <w:sz w:val="24"/>
          <w:szCs w:val="24"/>
          <w:lang w:val="es-ES_tradnl"/>
        </w:rPr>
        <w:t xml:space="preserve">a </w:t>
      </w:r>
      <w:r w:rsidR="00A903F6">
        <w:rPr>
          <w:rFonts w:ascii="MinionPro-Regular" w:hAnsi="MinionPro-Regular"/>
          <w:sz w:val="24"/>
          <w:szCs w:val="24"/>
          <w:lang w:val="es-ES_tradnl"/>
        </w:rPr>
        <w:t>LISMI, ley que data de 1982,</w:t>
      </w:r>
      <w:r w:rsidRPr="00355E56">
        <w:rPr>
          <w:rFonts w:ascii="MinionPro-Regular" w:hAnsi="MinionPro-Regular"/>
          <w:sz w:val="24"/>
          <w:szCs w:val="24"/>
          <w:lang w:val="es-ES_tradnl"/>
        </w:rPr>
        <w:t xml:space="preserve"> ha </w:t>
      </w:r>
      <w:r w:rsidR="00A903F6">
        <w:rPr>
          <w:rFonts w:ascii="MinionPro-Regular" w:hAnsi="MinionPro-Regular"/>
          <w:sz w:val="24"/>
          <w:szCs w:val="24"/>
          <w:lang w:val="es-ES_tradnl"/>
        </w:rPr>
        <w:t>desempeñado un papel esencial</w:t>
      </w:r>
      <w:r w:rsidR="0023788B" w:rsidRPr="00355E56">
        <w:rPr>
          <w:rFonts w:ascii="MinionPro-Regular" w:hAnsi="MinionPro-Regular"/>
          <w:sz w:val="24"/>
          <w:szCs w:val="24"/>
          <w:lang w:val="es-ES_tradnl"/>
        </w:rPr>
        <w:t xml:space="preserve"> </w:t>
      </w:r>
      <w:r w:rsidR="00A903F6">
        <w:rPr>
          <w:rFonts w:ascii="MinionPro-Regular" w:hAnsi="MinionPro-Regular"/>
          <w:sz w:val="24"/>
          <w:szCs w:val="24"/>
          <w:lang w:val="es-ES_tradnl"/>
        </w:rPr>
        <w:t>al considerar</w:t>
      </w:r>
      <w:r w:rsidR="00355E56" w:rsidRPr="00355E56">
        <w:rPr>
          <w:rFonts w:ascii="MinionPro-Regular" w:hAnsi="MinionPro-Regular"/>
          <w:sz w:val="24"/>
          <w:szCs w:val="24"/>
          <w:lang w:val="es-ES_tradnl"/>
        </w:rPr>
        <w:t xml:space="preserve"> tres aspectos fundamentales:</w:t>
      </w:r>
      <w:r w:rsidR="0023788B" w:rsidRPr="00355E56">
        <w:rPr>
          <w:rFonts w:ascii="MinionPro-Regular" w:hAnsi="MinionPro-Regular"/>
          <w:sz w:val="24"/>
          <w:szCs w:val="24"/>
          <w:lang w:val="es-ES_tradnl"/>
        </w:rPr>
        <w:t xml:space="preserve"> la prevención, el tratamiento y la rehabilitación</w:t>
      </w:r>
      <w:r w:rsidRPr="00355E56">
        <w:rPr>
          <w:rFonts w:ascii="MinionPro-Regular" w:hAnsi="MinionPro-Regular"/>
          <w:sz w:val="24"/>
          <w:szCs w:val="24"/>
          <w:lang w:val="es-ES_tradnl"/>
        </w:rPr>
        <w:t xml:space="preserve">. </w:t>
      </w:r>
      <w:r w:rsidR="00A903F6">
        <w:rPr>
          <w:rFonts w:ascii="MinionPro-Regular" w:hAnsi="MinionPro-Regular"/>
          <w:sz w:val="24"/>
          <w:szCs w:val="24"/>
          <w:lang w:val="es-ES_tradnl"/>
        </w:rPr>
        <w:t xml:space="preserve">El origen de los </w:t>
      </w:r>
      <w:r w:rsidRPr="00355E56">
        <w:rPr>
          <w:rFonts w:ascii="MinionPro-Regular" w:hAnsi="MinionPro-Regular"/>
          <w:sz w:val="24"/>
          <w:szCs w:val="24"/>
          <w:lang w:val="es-ES_tradnl"/>
        </w:rPr>
        <w:t xml:space="preserve">los logros </w:t>
      </w:r>
      <w:r w:rsidR="00A903F6">
        <w:rPr>
          <w:rFonts w:ascii="MinionPro-Regular" w:hAnsi="MinionPro-Regular"/>
          <w:sz w:val="24"/>
          <w:szCs w:val="24"/>
          <w:lang w:val="es-ES_tradnl"/>
        </w:rPr>
        <w:t>alcanzados desde los años 80</w:t>
      </w:r>
      <w:r w:rsidRPr="00355E56">
        <w:rPr>
          <w:rFonts w:ascii="MinionPro-Regular" w:hAnsi="MinionPro-Regular"/>
          <w:sz w:val="24"/>
          <w:szCs w:val="24"/>
          <w:lang w:val="es-ES_tradnl"/>
        </w:rPr>
        <w:t xml:space="preserve"> </w:t>
      </w:r>
      <w:r w:rsidR="00A903F6">
        <w:rPr>
          <w:rFonts w:ascii="MinionPro-Regular" w:hAnsi="MinionPro-Regular"/>
          <w:sz w:val="24"/>
          <w:szCs w:val="24"/>
          <w:lang w:val="es-ES_tradnl"/>
        </w:rPr>
        <w:t>pueden encontrarse en la mencionada ley</w:t>
      </w:r>
      <w:r w:rsidRPr="00355E56">
        <w:rPr>
          <w:rFonts w:ascii="MinionPro-Regular" w:hAnsi="MinionPro-Regular"/>
          <w:sz w:val="24"/>
          <w:szCs w:val="24"/>
          <w:lang w:val="es-ES_tradnl"/>
        </w:rPr>
        <w:t xml:space="preserve">. Sin embargo, </w:t>
      </w:r>
      <w:r w:rsidR="00A903F6">
        <w:rPr>
          <w:rFonts w:ascii="MinionPro-Regular" w:hAnsi="MinionPro-Regular"/>
          <w:sz w:val="24"/>
          <w:szCs w:val="24"/>
          <w:lang w:val="es-ES_tradnl"/>
        </w:rPr>
        <w:t xml:space="preserve">los tiempos han cambiado y cabría reflexionar acerca de la necesidad de reformular el conjunto de la </w:t>
      </w:r>
      <w:r w:rsidR="00A903F6">
        <w:rPr>
          <w:rFonts w:ascii="MinionPro-Regular" w:hAnsi="MinionPro-Regular"/>
          <w:sz w:val="24"/>
          <w:szCs w:val="24"/>
          <w:lang w:val="es-ES_tradnl"/>
        </w:rPr>
        <w:lastRenderedPageBreak/>
        <w:t xml:space="preserve">arquitectura normativa española para el acceso a los derechos de las personas con discapacidad. </w:t>
      </w:r>
    </w:p>
    <w:p w:rsidR="00A903F6" w:rsidRDefault="00A903F6" w:rsidP="0023788B">
      <w:pPr>
        <w:autoSpaceDE w:val="0"/>
        <w:autoSpaceDN w:val="0"/>
        <w:spacing w:line="360" w:lineRule="auto"/>
        <w:jc w:val="both"/>
        <w:rPr>
          <w:rFonts w:ascii="MinionPro-Regular" w:hAnsi="MinionPro-Regular"/>
          <w:sz w:val="24"/>
          <w:szCs w:val="24"/>
          <w:lang w:val="es-ES_tradnl"/>
        </w:rPr>
      </w:pPr>
    </w:p>
    <w:p w:rsidR="00AA59DA" w:rsidRPr="00355E56" w:rsidRDefault="00A903F6" w:rsidP="0023788B">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Las</w:t>
      </w:r>
      <w:r w:rsidR="00E15B43" w:rsidRPr="00355E56">
        <w:rPr>
          <w:rFonts w:ascii="MinionPro-Regular" w:hAnsi="MinionPro-Regular"/>
          <w:sz w:val="24"/>
          <w:szCs w:val="24"/>
          <w:lang w:val="es-ES_tradnl"/>
        </w:rPr>
        <w:t xml:space="preserve"> políticas para el fomento del empleo deben ser diseñadas teniendo en cuenta las condiciones del mercado para poder</w:t>
      </w:r>
      <w:r>
        <w:rPr>
          <w:rFonts w:ascii="MinionPro-Regular" w:hAnsi="MinionPro-Regular"/>
          <w:sz w:val="24"/>
          <w:szCs w:val="24"/>
          <w:lang w:val="es-ES_tradnl"/>
        </w:rPr>
        <w:t xml:space="preserve"> </w:t>
      </w:r>
      <w:r w:rsidR="00E15B43" w:rsidRPr="00355E56">
        <w:rPr>
          <w:rFonts w:ascii="MinionPro-Regular" w:hAnsi="MinionPro-Regular"/>
          <w:sz w:val="24"/>
          <w:szCs w:val="24"/>
          <w:lang w:val="es-ES_tradnl"/>
        </w:rPr>
        <w:t xml:space="preserve">facilitar el acceso a todos los segmentos o colectivos, incluidos aquéllos que presentan mayores dificultades. </w:t>
      </w:r>
      <w:r>
        <w:rPr>
          <w:rFonts w:ascii="MinionPro-Regular" w:hAnsi="MinionPro-Regular"/>
          <w:sz w:val="24"/>
          <w:szCs w:val="24"/>
          <w:lang w:val="es-ES_tradnl"/>
        </w:rPr>
        <w:t xml:space="preserve">Este informe pretende orientar acerca de algunas de </w:t>
      </w:r>
      <w:r w:rsidR="00AA59DA" w:rsidRPr="00355E56">
        <w:rPr>
          <w:rFonts w:ascii="MinionPro-Regular" w:hAnsi="MinionPro-Regular"/>
          <w:sz w:val="24"/>
          <w:szCs w:val="24"/>
          <w:lang w:val="es-ES_tradnl"/>
        </w:rPr>
        <w:t xml:space="preserve">las claves </w:t>
      </w:r>
      <w:r>
        <w:rPr>
          <w:rFonts w:ascii="MinionPro-Regular" w:hAnsi="MinionPro-Regular"/>
          <w:sz w:val="24"/>
          <w:szCs w:val="24"/>
          <w:lang w:val="es-ES_tradnl"/>
        </w:rPr>
        <w:t>a considerar para que una eventual reforma normativa</w:t>
      </w:r>
      <w:r w:rsidRPr="00355E56">
        <w:rPr>
          <w:rFonts w:ascii="MinionPro-Regular" w:hAnsi="MinionPro-Regular"/>
          <w:sz w:val="24"/>
          <w:szCs w:val="24"/>
          <w:lang w:val="es-ES_tradnl"/>
        </w:rPr>
        <w:t xml:space="preserve"> </w:t>
      </w:r>
      <w:r w:rsidR="00AA59DA" w:rsidRPr="00355E56">
        <w:rPr>
          <w:rFonts w:ascii="MinionPro-Regular" w:hAnsi="MinionPro-Regular"/>
          <w:sz w:val="24"/>
          <w:szCs w:val="24"/>
          <w:lang w:val="es-ES_tradnl"/>
        </w:rPr>
        <w:t>permita seguir avanzando en la integración total y normalizada de las personas con discapacidad en el mercado laboral español.</w:t>
      </w:r>
    </w:p>
    <w:p w:rsidR="007E6433" w:rsidRPr="00355E56" w:rsidRDefault="007E6433" w:rsidP="00AA59DA">
      <w:pPr>
        <w:autoSpaceDE w:val="0"/>
        <w:autoSpaceDN w:val="0"/>
        <w:spacing w:line="360" w:lineRule="auto"/>
        <w:jc w:val="both"/>
        <w:rPr>
          <w:rFonts w:ascii="MinionPro-Regular" w:hAnsi="MinionPro-Regular"/>
          <w:sz w:val="24"/>
          <w:szCs w:val="24"/>
          <w:lang w:val="es-ES_tradnl"/>
        </w:rPr>
      </w:pPr>
    </w:p>
    <w:p w:rsidR="00AA59DA" w:rsidRPr="00355E56" w:rsidRDefault="00AA59DA" w:rsidP="00AA59DA">
      <w:pPr>
        <w:autoSpaceDE w:val="0"/>
        <w:autoSpaceDN w:val="0"/>
        <w:spacing w:line="360" w:lineRule="auto"/>
        <w:jc w:val="both"/>
        <w:rPr>
          <w:rFonts w:ascii="MinionPro-Regular" w:hAnsi="MinionPro-Regular"/>
          <w:sz w:val="24"/>
          <w:szCs w:val="24"/>
          <w:lang w:val="es-ES_tradnl"/>
        </w:rPr>
      </w:pPr>
      <w:r w:rsidRPr="00355E56">
        <w:rPr>
          <w:rFonts w:ascii="MinionPro-Regular" w:hAnsi="MinionPro-Regular"/>
          <w:sz w:val="24"/>
          <w:szCs w:val="24"/>
          <w:lang w:val="es-ES_tradnl"/>
        </w:rPr>
        <w:t xml:space="preserve">Como se mencionaba anteriormente, las personas con discapacidad se enfrentan a </w:t>
      </w:r>
      <w:r w:rsidR="00A903F6">
        <w:rPr>
          <w:rFonts w:ascii="MinionPro-Regular" w:hAnsi="MinionPro-Regular"/>
          <w:sz w:val="24"/>
          <w:szCs w:val="24"/>
          <w:lang w:val="es-ES_tradnl"/>
        </w:rPr>
        <w:t xml:space="preserve">impedimentos </w:t>
      </w:r>
      <w:r w:rsidRPr="00355E56">
        <w:rPr>
          <w:rFonts w:ascii="MinionPro-Regular" w:hAnsi="MinionPro-Regular"/>
          <w:sz w:val="24"/>
          <w:szCs w:val="24"/>
          <w:lang w:val="es-ES_tradnl"/>
        </w:rPr>
        <w:t xml:space="preserve">adicionales a los del resto de la población a la hora de </w:t>
      </w:r>
      <w:r w:rsidR="00A903F6">
        <w:rPr>
          <w:rFonts w:ascii="MinionPro-Regular" w:hAnsi="MinionPro-Regular"/>
          <w:sz w:val="24"/>
          <w:szCs w:val="24"/>
          <w:lang w:val="es-ES_tradnl"/>
        </w:rPr>
        <w:t>integrarse en el</w:t>
      </w:r>
      <w:r w:rsidRPr="00355E56">
        <w:rPr>
          <w:rFonts w:ascii="MinionPro-Regular" w:hAnsi="MinionPro-Regular"/>
          <w:sz w:val="24"/>
          <w:szCs w:val="24"/>
          <w:lang w:val="es-ES_tradnl"/>
        </w:rPr>
        <w:t xml:space="preserve"> mercado laboral. El primero de los </w:t>
      </w:r>
      <w:r w:rsidR="00FB4E99" w:rsidRPr="00355E56">
        <w:rPr>
          <w:rFonts w:ascii="MinionPro-Regular" w:hAnsi="MinionPro-Regular"/>
          <w:sz w:val="24"/>
          <w:szCs w:val="24"/>
          <w:lang w:val="es-ES_tradnl"/>
        </w:rPr>
        <w:t>obstáculos</w:t>
      </w:r>
      <w:r w:rsidRPr="00355E56">
        <w:rPr>
          <w:rFonts w:ascii="MinionPro-Regular" w:hAnsi="MinionPro-Regular"/>
          <w:sz w:val="24"/>
          <w:szCs w:val="24"/>
          <w:lang w:val="es-ES_tradnl"/>
        </w:rPr>
        <w:t xml:space="preserve"> lo encontramos en la propia definición de lo que se considera discapacidad ya que entran en juego factores contextuales que facilitan o dificultan la integridad funcional y la participación social</w:t>
      </w:r>
      <w:r w:rsidR="00E15B43" w:rsidRPr="00355E56">
        <w:rPr>
          <w:rFonts w:ascii="MinionPro-Regular" w:hAnsi="MinionPro-Regular"/>
          <w:sz w:val="24"/>
          <w:szCs w:val="24"/>
          <w:lang w:val="es-ES_tradnl"/>
        </w:rPr>
        <w:t>. Esta definición, de hecho, ha sufrido una evolución significativa, pasando de un enfoque etiquetador e inamovible de la enfermedad, a uno adaptador que considera que el individuo es capaz de realizar actividades y finalmente a un enfoque más integrador del concepto</w:t>
      </w:r>
      <w:r w:rsidR="00F20BB4" w:rsidRPr="00355E56">
        <w:rPr>
          <w:rFonts w:ascii="MinionPro-Regular" w:hAnsi="MinionPro-Regular"/>
          <w:sz w:val="24"/>
          <w:szCs w:val="24"/>
          <w:lang w:val="es-ES_tradnl"/>
        </w:rPr>
        <w:t xml:space="preserve">. El segundo </w:t>
      </w:r>
      <w:r w:rsidR="00F61DE8">
        <w:rPr>
          <w:rFonts w:ascii="MinionPro-Regular" w:hAnsi="MinionPro-Regular"/>
          <w:sz w:val="24"/>
          <w:szCs w:val="24"/>
          <w:lang w:val="es-ES_tradnl"/>
        </w:rPr>
        <w:t xml:space="preserve">obstáculo </w:t>
      </w:r>
      <w:r w:rsidRPr="00355E56">
        <w:rPr>
          <w:rFonts w:ascii="MinionPro-Regular" w:hAnsi="MinionPro-Regular"/>
          <w:sz w:val="24"/>
          <w:szCs w:val="24"/>
          <w:lang w:val="es-ES_tradnl"/>
        </w:rPr>
        <w:t xml:space="preserve">lo encontramos en la propia legislación </w:t>
      </w:r>
      <w:r w:rsidR="00A903F6">
        <w:rPr>
          <w:rFonts w:ascii="MinionPro-Regular" w:hAnsi="MinionPro-Regular"/>
          <w:sz w:val="24"/>
          <w:szCs w:val="24"/>
          <w:lang w:val="es-ES_tradnl"/>
        </w:rPr>
        <w:t xml:space="preserve">y en el </w:t>
      </w:r>
      <w:r w:rsidR="00F61DE8">
        <w:rPr>
          <w:rFonts w:ascii="MinionPro-Regular" w:hAnsi="MinionPro-Regular"/>
          <w:sz w:val="24"/>
          <w:szCs w:val="24"/>
          <w:lang w:val="es-ES_tradnl"/>
        </w:rPr>
        <w:t>escaso avance que se ha producido en</w:t>
      </w:r>
      <w:r w:rsidRPr="00355E56">
        <w:rPr>
          <w:rFonts w:ascii="MinionPro-Regular" w:hAnsi="MinionPro-Regular"/>
          <w:sz w:val="24"/>
          <w:szCs w:val="24"/>
          <w:lang w:val="es-ES_tradnl"/>
        </w:rPr>
        <w:t xml:space="preserve"> los últimos años </w:t>
      </w:r>
      <w:r w:rsidR="00A903F6">
        <w:rPr>
          <w:rFonts w:ascii="MinionPro-Regular" w:hAnsi="MinionPro-Regular"/>
          <w:sz w:val="24"/>
          <w:szCs w:val="24"/>
          <w:lang w:val="es-ES_tradnl"/>
        </w:rPr>
        <w:t>en lo que se refiere al</w:t>
      </w:r>
      <w:r w:rsidRPr="00355E56">
        <w:rPr>
          <w:rFonts w:ascii="MinionPro-Regular" w:hAnsi="MinionPro-Regular"/>
          <w:sz w:val="24"/>
          <w:szCs w:val="24"/>
          <w:lang w:val="es-ES_tradnl"/>
        </w:rPr>
        <w:t xml:space="preserve"> diseño de políticas de inserción.</w:t>
      </w:r>
      <w:r w:rsidR="00F20BB4" w:rsidRPr="00355E56">
        <w:rPr>
          <w:rFonts w:ascii="MinionPro-Regular" w:hAnsi="MinionPro-Regular"/>
          <w:sz w:val="24"/>
          <w:szCs w:val="24"/>
          <w:lang w:val="es-ES_tradnl"/>
        </w:rPr>
        <w:t xml:space="preserve"> De he</w:t>
      </w:r>
      <w:r w:rsidRPr="00355E56">
        <w:rPr>
          <w:rFonts w:ascii="MinionPro-Regular" w:hAnsi="MinionPro-Regular"/>
          <w:sz w:val="24"/>
          <w:szCs w:val="24"/>
          <w:lang w:val="es-ES_tradnl"/>
        </w:rPr>
        <w:t>cho, la reserva de plazas que establece la ley como forma de discriminación positiva hacia este colectivo</w:t>
      </w:r>
      <w:r w:rsidR="00A903F6">
        <w:rPr>
          <w:rFonts w:ascii="MinionPro-Regular" w:hAnsi="MinionPro-Regular"/>
          <w:sz w:val="24"/>
          <w:szCs w:val="24"/>
          <w:lang w:val="es-ES_tradnl"/>
        </w:rPr>
        <w:t xml:space="preserve"> continua sin cumplirse</w:t>
      </w:r>
      <w:r w:rsidRPr="00355E56">
        <w:rPr>
          <w:rFonts w:ascii="MinionPro-Regular" w:hAnsi="MinionPro-Regular"/>
          <w:sz w:val="24"/>
          <w:szCs w:val="24"/>
          <w:lang w:val="es-ES_tradnl"/>
        </w:rPr>
        <w:t>.</w:t>
      </w:r>
      <w:r w:rsidR="00A903F6">
        <w:rPr>
          <w:rFonts w:ascii="MinionPro-Regular" w:hAnsi="MinionPro-Regular"/>
          <w:sz w:val="24"/>
          <w:szCs w:val="24"/>
          <w:lang w:val="es-ES_tradnl"/>
        </w:rPr>
        <w:t xml:space="preserve"> E</w:t>
      </w:r>
      <w:r w:rsidRPr="00355E56">
        <w:rPr>
          <w:rFonts w:ascii="MinionPro-Regular" w:hAnsi="MinionPro-Regular"/>
          <w:sz w:val="24"/>
          <w:szCs w:val="24"/>
          <w:lang w:val="es-ES_tradnl"/>
        </w:rPr>
        <w:t>n 2011, tan sólo el 1,08% del total de los contratos registrados por el Servicio Estatal de Empleo, según el Informe anual de mercado de trabajo estatal de 2012, correspondía a personas con discapacidad.</w:t>
      </w:r>
      <w:r w:rsidR="00A903F6">
        <w:rPr>
          <w:rFonts w:ascii="MinionPro-Regular" w:hAnsi="MinionPro-Regular"/>
          <w:sz w:val="24"/>
          <w:szCs w:val="24"/>
          <w:lang w:val="es-ES_tradnl"/>
        </w:rPr>
        <w:t xml:space="preserve"> Un dato </w:t>
      </w:r>
      <w:r w:rsidR="00A903F6">
        <w:rPr>
          <w:rFonts w:ascii="MinionPro-Regular" w:hAnsi="MinionPro-Regular"/>
          <w:sz w:val="24"/>
          <w:szCs w:val="24"/>
          <w:lang w:val="es-ES_tradnl"/>
        </w:rPr>
        <w:lastRenderedPageBreak/>
        <w:t xml:space="preserve">que no se corresponde con el porcentaje de personas con discapacidad entre la población activa. </w:t>
      </w:r>
    </w:p>
    <w:p w:rsidR="00AA59DA" w:rsidRPr="00355E56" w:rsidRDefault="00AA59DA" w:rsidP="00AA59DA">
      <w:pPr>
        <w:autoSpaceDE w:val="0"/>
        <w:autoSpaceDN w:val="0"/>
        <w:spacing w:line="360" w:lineRule="auto"/>
        <w:ind w:left="360"/>
        <w:jc w:val="both"/>
        <w:rPr>
          <w:rFonts w:ascii="MinionPro-Regular" w:hAnsi="MinionPro-Regular"/>
          <w:sz w:val="24"/>
          <w:szCs w:val="24"/>
          <w:u w:val="single"/>
          <w:lang w:val="es-ES_tradnl"/>
        </w:rPr>
      </w:pPr>
    </w:p>
    <w:p w:rsidR="00AA59DA" w:rsidRPr="00355E56" w:rsidRDefault="00F61DE8" w:rsidP="00AA59DA">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 xml:space="preserve">La LISMI define lo que es un centro especial de empleo por lo que </w:t>
      </w:r>
      <w:r w:rsidR="002000C4">
        <w:rPr>
          <w:rFonts w:ascii="MinionPro-Regular" w:hAnsi="MinionPro-Regular"/>
          <w:sz w:val="24"/>
          <w:szCs w:val="24"/>
          <w:lang w:val="es-ES_tradnl"/>
        </w:rPr>
        <w:t>se ha realizado un análisis de la</w:t>
      </w:r>
      <w:r>
        <w:rPr>
          <w:rFonts w:ascii="MinionPro-Regular" w:hAnsi="MinionPro-Regular"/>
          <w:sz w:val="24"/>
          <w:szCs w:val="24"/>
          <w:lang w:val="es-ES_tradnl"/>
        </w:rPr>
        <w:t xml:space="preserve"> </w:t>
      </w:r>
      <w:r w:rsidR="00AA59DA" w:rsidRPr="00355E56">
        <w:rPr>
          <w:rFonts w:ascii="MinionPro-Regular" w:hAnsi="MinionPro-Regular"/>
          <w:sz w:val="24"/>
          <w:szCs w:val="24"/>
          <w:lang w:val="es-ES_tradnl"/>
        </w:rPr>
        <w:t xml:space="preserve">evolución </w:t>
      </w:r>
      <w:r w:rsidR="002000C4">
        <w:rPr>
          <w:rFonts w:ascii="MinionPro-Regular" w:hAnsi="MinionPro-Regular"/>
          <w:sz w:val="24"/>
          <w:szCs w:val="24"/>
          <w:lang w:val="es-ES_tradnl"/>
        </w:rPr>
        <w:t>de la</w:t>
      </w:r>
      <w:r w:rsidR="00F20BB4" w:rsidRPr="00355E56">
        <w:rPr>
          <w:rFonts w:ascii="MinionPro-Regular" w:hAnsi="MinionPro-Regular"/>
          <w:sz w:val="24"/>
          <w:szCs w:val="24"/>
          <w:lang w:val="es-ES_tradnl"/>
        </w:rPr>
        <w:t xml:space="preserve"> creación de</w:t>
      </w:r>
      <w:r w:rsidR="00AA59DA" w:rsidRPr="00355E56">
        <w:rPr>
          <w:rFonts w:ascii="MinionPro-Regular" w:hAnsi="MinionPro-Regular"/>
          <w:sz w:val="24"/>
          <w:szCs w:val="24"/>
          <w:lang w:val="es-ES_tradnl"/>
        </w:rPr>
        <w:t xml:space="preserve"> centros especiales de empleo en España</w:t>
      </w:r>
      <w:r w:rsidR="002000C4">
        <w:rPr>
          <w:rFonts w:ascii="MinionPro-Regular" w:hAnsi="MinionPro-Regular"/>
          <w:sz w:val="24"/>
          <w:szCs w:val="24"/>
          <w:lang w:val="es-ES_tradnl"/>
        </w:rPr>
        <w:t xml:space="preserve"> desde su publicación</w:t>
      </w:r>
      <w:r w:rsidR="00AA59DA" w:rsidRPr="00355E56">
        <w:rPr>
          <w:rFonts w:ascii="MinionPro-Regular" w:hAnsi="MinionPro-Regular"/>
          <w:sz w:val="24"/>
          <w:szCs w:val="24"/>
          <w:lang w:val="es-ES_tradnl"/>
        </w:rPr>
        <w:t xml:space="preserve">. </w:t>
      </w:r>
      <w:r w:rsidR="002000C4">
        <w:rPr>
          <w:rFonts w:ascii="MinionPro-Regular" w:hAnsi="MinionPro-Regular"/>
          <w:sz w:val="24"/>
          <w:szCs w:val="24"/>
          <w:lang w:val="es-ES_tradnl"/>
        </w:rPr>
        <w:t xml:space="preserve">Esta </w:t>
      </w:r>
      <w:r w:rsidR="00A903F6">
        <w:rPr>
          <w:rFonts w:ascii="MinionPro-Regular" w:hAnsi="MinionPro-Regular"/>
          <w:sz w:val="24"/>
          <w:szCs w:val="24"/>
          <w:lang w:val="es-ES_tradnl"/>
        </w:rPr>
        <w:t xml:space="preserve">evolución parece ligada a determinadas modificaciones normativas orientadas a incentivar la constitución de centros. </w:t>
      </w:r>
      <w:r w:rsidR="002000C4">
        <w:rPr>
          <w:rFonts w:ascii="MinionPro-Regular" w:hAnsi="MinionPro-Regular"/>
          <w:sz w:val="24"/>
          <w:szCs w:val="24"/>
          <w:lang w:val="es-ES_tradnl"/>
        </w:rPr>
        <w:t>Partiendo de los resultados recibidos a partir de la encuesta realizada en el desarrollo de este estudio, ob</w:t>
      </w:r>
      <w:r w:rsidR="00A903F6">
        <w:rPr>
          <w:rFonts w:ascii="MinionPro-Regular" w:hAnsi="MinionPro-Regular"/>
          <w:sz w:val="24"/>
          <w:szCs w:val="24"/>
          <w:lang w:val="es-ES_tradnl"/>
        </w:rPr>
        <w:t>servamos</w:t>
      </w:r>
      <w:r w:rsidR="002000C4">
        <w:rPr>
          <w:rFonts w:ascii="MinionPro-Regular" w:hAnsi="MinionPro-Regular"/>
          <w:sz w:val="24"/>
          <w:szCs w:val="24"/>
          <w:lang w:val="es-ES_tradnl"/>
        </w:rPr>
        <w:t xml:space="preserve"> </w:t>
      </w:r>
      <w:r w:rsidR="00AA59DA" w:rsidRPr="00355E56">
        <w:rPr>
          <w:rFonts w:ascii="MinionPro-Regular" w:hAnsi="MinionPro-Regular"/>
          <w:sz w:val="24"/>
          <w:szCs w:val="24"/>
          <w:lang w:val="es-ES_tradnl"/>
        </w:rPr>
        <w:t>cuatro momentos clave en la creación de este tipo de centros:</w:t>
      </w:r>
    </w:p>
    <w:p w:rsidR="00AA59DA" w:rsidRPr="00355E56" w:rsidRDefault="00AA59DA" w:rsidP="00AA59DA">
      <w:pPr>
        <w:autoSpaceDE w:val="0"/>
        <w:autoSpaceDN w:val="0"/>
        <w:spacing w:line="360" w:lineRule="auto"/>
        <w:jc w:val="both"/>
        <w:rPr>
          <w:rFonts w:ascii="MinionPro-Regular" w:hAnsi="MinionPro-Regular"/>
          <w:sz w:val="24"/>
          <w:szCs w:val="24"/>
          <w:lang w:val="es-ES_tradnl"/>
        </w:rPr>
      </w:pPr>
    </w:p>
    <w:p w:rsidR="00AA59DA" w:rsidRPr="00355E56" w:rsidRDefault="00AA59DA" w:rsidP="0007541A">
      <w:pPr>
        <w:pStyle w:val="Prrafodelista"/>
        <w:numPr>
          <w:ilvl w:val="0"/>
          <w:numId w:val="28"/>
        </w:numPr>
        <w:autoSpaceDE w:val="0"/>
        <w:autoSpaceDN w:val="0"/>
        <w:spacing w:line="360" w:lineRule="auto"/>
        <w:jc w:val="both"/>
        <w:rPr>
          <w:rFonts w:ascii="MinionPro-Regular" w:hAnsi="MinionPro-Regular"/>
          <w:sz w:val="24"/>
          <w:szCs w:val="24"/>
        </w:rPr>
      </w:pPr>
      <w:r w:rsidRPr="00355E56">
        <w:rPr>
          <w:rFonts w:ascii="MinionPro-Regular" w:hAnsi="MinionPro-Regular"/>
          <w:sz w:val="24"/>
          <w:szCs w:val="24"/>
        </w:rPr>
        <w:t>En el año 1982 con la publicación de la LISMI 13/1982,</w:t>
      </w:r>
      <w:r w:rsidR="00F20BB4" w:rsidRPr="00355E56">
        <w:rPr>
          <w:rFonts w:ascii="MinionPro-Regular" w:hAnsi="MinionPro-Regular"/>
          <w:sz w:val="24"/>
          <w:szCs w:val="24"/>
        </w:rPr>
        <w:t xml:space="preserve"> en la que se definía</w:t>
      </w:r>
      <w:r w:rsidRPr="00355E56">
        <w:rPr>
          <w:rFonts w:ascii="MinionPro-Regular" w:hAnsi="MinionPro-Regular"/>
          <w:sz w:val="24"/>
          <w:szCs w:val="24"/>
        </w:rPr>
        <w:t xml:space="preserve"> por primera vez </w:t>
      </w:r>
      <w:r w:rsidR="00A903F6">
        <w:rPr>
          <w:rFonts w:ascii="MinionPro-Regular" w:hAnsi="MinionPro-Regular"/>
          <w:sz w:val="24"/>
          <w:szCs w:val="24"/>
        </w:rPr>
        <w:t xml:space="preserve">el </w:t>
      </w:r>
      <w:r w:rsidRPr="00355E56">
        <w:rPr>
          <w:rFonts w:ascii="MinionPro-Regular" w:hAnsi="MinionPro-Regular"/>
          <w:sz w:val="24"/>
          <w:szCs w:val="24"/>
        </w:rPr>
        <w:t>centro especial de empleo.</w:t>
      </w:r>
    </w:p>
    <w:p w:rsidR="00AA59DA" w:rsidRPr="00355E56" w:rsidRDefault="00AA59DA" w:rsidP="0007541A">
      <w:pPr>
        <w:pStyle w:val="Prrafodelista"/>
        <w:numPr>
          <w:ilvl w:val="0"/>
          <w:numId w:val="28"/>
        </w:numPr>
        <w:autoSpaceDE w:val="0"/>
        <w:autoSpaceDN w:val="0"/>
        <w:spacing w:line="360" w:lineRule="auto"/>
        <w:jc w:val="both"/>
        <w:rPr>
          <w:rFonts w:ascii="MinionPro-Regular" w:hAnsi="MinionPro-Regular"/>
          <w:sz w:val="24"/>
          <w:szCs w:val="24"/>
        </w:rPr>
      </w:pPr>
      <w:r w:rsidRPr="00355E56">
        <w:rPr>
          <w:rFonts w:ascii="MinionPro-Regular" w:hAnsi="MinionPro-Regular"/>
          <w:sz w:val="24"/>
          <w:szCs w:val="24"/>
        </w:rPr>
        <w:t xml:space="preserve">Se observa un ligero crecimiento en </w:t>
      </w:r>
      <w:r w:rsidR="00F20BB4" w:rsidRPr="00355E56">
        <w:rPr>
          <w:rFonts w:ascii="MinionPro-Regular" w:hAnsi="MinionPro-Regular"/>
          <w:sz w:val="24"/>
          <w:szCs w:val="24"/>
        </w:rPr>
        <w:t>los años 1986 y 1987 que podría</w:t>
      </w:r>
      <w:r w:rsidRPr="00355E56">
        <w:rPr>
          <w:rFonts w:ascii="MinionPro-Regular" w:hAnsi="MinionPro-Regular"/>
          <w:sz w:val="24"/>
          <w:szCs w:val="24"/>
        </w:rPr>
        <w:t xml:space="preserve"> deberse a la publicación de dos Reales Decretos, el 2273/1985 y el 1368/1985, que </w:t>
      </w:r>
      <w:r w:rsidR="00F20BB4" w:rsidRPr="00355E56">
        <w:rPr>
          <w:rFonts w:ascii="MinionPro-Regular" w:hAnsi="MinionPro-Regular"/>
          <w:sz w:val="24"/>
          <w:szCs w:val="24"/>
        </w:rPr>
        <w:t>desarrollaban</w:t>
      </w:r>
      <w:r w:rsidRPr="00355E56">
        <w:rPr>
          <w:rFonts w:ascii="MinionPro-Regular" w:hAnsi="MinionPro-Regular"/>
          <w:sz w:val="24"/>
          <w:szCs w:val="24"/>
        </w:rPr>
        <w:t xml:space="preserve"> la legislación que regula los centros especiales de empleo.</w:t>
      </w:r>
    </w:p>
    <w:p w:rsidR="00AA59DA" w:rsidRPr="00355E56" w:rsidRDefault="00AA59DA" w:rsidP="0007541A">
      <w:pPr>
        <w:pStyle w:val="Prrafodelista"/>
        <w:numPr>
          <w:ilvl w:val="0"/>
          <w:numId w:val="28"/>
        </w:numPr>
        <w:autoSpaceDE w:val="0"/>
        <w:autoSpaceDN w:val="0"/>
        <w:spacing w:line="360" w:lineRule="auto"/>
        <w:jc w:val="both"/>
        <w:rPr>
          <w:rFonts w:ascii="MinionPro-Regular" w:hAnsi="MinionPro-Regular"/>
          <w:sz w:val="24"/>
          <w:szCs w:val="24"/>
        </w:rPr>
      </w:pPr>
      <w:r w:rsidRPr="00355E56">
        <w:rPr>
          <w:rFonts w:ascii="MinionPro-Regular" w:hAnsi="MinionPro-Regular"/>
          <w:sz w:val="24"/>
          <w:szCs w:val="24"/>
        </w:rPr>
        <w:t>Hacia el año 1998 se publicó la Orden del Ministerio de Trabajo y Asuntos Sociales que establecía las bases reguladoras para la concesión de las ayudas y subvenciones públicas destinadas a la integración laboral de las personas con discapacidad</w:t>
      </w:r>
      <w:r w:rsidR="00A903F6">
        <w:rPr>
          <w:rFonts w:ascii="MinionPro-Regular" w:hAnsi="MinionPro-Regular"/>
          <w:sz w:val="24"/>
          <w:szCs w:val="24"/>
        </w:rPr>
        <w:t>. Esto</w:t>
      </w:r>
      <w:r w:rsidRPr="00355E56">
        <w:rPr>
          <w:rFonts w:ascii="MinionPro-Regular" w:hAnsi="MinionPro-Regular"/>
          <w:sz w:val="24"/>
          <w:szCs w:val="24"/>
        </w:rPr>
        <w:t xml:space="preserve"> pudo </w:t>
      </w:r>
      <w:r w:rsidR="00505056">
        <w:rPr>
          <w:rFonts w:ascii="MinionPro-Regular" w:hAnsi="MinionPro-Regular"/>
          <w:sz w:val="24"/>
          <w:szCs w:val="24"/>
        </w:rPr>
        <w:t xml:space="preserve">se causa coadyudante </w:t>
      </w:r>
      <w:r w:rsidRPr="00355E56">
        <w:rPr>
          <w:rFonts w:ascii="MinionPro-Regular" w:hAnsi="MinionPro-Regular"/>
          <w:sz w:val="24"/>
          <w:szCs w:val="24"/>
        </w:rPr>
        <w:t>en la creación de centros especiales de empleo.</w:t>
      </w:r>
    </w:p>
    <w:p w:rsidR="00AA59DA" w:rsidRPr="00355E56" w:rsidRDefault="00AA59DA" w:rsidP="0007541A">
      <w:pPr>
        <w:pStyle w:val="Prrafodelista"/>
        <w:numPr>
          <w:ilvl w:val="0"/>
          <w:numId w:val="28"/>
        </w:numPr>
        <w:autoSpaceDE w:val="0"/>
        <w:autoSpaceDN w:val="0"/>
        <w:spacing w:line="360" w:lineRule="auto"/>
        <w:jc w:val="both"/>
        <w:rPr>
          <w:rFonts w:ascii="MinionPro-Regular" w:hAnsi="MinionPro-Regular"/>
          <w:sz w:val="24"/>
          <w:szCs w:val="24"/>
        </w:rPr>
      </w:pPr>
      <w:r w:rsidRPr="00355E56">
        <w:rPr>
          <w:rFonts w:ascii="MinionPro-Regular" w:hAnsi="MinionPro-Regular"/>
          <w:sz w:val="24"/>
          <w:szCs w:val="24"/>
        </w:rPr>
        <w:t xml:space="preserve">El </w:t>
      </w:r>
      <w:r w:rsidR="00F20BB4" w:rsidRPr="00355E56">
        <w:rPr>
          <w:rFonts w:ascii="MinionPro-Regular" w:hAnsi="MinionPro-Regular"/>
          <w:sz w:val="24"/>
          <w:szCs w:val="24"/>
        </w:rPr>
        <w:t>tercero</w:t>
      </w:r>
      <w:r w:rsidRPr="00355E56">
        <w:rPr>
          <w:rFonts w:ascii="MinionPro-Regular" w:hAnsi="MinionPro-Regular"/>
          <w:sz w:val="24"/>
          <w:szCs w:val="24"/>
        </w:rPr>
        <w:t xml:space="preserve"> de ellos se produjo en el año 2000 y pudo deberse a la publicación del Real Decreto 27/2000, por el que se establecían medidas alternativas de carácter excepcional al cumplimiento de la cuota de reserva del 2% a favor de trabajadores discapacitados de empresas de 50 o más trabajadores.</w:t>
      </w:r>
    </w:p>
    <w:p w:rsidR="00253432" w:rsidRDefault="00253432" w:rsidP="00253432">
      <w:pPr>
        <w:autoSpaceDE w:val="0"/>
        <w:autoSpaceDN w:val="0"/>
        <w:spacing w:line="360" w:lineRule="auto"/>
        <w:jc w:val="both"/>
        <w:rPr>
          <w:rFonts w:ascii="MinionPro-Regular" w:hAnsi="MinionPro-Regular"/>
          <w:sz w:val="24"/>
          <w:szCs w:val="24"/>
          <w:lang w:val="es-ES_tradnl"/>
        </w:rPr>
      </w:pPr>
    </w:p>
    <w:p w:rsidR="00253432" w:rsidRDefault="00253432" w:rsidP="00253432">
      <w:pPr>
        <w:pBdr>
          <w:top w:val="single" w:sz="4" w:space="1" w:color="auto"/>
        </w:pBdr>
        <w:autoSpaceDE w:val="0"/>
        <w:autoSpaceDN w:val="0"/>
        <w:spacing w:line="360" w:lineRule="auto"/>
        <w:jc w:val="both"/>
        <w:rPr>
          <w:rFonts w:ascii="MinionPro-Regular" w:hAnsi="MinionPro-Regular"/>
          <w:sz w:val="20"/>
          <w:szCs w:val="24"/>
          <w:lang w:val="es-ES_tradnl"/>
        </w:rPr>
      </w:pPr>
      <w:r>
        <w:rPr>
          <w:rFonts w:ascii="MinionPro-Regular" w:hAnsi="MinionPro-Regular"/>
          <w:sz w:val="20"/>
          <w:szCs w:val="24"/>
          <w:lang w:val="es-ES_tradnl"/>
        </w:rPr>
        <w:t>Respuestas registradas a la encuesta online (%), por comunidad autónoma.</w:t>
      </w:r>
    </w:p>
    <w:p w:rsidR="00253432" w:rsidRDefault="00253432" w:rsidP="00253432">
      <w:pPr>
        <w:pStyle w:val="Textoindependiente"/>
        <w:spacing w:line="360" w:lineRule="auto"/>
        <w:rPr>
          <w:rFonts w:ascii="MinionPro-Regular" w:hAnsi="MinionPro-Regular"/>
          <w:sz w:val="24"/>
          <w:szCs w:val="24"/>
          <w:lang w:val="es-ES_tradnl"/>
        </w:rPr>
      </w:pPr>
      <w:r>
        <w:rPr>
          <w:rFonts w:ascii="MinionPro-Regular" w:hAnsi="MinionPro-Regular"/>
          <w:noProof/>
          <w:sz w:val="24"/>
          <w:szCs w:val="24"/>
          <w:lang w:eastAsia="es-ES"/>
        </w:rPr>
        <w:lastRenderedPageBreak/>
        <w:drawing>
          <wp:inline distT="0" distB="0" distL="0" distR="0">
            <wp:extent cx="4993419" cy="3554233"/>
            <wp:effectExtent l="0" t="0" r="0" b="0"/>
            <wp:docPr id="17" name="Picture 6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253432" w:rsidRDefault="00253432" w:rsidP="00253432">
      <w:pPr>
        <w:pBdr>
          <w:bottom w:val="single" w:sz="4" w:space="1" w:color="auto"/>
        </w:pBdr>
        <w:autoSpaceDE w:val="0"/>
        <w:autoSpaceDN w:val="0"/>
        <w:spacing w:line="360" w:lineRule="auto"/>
        <w:jc w:val="both"/>
        <w:rPr>
          <w:rFonts w:ascii="MinionPro-Regular" w:hAnsi="MinionPro-Regular"/>
          <w:sz w:val="20"/>
          <w:szCs w:val="24"/>
        </w:rPr>
      </w:pPr>
      <w:r>
        <w:rPr>
          <w:rFonts w:ascii="MinionPro-Regular" w:hAnsi="MinionPro-Regular"/>
          <w:sz w:val="20"/>
          <w:szCs w:val="24"/>
        </w:rPr>
        <w:t>Fuente: Elaboración propia</w:t>
      </w:r>
      <w:r w:rsidR="002000C4">
        <w:rPr>
          <w:rFonts w:ascii="MinionPro-Regular" w:hAnsi="MinionPro-Regular"/>
          <w:sz w:val="20"/>
          <w:szCs w:val="24"/>
        </w:rPr>
        <w:t xml:space="preserve"> a partir de las encuestas recibidas</w:t>
      </w:r>
      <w:r>
        <w:rPr>
          <w:rFonts w:ascii="MinionPro-Regular" w:hAnsi="MinionPro-Regular"/>
          <w:sz w:val="20"/>
          <w:szCs w:val="24"/>
        </w:rPr>
        <w:t>.</w:t>
      </w:r>
    </w:p>
    <w:p w:rsidR="00253432" w:rsidRPr="00253432" w:rsidRDefault="00253432" w:rsidP="00253432">
      <w:pPr>
        <w:pBdr>
          <w:bottom w:val="single" w:sz="4" w:space="1" w:color="auto"/>
        </w:pBdr>
        <w:autoSpaceDE w:val="0"/>
        <w:autoSpaceDN w:val="0"/>
        <w:spacing w:line="360" w:lineRule="auto"/>
        <w:jc w:val="both"/>
        <w:rPr>
          <w:rFonts w:ascii="MinionPro-Regular" w:hAnsi="MinionPro-Regular"/>
          <w:sz w:val="20"/>
          <w:szCs w:val="24"/>
        </w:rPr>
      </w:pPr>
      <w:r>
        <w:rPr>
          <w:rFonts w:ascii="MinionPro-Regular" w:hAnsi="MinionPro-Regular"/>
          <w:sz w:val="20"/>
          <w:szCs w:val="24"/>
        </w:rPr>
        <w:t>Nota explicativa de la gráfica</w:t>
      </w:r>
      <w:r w:rsidRPr="0093079D">
        <w:rPr>
          <w:rFonts w:ascii="MinionPro-Regular" w:hAnsi="MinionPro-Regular"/>
          <w:sz w:val="20"/>
          <w:szCs w:val="24"/>
        </w:rPr>
        <w:t xml:space="preserve">. </w:t>
      </w:r>
      <w:r>
        <w:rPr>
          <w:rFonts w:ascii="MinionPro-Regular" w:hAnsi="MinionPro-Regular"/>
          <w:sz w:val="20"/>
        </w:rPr>
        <w:t xml:space="preserve">Eje </w:t>
      </w:r>
      <w:r w:rsidRPr="00AD7B28">
        <w:rPr>
          <w:rFonts w:ascii="MinionPro-Regular" w:hAnsi="MinionPro-Regular"/>
          <w:sz w:val="20"/>
          <w:szCs w:val="24"/>
        </w:rPr>
        <w:t xml:space="preserve">vertical, </w:t>
      </w:r>
      <w:r>
        <w:rPr>
          <w:rFonts w:ascii="MinionPro-Regular" w:hAnsi="MinionPro-Regular"/>
          <w:sz w:val="20"/>
          <w:szCs w:val="24"/>
        </w:rPr>
        <w:t xml:space="preserve">apertura de centros especiales de empleo </w:t>
      </w:r>
      <w:r w:rsidRPr="00AD7B28">
        <w:rPr>
          <w:rFonts w:ascii="MinionPro-Regular" w:hAnsi="MinionPro-Regular"/>
          <w:sz w:val="20"/>
          <w:szCs w:val="24"/>
        </w:rPr>
        <w:t>(%)</w:t>
      </w:r>
      <w:r>
        <w:rPr>
          <w:rFonts w:ascii="MinionPro-Regular" w:hAnsi="MinionPro-Regular"/>
          <w:sz w:val="20"/>
          <w:szCs w:val="24"/>
        </w:rPr>
        <w:t>. Eje horizontal: años desde 1982 hasta 2011. Los datos son los siguientes. (Solo se muestran los años que figuran en las respuestas registradas): año 1982 (7,9%), año 1983 (0,5%), año 1984 (0,5%), año 1986 (1,1%), año 1987 (2,6%), año 1988 (1,6%), año 1989 (1,6%), año 1990 (3,2%), año 1991 (4,2%), año 1992 (4,2%), año 1993 (1,6%), año 1994 (2,6%), año 1995 (2,6%), año 1996 (4,2%), año 1997 (3,7%), año 1998 (10,0%), año 1999 (6,3%), año 2000 (9,5%), año 2001 (2,6%), año 2002 (4,2%), año 2003 (4,2%), año 2004 (3,2%), año 2005 (2,1%), año 2006 (3,2%), año 2007 (2,6%), año 2008 (2,6%), año 2009 (2,6%), año 2010 (2,1) y año 2011 (2,6%).</w:t>
      </w:r>
      <w:r>
        <w:rPr>
          <w:rFonts w:ascii="MinionPro-Regular" w:hAnsi="MinionPro-Regular"/>
          <w:sz w:val="20"/>
          <w:lang w:val="es-ES_tradnl"/>
        </w:rPr>
        <w:t xml:space="preserve"> </w:t>
      </w:r>
    </w:p>
    <w:p w:rsidR="00E2336B" w:rsidRDefault="00E2336B" w:rsidP="0007541A">
      <w:pPr>
        <w:pStyle w:val="Ttulo2"/>
        <w:numPr>
          <w:ilvl w:val="1"/>
          <w:numId w:val="3"/>
        </w:numPr>
        <w:ind w:left="0"/>
        <w:rPr>
          <w:lang w:val="es-ES_tradnl"/>
        </w:rPr>
      </w:pPr>
      <w:bookmarkStart w:id="8" w:name="_Toc352773540"/>
      <w:r w:rsidRPr="00D373FC">
        <w:rPr>
          <w:lang w:val="es-ES_tradnl"/>
        </w:rPr>
        <w:t>Los centros especiales de empleo, un caso de éxito</w:t>
      </w:r>
      <w:bookmarkEnd w:id="8"/>
    </w:p>
    <w:p w:rsidR="00E2336B" w:rsidRDefault="00E2336B" w:rsidP="00793AAC">
      <w:pPr>
        <w:autoSpaceDE w:val="0"/>
        <w:autoSpaceDN w:val="0"/>
        <w:spacing w:line="360" w:lineRule="auto"/>
        <w:jc w:val="both"/>
        <w:rPr>
          <w:rFonts w:ascii="MinionPro-Regular" w:hAnsi="MinionPro-Regular"/>
          <w:sz w:val="24"/>
          <w:szCs w:val="24"/>
          <w:lang w:val="es-ES_tradnl"/>
        </w:rPr>
      </w:pPr>
    </w:p>
    <w:p w:rsidR="002A607D" w:rsidRDefault="00E2336B">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 xml:space="preserve">Los centros especiales de empleo en España constituyen un caso de éxito único en Europa en la integración laboral de personas con discapacidad. Especialmente dado </w:t>
      </w:r>
      <w:r w:rsidRPr="001D2A97">
        <w:rPr>
          <w:rFonts w:ascii="MinionPro-Regular" w:hAnsi="MinionPro-Regular"/>
          <w:sz w:val="24"/>
          <w:szCs w:val="24"/>
          <w:lang w:val="es-ES_tradnl"/>
        </w:rPr>
        <w:t>el volumen de empleo generado, la apuesta por el empleo de</w:t>
      </w:r>
      <w:r w:rsidR="001D2A97">
        <w:rPr>
          <w:rFonts w:ascii="MinionPro-Regular" w:hAnsi="MinionPro-Regular"/>
          <w:sz w:val="24"/>
          <w:szCs w:val="24"/>
          <w:lang w:val="es-ES_tradnl"/>
        </w:rPr>
        <w:t xml:space="preserve"> </w:t>
      </w:r>
      <w:r>
        <w:rPr>
          <w:rFonts w:ascii="MinionPro-Regular" w:hAnsi="MinionPro-Regular"/>
          <w:sz w:val="24"/>
          <w:szCs w:val="24"/>
          <w:lang w:val="es-ES_tradnl"/>
        </w:rPr>
        <w:t xml:space="preserve">personas con especiales </w:t>
      </w:r>
      <w:r>
        <w:rPr>
          <w:rFonts w:ascii="MinionPro-Regular" w:hAnsi="MinionPro-Regular"/>
          <w:sz w:val="24"/>
          <w:szCs w:val="24"/>
          <w:lang w:val="es-ES_tradnl"/>
        </w:rPr>
        <w:lastRenderedPageBreak/>
        <w:t xml:space="preserve">dificultades de empleabilidad y dada la estabilidad laboral que ofrecen incluso en un entorno como el actual, marcado por las dificultades económicas.  </w:t>
      </w:r>
      <w:r w:rsidR="002A607D">
        <w:rPr>
          <w:rFonts w:ascii="MinionPro-Regular" w:hAnsi="MinionPro-Regular"/>
          <w:sz w:val="24"/>
          <w:szCs w:val="24"/>
          <w:lang w:val="es-ES_tradnl"/>
        </w:rPr>
        <w:t xml:space="preserve">En el caso particular de España, el acceso de las personas con discapacidad al pleno ejercicio de sus derechos económicos es inconcebible sin los centros especiales de empleo. </w:t>
      </w:r>
      <w:r w:rsidR="002A607D" w:rsidRPr="00355E56">
        <w:rPr>
          <w:rFonts w:ascii="MinionPro-Regular" w:hAnsi="MinionPro-Regular"/>
          <w:sz w:val="24"/>
          <w:szCs w:val="24"/>
          <w:lang w:val="es-ES_tradnl"/>
        </w:rPr>
        <w:t xml:space="preserve">Con una plantilla global de más de 70.000 trabajadores, un desembolso </w:t>
      </w:r>
      <w:r w:rsidR="00A970A9" w:rsidRPr="00355E56">
        <w:rPr>
          <w:rFonts w:ascii="MinionPro-Regular" w:hAnsi="MinionPro-Regular"/>
          <w:sz w:val="24"/>
          <w:szCs w:val="24"/>
          <w:lang w:val="es-ES_tradnl"/>
        </w:rPr>
        <w:t xml:space="preserve">anual </w:t>
      </w:r>
      <w:r w:rsidR="002A607D" w:rsidRPr="00355E56">
        <w:rPr>
          <w:rFonts w:ascii="MinionPro-Regular" w:hAnsi="MinionPro-Regular"/>
          <w:sz w:val="24"/>
          <w:szCs w:val="24"/>
          <w:lang w:val="es-ES_tradnl"/>
        </w:rPr>
        <w:t xml:space="preserve">en salarios </w:t>
      </w:r>
      <w:r w:rsidR="0064222C" w:rsidRPr="00355E56">
        <w:rPr>
          <w:rFonts w:ascii="MinionPro-Regular" w:hAnsi="MinionPro-Regular"/>
          <w:sz w:val="24"/>
          <w:szCs w:val="24"/>
          <w:lang w:val="es-ES_tradnl"/>
        </w:rPr>
        <w:t xml:space="preserve">a personas con discapacidad </w:t>
      </w:r>
      <w:r w:rsidR="002A607D" w:rsidRPr="00355E56">
        <w:rPr>
          <w:rFonts w:ascii="MinionPro-Regular" w:hAnsi="MinionPro-Regular"/>
          <w:sz w:val="24"/>
          <w:szCs w:val="24"/>
          <w:lang w:val="es-ES_tradnl"/>
        </w:rPr>
        <w:t>de alrededor de 77</w:t>
      </w:r>
      <w:r w:rsidR="0064222C" w:rsidRPr="00355E56">
        <w:rPr>
          <w:rFonts w:ascii="MinionPro-Regular" w:hAnsi="MinionPro-Regular"/>
          <w:sz w:val="24"/>
          <w:szCs w:val="24"/>
          <w:lang w:val="es-ES_tradnl"/>
        </w:rPr>
        <w:t xml:space="preserve">0 millones de euros, si </w:t>
      </w:r>
      <w:r w:rsidR="002A607D" w:rsidRPr="00355E56">
        <w:rPr>
          <w:rFonts w:ascii="MinionPro-Regular" w:hAnsi="MinionPro-Regular"/>
          <w:sz w:val="24"/>
          <w:szCs w:val="24"/>
          <w:lang w:val="es-ES_tradnl"/>
        </w:rPr>
        <w:t xml:space="preserve">los </w:t>
      </w:r>
      <w:r w:rsidR="0064222C" w:rsidRPr="00355E56">
        <w:rPr>
          <w:rFonts w:ascii="MinionPro-Regular" w:hAnsi="MinionPro-Regular"/>
          <w:sz w:val="24"/>
          <w:szCs w:val="24"/>
          <w:lang w:val="es-ES_tradnl"/>
        </w:rPr>
        <w:t xml:space="preserve">centros especiales de empleo </w:t>
      </w:r>
      <w:r w:rsidR="00A970A9" w:rsidRPr="00355E56">
        <w:rPr>
          <w:rFonts w:ascii="MinionPro-Regular" w:hAnsi="MinionPro-Regular"/>
          <w:sz w:val="24"/>
          <w:szCs w:val="24"/>
          <w:lang w:val="es-ES_tradnl"/>
        </w:rPr>
        <w:t>fueran una sóla empresa</w:t>
      </w:r>
      <w:r w:rsidR="002A607D" w:rsidRPr="00355E56">
        <w:rPr>
          <w:rFonts w:ascii="MinionPro-Regular" w:hAnsi="MinionPro-Regular"/>
          <w:sz w:val="24"/>
          <w:szCs w:val="24"/>
          <w:lang w:val="es-ES_tradnl"/>
        </w:rPr>
        <w:t>, estaría situad</w:t>
      </w:r>
      <w:r w:rsidR="0064222C" w:rsidRPr="00355E56">
        <w:rPr>
          <w:rFonts w:ascii="MinionPro-Regular" w:hAnsi="MinionPro-Regular"/>
          <w:sz w:val="24"/>
          <w:szCs w:val="24"/>
          <w:lang w:val="es-ES_tradnl"/>
        </w:rPr>
        <w:t>a</w:t>
      </w:r>
      <w:r w:rsidR="002A607D" w:rsidRPr="00355E56">
        <w:rPr>
          <w:rFonts w:ascii="MinionPro-Regular" w:hAnsi="MinionPro-Regular"/>
          <w:sz w:val="24"/>
          <w:szCs w:val="24"/>
          <w:lang w:val="es-ES_tradnl"/>
        </w:rPr>
        <w:t xml:space="preserve"> entre las mayores del país</w:t>
      </w:r>
      <w:r w:rsidR="00A970A9" w:rsidRPr="00355E56">
        <w:rPr>
          <w:rFonts w:ascii="MinionPro-Regular" w:hAnsi="MinionPro-Regular"/>
          <w:sz w:val="24"/>
          <w:szCs w:val="24"/>
          <w:lang w:val="es-ES_tradnl"/>
        </w:rPr>
        <w:t xml:space="preserve"> en términos de empleo</w:t>
      </w:r>
      <w:r w:rsidR="002A607D" w:rsidRPr="00355E56">
        <w:rPr>
          <w:rFonts w:ascii="MinionPro-Regular" w:hAnsi="MinionPro-Regular"/>
          <w:sz w:val="24"/>
          <w:szCs w:val="24"/>
          <w:lang w:val="es-ES_tradnl"/>
        </w:rPr>
        <w:t xml:space="preserve">. </w:t>
      </w:r>
      <w:r w:rsidR="00505056">
        <w:rPr>
          <w:rFonts w:ascii="MinionPro-Regular" w:hAnsi="MinionPro-Regular"/>
          <w:sz w:val="24"/>
          <w:szCs w:val="24"/>
          <w:lang w:val="es-ES_tradnl"/>
        </w:rPr>
        <w:t>Sobre una población activa total en España que se sitúa alrededor de los 22 millones de personas, los centros especiales de empleo suponen un 0,4% del total. Sus 70.000 trabajadores suponen, por dar otra cifra, el 0,4% de la población activa en España.</w:t>
      </w:r>
    </w:p>
    <w:p w:rsidR="00505056" w:rsidRDefault="00505056">
      <w:pPr>
        <w:autoSpaceDE w:val="0"/>
        <w:autoSpaceDN w:val="0"/>
        <w:spacing w:line="360" w:lineRule="auto"/>
        <w:jc w:val="both"/>
        <w:rPr>
          <w:rFonts w:ascii="MinionPro-Regular" w:hAnsi="MinionPro-Regular"/>
          <w:sz w:val="24"/>
          <w:szCs w:val="24"/>
          <w:lang w:val="es-ES_tradnl"/>
        </w:rPr>
      </w:pPr>
    </w:p>
    <w:p w:rsidR="002000C4" w:rsidRDefault="002000C4">
      <w:pPr>
        <w:autoSpaceDE w:val="0"/>
        <w:autoSpaceDN w:val="0"/>
        <w:spacing w:line="360" w:lineRule="auto"/>
        <w:jc w:val="both"/>
        <w:rPr>
          <w:rFonts w:ascii="MinionPro-Regular" w:hAnsi="MinionPro-Regular"/>
          <w:sz w:val="24"/>
          <w:szCs w:val="24"/>
          <w:lang w:val="es-ES_tradnl"/>
        </w:rPr>
      </w:pPr>
    </w:p>
    <w:p w:rsidR="002000C4" w:rsidRDefault="002000C4">
      <w:pPr>
        <w:autoSpaceDE w:val="0"/>
        <w:autoSpaceDN w:val="0"/>
        <w:spacing w:line="360" w:lineRule="auto"/>
        <w:jc w:val="both"/>
        <w:rPr>
          <w:rFonts w:ascii="MinionPro-Regular" w:hAnsi="MinionPro-Regular"/>
          <w:sz w:val="24"/>
          <w:szCs w:val="24"/>
          <w:lang w:val="es-ES_tradnl"/>
        </w:rPr>
      </w:pPr>
    </w:p>
    <w:p w:rsidR="002000C4" w:rsidRDefault="002000C4">
      <w:pPr>
        <w:autoSpaceDE w:val="0"/>
        <w:autoSpaceDN w:val="0"/>
        <w:spacing w:line="360" w:lineRule="auto"/>
        <w:jc w:val="both"/>
        <w:rPr>
          <w:rFonts w:ascii="MinionPro-Regular" w:hAnsi="MinionPro-Regular"/>
          <w:sz w:val="24"/>
          <w:szCs w:val="24"/>
          <w:lang w:val="es-ES_tradnl"/>
        </w:rPr>
      </w:pPr>
    </w:p>
    <w:p w:rsidR="002C5391" w:rsidRDefault="002C5391">
      <w:pPr>
        <w:autoSpaceDE w:val="0"/>
        <w:autoSpaceDN w:val="0"/>
        <w:spacing w:line="360" w:lineRule="auto"/>
        <w:jc w:val="both"/>
        <w:rPr>
          <w:rFonts w:ascii="MinionPro-Regular" w:hAnsi="MinionPro-Regular"/>
          <w:sz w:val="24"/>
          <w:szCs w:val="24"/>
          <w:lang w:val="es-ES_tradnl"/>
        </w:rPr>
      </w:pPr>
    </w:p>
    <w:p w:rsidR="002000C4" w:rsidRDefault="002000C4">
      <w:pPr>
        <w:autoSpaceDE w:val="0"/>
        <w:autoSpaceDN w:val="0"/>
        <w:spacing w:line="360" w:lineRule="auto"/>
        <w:jc w:val="both"/>
        <w:rPr>
          <w:rFonts w:ascii="MinionPro-Regular" w:hAnsi="MinionPro-Regular"/>
          <w:sz w:val="24"/>
          <w:szCs w:val="24"/>
          <w:lang w:val="es-ES_tradnl"/>
        </w:rPr>
      </w:pPr>
    </w:p>
    <w:p w:rsidR="002000C4" w:rsidRDefault="002000C4">
      <w:pPr>
        <w:autoSpaceDE w:val="0"/>
        <w:autoSpaceDN w:val="0"/>
        <w:spacing w:line="360" w:lineRule="auto"/>
        <w:jc w:val="both"/>
        <w:rPr>
          <w:rFonts w:ascii="MinionPro-Regular" w:hAnsi="MinionPro-Regular"/>
          <w:sz w:val="24"/>
          <w:szCs w:val="24"/>
          <w:lang w:val="es-ES_tradnl"/>
        </w:rPr>
      </w:pPr>
    </w:p>
    <w:p w:rsidR="002000C4" w:rsidRDefault="002000C4">
      <w:pPr>
        <w:autoSpaceDE w:val="0"/>
        <w:autoSpaceDN w:val="0"/>
        <w:spacing w:line="360" w:lineRule="auto"/>
        <w:jc w:val="both"/>
        <w:rPr>
          <w:rFonts w:ascii="MinionPro-Regular" w:hAnsi="MinionPro-Regular"/>
          <w:sz w:val="24"/>
          <w:szCs w:val="24"/>
          <w:lang w:val="es-ES_tradnl"/>
        </w:rPr>
      </w:pPr>
    </w:p>
    <w:p w:rsidR="002000C4" w:rsidRDefault="002000C4">
      <w:pPr>
        <w:autoSpaceDE w:val="0"/>
        <w:autoSpaceDN w:val="0"/>
        <w:spacing w:line="360" w:lineRule="auto"/>
        <w:jc w:val="both"/>
        <w:rPr>
          <w:rFonts w:ascii="MinionPro-Regular" w:hAnsi="MinionPro-Regular"/>
          <w:sz w:val="24"/>
          <w:szCs w:val="24"/>
          <w:lang w:val="es-ES_tradnl"/>
        </w:rPr>
      </w:pPr>
    </w:p>
    <w:p w:rsidR="002000C4" w:rsidRDefault="002000C4">
      <w:pPr>
        <w:autoSpaceDE w:val="0"/>
        <w:autoSpaceDN w:val="0"/>
        <w:spacing w:line="360" w:lineRule="auto"/>
        <w:jc w:val="both"/>
        <w:rPr>
          <w:rFonts w:ascii="MinionPro-Regular" w:hAnsi="MinionPro-Regular"/>
          <w:sz w:val="24"/>
          <w:szCs w:val="24"/>
          <w:lang w:val="es-ES_tradnl"/>
        </w:rPr>
      </w:pPr>
    </w:p>
    <w:p w:rsidR="002000C4" w:rsidRDefault="002000C4">
      <w:pPr>
        <w:autoSpaceDE w:val="0"/>
        <w:autoSpaceDN w:val="0"/>
        <w:spacing w:line="360" w:lineRule="auto"/>
        <w:jc w:val="both"/>
        <w:rPr>
          <w:rFonts w:ascii="MinionPro-Regular" w:hAnsi="MinionPro-Regular"/>
          <w:sz w:val="24"/>
          <w:szCs w:val="24"/>
          <w:lang w:val="es-ES_tradnl"/>
        </w:rPr>
      </w:pPr>
    </w:p>
    <w:p w:rsidR="002000C4" w:rsidRDefault="002000C4">
      <w:pPr>
        <w:autoSpaceDE w:val="0"/>
        <w:autoSpaceDN w:val="0"/>
        <w:spacing w:line="360" w:lineRule="auto"/>
        <w:jc w:val="both"/>
        <w:rPr>
          <w:rFonts w:ascii="MinionPro-Regular" w:hAnsi="MinionPro-Regular"/>
          <w:sz w:val="24"/>
          <w:szCs w:val="24"/>
          <w:lang w:val="es-ES_tradnl"/>
        </w:rPr>
      </w:pPr>
    </w:p>
    <w:p w:rsidR="002000C4" w:rsidRDefault="002000C4">
      <w:pPr>
        <w:autoSpaceDE w:val="0"/>
        <w:autoSpaceDN w:val="0"/>
        <w:spacing w:line="360" w:lineRule="auto"/>
        <w:jc w:val="both"/>
        <w:rPr>
          <w:rFonts w:ascii="MinionPro-Regular" w:hAnsi="MinionPro-Regular"/>
          <w:sz w:val="24"/>
          <w:szCs w:val="24"/>
          <w:lang w:val="es-ES_tradnl"/>
        </w:rPr>
      </w:pPr>
    </w:p>
    <w:p w:rsidR="002C5391" w:rsidRDefault="002C5391" w:rsidP="002C5391">
      <w:pPr>
        <w:pBdr>
          <w:top w:val="single" w:sz="4" w:space="1" w:color="auto"/>
        </w:pBdr>
        <w:autoSpaceDE w:val="0"/>
        <w:autoSpaceDN w:val="0"/>
        <w:spacing w:line="360" w:lineRule="auto"/>
        <w:jc w:val="both"/>
        <w:rPr>
          <w:rFonts w:ascii="MinionPro-Regular" w:hAnsi="MinionPro-Regular"/>
          <w:sz w:val="20"/>
          <w:szCs w:val="24"/>
          <w:lang w:val="es-ES_tradnl"/>
        </w:rPr>
      </w:pPr>
      <w:r>
        <w:rPr>
          <w:rFonts w:ascii="MinionPro-Regular" w:hAnsi="MinionPro-Regular"/>
          <w:sz w:val="20"/>
          <w:szCs w:val="24"/>
          <w:lang w:val="es-ES_tradnl"/>
        </w:rPr>
        <w:t>Evolución de personas contratadas (con y sin discapacidad) en centros especiales de empleo y número de centros especiales de empleo en España desde 1991 hasta 2011.</w:t>
      </w:r>
    </w:p>
    <w:p w:rsidR="002C5391" w:rsidRDefault="002C5391" w:rsidP="002C5391">
      <w:pPr>
        <w:pStyle w:val="Textoindependiente"/>
        <w:spacing w:line="360" w:lineRule="auto"/>
        <w:rPr>
          <w:rFonts w:ascii="MinionPro-Regular" w:hAnsi="MinionPro-Regular"/>
          <w:sz w:val="24"/>
          <w:szCs w:val="24"/>
          <w:lang w:val="es-ES_tradnl"/>
        </w:rPr>
      </w:pPr>
      <w:r w:rsidRPr="002C5391">
        <w:rPr>
          <w:rFonts w:ascii="MinionPro-Regular" w:hAnsi="MinionPro-Regular"/>
          <w:noProof/>
          <w:sz w:val="24"/>
          <w:szCs w:val="24"/>
          <w:lang w:eastAsia="es-ES"/>
        </w:rPr>
        <w:lastRenderedPageBreak/>
        <w:drawing>
          <wp:inline distT="0" distB="0" distL="0" distR="0">
            <wp:extent cx="2538375" cy="2172615"/>
            <wp:effectExtent l="0" t="0" r="0" b="0"/>
            <wp:docPr id="1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2C5391">
        <w:rPr>
          <w:noProof/>
          <w:lang w:eastAsia="es-ES"/>
        </w:rPr>
        <w:t xml:space="preserve"> </w:t>
      </w:r>
      <w:r w:rsidRPr="002C5391">
        <w:rPr>
          <w:rFonts w:ascii="MinionPro-Regular" w:hAnsi="MinionPro-Regular"/>
          <w:noProof/>
          <w:sz w:val="24"/>
          <w:szCs w:val="24"/>
          <w:lang w:eastAsia="es-ES"/>
        </w:rPr>
        <w:drawing>
          <wp:inline distT="0" distB="0" distL="0" distR="0">
            <wp:extent cx="2772461" cy="1938528"/>
            <wp:effectExtent l="0" t="0" r="0" b="0"/>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2C5391" w:rsidRDefault="002C5391" w:rsidP="002C5391">
      <w:pPr>
        <w:pBdr>
          <w:bottom w:val="single" w:sz="4" w:space="1" w:color="auto"/>
        </w:pBdr>
        <w:autoSpaceDE w:val="0"/>
        <w:autoSpaceDN w:val="0"/>
        <w:spacing w:line="360" w:lineRule="auto"/>
        <w:jc w:val="both"/>
        <w:rPr>
          <w:rFonts w:ascii="MinionPro-Regular" w:hAnsi="MinionPro-Regular"/>
          <w:sz w:val="20"/>
          <w:szCs w:val="24"/>
        </w:rPr>
      </w:pPr>
      <w:r>
        <w:rPr>
          <w:rFonts w:ascii="MinionPro-Regular" w:hAnsi="MinionPro-Regular"/>
          <w:sz w:val="20"/>
          <w:szCs w:val="24"/>
        </w:rPr>
        <w:t xml:space="preserve">Fuente: </w:t>
      </w:r>
      <w:r w:rsidR="00AA562C">
        <w:rPr>
          <w:rFonts w:ascii="MinionPro-Regular" w:hAnsi="MinionPro-Regular"/>
          <w:sz w:val="20"/>
          <w:szCs w:val="24"/>
        </w:rPr>
        <w:t xml:space="preserve">Datos hasta 2001 INEM. Datos posteriores: </w:t>
      </w:r>
      <w:r w:rsidR="003737D2">
        <w:rPr>
          <w:rFonts w:ascii="MinionPro-Regular" w:hAnsi="MinionPro-Regular"/>
          <w:sz w:val="20"/>
          <w:szCs w:val="24"/>
        </w:rPr>
        <w:t>Servicio Estatal de Empleo</w:t>
      </w:r>
      <w:r>
        <w:rPr>
          <w:rFonts w:ascii="MinionPro-Regular" w:hAnsi="MinionPro-Regular"/>
          <w:sz w:val="20"/>
          <w:szCs w:val="24"/>
        </w:rPr>
        <w:t>.</w:t>
      </w:r>
    </w:p>
    <w:p w:rsidR="00871A2A" w:rsidRDefault="002C5391" w:rsidP="002C5391">
      <w:pPr>
        <w:pBdr>
          <w:bottom w:val="single" w:sz="4" w:space="1" w:color="auto"/>
        </w:pBdr>
        <w:autoSpaceDE w:val="0"/>
        <w:autoSpaceDN w:val="0"/>
        <w:spacing w:line="360" w:lineRule="auto"/>
        <w:jc w:val="both"/>
        <w:rPr>
          <w:rFonts w:ascii="MinionPro-Regular" w:hAnsi="MinionPro-Regular"/>
          <w:sz w:val="20"/>
          <w:szCs w:val="24"/>
        </w:rPr>
      </w:pPr>
      <w:r>
        <w:rPr>
          <w:rFonts w:ascii="MinionPro-Regular" w:hAnsi="MinionPro-Regular"/>
          <w:sz w:val="20"/>
          <w:szCs w:val="24"/>
        </w:rPr>
        <w:t>Nota explicativa de la</w:t>
      </w:r>
      <w:r w:rsidR="00871A2A">
        <w:rPr>
          <w:rFonts w:ascii="MinionPro-Regular" w:hAnsi="MinionPro-Regular"/>
          <w:sz w:val="20"/>
          <w:szCs w:val="24"/>
        </w:rPr>
        <w:t>s</w:t>
      </w:r>
      <w:r>
        <w:rPr>
          <w:rFonts w:ascii="MinionPro-Regular" w:hAnsi="MinionPro-Regular"/>
          <w:sz w:val="20"/>
          <w:szCs w:val="24"/>
        </w:rPr>
        <w:t xml:space="preserve"> gráfica</w:t>
      </w:r>
      <w:r w:rsidR="00871A2A">
        <w:rPr>
          <w:rFonts w:ascii="MinionPro-Regular" w:hAnsi="MinionPro-Regular"/>
          <w:sz w:val="20"/>
          <w:szCs w:val="24"/>
        </w:rPr>
        <w:t>s</w:t>
      </w:r>
      <w:r w:rsidRPr="0093079D">
        <w:rPr>
          <w:rFonts w:ascii="MinionPro-Regular" w:hAnsi="MinionPro-Regular"/>
          <w:sz w:val="20"/>
          <w:szCs w:val="24"/>
        </w:rPr>
        <w:t xml:space="preserve">. </w:t>
      </w:r>
      <w:r w:rsidR="00871A2A">
        <w:rPr>
          <w:rFonts w:ascii="MinionPro-Regular" w:hAnsi="MinionPro-Regular"/>
          <w:sz w:val="20"/>
          <w:szCs w:val="24"/>
        </w:rPr>
        <w:t xml:space="preserve">Gráfica de la izquierda: </w:t>
      </w:r>
      <w:r>
        <w:rPr>
          <w:rFonts w:ascii="MinionPro-Regular" w:hAnsi="MinionPro-Regular"/>
          <w:sz w:val="20"/>
        </w:rPr>
        <w:t xml:space="preserve">Eje </w:t>
      </w:r>
      <w:r w:rsidRPr="00AD7B28">
        <w:rPr>
          <w:rFonts w:ascii="MinionPro-Regular" w:hAnsi="MinionPro-Regular"/>
          <w:sz w:val="20"/>
          <w:szCs w:val="24"/>
        </w:rPr>
        <w:t xml:space="preserve">vertical, </w:t>
      </w:r>
      <w:r w:rsidR="00871A2A">
        <w:rPr>
          <w:rFonts w:ascii="MinionPro-Regular" w:hAnsi="MinionPro-Regular"/>
          <w:sz w:val="20"/>
          <w:szCs w:val="24"/>
        </w:rPr>
        <w:t>número de personas en centros especiales de empleo (plantilla total)</w:t>
      </w:r>
      <w:r>
        <w:rPr>
          <w:rFonts w:ascii="MinionPro-Regular" w:hAnsi="MinionPro-Regular"/>
          <w:sz w:val="20"/>
          <w:szCs w:val="24"/>
        </w:rPr>
        <w:t>.</w:t>
      </w:r>
      <w:r w:rsidR="00871A2A">
        <w:rPr>
          <w:rFonts w:ascii="MinionPro-Regular" w:hAnsi="MinionPro-Regular"/>
          <w:sz w:val="20"/>
          <w:szCs w:val="24"/>
        </w:rPr>
        <w:t xml:space="preserve"> Eje horizontal: años. </w:t>
      </w:r>
      <w:r>
        <w:rPr>
          <w:rFonts w:ascii="MinionPro-Regular" w:hAnsi="MinionPro-Regular"/>
          <w:sz w:val="20"/>
          <w:szCs w:val="24"/>
        </w:rPr>
        <w:t>Los datos son los siguientes: año 19</w:t>
      </w:r>
      <w:r w:rsidR="00871A2A">
        <w:rPr>
          <w:rFonts w:ascii="MinionPro-Regular" w:hAnsi="MinionPro-Regular"/>
          <w:sz w:val="20"/>
          <w:szCs w:val="24"/>
        </w:rPr>
        <w:t>91 (7.793</w:t>
      </w:r>
      <w:r>
        <w:rPr>
          <w:rFonts w:ascii="MinionPro-Regular" w:hAnsi="MinionPro-Regular"/>
          <w:sz w:val="20"/>
          <w:szCs w:val="24"/>
        </w:rPr>
        <w:t>),</w:t>
      </w:r>
      <w:r w:rsidR="00871A2A">
        <w:rPr>
          <w:rFonts w:ascii="MinionPro-Regular" w:hAnsi="MinionPro-Regular"/>
          <w:sz w:val="20"/>
          <w:szCs w:val="24"/>
        </w:rPr>
        <w:t xml:space="preserve"> año 1992 (8.393), año 1993 (9.249), año 1994 (11.130), año 1995 (13.525), año 1996 (15.469), año 1997 (17.786), año 1998 (21.284), año 1999 (24.796), año 2000 (28.463), año 2001 (30.833), año 2006 (48.634), año 2008 (52.924), año 2009 (69.691), año 2010 (63.179), año 2011 (71.815).</w:t>
      </w:r>
    </w:p>
    <w:p w:rsidR="002C5391" w:rsidRPr="00253432" w:rsidRDefault="00871A2A" w:rsidP="002C5391">
      <w:pPr>
        <w:pBdr>
          <w:bottom w:val="single" w:sz="4" w:space="1" w:color="auto"/>
        </w:pBdr>
        <w:autoSpaceDE w:val="0"/>
        <w:autoSpaceDN w:val="0"/>
        <w:spacing w:line="360" w:lineRule="auto"/>
        <w:jc w:val="both"/>
        <w:rPr>
          <w:rFonts w:ascii="MinionPro-Regular" w:hAnsi="MinionPro-Regular"/>
          <w:sz w:val="20"/>
          <w:szCs w:val="24"/>
        </w:rPr>
      </w:pPr>
      <w:r>
        <w:rPr>
          <w:rFonts w:ascii="MinionPro-Regular" w:hAnsi="MinionPro-Regular"/>
          <w:sz w:val="20"/>
          <w:szCs w:val="24"/>
        </w:rPr>
        <w:t xml:space="preserve">Gráfica de la derecha: </w:t>
      </w:r>
      <w:r>
        <w:rPr>
          <w:rFonts w:ascii="MinionPro-Regular" w:hAnsi="MinionPro-Regular"/>
          <w:sz w:val="20"/>
        </w:rPr>
        <w:t xml:space="preserve">Eje </w:t>
      </w:r>
      <w:r w:rsidRPr="00AD7B28">
        <w:rPr>
          <w:rFonts w:ascii="MinionPro-Regular" w:hAnsi="MinionPro-Regular"/>
          <w:sz w:val="20"/>
          <w:szCs w:val="24"/>
        </w:rPr>
        <w:t xml:space="preserve">vertical, </w:t>
      </w:r>
      <w:r>
        <w:rPr>
          <w:rFonts w:ascii="MinionPro-Regular" w:hAnsi="MinionPro-Regular"/>
          <w:sz w:val="20"/>
          <w:szCs w:val="24"/>
        </w:rPr>
        <w:t>número de centros especiales de empleo. Eje horizontal: años. Los datos son los siguientes: año 1991 (289), año 1992 (305), año 1993 (351), año 1994 (403), año 1995 (497), año 1996 (562), año 1997 (605), año 1998 (693), año 1999 (796), año 2000 (1.007), año 2001 (1.125), año 2006 (1.589), año 2008 (1.775), año 2009 (1.900), año 2010 (1.871), año 2011 (2.215).</w:t>
      </w:r>
    </w:p>
    <w:p w:rsidR="002C5391" w:rsidRPr="002C5391" w:rsidRDefault="002C5391" w:rsidP="002C5391">
      <w:pPr>
        <w:autoSpaceDE w:val="0"/>
        <w:autoSpaceDN w:val="0"/>
        <w:spacing w:line="360" w:lineRule="auto"/>
        <w:jc w:val="both"/>
        <w:rPr>
          <w:rFonts w:ascii="MinionPro-Regular" w:hAnsi="MinionPro-Regular"/>
          <w:sz w:val="24"/>
          <w:szCs w:val="24"/>
        </w:rPr>
      </w:pPr>
    </w:p>
    <w:p w:rsidR="002C5391" w:rsidRPr="002C5391" w:rsidRDefault="002C5391">
      <w:pPr>
        <w:autoSpaceDE w:val="0"/>
        <w:autoSpaceDN w:val="0"/>
        <w:spacing w:line="360" w:lineRule="auto"/>
        <w:jc w:val="both"/>
        <w:rPr>
          <w:rFonts w:ascii="MinionPro-Regular" w:hAnsi="MinionPro-Regular"/>
          <w:sz w:val="24"/>
          <w:szCs w:val="24"/>
        </w:rPr>
      </w:pPr>
    </w:p>
    <w:p w:rsidR="002959F0" w:rsidRPr="001D2A97" w:rsidRDefault="00E2336B">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 xml:space="preserve">Cabe destacar especialmente la labor que desempeñan los centros de iniciativa social. De entre los centros especiales de empleo, los de iniciativa social son los que ofrecen más oportunidades a personas con especiales dificultades, </w:t>
      </w:r>
      <w:r w:rsidRPr="001D2A97">
        <w:rPr>
          <w:rFonts w:ascii="MinionPro-Regular" w:hAnsi="MinionPro-Regular"/>
          <w:sz w:val="24"/>
          <w:szCs w:val="24"/>
          <w:lang w:val="es-ES_tradnl"/>
        </w:rPr>
        <w:t xml:space="preserve">los que han generado durante años mayores oportunidades de empleo, los que, en momentos de especiales dificultades económicas, han apostado por el mantenimiento del empleo y los que ofrecen mayores posibilidades de un desarrollo profesional y social de estas personas. </w:t>
      </w:r>
      <w:r w:rsidR="002A607D">
        <w:rPr>
          <w:rFonts w:ascii="MinionPro-Regular" w:hAnsi="MinionPro-Regular"/>
          <w:sz w:val="24"/>
          <w:szCs w:val="24"/>
          <w:lang w:val="es-ES_tradnl"/>
        </w:rPr>
        <w:t xml:space="preserve">Los centros </w:t>
      </w:r>
      <w:r w:rsidR="002A607D">
        <w:rPr>
          <w:rFonts w:ascii="MinionPro-Regular" w:hAnsi="MinionPro-Regular"/>
          <w:sz w:val="24"/>
          <w:szCs w:val="24"/>
          <w:lang w:val="es-ES_tradnl"/>
        </w:rPr>
        <w:lastRenderedPageBreak/>
        <w:t>especiales de empleo de iniciativa s</w:t>
      </w:r>
      <w:r w:rsidR="00F23441" w:rsidRPr="001D2A97">
        <w:rPr>
          <w:rFonts w:ascii="MinionPro-Regular" w:hAnsi="MinionPro-Regular"/>
          <w:sz w:val="24"/>
          <w:szCs w:val="24"/>
          <w:lang w:val="es-ES_tradnl"/>
        </w:rPr>
        <w:t>ocial comparten las tres características fundamentales de las empresas sociales:</w:t>
      </w:r>
    </w:p>
    <w:p w:rsidR="00E2336B" w:rsidRPr="00997732" w:rsidRDefault="00E2336B" w:rsidP="00997732">
      <w:pPr>
        <w:autoSpaceDE w:val="0"/>
        <w:autoSpaceDN w:val="0"/>
        <w:spacing w:line="360" w:lineRule="auto"/>
        <w:jc w:val="both"/>
        <w:rPr>
          <w:rFonts w:ascii="MinionPro-Regular" w:hAnsi="MinionPro-Regular"/>
          <w:color w:val="FF0000"/>
          <w:sz w:val="24"/>
          <w:szCs w:val="24"/>
          <w:u w:val="single"/>
        </w:rPr>
      </w:pPr>
    </w:p>
    <w:p w:rsidR="002959F0" w:rsidRPr="002000C4" w:rsidRDefault="00E2336B" w:rsidP="0007541A">
      <w:pPr>
        <w:pStyle w:val="Prrafodelista"/>
        <w:numPr>
          <w:ilvl w:val="0"/>
          <w:numId w:val="31"/>
        </w:numPr>
        <w:autoSpaceDE w:val="0"/>
        <w:autoSpaceDN w:val="0"/>
        <w:spacing w:line="360" w:lineRule="auto"/>
        <w:jc w:val="both"/>
        <w:rPr>
          <w:rFonts w:ascii="MinionPro-Regular" w:hAnsi="MinionPro-Regular"/>
          <w:sz w:val="24"/>
          <w:szCs w:val="24"/>
          <w:lang w:val="es-ES_tradnl"/>
        </w:rPr>
      </w:pPr>
      <w:r w:rsidRPr="002000C4">
        <w:rPr>
          <w:rFonts w:ascii="MinionPro-Regular" w:hAnsi="MinionPro-Regular"/>
          <w:sz w:val="24"/>
          <w:szCs w:val="24"/>
          <w:lang w:val="es-ES_tradnl"/>
        </w:rPr>
        <w:t>Creación de valor social como objetivo prioritario e irrenunciable.</w:t>
      </w:r>
    </w:p>
    <w:p w:rsidR="002959F0" w:rsidRPr="002000C4" w:rsidRDefault="00E2336B" w:rsidP="0007541A">
      <w:pPr>
        <w:pStyle w:val="Prrafodelista"/>
        <w:numPr>
          <w:ilvl w:val="0"/>
          <w:numId w:val="31"/>
        </w:numPr>
        <w:autoSpaceDE w:val="0"/>
        <w:autoSpaceDN w:val="0"/>
        <w:spacing w:line="360" w:lineRule="auto"/>
        <w:jc w:val="both"/>
        <w:rPr>
          <w:rFonts w:ascii="MinionPro-Regular" w:hAnsi="MinionPro-Regular"/>
          <w:sz w:val="24"/>
          <w:szCs w:val="24"/>
          <w:lang w:val="es-ES_tradnl"/>
        </w:rPr>
      </w:pPr>
      <w:r w:rsidRPr="002000C4">
        <w:rPr>
          <w:rFonts w:ascii="MinionPro-Regular" w:hAnsi="MinionPro-Regular"/>
          <w:sz w:val="24"/>
          <w:szCs w:val="24"/>
          <w:lang w:val="es-ES_tradnl"/>
        </w:rPr>
        <w:t xml:space="preserve">Generación de valor económico, un objetivo imprescindible. </w:t>
      </w:r>
    </w:p>
    <w:p w:rsidR="002959F0" w:rsidRPr="002000C4" w:rsidRDefault="00F23441" w:rsidP="0007541A">
      <w:pPr>
        <w:pStyle w:val="Prrafodelista"/>
        <w:numPr>
          <w:ilvl w:val="0"/>
          <w:numId w:val="31"/>
        </w:numPr>
        <w:autoSpaceDE w:val="0"/>
        <w:autoSpaceDN w:val="0"/>
        <w:spacing w:line="360" w:lineRule="auto"/>
        <w:jc w:val="both"/>
        <w:rPr>
          <w:rFonts w:ascii="MinionPro-Regular" w:hAnsi="MinionPro-Regular"/>
          <w:sz w:val="24"/>
          <w:szCs w:val="24"/>
          <w:lang w:val="es-ES_tradnl"/>
        </w:rPr>
      </w:pPr>
      <w:r w:rsidRPr="002000C4">
        <w:rPr>
          <w:rFonts w:ascii="MinionPro-Regular" w:hAnsi="MinionPro-Regular"/>
          <w:sz w:val="24"/>
          <w:szCs w:val="24"/>
          <w:lang w:val="es-ES_tradnl"/>
        </w:rPr>
        <w:t>La estrategia y el enfoque empresarial.</w:t>
      </w:r>
    </w:p>
    <w:p w:rsidR="00E2336B" w:rsidRDefault="00E2336B" w:rsidP="00793AAC">
      <w:pPr>
        <w:autoSpaceDE w:val="0"/>
        <w:autoSpaceDN w:val="0"/>
        <w:spacing w:line="360" w:lineRule="auto"/>
        <w:jc w:val="both"/>
        <w:rPr>
          <w:rFonts w:ascii="MinionPro-Regular" w:hAnsi="MinionPro-Regular"/>
          <w:sz w:val="24"/>
          <w:szCs w:val="24"/>
          <w:lang w:val="es-ES_tradnl"/>
        </w:rPr>
      </w:pPr>
    </w:p>
    <w:p w:rsidR="00E2336B" w:rsidRDefault="00E2336B" w:rsidP="00793AAC">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Los centros especiales de empleo deben dar respuesta a un doble objetivo. De un lado, ofrecen productos y servicios en un mercado libre y abierto y, por lo tanto, deben ser comercialmente exitosos. De otro, no debemos olvidar que su misión principal es de carácter social: ofrecer oportunidades, desarrollar y mejorar la empleabilidad de las personas con discapacidad.</w:t>
      </w:r>
    </w:p>
    <w:p w:rsidR="00E2336B" w:rsidRDefault="00E2336B" w:rsidP="00793AAC">
      <w:pPr>
        <w:autoSpaceDE w:val="0"/>
        <w:autoSpaceDN w:val="0"/>
        <w:spacing w:line="360" w:lineRule="auto"/>
        <w:jc w:val="both"/>
        <w:rPr>
          <w:rFonts w:ascii="MinionPro-Regular" w:hAnsi="MinionPro-Regular"/>
          <w:sz w:val="24"/>
          <w:szCs w:val="24"/>
          <w:lang w:val="es-ES_tradnl"/>
        </w:rPr>
      </w:pPr>
    </w:p>
    <w:p w:rsidR="00E2336B" w:rsidRDefault="00E2336B" w:rsidP="00F01761">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La legislación no deja lugar a dudas. El artículo 42 de la Ley 13/1982, de 7 de abril, de integración social de los minusválidos, define el objetivo de los centros especiales de empleo como el de “</w:t>
      </w:r>
      <w:r w:rsidRPr="005611E0">
        <w:rPr>
          <w:rFonts w:ascii="MinionPro-Regular" w:hAnsi="MinionPro-Regular"/>
          <w:i/>
          <w:sz w:val="24"/>
          <w:szCs w:val="24"/>
          <w:lang w:val="es-ES_tradnl"/>
        </w:rPr>
        <w:t>realizar un trabajo productivo, participando regularmente en las operaciones de mercado, y teniendo como finalidad el asegurar un empleo remunerado y la prestación de servicios de ajuste personal y social que requieran sus trabajadores minusválidos; a la vez que sea un medio de integración del mayor número de minusválidos al régimen de trabajo normal</w:t>
      </w:r>
      <w:r>
        <w:rPr>
          <w:rFonts w:ascii="MinionPro-Regular" w:hAnsi="MinionPro-Regular"/>
          <w:sz w:val="24"/>
          <w:szCs w:val="24"/>
          <w:lang w:val="es-ES_tradnl"/>
        </w:rPr>
        <w:t>”.</w:t>
      </w:r>
    </w:p>
    <w:p w:rsidR="00E2336B" w:rsidRDefault="00E2336B" w:rsidP="002E6515">
      <w:pPr>
        <w:autoSpaceDE w:val="0"/>
        <w:autoSpaceDN w:val="0"/>
        <w:spacing w:line="360" w:lineRule="auto"/>
        <w:jc w:val="both"/>
        <w:rPr>
          <w:rFonts w:ascii="MinionPro-Regular" w:hAnsi="MinionPro-Regular"/>
          <w:sz w:val="24"/>
          <w:szCs w:val="24"/>
          <w:lang w:val="es-ES_tradnl"/>
        </w:rPr>
      </w:pPr>
    </w:p>
    <w:p w:rsidR="00E2336B" w:rsidRDefault="00E2336B" w:rsidP="002E6515">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El doble objetivo de generar valor añadido social y de ser competitivos pone sobre la mesa -tal y como confirma la consulta a empleados de centros especiales de empleo desarrollada en el marco de este trabajo- la necesidad de avanza</w:t>
      </w:r>
      <w:r w:rsidR="002A607D">
        <w:rPr>
          <w:rFonts w:ascii="MinionPro-Regular" w:hAnsi="MinionPro-Regular"/>
          <w:sz w:val="24"/>
          <w:szCs w:val="24"/>
          <w:lang w:val="es-ES_tradnl"/>
        </w:rPr>
        <w:t>r en algunos elementos críticos.</w:t>
      </w:r>
      <w:r>
        <w:rPr>
          <w:rFonts w:ascii="MinionPro-Regular" w:hAnsi="MinionPro-Regular"/>
          <w:sz w:val="24"/>
          <w:szCs w:val="24"/>
          <w:lang w:val="es-ES_tradnl"/>
        </w:rPr>
        <w:t xml:space="preserve"> </w:t>
      </w:r>
      <w:r w:rsidR="00F23441" w:rsidRPr="00A970A9">
        <w:rPr>
          <w:rFonts w:ascii="MinionPro-Regular" w:hAnsi="MinionPro-Regular"/>
          <w:sz w:val="24"/>
          <w:szCs w:val="24"/>
          <w:lang w:val="es-ES_tradnl"/>
        </w:rPr>
        <w:t xml:space="preserve">En primer lugar, es imprescindible avanzar en la convergencia salarial y mejorar </w:t>
      </w:r>
      <w:r w:rsidR="00F23441" w:rsidRPr="00A970A9">
        <w:rPr>
          <w:rFonts w:ascii="MinionPro-Regular" w:hAnsi="MinionPro-Regular"/>
          <w:sz w:val="24"/>
          <w:szCs w:val="24"/>
          <w:lang w:val="es-ES_tradnl"/>
        </w:rPr>
        <w:lastRenderedPageBreak/>
        <w:t>las oportunidades de formación y desarrollo profesional que se ofrece a las personas con discapacidad. Para ello debe reforzarse el trabajo de las unidades de apoyo y del resto de elementos de desarrollo presentes en los centros. La convergencia y el desarrollo profesional son relevantes no sólo desde un punto de vista de equidad sino también para mejorar la capacidad de los centros de operar en sectores de mayor valor añadido que, por su parte,  sean capaces de ofrecer empleos de mayor calidad y</w:t>
      </w:r>
      <w:r w:rsidR="00A970A9" w:rsidRPr="00A970A9">
        <w:rPr>
          <w:rFonts w:ascii="MinionPro-Regular" w:hAnsi="MinionPro-Regular"/>
          <w:sz w:val="24"/>
          <w:szCs w:val="24"/>
          <w:lang w:val="es-ES_tradnl"/>
        </w:rPr>
        <w:t xml:space="preserve"> </w:t>
      </w:r>
      <w:r w:rsidR="00F23441" w:rsidRPr="00A970A9">
        <w:rPr>
          <w:rFonts w:ascii="MinionPro-Regular" w:hAnsi="MinionPro-Regular"/>
          <w:sz w:val="24"/>
          <w:szCs w:val="24"/>
          <w:lang w:val="es-ES_tradnl"/>
        </w:rPr>
        <w:t xml:space="preserve">mejor remunerados. </w:t>
      </w:r>
      <w:r w:rsidR="00A970A9" w:rsidRPr="00A970A9">
        <w:rPr>
          <w:rFonts w:ascii="MinionPro-Regular" w:hAnsi="MinionPro-Regular"/>
          <w:sz w:val="24"/>
          <w:szCs w:val="24"/>
          <w:lang w:val="es-ES_tradnl"/>
        </w:rPr>
        <w:t>Esto subraya y pone de manifiesto otro asunto de enorme relevancia: la necesidad</w:t>
      </w:r>
      <w:r w:rsidR="00F23441" w:rsidRPr="00A970A9">
        <w:rPr>
          <w:rFonts w:ascii="MinionPro-Regular" w:hAnsi="MinionPro-Regular"/>
          <w:sz w:val="24"/>
          <w:szCs w:val="24"/>
          <w:lang w:val="es-ES_tradnl"/>
        </w:rPr>
        <w:t xml:space="preserve"> de una mayor atención de los servicios públicos de empleo a las personas con discapacidad. Sólo una mínima parte de las personas con discapacidad consultadas en la elaboración de este informe accedió a un centro especial de empleo gracias al apoyo de los servicios públicos de empleo, </w:t>
      </w:r>
      <w:r w:rsidR="00A970A9" w:rsidRPr="00A970A9">
        <w:rPr>
          <w:rFonts w:ascii="MinionPro-Regular" w:hAnsi="MinionPro-Regular"/>
          <w:sz w:val="24"/>
          <w:szCs w:val="24"/>
          <w:lang w:val="es-ES_tradnl"/>
        </w:rPr>
        <w:t xml:space="preserve">una fracción de las que lo hicieron </w:t>
      </w:r>
      <w:r w:rsidR="00F23441" w:rsidRPr="00A970A9">
        <w:rPr>
          <w:rFonts w:ascii="MinionPro-Regular" w:hAnsi="MinionPro-Regular"/>
          <w:sz w:val="24"/>
          <w:szCs w:val="24"/>
          <w:lang w:val="es-ES_tradnl"/>
        </w:rPr>
        <w:t>gracias a los servicios ofrecidos por las asociaciones.</w:t>
      </w:r>
      <w:r>
        <w:rPr>
          <w:rFonts w:ascii="MinionPro-Regular" w:hAnsi="MinionPro-Regular"/>
          <w:sz w:val="24"/>
          <w:szCs w:val="24"/>
          <w:lang w:val="es-ES_tradnl"/>
        </w:rPr>
        <w:t xml:space="preserve"> </w:t>
      </w:r>
    </w:p>
    <w:p w:rsidR="003737D2" w:rsidRDefault="003737D2" w:rsidP="002E6515">
      <w:pPr>
        <w:autoSpaceDE w:val="0"/>
        <w:autoSpaceDN w:val="0"/>
        <w:spacing w:line="360" w:lineRule="auto"/>
        <w:jc w:val="both"/>
        <w:rPr>
          <w:rFonts w:ascii="MinionPro-Regular" w:hAnsi="MinionPro-Regular"/>
          <w:sz w:val="24"/>
          <w:szCs w:val="24"/>
          <w:lang w:val="es-ES_tradnl"/>
        </w:rPr>
      </w:pPr>
    </w:p>
    <w:p w:rsidR="00E2336B" w:rsidRDefault="00E2336B" w:rsidP="0007541A">
      <w:pPr>
        <w:pStyle w:val="Ttulo2"/>
        <w:numPr>
          <w:ilvl w:val="1"/>
          <w:numId w:val="3"/>
        </w:numPr>
        <w:ind w:left="0"/>
        <w:rPr>
          <w:lang w:val="es-ES_tradnl"/>
        </w:rPr>
      </w:pPr>
      <w:bookmarkStart w:id="9" w:name="_Toc352773541"/>
      <w:r w:rsidRPr="002E6515">
        <w:rPr>
          <w:lang w:val="es-ES_tradnl"/>
        </w:rPr>
        <w:t>Un instrumento eficiente para la integración</w:t>
      </w:r>
      <w:bookmarkEnd w:id="9"/>
    </w:p>
    <w:p w:rsidR="00E2336B" w:rsidRDefault="00E2336B" w:rsidP="002E6515">
      <w:pPr>
        <w:autoSpaceDE w:val="0"/>
        <w:autoSpaceDN w:val="0"/>
        <w:spacing w:line="360" w:lineRule="auto"/>
        <w:jc w:val="both"/>
        <w:rPr>
          <w:rFonts w:ascii="MinionPro-Regular" w:hAnsi="MinionPro-Regular"/>
          <w:sz w:val="24"/>
          <w:szCs w:val="24"/>
          <w:lang w:val="es-ES_tradnl"/>
        </w:rPr>
      </w:pPr>
    </w:p>
    <w:p w:rsidR="00E2336B" w:rsidRDefault="00E2336B" w:rsidP="00793AAC">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 xml:space="preserve">Una de las tareas pendientes de los centros especiales de empleo es reforzar su percepción pública como organizaciones modernas, eficientes y que contribuyen de manera significativa y directa a la riqueza nacional. </w:t>
      </w:r>
    </w:p>
    <w:p w:rsidR="00E2336B" w:rsidRDefault="00E2336B" w:rsidP="00793AAC">
      <w:pPr>
        <w:autoSpaceDE w:val="0"/>
        <w:autoSpaceDN w:val="0"/>
        <w:spacing w:line="360" w:lineRule="auto"/>
        <w:jc w:val="both"/>
        <w:rPr>
          <w:rFonts w:ascii="MinionPro-Regular" w:hAnsi="MinionPro-Regular"/>
          <w:sz w:val="24"/>
          <w:szCs w:val="24"/>
          <w:lang w:val="es-ES_tradnl"/>
        </w:rPr>
      </w:pPr>
    </w:p>
    <w:p w:rsidR="00E2336B" w:rsidRDefault="00E2336B" w:rsidP="00793AAC">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 xml:space="preserve">Comparando las ayudas que reciben con los retornos que ofrecen en términos de impuestos y de ahorros de gasto social, la conclusión es que los centros especiales de empleo son contribuyentes netos a las arcas del estado. Para comprobarlo basta con comparar, de un lado, las ayudas que implican una salida efectiva de caja de las arcas del Estado y, por otro, lo que devuelven los centros especiales de empleo en términos de impuestos y contribuciones sociales. Por otro, cabe comparar también las ayudas que </w:t>
      </w:r>
      <w:r>
        <w:rPr>
          <w:rFonts w:ascii="MinionPro-Regular" w:hAnsi="MinionPro-Regular"/>
          <w:sz w:val="24"/>
          <w:szCs w:val="24"/>
          <w:lang w:val="es-ES_tradnl"/>
        </w:rPr>
        <w:lastRenderedPageBreak/>
        <w:t xml:space="preserve">reciben los centros especiales de empleo y no implican una salida efectiva de caja por parte de la administración con los ahorros que los centros especiales de empleo generan al estado del bienestar como consecuencia del empleo de personas con discapacidad. </w:t>
      </w:r>
    </w:p>
    <w:p w:rsidR="00E2336B" w:rsidRDefault="00E2336B" w:rsidP="00793AAC">
      <w:pPr>
        <w:autoSpaceDE w:val="0"/>
        <w:autoSpaceDN w:val="0"/>
        <w:spacing w:line="360" w:lineRule="auto"/>
        <w:jc w:val="both"/>
        <w:rPr>
          <w:rFonts w:ascii="MinionPro-Regular" w:hAnsi="MinionPro-Regular"/>
          <w:sz w:val="24"/>
          <w:szCs w:val="24"/>
          <w:lang w:val="es-ES_tradnl"/>
        </w:rPr>
      </w:pPr>
    </w:p>
    <w:p w:rsidR="00E2336B" w:rsidRDefault="00E2336B" w:rsidP="00793AAC">
      <w:pPr>
        <w:autoSpaceDE w:val="0"/>
        <w:autoSpaceDN w:val="0"/>
        <w:spacing w:line="360" w:lineRule="auto"/>
        <w:jc w:val="both"/>
        <w:rPr>
          <w:rFonts w:ascii="MinionPro-Regular" w:hAnsi="MinionPro-Regular"/>
          <w:sz w:val="24"/>
          <w:szCs w:val="24"/>
          <w:lang w:val="es-ES_tradnl"/>
        </w:rPr>
      </w:pPr>
    </w:p>
    <w:p w:rsidR="002000C4" w:rsidRDefault="002000C4" w:rsidP="00793AAC">
      <w:pPr>
        <w:autoSpaceDE w:val="0"/>
        <w:autoSpaceDN w:val="0"/>
        <w:spacing w:line="360" w:lineRule="auto"/>
        <w:jc w:val="both"/>
        <w:rPr>
          <w:rFonts w:ascii="MinionPro-Regular" w:hAnsi="MinionPro-Regular"/>
          <w:sz w:val="24"/>
          <w:szCs w:val="24"/>
          <w:lang w:val="es-ES_tradnl"/>
        </w:rPr>
      </w:pPr>
    </w:p>
    <w:p w:rsidR="002000C4" w:rsidRDefault="002000C4" w:rsidP="00793AAC">
      <w:pPr>
        <w:autoSpaceDE w:val="0"/>
        <w:autoSpaceDN w:val="0"/>
        <w:spacing w:line="360" w:lineRule="auto"/>
        <w:jc w:val="both"/>
        <w:rPr>
          <w:rFonts w:ascii="MinionPro-Regular" w:hAnsi="MinionPro-Regular"/>
          <w:sz w:val="24"/>
          <w:szCs w:val="24"/>
          <w:lang w:val="es-ES_tradnl"/>
        </w:rPr>
      </w:pPr>
    </w:p>
    <w:p w:rsidR="002000C4" w:rsidRDefault="002000C4" w:rsidP="00793AAC">
      <w:pPr>
        <w:autoSpaceDE w:val="0"/>
        <w:autoSpaceDN w:val="0"/>
        <w:spacing w:line="360" w:lineRule="auto"/>
        <w:jc w:val="both"/>
        <w:rPr>
          <w:rFonts w:ascii="MinionPro-Regular" w:hAnsi="MinionPro-Regular"/>
          <w:sz w:val="24"/>
          <w:szCs w:val="24"/>
          <w:lang w:val="es-ES_tradnl"/>
        </w:rPr>
      </w:pPr>
    </w:p>
    <w:p w:rsidR="002000C4" w:rsidRDefault="002000C4" w:rsidP="00793AAC">
      <w:pPr>
        <w:autoSpaceDE w:val="0"/>
        <w:autoSpaceDN w:val="0"/>
        <w:spacing w:line="360" w:lineRule="auto"/>
        <w:jc w:val="both"/>
        <w:rPr>
          <w:rFonts w:ascii="MinionPro-Regular" w:hAnsi="MinionPro-Regular"/>
          <w:sz w:val="24"/>
          <w:szCs w:val="24"/>
          <w:lang w:val="es-ES_tradnl"/>
        </w:rPr>
      </w:pPr>
    </w:p>
    <w:p w:rsidR="00E2336B" w:rsidRDefault="00E2336B" w:rsidP="00793AAC">
      <w:pPr>
        <w:autoSpaceDE w:val="0"/>
        <w:autoSpaceDN w:val="0"/>
        <w:spacing w:line="360" w:lineRule="auto"/>
        <w:jc w:val="both"/>
        <w:rPr>
          <w:rFonts w:ascii="MinionPro-Regular" w:hAnsi="MinionPro-Regular"/>
          <w:sz w:val="24"/>
          <w:szCs w:val="24"/>
          <w:lang w:val="es-ES_tradnl"/>
        </w:rPr>
      </w:pPr>
    </w:p>
    <w:p w:rsidR="00E2336B" w:rsidRDefault="00E2336B">
      <w:pPr>
        <w:pBdr>
          <w:top w:val="single" w:sz="4" w:space="1" w:color="auto"/>
        </w:pBdr>
        <w:autoSpaceDE w:val="0"/>
        <w:autoSpaceDN w:val="0"/>
        <w:spacing w:line="360" w:lineRule="auto"/>
        <w:jc w:val="both"/>
        <w:rPr>
          <w:rFonts w:ascii="MinionPro-Regular" w:hAnsi="MinionPro-Regular"/>
          <w:sz w:val="20"/>
        </w:rPr>
      </w:pPr>
      <w:r>
        <w:rPr>
          <w:rFonts w:ascii="MinionPro-Regular" w:hAnsi="MinionPro-Regular"/>
          <w:sz w:val="20"/>
        </w:rPr>
        <w:t>Resumen</w:t>
      </w:r>
      <w:r w:rsidRPr="005C118C">
        <w:rPr>
          <w:rFonts w:ascii="MinionPro-Regular" w:hAnsi="MinionPro-Regular"/>
          <w:sz w:val="20"/>
        </w:rPr>
        <w:t xml:space="preserve"> del análisis de las ayudas de la administración pública y los retornos de los centros especiales de empleo según los distintos conceptos</w:t>
      </w:r>
      <w:r>
        <w:rPr>
          <w:rFonts w:ascii="MinionPro-Regular" w:hAnsi="MinionPro-Regular"/>
          <w:sz w:val="20"/>
        </w:rPr>
        <w:t>.</w:t>
      </w:r>
    </w:p>
    <w:p w:rsidR="00900F7C" w:rsidRDefault="00900F7C">
      <w:pPr>
        <w:pBdr>
          <w:top w:val="single" w:sz="4" w:space="1" w:color="auto"/>
        </w:pBdr>
        <w:autoSpaceDE w:val="0"/>
        <w:autoSpaceDN w:val="0"/>
        <w:spacing w:line="360" w:lineRule="auto"/>
        <w:jc w:val="both"/>
        <w:rPr>
          <w:rFonts w:ascii="MinionPro-Regular" w:hAnsi="MinionPro-Regular"/>
          <w:color w:val="FF0000"/>
          <w:sz w:val="20"/>
        </w:rPr>
      </w:pPr>
    </w:p>
    <w:p w:rsidR="00E2336B" w:rsidRPr="005C1B58" w:rsidRDefault="00900F7C">
      <w:pPr>
        <w:pBdr>
          <w:top w:val="single" w:sz="4" w:space="1" w:color="auto"/>
        </w:pBdr>
        <w:autoSpaceDE w:val="0"/>
        <w:autoSpaceDN w:val="0"/>
        <w:spacing w:line="360" w:lineRule="auto"/>
        <w:jc w:val="both"/>
        <w:rPr>
          <w:rFonts w:ascii="MinionPro-Regular" w:hAnsi="MinionPro-Regular"/>
          <w:sz w:val="20"/>
        </w:rPr>
      </w:pPr>
      <w:r w:rsidRPr="00900F7C">
        <w:rPr>
          <w:noProof/>
          <w:lang w:eastAsia="es-ES"/>
        </w:rPr>
        <w:drawing>
          <wp:inline distT="0" distB="0" distL="0" distR="0">
            <wp:extent cx="5400675" cy="2443860"/>
            <wp:effectExtent l="0" t="0" r="0" b="0"/>
            <wp:docPr id="10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srcRect/>
                    <a:stretch>
                      <a:fillRect/>
                    </a:stretch>
                  </pic:blipFill>
                  <pic:spPr bwMode="auto">
                    <a:xfrm>
                      <a:off x="0" y="0"/>
                      <a:ext cx="5400675" cy="2443860"/>
                    </a:xfrm>
                    <a:prstGeom prst="rect">
                      <a:avLst/>
                    </a:prstGeom>
                    <a:noFill/>
                    <a:ln w="9525">
                      <a:noFill/>
                      <a:miter lim="800000"/>
                      <a:headEnd/>
                      <a:tailEnd/>
                    </a:ln>
                  </pic:spPr>
                </pic:pic>
              </a:graphicData>
            </a:graphic>
          </wp:inline>
        </w:drawing>
      </w:r>
    </w:p>
    <w:p w:rsidR="00E2336B" w:rsidRDefault="00E2336B" w:rsidP="005C118C">
      <w:pPr>
        <w:pBdr>
          <w:bottom w:val="single" w:sz="4" w:space="1" w:color="auto"/>
        </w:pBdr>
        <w:autoSpaceDE w:val="0"/>
        <w:autoSpaceDN w:val="0"/>
        <w:spacing w:line="360" w:lineRule="auto"/>
        <w:jc w:val="both"/>
        <w:rPr>
          <w:rFonts w:ascii="MinionPro-Regular" w:hAnsi="MinionPro-Regular"/>
          <w:sz w:val="20"/>
        </w:rPr>
      </w:pPr>
      <w:r w:rsidRPr="005C118C">
        <w:rPr>
          <w:rFonts w:ascii="MinionPro-Regular" w:hAnsi="MinionPro-Regular"/>
          <w:sz w:val="20"/>
        </w:rPr>
        <w:t xml:space="preserve">Fuente: </w:t>
      </w:r>
      <w:r>
        <w:rPr>
          <w:rFonts w:ascii="MinionPro-Regular" w:hAnsi="MinionPro-Regular"/>
          <w:sz w:val="20"/>
        </w:rPr>
        <w:t>E</w:t>
      </w:r>
      <w:r w:rsidRPr="005C118C">
        <w:rPr>
          <w:rFonts w:ascii="MinionPro-Regular" w:hAnsi="MinionPro-Regular"/>
          <w:sz w:val="20"/>
        </w:rPr>
        <w:t>laboración propia</w:t>
      </w:r>
    </w:p>
    <w:p w:rsidR="00E2336B" w:rsidRPr="001137F5" w:rsidRDefault="00E2336B" w:rsidP="005C118C">
      <w:pPr>
        <w:pBdr>
          <w:bottom w:val="single" w:sz="4" w:space="1" w:color="auto"/>
        </w:pBdr>
        <w:autoSpaceDE w:val="0"/>
        <w:autoSpaceDN w:val="0"/>
        <w:spacing w:line="360" w:lineRule="auto"/>
        <w:jc w:val="both"/>
        <w:rPr>
          <w:rFonts w:ascii="MinionPro-Regular" w:hAnsi="MinionPro-Regular"/>
          <w:sz w:val="20"/>
          <w:lang w:val="es-ES_tradnl"/>
        </w:rPr>
      </w:pPr>
      <w:r w:rsidRPr="001137F5">
        <w:rPr>
          <w:rFonts w:ascii="MinionPro-Regular" w:hAnsi="MinionPro-Regular"/>
          <w:sz w:val="20"/>
          <w:lang w:val="es-ES_tradnl"/>
        </w:rPr>
        <w:t>Nota explicativa de la gráfica:</w:t>
      </w:r>
      <w:r>
        <w:rPr>
          <w:rFonts w:ascii="MinionPro-Regular" w:hAnsi="MinionPro-Regular"/>
          <w:sz w:val="20"/>
          <w:lang w:val="es-ES_tradnl"/>
        </w:rPr>
        <w:t xml:space="preserve"> Eje vertical, euros. Eje horizontal, conceptos considerados en la medición del impacto: Retorno derivado del IRPF (59.208.424 euros), retorno derivado de la cuota de seguridad social (120.123.748 euros), retorno derivado del IVA (239.555.474 euros), retorno derivado del impuesto de sociedades (40.700.000 euros), retorno derivado de las ayudas LISMI (</w:t>
      </w:r>
      <w:r w:rsidR="000C23EB">
        <w:rPr>
          <w:rFonts w:ascii="MinionPro-Regular" w:hAnsi="MinionPro-Regular"/>
          <w:sz w:val="20"/>
          <w:lang w:val="es-ES_tradnl"/>
        </w:rPr>
        <w:t>1.</w:t>
      </w:r>
      <w:r w:rsidRPr="001D2A97">
        <w:rPr>
          <w:rFonts w:ascii="MinionPro-Regular" w:hAnsi="MinionPro-Regular"/>
          <w:sz w:val="20"/>
          <w:lang w:val="es-ES_tradnl"/>
        </w:rPr>
        <w:t>778.73</w:t>
      </w:r>
      <w:r w:rsidR="00937DA5">
        <w:rPr>
          <w:rFonts w:ascii="MinionPro-Regular" w:hAnsi="MinionPro-Regular"/>
          <w:sz w:val="20"/>
          <w:lang w:val="es-ES_tradnl"/>
        </w:rPr>
        <w:t>8</w:t>
      </w:r>
      <w:r w:rsidR="00F23441" w:rsidRPr="001D2A97">
        <w:rPr>
          <w:rFonts w:ascii="MinionPro-Regular" w:hAnsi="MinionPro-Regular"/>
          <w:sz w:val="20"/>
          <w:lang w:val="es-ES_tradnl"/>
        </w:rPr>
        <w:t xml:space="preserve"> euros</w:t>
      </w:r>
      <w:r w:rsidRPr="001D2A97">
        <w:rPr>
          <w:rFonts w:ascii="MinionPro-Regular" w:hAnsi="MinionPro-Regular"/>
          <w:sz w:val="20"/>
          <w:lang w:val="es-ES_tradnl"/>
        </w:rPr>
        <w:t>),</w:t>
      </w:r>
      <w:r>
        <w:rPr>
          <w:rFonts w:ascii="MinionPro-Regular" w:hAnsi="MinionPro-Regular"/>
          <w:sz w:val="20"/>
          <w:lang w:val="es-ES_tradnl"/>
        </w:rPr>
        <w:t xml:space="preserve"> retorno pensiones no contributivas (22.730.090 euros), retorno derivado de las pensiones contributivas </w:t>
      </w:r>
      <w:r>
        <w:rPr>
          <w:rFonts w:ascii="MinionPro-Regular" w:hAnsi="MinionPro-Regular"/>
          <w:sz w:val="20"/>
          <w:lang w:val="es-ES_tradnl"/>
        </w:rPr>
        <w:lastRenderedPageBreak/>
        <w:t>(</w:t>
      </w:r>
      <w:r w:rsidR="00937DA5">
        <w:rPr>
          <w:rFonts w:ascii="MinionPro-Regular" w:hAnsi="MinionPro-Regular"/>
          <w:sz w:val="20"/>
          <w:lang w:val="es-ES_tradnl"/>
        </w:rPr>
        <w:t>43.417.067</w:t>
      </w:r>
      <w:r w:rsidRPr="001D2A97">
        <w:rPr>
          <w:rFonts w:ascii="MinionPro-Regular" w:hAnsi="MinionPro-Regular"/>
          <w:sz w:val="20"/>
          <w:lang w:val="es-ES_tradnl"/>
        </w:rPr>
        <w:t xml:space="preserve"> euros), </w:t>
      </w:r>
      <w:r w:rsidRPr="00937DA5">
        <w:rPr>
          <w:rFonts w:ascii="MinionPro-Regular" w:hAnsi="MinionPro-Regular"/>
          <w:sz w:val="20"/>
          <w:lang w:val="es-ES_tradnl"/>
        </w:rPr>
        <w:t>retorno derivado del ahorro sanitario (97.227.989 euros)</w:t>
      </w:r>
      <w:r w:rsidR="005C1B58">
        <w:rPr>
          <w:rFonts w:ascii="MinionPro-Regular" w:hAnsi="MinionPro-Regular"/>
          <w:sz w:val="20"/>
          <w:lang w:val="es-ES_tradnl"/>
        </w:rPr>
        <w:t xml:space="preserve"> y ahorro en plazas ocupacionales derivado de la transición desde el centro especial de empleo (</w:t>
      </w:r>
      <w:r w:rsidR="005C1B58" w:rsidRPr="005C1B58">
        <w:rPr>
          <w:rFonts w:ascii="MinionPro-Regular" w:hAnsi="MinionPro-Regular"/>
          <w:sz w:val="20"/>
          <w:lang w:val="es-ES_tradnl"/>
        </w:rPr>
        <w:t>135.389.131 euros</w:t>
      </w:r>
      <w:r w:rsidR="005C1B58">
        <w:rPr>
          <w:rFonts w:ascii="MinionPro-Regular" w:hAnsi="MinionPro-Regular"/>
          <w:sz w:val="20"/>
          <w:lang w:val="es-ES_tradnl"/>
        </w:rPr>
        <w:t xml:space="preserve">). </w:t>
      </w:r>
      <w:r w:rsidRPr="00937DA5">
        <w:rPr>
          <w:rFonts w:ascii="MinionPro-Regular" w:hAnsi="MinionPro-Regular"/>
          <w:sz w:val="20"/>
          <w:lang w:val="es-ES_tradnl"/>
        </w:rPr>
        <w:t xml:space="preserve">Total retorno de los centros especiales de empleo: </w:t>
      </w:r>
      <w:r w:rsidR="00900F7C">
        <w:rPr>
          <w:rFonts w:ascii="MinionPro-Regular" w:hAnsi="MinionPro-Regular"/>
          <w:sz w:val="20"/>
          <w:lang w:val="es-ES_tradnl"/>
        </w:rPr>
        <w:t>760</w:t>
      </w:r>
      <w:r w:rsidRPr="005C1B58">
        <w:rPr>
          <w:rFonts w:ascii="MinionPro-Regular" w:hAnsi="MinionPro-Regular"/>
          <w:sz w:val="20"/>
          <w:lang w:val="es-ES_tradnl"/>
        </w:rPr>
        <w:t>.</w:t>
      </w:r>
      <w:r w:rsidR="00900F7C">
        <w:rPr>
          <w:rFonts w:ascii="MinionPro-Regular" w:hAnsi="MinionPro-Regular"/>
          <w:sz w:val="20"/>
          <w:lang w:val="es-ES_tradnl"/>
        </w:rPr>
        <w:t>130</w:t>
      </w:r>
      <w:r w:rsidRPr="005C1B58">
        <w:rPr>
          <w:rFonts w:ascii="MinionPro-Regular" w:hAnsi="MinionPro-Regular"/>
          <w:sz w:val="20"/>
          <w:lang w:val="es-ES_tradnl"/>
        </w:rPr>
        <w:t>.</w:t>
      </w:r>
      <w:r w:rsidR="00900F7C">
        <w:rPr>
          <w:rFonts w:ascii="MinionPro-Regular" w:hAnsi="MinionPro-Regular"/>
          <w:sz w:val="20"/>
          <w:lang w:val="es-ES_tradnl"/>
        </w:rPr>
        <w:t>661</w:t>
      </w:r>
      <w:r w:rsidRPr="001D2A97">
        <w:rPr>
          <w:rFonts w:ascii="MinionPro-Regular" w:hAnsi="MinionPro-Regular"/>
          <w:sz w:val="20"/>
          <w:lang w:val="es-ES_tradnl"/>
        </w:rPr>
        <w:t xml:space="preserve"> euros</w:t>
      </w:r>
      <w:r>
        <w:rPr>
          <w:rFonts w:ascii="MinionPro-Regular" w:hAnsi="MinionPro-Regular"/>
          <w:sz w:val="20"/>
          <w:lang w:val="es-ES_tradnl"/>
        </w:rPr>
        <w:t>. Ayudas totales de la administración pública: 528.329.213 euros.</w:t>
      </w:r>
      <w:r w:rsidR="007F0141">
        <w:rPr>
          <w:rFonts w:ascii="MinionPro-Regular" w:hAnsi="MinionPro-Regular"/>
          <w:sz w:val="20"/>
          <w:lang w:val="es-ES_tradnl"/>
        </w:rPr>
        <w:t xml:space="preserve"> </w:t>
      </w:r>
    </w:p>
    <w:p w:rsidR="00E2336B" w:rsidRDefault="00E2336B" w:rsidP="00B46D37">
      <w:pPr>
        <w:autoSpaceDE w:val="0"/>
        <w:autoSpaceDN w:val="0"/>
        <w:spacing w:line="360" w:lineRule="auto"/>
        <w:jc w:val="both"/>
        <w:rPr>
          <w:rFonts w:ascii="MinionPro-Regular" w:hAnsi="MinionPro-Regular"/>
          <w:b/>
          <w:sz w:val="24"/>
          <w:szCs w:val="24"/>
          <w:lang w:val="es-ES_tradnl"/>
        </w:rPr>
      </w:pPr>
    </w:p>
    <w:p w:rsidR="00287A41" w:rsidRPr="00891C69" w:rsidRDefault="00A970A9" w:rsidP="00B46D37">
      <w:pPr>
        <w:autoSpaceDE w:val="0"/>
        <w:autoSpaceDN w:val="0"/>
        <w:spacing w:line="360" w:lineRule="auto"/>
        <w:jc w:val="both"/>
        <w:rPr>
          <w:rFonts w:ascii="MinionPro-Regular" w:hAnsi="MinionPro-Regular"/>
          <w:sz w:val="24"/>
          <w:szCs w:val="24"/>
          <w:lang w:val="es-ES_tradnl"/>
        </w:rPr>
      </w:pPr>
      <w:r w:rsidRPr="00891C69">
        <w:rPr>
          <w:rFonts w:ascii="MinionPro-Regular" w:hAnsi="MinionPro-Regular"/>
          <w:sz w:val="24"/>
          <w:szCs w:val="24"/>
          <w:lang w:val="es-ES_tradnl"/>
        </w:rPr>
        <w:t>L</w:t>
      </w:r>
      <w:r w:rsidR="00287A41" w:rsidRPr="00891C69">
        <w:rPr>
          <w:rFonts w:ascii="MinionPro-Regular" w:hAnsi="MinionPro-Regular"/>
          <w:sz w:val="24"/>
          <w:szCs w:val="24"/>
          <w:lang w:val="es-ES_tradnl"/>
        </w:rPr>
        <w:t>a finalidad de las subvenciones no consiste en obtener un retorno económico a las arcas del Estado</w:t>
      </w:r>
      <w:r w:rsidRPr="00891C69">
        <w:rPr>
          <w:rFonts w:ascii="MinionPro-Regular" w:hAnsi="MinionPro-Regular"/>
          <w:sz w:val="24"/>
          <w:szCs w:val="24"/>
          <w:lang w:val="es-ES_tradnl"/>
        </w:rPr>
        <w:t xml:space="preserve">. Sin embargo, el análisis de su impacto permite evaluar su utilidad en términos del valor añadido social que generan. </w:t>
      </w:r>
    </w:p>
    <w:p w:rsidR="00287A41" w:rsidRDefault="00287A41" w:rsidP="00B46D37">
      <w:pPr>
        <w:autoSpaceDE w:val="0"/>
        <w:autoSpaceDN w:val="0"/>
        <w:spacing w:line="360" w:lineRule="auto"/>
        <w:jc w:val="both"/>
        <w:rPr>
          <w:rFonts w:ascii="MinionPro-Regular" w:hAnsi="MinionPro-Regular"/>
          <w:color w:val="4F81BD" w:themeColor="accent1"/>
          <w:sz w:val="24"/>
          <w:szCs w:val="24"/>
          <w:lang w:val="es-ES_tradnl"/>
        </w:rPr>
      </w:pPr>
    </w:p>
    <w:p w:rsidR="00287A41" w:rsidRPr="00891C69" w:rsidRDefault="00287A41" w:rsidP="00B46D37">
      <w:pPr>
        <w:autoSpaceDE w:val="0"/>
        <w:autoSpaceDN w:val="0"/>
        <w:spacing w:line="360" w:lineRule="auto"/>
        <w:jc w:val="both"/>
        <w:rPr>
          <w:rFonts w:ascii="MinionPro-Regular" w:hAnsi="MinionPro-Regular"/>
          <w:sz w:val="24"/>
          <w:szCs w:val="24"/>
          <w:lang w:val="es-ES_tradnl"/>
        </w:rPr>
      </w:pPr>
      <w:r w:rsidRPr="00891C69">
        <w:rPr>
          <w:rFonts w:ascii="MinionPro-Regular" w:hAnsi="MinionPro-Regular"/>
          <w:sz w:val="24"/>
          <w:szCs w:val="24"/>
          <w:lang w:val="es-ES_tradnl"/>
        </w:rPr>
        <w:t xml:space="preserve">Además de los conceptos mencionados anteriormente como salida y sin salida de caja, se han de considerar otros aspectos que aunque no son directamente comparables con las ayudas y subvenciones del Estado, resultan una consecuencia directa </w:t>
      </w:r>
      <w:r w:rsidR="00891C69" w:rsidRPr="00891C69">
        <w:rPr>
          <w:rFonts w:ascii="MinionPro-Regular" w:hAnsi="MinionPro-Regular"/>
          <w:sz w:val="24"/>
          <w:szCs w:val="24"/>
          <w:lang w:val="es-ES_tradnl"/>
        </w:rPr>
        <w:t>de</w:t>
      </w:r>
      <w:r w:rsidRPr="00891C69">
        <w:rPr>
          <w:rFonts w:ascii="MinionPro-Regular" w:hAnsi="MinionPro-Regular"/>
          <w:sz w:val="24"/>
          <w:szCs w:val="24"/>
          <w:lang w:val="es-ES_tradnl"/>
        </w:rPr>
        <w:t xml:space="preserve"> la actividad de los centros especiales de empleo.</w:t>
      </w:r>
      <w:r w:rsidR="00505056">
        <w:rPr>
          <w:rFonts w:ascii="MinionPro-Regular" w:hAnsi="MinionPro-Regular"/>
          <w:sz w:val="24"/>
          <w:szCs w:val="24"/>
          <w:lang w:val="es-ES_tradnl"/>
        </w:rPr>
        <w:t xml:space="preserve"> Se trata de</w:t>
      </w:r>
      <w:r w:rsidRPr="00891C69">
        <w:rPr>
          <w:rFonts w:ascii="MinionPro-Regular" w:hAnsi="MinionPro-Regular"/>
          <w:sz w:val="24"/>
          <w:szCs w:val="24"/>
          <w:lang w:val="es-ES_tradnl"/>
        </w:rPr>
        <w:t>:</w:t>
      </w:r>
    </w:p>
    <w:p w:rsidR="00287A41" w:rsidRPr="002000C4" w:rsidRDefault="00287A41" w:rsidP="0007541A">
      <w:pPr>
        <w:pStyle w:val="Prrafodelista"/>
        <w:numPr>
          <w:ilvl w:val="0"/>
          <w:numId w:val="32"/>
        </w:numPr>
        <w:autoSpaceDE w:val="0"/>
        <w:autoSpaceDN w:val="0"/>
        <w:spacing w:line="360" w:lineRule="auto"/>
        <w:jc w:val="both"/>
        <w:rPr>
          <w:rFonts w:ascii="MinionPro-Regular" w:hAnsi="MinionPro-Regular"/>
          <w:sz w:val="24"/>
          <w:szCs w:val="24"/>
          <w:lang w:val="es-ES_tradnl"/>
        </w:rPr>
      </w:pPr>
      <w:r w:rsidRPr="002000C4">
        <w:rPr>
          <w:rFonts w:ascii="MinionPro-Regular" w:hAnsi="MinionPro-Regular"/>
          <w:sz w:val="24"/>
          <w:szCs w:val="24"/>
          <w:lang w:val="es-ES_tradnl"/>
        </w:rPr>
        <w:t>Ahorro en prestaciones por desempleo</w:t>
      </w:r>
    </w:p>
    <w:p w:rsidR="00287A41" w:rsidRPr="002000C4" w:rsidRDefault="00287A41" w:rsidP="0007541A">
      <w:pPr>
        <w:pStyle w:val="Prrafodelista"/>
        <w:numPr>
          <w:ilvl w:val="0"/>
          <w:numId w:val="32"/>
        </w:numPr>
        <w:autoSpaceDE w:val="0"/>
        <w:autoSpaceDN w:val="0"/>
        <w:spacing w:line="360" w:lineRule="auto"/>
        <w:jc w:val="both"/>
        <w:rPr>
          <w:rFonts w:ascii="MinionPro-Regular" w:hAnsi="MinionPro-Regular"/>
          <w:sz w:val="24"/>
          <w:szCs w:val="24"/>
          <w:lang w:val="es-ES_tradnl"/>
        </w:rPr>
      </w:pPr>
      <w:r w:rsidRPr="002000C4">
        <w:rPr>
          <w:rFonts w:ascii="MinionPro-Regular" w:hAnsi="MinionPro-Regular"/>
          <w:sz w:val="24"/>
          <w:szCs w:val="24"/>
          <w:lang w:val="es-ES_tradnl"/>
        </w:rPr>
        <w:t xml:space="preserve">Pago de salarios a los trabajadores de los centros especiales de empleo </w:t>
      </w:r>
    </w:p>
    <w:p w:rsidR="00287A41" w:rsidRPr="002000C4" w:rsidRDefault="00287A41" w:rsidP="00B46D37">
      <w:pPr>
        <w:autoSpaceDE w:val="0"/>
        <w:autoSpaceDN w:val="0"/>
        <w:spacing w:line="360" w:lineRule="auto"/>
        <w:jc w:val="both"/>
        <w:rPr>
          <w:rFonts w:ascii="MinionPro-Regular" w:hAnsi="MinionPro-Regular"/>
          <w:sz w:val="24"/>
          <w:szCs w:val="24"/>
          <w:lang w:val="es-ES_tradnl"/>
        </w:rPr>
      </w:pPr>
    </w:p>
    <w:p w:rsidR="005C1B58" w:rsidRPr="00891C69" w:rsidRDefault="00287A41" w:rsidP="00B46D37">
      <w:pPr>
        <w:autoSpaceDE w:val="0"/>
        <w:autoSpaceDN w:val="0"/>
        <w:spacing w:line="360" w:lineRule="auto"/>
        <w:jc w:val="both"/>
        <w:rPr>
          <w:rFonts w:ascii="MinionPro-Regular" w:hAnsi="MinionPro-Regular"/>
          <w:sz w:val="24"/>
          <w:szCs w:val="24"/>
          <w:lang w:val="es-ES_tradnl"/>
        </w:rPr>
      </w:pPr>
      <w:r w:rsidRPr="00891C69">
        <w:rPr>
          <w:rFonts w:ascii="MinionPro-Regular" w:hAnsi="MinionPro-Regular"/>
          <w:sz w:val="24"/>
          <w:szCs w:val="24"/>
          <w:lang w:val="es-ES_tradnl"/>
        </w:rPr>
        <w:t xml:space="preserve">El impacto </w:t>
      </w:r>
      <w:r w:rsidR="005C1B58" w:rsidRPr="00891C69">
        <w:rPr>
          <w:rFonts w:ascii="MinionPro-Regular" w:hAnsi="MinionPro-Regular"/>
          <w:sz w:val="24"/>
          <w:szCs w:val="24"/>
          <w:lang w:val="es-ES_tradnl"/>
        </w:rPr>
        <w:t xml:space="preserve">adicional </w:t>
      </w:r>
      <w:r w:rsidR="00891C69">
        <w:rPr>
          <w:rFonts w:ascii="MinionPro-Regular" w:hAnsi="MinionPro-Regular"/>
          <w:sz w:val="24"/>
          <w:szCs w:val="24"/>
          <w:lang w:val="es-ES_tradnl"/>
        </w:rPr>
        <w:t xml:space="preserve">de </w:t>
      </w:r>
      <w:r w:rsidRPr="00891C69">
        <w:rPr>
          <w:rFonts w:ascii="MinionPro-Regular" w:hAnsi="MinionPro-Regular"/>
          <w:sz w:val="24"/>
          <w:szCs w:val="24"/>
          <w:lang w:val="es-ES_tradnl"/>
        </w:rPr>
        <w:t xml:space="preserve">estos </w:t>
      </w:r>
      <w:r w:rsidR="005C1B58" w:rsidRPr="00891C69">
        <w:rPr>
          <w:rFonts w:ascii="MinionPro-Regular" w:hAnsi="MinionPro-Regular"/>
          <w:sz w:val="24"/>
          <w:szCs w:val="24"/>
          <w:lang w:val="es-ES_tradnl"/>
        </w:rPr>
        <w:t>do</w:t>
      </w:r>
      <w:r w:rsidRPr="00891C69">
        <w:rPr>
          <w:rFonts w:ascii="MinionPro-Regular" w:hAnsi="MinionPro-Regular"/>
          <w:sz w:val="24"/>
          <w:szCs w:val="24"/>
          <w:lang w:val="es-ES_tradnl"/>
        </w:rPr>
        <w:t xml:space="preserve">s </w:t>
      </w:r>
      <w:r w:rsidR="005C1B58" w:rsidRPr="00891C69">
        <w:rPr>
          <w:rFonts w:ascii="MinionPro-Regular" w:hAnsi="MinionPro-Regular"/>
          <w:sz w:val="24"/>
          <w:szCs w:val="24"/>
          <w:lang w:val="es-ES_tradnl"/>
        </w:rPr>
        <w:t xml:space="preserve">no </w:t>
      </w:r>
      <w:r w:rsidRPr="00891C69">
        <w:rPr>
          <w:rFonts w:ascii="MinionPro-Regular" w:hAnsi="MinionPro-Regular"/>
          <w:sz w:val="24"/>
          <w:szCs w:val="24"/>
          <w:lang w:val="es-ES_tradnl"/>
        </w:rPr>
        <w:t>está incluido en el apartado correspondiente a la estimación del impacto de los centros especiales de</w:t>
      </w:r>
      <w:r w:rsidR="005C1B58" w:rsidRPr="00891C69">
        <w:rPr>
          <w:rFonts w:ascii="MinionPro-Regular" w:hAnsi="MinionPro-Regular"/>
          <w:sz w:val="24"/>
          <w:szCs w:val="24"/>
          <w:lang w:val="es-ES_tradnl"/>
        </w:rPr>
        <w:t xml:space="preserve"> empleo</w:t>
      </w:r>
      <w:r w:rsidR="00891C69">
        <w:rPr>
          <w:rFonts w:ascii="MinionPro-Regular" w:hAnsi="MinionPro-Regular"/>
          <w:sz w:val="24"/>
          <w:szCs w:val="24"/>
          <w:lang w:val="es-ES_tradnl"/>
        </w:rPr>
        <w:t xml:space="preserve"> en comparación con el apoyo que reciben de los poderes públicos. No obstante, si se estiman las cifras correspondientes </w:t>
      </w:r>
      <w:r w:rsidR="005C1B58" w:rsidRPr="00891C69">
        <w:rPr>
          <w:rFonts w:ascii="MinionPro-Regular" w:hAnsi="MinionPro-Regular"/>
          <w:sz w:val="24"/>
          <w:szCs w:val="24"/>
          <w:lang w:val="es-ES_tradnl"/>
        </w:rPr>
        <w:t xml:space="preserve"> </w:t>
      </w:r>
      <w:r w:rsidR="00891C69">
        <w:rPr>
          <w:rFonts w:ascii="MinionPro-Regular" w:hAnsi="MinionPro-Regular"/>
          <w:sz w:val="24"/>
          <w:szCs w:val="24"/>
          <w:lang w:val="es-ES_tradnl"/>
        </w:rPr>
        <w:t>a ambos conceptos</w:t>
      </w:r>
      <w:r w:rsidR="00900F7C" w:rsidRPr="00891C69">
        <w:rPr>
          <w:rFonts w:ascii="MinionPro-Regular" w:hAnsi="MinionPro-Regular"/>
          <w:sz w:val="24"/>
          <w:szCs w:val="24"/>
          <w:lang w:val="es-ES_tradnl"/>
        </w:rPr>
        <w:t>, ya que se trata</w:t>
      </w:r>
      <w:r w:rsidR="005C1B58" w:rsidRPr="00891C69">
        <w:rPr>
          <w:rFonts w:ascii="MinionPro-Regular" w:hAnsi="MinionPro-Regular"/>
          <w:sz w:val="24"/>
          <w:szCs w:val="24"/>
          <w:lang w:val="es-ES_tradnl"/>
        </w:rPr>
        <w:t xml:space="preserve"> de elementos clave de la actividad laboral</w:t>
      </w:r>
      <w:r w:rsidR="00ED49BA" w:rsidRPr="00891C69">
        <w:rPr>
          <w:rFonts w:ascii="MinionPro-Regular" w:hAnsi="MinionPro-Regular"/>
          <w:sz w:val="24"/>
          <w:szCs w:val="24"/>
          <w:lang w:val="es-ES_tradnl"/>
        </w:rPr>
        <w:t xml:space="preserve">. </w:t>
      </w:r>
    </w:p>
    <w:p w:rsidR="005C1B58" w:rsidRPr="00891C69" w:rsidRDefault="005C1B58" w:rsidP="00B46D37">
      <w:pPr>
        <w:autoSpaceDE w:val="0"/>
        <w:autoSpaceDN w:val="0"/>
        <w:spacing w:line="360" w:lineRule="auto"/>
        <w:jc w:val="both"/>
        <w:rPr>
          <w:rFonts w:ascii="MinionPro-Regular" w:hAnsi="MinionPro-Regular"/>
          <w:sz w:val="24"/>
          <w:szCs w:val="24"/>
          <w:lang w:val="es-ES_tradnl"/>
        </w:rPr>
      </w:pPr>
    </w:p>
    <w:p w:rsidR="005C1B58" w:rsidRPr="00891C69" w:rsidRDefault="00ED49BA" w:rsidP="00B46D37">
      <w:pPr>
        <w:autoSpaceDE w:val="0"/>
        <w:autoSpaceDN w:val="0"/>
        <w:spacing w:line="360" w:lineRule="auto"/>
        <w:jc w:val="both"/>
        <w:rPr>
          <w:rFonts w:ascii="MinionPro-Regular" w:hAnsi="MinionPro-Regular"/>
          <w:sz w:val="24"/>
          <w:szCs w:val="24"/>
          <w:lang w:val="es-ES_tradnl"/>
        </w:rPr>
      </w:pPr>
      <w:r w:rsidRPr="00891C69">
        <w:rPr>
          <w:rFonts w:ascii="MinionPro-Regular" w:hAnsi="MinionPro-Regular"/>
          <w:sz w:val="24"/>
          <w:szCs w:val="24"/>
          <w:lang w:val="es-ES_tradnl"/>
        </w:rPr>
        <w:t xml:space="preserve">El ahorro </w:t>
      </w:r>
      <w:r w:rsidR="00891C69" w:rsidRPr="00891C69">
        <w:rPr>
          <w:rFonts w:ascii="MinionPro-Regular" w:hAnsi="MinionPro-Regular"/>
          <w:sz w:val="24"/>
          <w:szCs w:val="24"/>
          <w:lang w:val="es-ES_tradnl"/>
        </w:rPr>
        <w:t xml:space="preserve">en materia de prestaciones al desempleo </w:t>
      </w:r>
      <w:r w:rsidRPr="00891C69">
        <w:rPr>
          <w:rFonts w:ascii="MinionPro-Regular" w:hAnsi="MinionPro-Regular"/>
          <w:sz w:val="24"/>
          <w:szCs w:val="24"/>
          <w:lang w:val="es-ES_tradnl"/>
        </w:rPr>
        <w:t>que supone para el Estado que las personas con discapacidad estén desempeñando su actividad en l</w:t>
      </w:r>
      <w:r w:rsidR="00891C69">
        <w:rPr>
          <w:rFonts w:ascii="MinionPro-Regular" w:hAnsi="MinionPro-Regular"/>
          <w:sz w:val="24"/>
          <w:szCs w:val="24"/>
          <w:lang w:val="es-ES_tradnl"/>
        </w:rPr>
        <w:t>os centros especiales de empleo</w:t>
      </w:r>
      <w:r w:rsidRPr="00891C69">
        <w:rPr>
          <w:rFonts w:ascii="MinionPro-Regular" w:hAnsi="MinionPro-Regular"/>
          <w:sz w:val="24"/>
          <w:szCs w:val="24"/>
          <w:lang w:val="es-ES_tradnl"/>
        </w:rPr>
        <w:t xml:space="preserve"> supera los </w:t>
      </w:r>
      <w:r w:rsidR="00AB2E83" w:rsidRPr="00891C69">
        <w:rPr>
          <w:rFonts w:ascii="MinionPro-Regular" w:hAnsi="MinionPro-Regular"/>
          <w:sz w:val="24"/>
          <w:szCs w:val="24"/>
          <w:lang w:val="es-ES_tradnl"/>
        </w:rPr>
        <w:t>400 millones de euros. E</w:t>
      </w:r>
      <w:r w:rsidRPr="00891C69">
        <w:rPr>
          <w:rFonts w:ascii="MinionPro-Regular" w:hAnsi="MinionPro-Regular"/>
          <w:sz w:val="24"/>
          <w:szCs w:val="24"/>
          <w:lang w:val="es-ES_tradnl"/>
        </w:rPr>
        <w:t>stimación realizada sobre las prestacion</w:t>
      </w:r>
      <w:r w:rsidR="00AB2E83" w:rsidRPr="00891C69">
        <w:rPr>
          <w:rFonts w:ascii="MinionPro-Regular" w:hAnsi="MinionPro-Regular"/>
          <w:sz w:val="24"/>
          <w:szCs w:val="24"/>
          <w:lang w:val="es-ES_tradnl"/>
        </w:rPr>
        <w:t xml:space="preserve">es al </w:t>
      </w:r>
      <w:r w:rsidR="00AB2E83" w:rsidRPr="00891C69">
        <w:rPr>
          <w:rFonts w:ascii="MinionPro-Regular" w:hAnsi="MinionPro-Regular"/>
          <w:sz w:val="24"/>
          <w:szCs w:val="24"/>
          <w:lang w:val="es-ES_tradnl"/>
        </w:rPr>
        <w:lastRenderedPageBreak/>
        <w:t xml:space="preserve">desempleo que la plantilla total de los centros a 31 de diciembre de 2011, </w:t>
      </w:r>
      <w:r w:rsidRPr="00891C69">
        <w:rPr>
          <w:rFonts w:ascii="MinionPro-Regular" w:hAnsi="MinionPro-Regular"/>
          <w:sz w:val="24"/>
          <w:szCs w:val="24"/>
          <w:lang w:val="es-ES_tradnl"/>
        </w:rPr>
        <w:t xml:space="preserve"> deberían percibir en caso </w:t>
      </w:r>
      <w:r w:rsidR="005C1B58" w:rsidRPr="00891C69">
        <w:rPr>
          <w:rFonts w:ascii="MinionPro-Regular" w:hAnsi="MinionPro-Regular"/>
          <w:sz w:val="24"/>
          <w:szCs w:val="24"/>
          <w:lang w:val="es-ES_tradnl"/>
        </w:rPr>
        <w:t xml:space="preserve">de </w:t>
      </w:r>
      <w:r w:rsidR="00891C69">
        <w:rPr>
          <w:rFonts w:ascii="MinionPro-Regular" w:hAnsi="MinionPro-Regular"/>
          <w:sz w:val="24"/>
          <w:szCs w:val="24"/>
          <w:lang w:val="es-ES_tradnl"/>
        </w:rPr>
        <w:t>que su actividad cesara</w:t>
      </w:r>
      <w:r w:rsidRPr="00891C69">
        <w:rPr>
          <w:rFonts w:ascii="MinionPro-Regular" w:hAnsi="MinionPro-Regular"/>
          <w:sz w:val="24"/>
          <w:szCs w:val="24"/>
          <w:lang w:val="es-ES_tradnl"/>
        </w:rPr>
        <w:t xml:space="preserve">. </w:t>
      </w:r>
    </w:p>
    <w:p w:rsidR="005C1B58" w:rsidRPr="00891C69" w:rsidRDefault="005C1B58" w:rsidP="00B46D37">
      <w:pPr>
        <w:autoSpaceDE w:val="0"/>
        <w:autoSpaceDN w:val="0"/>
        <w:spacing w:line="360" w:lineRule="auto"/>
        <w:jc w:val="both"/>
        <w:rPr>
          <w:rFonts w:ascii="MinionPro-Regular" w:hAnsi="MinionPro-Regular"/>
          <w:sz w:val="24"/>
          <w:szCs w:val="24"/>
          <w:lang w:val="es-ES_tradnl"/>
        </w:rPr>
      </w:pPr>
    </w:p>
    <w:p w:rsidR="00ED49BA" w:rsidRPr="00891C69" w:rsidRDefault="00ED49BA" w:rsidP="00B46D37">
      <w:pPr>
        <w:autoSpaceDE w:val="0"/>
        <w:autoSpaceDN w:val="0"/>
        <w:spacing w:line="360" w:lineRule="auto"/>
        <w:jc w:val="both"/>
        <w:rPr>
          <w:rFonts w:ascii="MinionPro-Regular" w:hAnsi="MinionPro-Regular"/>
          <w:sz w:val="24"/>
          <w:szCs w:val="24"/>
          <w:lang w:val="es-ES_tradnl"/>
        </w:rPr>
      </w:pPr>
      <w:r w:rsidRPr="00891C69">
        <w:rPr>
          <w:rFonts w:ascii="MinionPro-Regular" w:hAnsi="MinionPro-Regular"/>
          <w:sz w:val="24"/>
          <w:szCs w:val="24"/>
          <w:lang w:val="es-ES_tradnl"/>
        </w:rPr>
        <w:t xml:space="preserve">Por </w:t>
      </w:r>
      <w:r w:rsidR="00900F7C" w:rsidRPr="00891C69">
        <w:rPr>
          <w:rFonts w:ascii="MinionPro-Regular" w:hAnsi="MinionPro-Regular"/>
          <w:sz w:val="24"/>
          <w:szCs w:val="24"/>
          <w:lang w:val="es-ES_tradnl"/>
        </w:rPr>
        <w:t>otra parte,</w:t>
      </w:r>
      <w:r w:rsidR="005C1B58" w:rsidRPr="00891C69">
        <w:rPr>
          <w:rFonts w:ascii="MinionPro-Regular" w:hAnsi="MinionPro-Regular"/>
          <w:sz w:val="24"/>
          <w:szCs w:val="24"/>
          <w:lang w:val="es-ES_tradnl"/>
        </w:rPr>
        <w:t xml:space="preserve"> l</w:t>
      </w:r>
      <w:r w:rsidRPr="00891C69">
        <w:rPr>
          <w:rFonts w:ascii="MinionPro-Regular" w:hAnsi="MinionPro-Regular"/>
          <w:sz w:val="24"/>
          <w:szCs w:val="24"/>
          <w:lang w:val="es-ES_tradnl"/>
        </w:rPr>
        <w:t xml:space="preserve">os trabajadores de centros especiales de empleo reciben una retribución por su trabajo </w:t>
      </w:r>
      <w:r w:rsidR="00891C69">
        <w:rPr>
          <w:rFonts w:ascii="MinionPro-Regular" w:hAnsi="MinionPro-Regular"/>
          <w:sz w:val="24"/>
          <w:szCs w:val="24"/>
          <w:lang w:val="es-ES_tradnl"/>
        </w:rPr>
        <w:t>que</w:t>
      </w:r>
      <w:r w:rsidRPr="00891C69">
        <w:rPr>
          <w:rFonts w:ascii="MinionPro-Regular" w:hAnsi="MinionPro-Regular"/>
          <w:sz w:val="24"/>
          <w:szCs w:val="24"/>
          <w:lang w:val="es-ES_tradnl"/>
        </w:rPr>
        <w:t xml:space="preserve"> asciende a </w:t>
      </w:r>
      <w:r w:rsidR="00AB2E83" w:rsidRPr="00891C69">
        <w:rPr>
          <w:rFonts w:ascii="MinionPro-Regular" w:hAnsi="MinionPro-Regular"/>
          <w:sz w:val="24"/>
          <w:szCs w:val="24"/>
          <w:lang w:val="es-ES_tradnl"/>
        </w:rPr>
        <w:t>alrededor de</w:t>
      </w:r>
      <w:r w:rsidRPr="00891C69">
        <w:rPr>
          <w:rFonts w:ascii="MinionPro-Regular" w:hAnsi="MinionPro-Regular"/>
          <w:sz w:val="24"/>
          <w:szCs w:val="24"/>
          <w:lang w:val="es-ES_tradnl"/>
        </w:rPr>
        <w:t xml:space="preserve"> 770 millones de euros. </w:t>
      </w:r>
      <w:r w:rsidR="00891C69">
        <w:rPr>
          <w:rFonts w:ascii="MinionPro-Regular" w:hAnsi="MinionPro-Regular"/>
          <w:sz w:val="24"/>
          <w:szCs w:val="24"/>
          <w:lang w:val="es-ES_tradnl"/>
        </w:rPr>
        <w:t xml:space="preserve">Estos salarios tienen un impacto subsiguiente, no calculado, relacionado con el consumo de bienes y servicios que tienen su origen en los salarios pagados por los centros especiales de empleo. </w:t>
      </w:r>
    </w:p>
    <w:p w:rsidR="00E2336B" w:rsidRDefault="00E2336B" w:rsidP="0007541A">
      <w:pPr>
        <w:pStyle w:val="Ttulo2"/>
        <w:numPr>
          <w:ilvl w:val="1"/>
          <w:numId w:val="3"/>
        </w:numPr>
        <w:ind w:left="0"/>
        <w:rPr>
          <w:lang w:val="es-ES_tradnl"/>
        </w:rPr>
      </w:pPr>
      <w:bookmarkStart w:id="10" w:name="_Toc352773542"/>
      <w:r w:rsidRPr="00B46D37">
        <w:rPr>
          <w:lang w:val="es-ES_tradnl"/>
        </w:rPr>
        <w:t>Reforza</w:t>
      </w:r>
      <w:r>
        <w:rPr>
          <w:lang w:val="es-ES_tradnl"/>
        </w:rPr>
        <w:t>r</w:t>
      </w:r>
      <w:r w:rsidRPr="00B46D37">
        <w:rPr>
          <w:lang w:val="es-ES_tradnl"/>
        </w:rPr>
        <w:t xml:space="preserve"> el futuro de los centros especiales de empleo para cumplir los objetivos</w:t>
      </w:r>
      <w:r w:rsidR="00891C69">
        <w:rPr>
          <w:lang w:val="es-ES_tradnl"/>
        </w:rPr>
        <w:t xml:space="preserve"> comunes</w:t>
      </w:r>
      <w:bookmarkEnd w:id="10"/>
    </w:p>
    <w:p w:rsidR="00E2336B" w:rsidRDefault="00E2336B" w:rsidP="00793AAC">
      <w:pPr>
        <w:autoSpaceDE w:val="0"/>
        <w:autoSpaceDN w:val="0"/>
        <w:spacing w:line="360" w:lineRule="auto"/>
        <w:jc w:val="both"/>
        <w:rPr>
          <w:rFonts w:ascii="MinionPro-Regular" w:hAnsi="MinionPro-Regular"/>
          <w:sz w:val="24"/>
          <w:szCs w:val="24"/>
          <w:lang w:val="es-ES_tradnl"/>
        </w:rPr>
      </w:pPr>
    </w:p>
    <w:p w:rsidR="00F53FA0" w:rsidRPr="00891C69" w:rsidRDefault="00E2336B" w:rsidP="00F53FA0">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La Estrategia Europea 2020 establece ambiciosos objetivos para el conjunto de la Unión Europea en términos de empleo o de educación</w:t>
      </w:r>
      <w:r w:rsidR="00F53FA0">
        <w:rPr>
          <w:rFonts w:ascii="MinionPro-Regular" w:hAnsi="MinionPro-Regular"/>
          <w:sz w:val="24"/>
          <w:szCs w:val="24"/>
          <w:lang w:val="es-ES_tradnl"/>
        </w:rPr>
        <w:t xml:space="preserve">. </w:t>
      </w:r>
      <w:r w:rsidR="00F53FA0" w:rsidRPr="00891C69">
        <w:rPr>
          <w:rFonts w:ascii="MinionPro-Regular" w:hAnsi="MinionPro-Regular"/>
          <w:sz w:val="24"/>
          <w:szCs w:val="24"/>
          <w:lang w:val="es-ES_tradnl"/>
        </w:rPr>
        <w:t>En concreto, la Comisión Europea propone los siguientes objetivos principales</w:t>
      </w:r>
      <w:r w:rsidR="00F53FA0" w:rsidRPr="00891C69">
        <w:rPr>
          <w:rStyle w:val="Refdenotaalpie"/>
          <w:rFonts w:ascii="MinionPro-Regular" w:hAnsi="MinionPro-Regular"/>
          <w:sz w:val="24"/>
          <w:szCs w:val="24"/>
          <w:lang w:val="es-ES_tradnl"/>
        </w:rPr>
        <w:footnoteReference w:id="2"/>
      </w:r>
      <w:r w:rsidR="00F53FA0" w:rsidRPr="00891C69">
        <w:rPr>
          <w:rFonts w:ascii="MinionPro-Regular" w:hAnsi="MinionPro-Regular"/>
          <w:sz w:val="24"/>
          <w:szCs w:val="24"/>
          <w:lang w:val="es-ES_tradnl"/>
        </w:rPr>
        <w:t xml:space="preserve">: </w:t>
      </w:r>
    </w:p>
    <w:p w:rsidR="00F53FA0" w:rsidRPr="00891C69" w:rsidRDefault="00F53FA0" w:rsidP="00F53FA0">
      <w:pPr>
        <w:autoSpaceDE w:val="0"/>
        <w:autoSpaceDN w:val="0"/>
        <w:spacing w:line="360" w:lineRule="auto"/>
        <w:jc w:val="both"/>
        <w:rPr>
          <w:rFonts w:ascii="MinionPro-Regular" w:hAnsi="MinionPro-Regular"/>
          <w:sz w:val="24"/>
          <w:szCs w:val="24"/>
          <w:lang w:val="es-ES_tradnl"/>
        </w:rPr>
      </w:pPr>
    </w:p>
    <w:p w:rsidR="00F53FA0" w:rsidRPr="00891C69" w:rsidRDefault="00F53FA0" w:rsidP="00F53FA0">
      <w:pPr>
        <w:autoSpaceDE w:val="0"/>
        <w:autoSpaceDN w:val="0"/>
        <w:spacing w:line="360" w:lineRule="auto"/>
        <w:jc w:val="both"/>
        <w:rPr>
          <w:rFonts w:ascii="MinionPro-Regular" w:hAnsi="MinionPro-Regular"/>
          <w:sz w:val="24"/>
          <w:szCs w:val="24"/>
          <w:lang w:val="es-ES_tradnl"/>
        </w:rPr>
      </w:pPr>
      <w:r w:rsidRPr="00891C69">
        <w:rPr>
          <w:rFonts w:ascii="MinionPro-Regular" w:hAnsi="MinionPro-Regular"/>
          <w:sz w:val="24"/>
          <w:szCs w:val="24"/>
          <w:lang w:val="es-ES_tradnl"/>
        </w:rPr>
        <w:t xml:space="preserve">– El 75 % de la población de entre 20 y 64 años debería estar empleada. </w:t>
      </w:r>
    </w:p>
    <w:p w:rsidR="00F53FA0" w:rsidRPr="00891C69" w:rsidRDefault="00F53FA0" w:rsidP="00F53FA0">
      <w:pPr>
        <w:autoSpaceDE w:val="0"/>
        <w:autoSpaceDN w:val="0"/>
        <w:spacing w:line="360" w:lineRule="auto"/>
        <w:jc w:val="both"/>
        <w:rPr>
          <w:rFonts w:ascii="MinionPro-Regular" w:hAnsi="MinionPro-Regular"/>
          <w:sz w:val="24"/>
          <w:szCs w:val="24"/>
          <w:lang w:val="es-ES_tradnl"/>
        </w:rPr>
      </w:pPr>
      <w:r w:rsidRPr="00891C69">
        <w:rPr>
          <w:rFonts w:ascii="MinionPro-Regular" w:hAnsi="MinionPro-Regular"/>
          <w:sz w:val="24"/>
          <w:szCs w:val="24"/>
          <w:lang w:val="es-ES_tradnl"/>
        </w:rPr>
        <w:t xml:space="preserve">– El 3 % del PIB de la UE debería ser invertido en I+D. </w:t>
      </w:r>
    </w:p>
    <w:p w:rsidR="00F53FA0" w:rsidRPr="00891C69" w:rsidRDefault="00F53FA0" w:rsidP="00F53FA0">
      <w:pPr>
        <w:autoSpaceDE w:val="0"/>
        <w:autoSpaceDN w:val="0"/>
        <w:spacing w:line="360" w:lineRule="auto"/>
        <w:jc w:val="both"/>
        <w:rPr>
          <w:rFonts w:ascii="MinionPro-Regular" w:hAnsi="MinionPro-Regular"/>
          <w:sz w:val="24"/>
          <w:szCs w:val="24"/>
          <w:lang w:val="es-ES_tradnl"/>
        </w:rPr>
      </w:pPr>
      <w:r w:rsidRPr="00891C69">
        <w:rPr>
          <w:rFonts w:ascii="MinionPro-Regular" w:hAnsi="MinionPro-Regular"/>
          <w:sz w:val="24"/>
          <w:szCs w:val="24"/>
          <w:lang w:val="es-ES_tradnl"/>
        </w:rPr>
        <w:t xml:space="preserve">– Debería alcanzarse el objetivo «20/20/20» en materia de clima y energía (incluido un incremento al 30 % de la reducción de emisiones si se dan las condiciones para ello). </w:t>
      </w:r>
    </w:p>
    <w:p w:rsidR="00F53FA0" w:rsidRPr="00891C69" w:rsidRDefault="00F53FA0" w:rsidP="00F53FA0">
      <w:pPr>
        <w:autoSpaceDE w:val="0"/>
        <w:autoSpaceDN w:val="0"/>
        <w:spacing w:line="360" w:lineRule="auto"/>
        <w:jc w:val="both"/>
        <w:rPr>
          <w:rFonts w:ascii="MinionPro-Regular" w:hAnsi="MinionPro-Regular"/>
          <w:sz w:val="24"/>
          <w:szCs w:val="24"/>
          <w:lang w:val="es-ES_tradnl"/>
        </w:rPr>
      </w:pPr>
      <w:r w:rsidRPr="00891C69">
        <w:rPr>
          <w:rFonts w:ascii="MinionPro-Regular" w:hAnsi="MinionPro-Regular"/>
          <w:sz w:val="24"/>
          <w:szCs w:val="24"/>
          <w:lang w:val="es-ES_tradnl"/>
        </w:rPr>
        <w:t xml:space="preserve">– El porcentaje de abandono escolar debería ser inferior al 10 % y al menos el 40 % de la generación más joven debería tener estudios superiores. </w:t>
      </w:r>
    </w:p>
    <w:p w:rsidR="00F53FA0" w:rsidRPr="00891C69" w:rsidRDefault="00F53FA0" w:rsidP="00F53FA0">
      <w:pPr>
        <w:autoSpaceDE w:val="0"/>
        <w:autoSpaceDN w:val="0"/>
        <w:spacing w:line="360" w:lineRule="auto"/>
        <w:jc w:val="both"/>
        <w:rPr>
          <w:sz w:val="23"/>
          <w:szCs w:val="23"/>
          <w:lang w:val="es-ES_tradnl" w:eastAsia="es-ES"/>
        </w:rPr>
      </w:pPr>
      <w:r w:rsidRPr="00891C69">
        <w:rPr>
          <w:rFonts w:ascii="MinionPro-Regular" w:hAnsi="MinionPro-Regular"/>
          <w:sz w:val="24"/>
          <w:szCs w:val="24"/>
          <w:lang w:val="es-ES_tradnl"/>
        </w:rPr>
        <w:t>– El riesgo de pobreza debería amenazar a 20 millones de personas menos</w:t>
      </w:r>
      <w:r w:rsidR="00891C69">
        <w:rPr>
          <w:rFonts w:ascii="MinionPro-Regular" w:hAnsi="MinionPro-Regular"/>
          <w:sz w:val="24"/>
          <w:szCs w:val="24"/>
          <w:lang w:val="es-ES_tradnl"/>
        </w:rPr>
        <w:t xml:space="preserve"> que en la actualidad</w:t>
      </w:r>
      <w:r w:rsidRPr="00891C69">
        <w:rPr>
          <w:rFonts w:ascii="MinionPro-Regular" w:hAnsi="MinionPro-Regular"/>
          <w:sz w:val="24"/>
          <w:szCs w:val="24"/>
          <w:lang w:val="es-ES_tradnl"/>
        </w:rPr>
        <w:t>.</w:t>
      </w:r>
      <w:r w:rsidRPr="00891C69">
        <w:rPr>
          <w:sz w:val="23"/>
          <w:szCs w:val="23"/>
          <w:lang w:val="es-ES_tradnl" w:eastAsia="es-ES"/>
        </w:rPr>
        <w:t xml:space="preserve"> </w:t>
      </w:r>
    </w:p>
    <w:p w:rsidR="00F53FA0" w:rsidRDefault="00F53FA0" w:rsidP="00F53FA0">
      <w:pPr>
        <w:autoSpaceDE w:val="0"/>
        <w:autoSpaceDN w:val="0"/>
        <w:spacing w:line="360" w:lineRule="auto"/>
        <w:jc w:val="both"/>
        <w:rPr>
          <w:color w:val="000000"/>
          <w:sz w:val="23"/>
          <w:szCs w:val="23"/>
          <w:lang w:val="es-ES_tradnl" w:eastAsia="es-ES"/>
        </w:rPr>
      </w:pPr>
    </w:p>
    <w:p w:rsidR="00E2336B" w:rsidRPr="00891C69" w:rsidRDefault="00E2336B" w:rsidP="00F53FA0">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lastRenderedPageBreak/>
        <w:t>Las personas con discapacidad son un colectivo al que atañen especialmente los objetivos europeos establecidos, dado que sus indicadores tanto de educación como de ocupación se encuentran muy por detrás de la población general</w:t>
      </w:r>
      <w:r w:rsidR="00F53FA0" w:rsidRPr="007F0141">
        <w:rPr>
          <w:rFonts w:ascii="MinionPro-Regular" w:hAnsi="MinionPro-Regular"/>
          <w:color w:val="4F81BD" w:themeColor="accent1"/>
          <w:sz w:val="24"/>
          <w:szCs w:val="24"/>
          <w:lang w:val="es-ES_tradnl"/>
        </w:rPr>
        <w:t>.</w:t>
      </w:r>
      <w:r w:rsidRPr="007F0141">
        <w:rPr>
          <w:rFonts w:ascii="MinionPro-Regular" w:hAnsi="MinionPro-Regular"/>
          <w:color w:val="4F81BD" w:themeColor="accent1"/>
          <w:sz w:val="24"/>
          <w:szCs w:val="24"/>
          <w:lang w:val="es-ES_tradnl"/>
        </w:rPr>
        <w:t xml:space="preserve"> </w:t>
      </w:r>
      <w:r w:rsidR="00F53FA0" w:rsidRPr="00891C69">
        <w:rPr>
          <w:rFonts w:ascii="MinionPro-Regular" w:hAnsi="MinionPro-Regular"/>
          <w:sz w:val="24"/>
          <w:szCs w:val="24"/>
          <w:lang w:val="es-ES_tradnl"/>
        </w:rPr>
        <w:t xml:space="preserve">En este sentido, es </w:t>
      </w:r>
      <w:r w:rsidR="00891C69" w:rsidRPr="00891C69">
        <w:rPr>
          <w:rFonts w:ascii="MinionPro-Regular" w:hAnsi="MinionPro-Regular"/>
          <w:sz w:val="24"/>
          <w:szCs w:val="24"/>
          <w:lang w:val="es-ES_tradnl"/>
        </w:rPr>
        <w:t>prioritario</w:t>
      </w:r>
      <w:r w:rsidR="00F53FA0" w:rsidRPr="00891C69">
        <w:rPr>
          <w:rFonts w:ascii="MinionPro-Regular" w:hAnsi="MinionPro-Regular"/>
          <w:sz w:val="24"/>
          <w:szCs w:val="24"/>
          <w:lang w:val="es-ES_tradnl"/>
        </w:rPr>
        <w:t xml:space="preserve"> mejorar los indicadores de las personas con discapacidad para poder </w:t>
      </w:r>
      <w:r w:rsidR="007F0141" w:rsidRPr="00891C69">
        <w:rPr>
          <w:rFonts w:ascii="MinionPro-Regular" w:hAnsi="MinionPro-Regular"/>
          <w:sz w:val="24"/>
          <w:szCs w:val="24"/>
          <w:lang w:val="es-ES_tradnl"/>
        </w:rPr>
        <w:t>cumplir los ob</w:t>
      </w:r>
      <w:r w:rsidR="00F53FA0" w:rsidRPr="00891C69">
        <w:rPr>
          <w:rFonts w:ascii="MinionPro-Regular" w:hAnsi="MinionPro-Regular"/>
          <w:sz w:val="24"/>
          <w:szCs w:val="24"/>
          <w:lang w:val="es-ES_tradnl"/>
        </w:rPr>
        <w:t>jetivos globales</w:t>
      </w:r>
      <w:r w:rsidR="00891C69" w:rsidRPr="00891C69">
        <w:rPr>
          <w:rFonts w:ascii="MinionPro-Regular" w:hAnsi="MinionPro-Regular"/>
          <w:sz w:val="24"/>
          <w:szCs w:val="24"/>
          <w:lang w:val="es-ES_tradnl"/>
        </w:rPr>
        <w:t>.</w:t>
      </w:r>
    </w:p>
    <w:p w:rsidR="00E2336B" w:rsidRPr="007F0141" w:rsidRDefault="00E2336B" w:rsidP="00793AAC">
      <w:pPr>
        <w:autoSpaceDE w:val="0"/>
        <w:autoSpaceDN w:val="0"/>
        <w:spacing w:line="360" w:lineRule="auto"/>
        <w:jc w:val="both"/>
        <w:rPr>
          <w:rFonts w:ascii="MinionPro-Regular" w:hAnsi="MinionPro-Regular"/>
          <w:strike/>
          <w:sz w:val="24"/>
          <w:szCs w:val="24"/>
          <w:lang w:val="es-ES_tradnl"/>
        </w:rPr>
      </w:pPr>
    </w:p>
    <w:p w:rsidR="00E2336B" w:rsidRDefault="00E2336B" w:rsidP="00793AAC">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 xml:space="preserve">Los centros especiales de empleo deben ser actores principales para asegurar la extensión y el cumplimiento de los objetivos de la estrategia europea al colectivo de personas con discapacidad. Que así sea dependerá de la introducción de cambios en el modelo de centros especiales de empleo que permitan optimizar el valor añadido que generan en términos de inserción de personas con discapacidad pero que también les permita competir con éxito, crecer y generar valor añadido económico para, de este modo, poder reforzar su impacto social. </w:t>
      </w:r>
    </w:p>
    <w:p w:rsidR="00E2336B" w:rsidRDefault="00E2336B">
      <w:pPr>
        <w:autoSpaceDE w:val="0"/>
        <w:autoSpaceDN w:val="0"/>
        <w:spacing w:line="360" w:lineRule="auto"/>
        <w:jc w:val="both"/>
        <w:rPr>
          <w:rFonts w:ascii="MinionPro-Regular" w:hAnsi="MinionPro-Regular"/>
          <w:sz w:val="24"/>
          <w:szCs w:val="24"/>
          <w:lang w:val="es-ES_tradnl"/>
        </w:rPr>
      </w:pPr>
    </w:p>
    <w:p w:rsidR="00E2336B" w:rsidRPr="00891C69" w:rsidRDefault="00F23441">
      <w:pPr>
        <w:autoSpaceDE w:val="0"/>
        <w:autoSpaceDN w:val="0"/>
        <w:spacing w:line="360" w:lineRule="auto"/>
        <w:jc w:val="both"/>
        <w:rPr>
          <w:rFonts w:ascii="MinionPro-Regular" w:hAnsi="MinionPro-Regular"/>
          <w:sz w:val="24"/>
          <w:szCs w:val="24"/>
          <w:lang w:val="es-ES_tradnl"/>
        </w:rPr>
      </w:pPr>
      <w:r w:rsidRPr="00891C69">
        <w:rPr>
          <w:rFonts w:ascii="MinionPro-Regular" w:hAnsi="MinionPro-Regular"/>
          <w:sz w:val="24"/>
          <w:szCs w:val="24"/>
          <w:lang w:val="es-ES_tradnl"/>
        </w:rPr>
        <w:t xml:space="preserve">Que los centros especiales de empleo puedan maximizar su impacto social positivo y crear cada vez más y mejores empleos para las personas con discapacidad dependerá de que puedan actuar en un contexto económico, institucional y social favorable. Esto requerirá avanzar en el reconocimiento social de los centros especiales de empleo, apostando por la transparencia y, desde la autoregulación, por la adopción de prácticas avanzadas de gestión y de desarrollo de las personas. En este sentido cabría reconsiderar el papel de los centros especiales de empleo como instrumento diseñado, siempre, para la transición al empleo ordinario y definir un marco de ayudas que promueva tanto la competitividad de los centros como la mejora en la empleabilidad y el desarrollo de las personas. Pero también es necesario reflexionar acerca de la indudable importancia que, en términos de valor para el conjunto de la sociedad, tiene el carácter social de la </w:t>
      </w:r>
      <w:r w:rsidRPr="00891C69">
        <w:rPr>
          <w:rFonts w:ascii="MinionPro-Regular" w:hAnsi="MinionPro-Regular"/>
          <w:sz w:val="24"/>
          <w:szCs w:val="24"/>
          <w:lang w:val="es-ES_tradnl"/>
        </w:rPr>
        <w:lastRenderedPageBreak/>
        <w:t>iniciativa que promueve el centro. En el marco institucional, convendría contar con una estructura administrativa que elimine las barreras y trabas que dificultan la competitividad y el crecimiento de los centros especiales de empleo. Así, el marco público de apoyo a los centros podría apostar por un esquema de incentivos que impulsen a los centros hacia la innovación, la eficiencia, la generación de tamaño y la entrada en sectores de alto valor añadido.</w:t>
      </w:r>
    </w:p>
    <w:p w:rsidR="00E2336B" w:rsidRPr="00891C69" w:rsidRDefault="00E2336B">
      <w:pPr>
        <w:autoSpaceDE w:val="0"/>
        <w:autoSpaceDN w:val="0"/>
        <w:spacing w:line="360" w:lineRule="auto"/>
        <w:jc w:val="both"/>
        <w:rPr>
          <w:rFonts w:ascii="MinionPro-Regular" w:hAnsi="MinionPro-Regular"/>
          <w:sz w:val="24"/>
          <w:szCs w:val="24"/>
          <w:lang w:val="es-ES_tradnl"/>
        </w:rPr>
      </w:pPr>
    </w:p>
    <w:p w:rsidR="00E2336B" w:rsidRDefault="00F23441" w:rsidP="009E62F8">
      <w:pPr>
        <w:autoSpaceDE w:val="0"/>
        <w:autoSpaceDN w:val="0"/>
        <w:spacing w:line="360" w:lineRule="auto"/>
        <w:jc w:val="both"/>
        <w:rPr>
          <w:rFonts w:ascii="MinionPro-Regular" w:hAnsi="MinionPro-Regular"/>
          <w:color w:val="FF0000"/>
          <w:sz w:val="24"/>
          <w:szCs w:val="24"/>
          <w:u w:val="single"/>
          <w:lang w:val="es-ES_tradnl"/>
        </w:rPr>
      </w:pPr>
      <w:r w:rsidRPr="00891C69">
        <w:rPr>
          <w:rFonts w:ascii="MinionPro-Regular" w:hAnsi="MinionPro-Regular"/>
          <w:sz w:val="24"/>
          <w:szCs w:val="24"/>
          <w:lang w:val="es-ES_tradnl"/>
        </w:rPr>
        <w:t>La responsabilidad de avanzar en los ámbitos anteriores no requiere sólo de la participación, el impulso y la voluntad de los centros especiales de empleo. También necesita el concurso de todos los actores involucrados en la inserción laboral de las personas con discapacidad. De especial importancia es el papel de la administración pública, que debe asegurar que los centros especiales de empleo y, por ende, las personas con discapacidad cuentan con un marco institucional favorable y propio de una economía que debe ser inteligente, sostenible e integradora. Un marco, en definitiva, propio de una economía europea avanzada del siglo XXI.</w:t>
      </w:r>
      <w:r w:rsidR="00E2336B">
        <w:rPr>
          <w:rFonts w:ascii="MinionPro-Regular" w:hAnsi="MinionPro-Regular"/>
          <w:color w:val="FF0000"/>
          <w:sz w:val="24"/>
          <w:szCs w:val="24"/>
          <w:lang w:val="es-ES_tradnl"/>
        </w:rPr>
        <w:t xml:space="preserve"> </w:t>
      </w:r>
    </w:p>
    <w:p w:rsidR="007F0141" w:rsidRPr="000C36C6" w:rsidRDefault="007F0141" w:rsidP="009E62F8">
      <w:pPr>
        <w:autoSpaceDE w:val="0"/>
        <w:autoSpaceDN w:val="0"/>
        <w:spacing w:line="360" w:lineRule="auto"/>
        <w:jc w:val="both"/>
        <w:rPr>
          <w:rFonts w:ascii="MinionPro-Regular" w:hAnsi="MinionPro-Regular"/>
          <w:strike/>
          <w:color w:val="FF0000"/>
          <w:sz w:val="24"/>
          <w:szCs w:val="24"/>
          <w:u w:val="single"/>
          <w:lang w:val="es-ES_tradnl"/>
        </w:rPr>
      </w:pPr>
    </w:p>
    <w:p w:rsidR="007F0141" w:rsidRDefault="007F0141" w:rsidP="009E62F8">
      <w:pPr>
        <w:autoSpaceDE w:val="0"/>
        <w:autoSpaceDN w:val="0"/>
        <w:spacing w:line="360" w:lineRule="auto"/>
        <w:jc w:val="both"/>
        <w:rPr>
          <w:rFonts w:ascii="MinionPro-Regular" w:hAnsi="MinionPro-Regular"/>
          <w:sz w:val="24"/>
          <w:szCs w:val="24"/>
          <w:lang w:val="es-ES_tradnl"/>
        </w:rPr>
      </w:pPr>
    </w:p>
    <w:p w:rsidR="00E2336B" w:rsidRPr="00A67BCF" w:rsidRDefault="00E2336B" w:rsidP="00A67BCF">
      <w:pPr>
        <w:pBdr>
          <w:top w:val="single" w:sz="4" w:space="1" w:color="auto"/>
          <w:left w:val="single" w:sz="4" w:space="4" w:color="auto"/>
          <w:bottom w:val="single" w:sz="4" w:space="1" w:color="auto"/>
          <w:right w:val="single" w:sz="4" w:space="4" w:color="auto"/>
        </w:pBdr>
        <w:autoSpaceDE w:val="0"/>
        <w:autoSpaceDN w:val="0"/>
        <w:spacing w:line="360" w:lineRule="auto"/>
        <w:jc w:val="both"/>
        <w:rPr>
          <w:rFonts w:ascii="MinionPro-Regular" w:hAnsi="MinionPro-Regular"/>
          <w:sz w:val="20"/>
          <w:szCs w:val="24"/>
          <w:u w:val="single"/>
          <w:lang w:val="es-ES_tradnl"/>
        </w:rPr>
      </w:pPr>
      <w:r w:rsidRPr="00455028">
        <w:rPr>
          <w:rFonts w:ascii="MinionPro-Regular" w:hAnsi="MinionPro-Regular"/>
          <w:sz w:val="20"/>
          <w:szCs w:val="24"/>
          <w:u w:val="single"/>
          <w:lang w:val="es-ES_tradnl"/>
        </w:rPr>
        <w:t>Introducción</w:t>
      </w:r>
      <w:r>
        <w:rPr>
          <w:rFonts w:ascii="MinionPro-Regular" w:hAnsi="MinionPro-Regular"/>
          <w:sz w:val="20"/>
          <w:szCs w:val="24"/>
          <w:u w:val="single"/>
          <w:lang w:val="es-ES_tradnl"/>
        </w:rPr>
        <w:t>. Puntos principales</w:t>
      </w:r>
    </w:p>
    <w:p w:rsidR="00E2336B" w:rsidRDefault="00E2336B" w:rsidP="0007541A">
      <w:pPr>
        <w:pStyle w:val="Prrafodelista"/>
        <w:numPr>
          <w:ilvl w:val="0"/>
          <w:numId w:val="21"/>
        </w:numPr>
        <w:pBdr>
          <w:top w:val="single" w:sz="4" w:space="1" w:color="auto"/>
          <w:left w:val="single" w:sz="4" w:space="4" w:color="auto"/>
          <w:bottom w:val="single" w:sz="4" w:space="1" w:color="auto"/>
          <w:right w:val="single" w:sz="4" w:space="4" w:color="auto"/>
        </w:pBdr>
        <w:autoSpaceDE w:val="0"/>
        <w:autoSpaceDN w:val="0"/>
        <w:spacing w:line="360" w:lineRule="auto"/>
        <w:jc w:val="both"/>
        <w:rPr>
          <w:rFonts w:ascii="MinionPro-Regular" w:hAnsi="MinionPro-Regular"/>
          <w:sz w:val="20"/>
          <w:szCs w:val="24"/>
          <w:lang w:val="es-ES_tradnl"/>
        </w:rPr>
      </w:pPr>
      <w:r w:rsidRPr="00455028">
        <w:rPr>
          <w:rFonts w:ascii="MinionPro-Regular" w:hAnsi="MinionPro-Regular"/>
          <w:sz w:val="20"/>
          <w:szCs w:val="24"/>
          <w:lang w:val="es-ES_tradnl"/>
        </w:rPr>
        <w:t xml:space="preserve">Las personas con discapacidad se enfrentan a dificultades mayores que el resto de la población, lo que resulta en mayores tasas de pobreza y de exclusión social. España no es ajena a estos problemas. </w:t>
      </w:r>
    </w:p>
    <w:p w:rsidR="00E2336B" w:rsidRPr="00590BE7" w:rsidRDefault="00E2336B" w:rsidP="0007541A">
      <w:pPr>
        <w:pStyle w:val="Prrafodelista"/>
        <w:numPr>
          <w:ilvl w:val="0"/>
          <w:numId w:val="21"/>
        </w:numPr>
        <w:pBdr>
          <w:top w:val="single" w:sz="4" w:space="1" w:color="auto"/>
          <w:left w:val="single" w:sz="4" w:space="4" w:color="auto"/>
          <w:bottom w:val="single" w:sz="4" w:space="1" w:color="auto"/>
          <w:right w:val="single" w:sz="4" w:space="4" w:color="auto"/>
        </w:pBdr>
        <w:autoSpaceDE w:val="0"/>
        <w:autoSpaceDN w:val="0"/>
        <w:spacing w:line="360" w:lineRule="auto"/>
        <w:jc w:val="both"/>
        <w:rPr>
          <w:rFonts w:ascii="MinionPro-Regular" w:hAnsi="MinionPro-Regular"/>
          <w:sz w:val="20"/>
          <w:szCs w:val="24"/>
          <w:lang w:val="es-ES_tradnl"/>
        </w:rPr>
      </w:pPr>
      <w:r w:rsidRPr="00590BE7">
        <w:rPr>
          <w:rFonts w:ascii="MinionPro-Regular" w:hAnsi="MinionPro-Regular"/>
          <w:sz w:val="20"/>
          <w:szCs w:val="24"/>
          <w:lang w:val="es-ES_tradnl"/>
        </w:rPr>
        <w:t xml:space="preserve">La integración en el mercado laboral es condición necesaria para garantizar los derechos de las personas con discapacidad y esta integración es inconcebible </w:t>
      </w:r>
      <w:r>
        <w:rPr>
          <w:rFonts w:ascii="MinionPro-Regular" w:hAnsi="MinionPro-Regular"/>
          <w:sz w:val="20"/>
          <w:szCs w:val="24"/>
          <w:lang w:val="es-ES_tradnl"/>
        </w:rPr>
        <w:t xml:space="preserve">en España </w:t>
      </w:r>
      <w:r w:rsidRPr="00590BE7">
        <w:rPr>
          <w:rFonts w:ascii="MinionPro-Regular" w:hAnsi="MinionPro-Regular"/>
          <w:sz w:val="20"/>
          <w:szCs w:val="24"/>
          <w:lang w:val="es-ES_tradnl"/>
        </w:rPr>
        <w:t>sin los centros especiales de empleo.</w:t>
      </w:r>
    </w:p>
    <w:p w:rsidR="00E2336B" w:rsidRPr="00590BE7" w:rsidRDefault="00E2336B" w:rsidP="0007541A">
      <w:pPr>
        <w:pStyle w:val="Prrafodelista"/>
        <w:numPr>
          <w:ilvl w:val="0"/>
          <w:numId w:val="21"/>
        </w:numPr>
        <w:pBdr>
          <w:top w:val="single" w:sz="4" w:space="1" w:color="auto"/>
          <w:left w:val="single" w:sz="4" w:space="4" w:color="auto"/>
          <w:bottom w:val="single" w:sz="4" w:space="1" w:color="auto"/>
          <w:right w:val="single" w:sz="4" w:space="4" w:color="auto"/>
        </w:pBdr>
        <w:autoSpaceDE w:val="0"/>
        <w:autoSpaceDN w:val="0"/>
        <w:spacing w:line="360" w:lineRule="auto"/>
        <w:jc w:val="both"/>
        <w:rPr>
          <w:rFonts w:ascii="MinionPro-Regular" w:hAnsi="MinionPro-Regular"/>
          <w:sz w:val="20"/>
          <w:szCs w:val="24"/>
          <w:lang w:val="es-ES_tradnl"/>
        </w:rPr>
      </w:pPr>
      <w:r w:rsidRPr="00590BE7">
        <w:rPr>
          <w:rFonts w:ascii="MinionPro-Regular" w:hAnsi="MinionPro-Regular"/>
          <w:sz w:val="20"/>
          <w:szCs w:val="24"/>
          <w:lang w:val="es-ES_tradnl"/>
        </w:rPr>
        <w:t>El doble objetivo de generar valor añadido social y de ser competitivos pone sobre la mesa la necesidad de avanzar en algunos elementos críticos tales como la convergencia salarial, la formación, el desarrollo profesional de las personas con discapacidad y la labor de los servicios públicos de empleo</w:t>
      </w:r>
      <w:r>
        <w:rPr>
          <w:rFonts w:ascii="MinionPro-Regular" w:hAnsi="MinionPro-Regular"/>
          <w:sz w:val="20"/>
          <w:szCs w:val="24"/>
          <w:lang w:val="es-ES_tradnl"/>
        </w:rPr>
        <w:t>.</w:t>
      </w:r>
    </w:p>
    <w:p w:rsidR="00E2336B" w:rsidRPr="00590BE7" w:rsidRDefault="00E2336B" w:rsidP="0007541A">
      <w:pPr>
        <w:pStyle w:val="Prrafodelista"/>
        <w:numPr>
          <w:ilvl w:val="0"/>
          <w:numId w:val="21"/>
        </w:numPr>
        <w:pBdr>
          <w:top w:val="single" w:sz="4" w:space="1" w:color="auto"/>
          <w:left w:val="single" w:sz="4" w:space="4" w:color="auto"/>
          <w:bottom w:val="single" w:sz="4" w:space="1" w:color="auto"/>
          <w:right w:val="single" w:sz="4" w:space="4" w:color="auto"/>
        </w:pBdr>
        <w:autoSpaceDE w:val="0"/>
        <w:autoSpaceDN w:val="0"/>
        <w:spacing w:line="360" w:lineRule="auto"/>
        <w:jc w:val="both"/>
        <w:rPr>
          <w:rFonts w:ascii="MinionPro-Regular" w:hAnsi="MinionPro-Regular"/>
          <w:sz w:val="20"/>
          <w:szCs w:val="24"/>
          <w:lang w:val="es-ES_tradnl"/>
        </w:rPr>
      </w:pPr>
      <w:r w:rsidRPr="00590BE7">
        <w:rPr>
          <w:rFonts w:ascii="MinionPro-Regular" w:hAnsi="MinionPro-Regular"/>
          <w:sz w:val="20"/>
          <w:szCs w:val="24"/>
          <w:lang w:val="es-ES_tradnl"/>
        </w:rPr>
        <w:lastRenderedPageBreak/>
        <w:t>Los centros especiales de empleo deben ser actores principales para asegurar la extensión y el cumplimiento de los objetivos de la estrategia europea al colectivo de personas con discapacidad y deben ser percibidos como organizaciones modernas, eficientes y que contribuyen de manera significativa y directa a la riqueza nacional.</w:t>
      </w:r>
    </w:p>
    <w:p w:rsidR="00E2336B" w:rsidRDefault="00E2336B" w:rsidP="0007541A">
      <w:pPr>
        <w:pStyle w:val="Prrafodelista"/>
        <w:numPr>
          <w:ilvl w:val="0"/>
          <w:numId w:val="21"/>
        </w:numPr>
        <w:pBdr>
          <w:top w:val="single" w:sz="4" w:space="1" w:color="auto"/>
          <w:left w:val="single" w:sz="4" w:space="4" w:color="auto"/>
          <w:bottom w:val="single" w:sz="4" w:space="1" w:color="auto"/>
          <w:right w:val="single" w:sz="4" w:space="4" w:color="auto"/>
        </w:pBdr>
        <w:autoSpaceDE w:val="0"/>
        <w:autoSpaceDN w:val="0"/>
        <w:spacing w:line="360" w:lineRule="auto"/>
        <w:jc w:val="both"/>
        <w:rPr>
          <w:rFonts w:ascii="MinionPro-Regular" w:hAnsi="MinionPro-Regular"/>
          <w:sz w:val="20"/>
          <w:szCs w:val="24"/>
          <w:lang w:val="es-ES_tradnl"/>
        </w:rPr>
      </w:pPr>
      <w:r w:rsidRPr="00590BE7">
        <w:rPr>
          <w:rFonts w:ascii="MinionPro-Regular" w:hAnsi="MinionPro-Regular"/>
          <w:sz w:val="20"/>
          <w:szCs w:val="24"/>
          <w:lang w:val="es-ES_tradnl"/>
        </w:rPr>
        <w:t>La administración pública debe asegurar que los centros especiales de empleo y, por ende, las personas con discapacidad cuenten con un marco institucional favorable y propio de una economía que debe ser inteligente, sostenible e integradora.</w:t>
      </w:r>
    </w:p>
    <w:p w:rsidR="001800E2" w:rsidRPr="00674A46" w:rsidRDefault="001800E2" w:rsidP="0007541A">
      <w:pPr>
        <w:pStyle w:val="Prrafodelista"/>
        <w:numPr>
          <w:ilvl w:val="0"/>
          <w:numId w:val="21"/>
        </w:numPr>
        <w:pBdr>
          <w:top w:val="single" w:sz="4" w:space="1" w:color="auto"/>
          <w:left w:val="single" w:sz="4" w:space="4" w:color="auto"/>
          <w:bottom w:val="single" w:sz="4" w:space="1" w:color="auto"/>
          <w:right w:val="single" w:sz="4" w:space="4" w:color="auto"/>
        </w:pBdr>
        <w:autoSpaceDE w:val="0"/>
        <w:autoSpaceDN w:val="0"/>
        <w:spacing w:line="360" w:lineRule="auto"/>
        <w:jc w:val="both"/>
        <w:rPr>
          <w:rFonts w:ascii="MinionPro-Regular" w:hAnsi="MinionPro-Regular"/>
          <w:sz w:val="20"/>
          <w:szCs w:val="24"/>
          <w:lang w:val="es-ES_tradnl"/>
        </w:rPr>
      </w:pPr>
      <w:r w:rsidRPr="00674A46">
        <w:rPr>
          <w:rFonts w:ascii="MinionPro-Regular" w:hAnsi="MinionPro-Regular"/>
          <w:sz w:val="20"/>
          <w:szCs w:val="24"/>
          <w:lang w:val="es-ES_tradnl"/>
        </w:rPr>
        <w:t xml:space="preserve">De entre los centros especiales de empleo, tienen especial relevancia aquellos cuya iniciativa se considera social. </w:t>
      </w:r>
      <w:r w:rsidRPr="00674A46">
        <w:rPr>
          <w:rFonts w:ascii="MinionPro-Regular" w:hAnsi="MinionPro-Regular"/>
          <w:sz w:val="20"/>
          <w:szCs w:val="24"/>
        </w:rPr>
        <w:t>Se consideran centros especiales de empleo de iniciativa social aquellos que sean promovidos y participados en más de un 50%, directa o indirectamente, por una o varias entidades, ya sean públicas o privadas, que no tengan ánimo de lucro o que tengan reconocido su carácter social en sus Estatutos, ya sean asociaciones, fundaciones, corporaciones de derecho público, cooperativas de iniciativa social u otras entidades de la economía social, así como también aquellos cuya titularidad corresponda a sociedades mercantiles en las que la mayoría de su capital social sea propiedad de alguna de las entidades señaladas anteriormente, ya sea de forma directa o bien indirecta a través del concepto de sociedad dominante regulado en el art. 42 del Código de Comercio, y siempre que en todos los casos en sus estatutos o en acuerdo social se obliguen a la reinversión íntegra de sus beneficios para la creación de oportunidades de empleo para personas con discapacidad y la mejora continua de su competitividad y de su actividad de economía social, teniendo en todo caso la facultad de optar por reinvertirlos en el propio centro especial de empleo o en otros centros especiales de empleo de iniciativa social.</w:t>
      </w:r>
    </w:p>
    <w:p w:rsidR="00E2336B" w:rsidRDefault="00E2336B" w:rsidP="009E62F8">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br w:type="page"/>
      </w:r>
    </w:p>
    <w:p w:rsidR="00E2336B" w:rsidRPr="00794594" w:rsidRDefault="00E2336B" w:rsidP="0007541A">
      <w:pPr>
        <w:pStyle w:val="Ttulo1"/>
        <w:numPr>
          <w:ilvl w:val="0"/>
          <w:numId w:val="3"/>
        </w:numPr>
        <w:rPr>
          <w:rFonts w:ascii="MinionPro-Regular" w:hAnsi="MinionPro-Regular"/>
        </w:rPr>
      </w:pPr>
      <w:bookmarkStart w:id="11" w:name="_Toc352773543"/>
      <w:r w:rsidRPr="00794594">
        <w:rPr>
          <w:rFonts w:ascii="MinionPro-Regular" w:hAnsi="MinionPro-Regular"/>
        </w:rPr>
        <w:lastRenderedPageBreak/>
        <w:t>Las personas con discapacidad en España son las más vulnerables de la OCDE</w:t>
      </w:r>
      <w:bookmarkEnd w:id="6"/>
      <w:bookmarkEnd w:id="11"/>
    </w:p>
    <w:p w:rsidR="00E2336B" w:rsidRPr="00360D98" w:rsidRDefault="00E2336B" w:rsidP="00360D98">
      <w:pPr>
        <w:pStyle w:val="Textoindependiente"/>
      </w:pPr>
    </w:p>
    <w:p w:rsidR="00E2336B" w:rsidRDefault="00E2336B" w:rsidP="00F845E5">
      <w:pPr>
        <w:autoSpaceDE w:val="0"/>
        <w:autoSpaceDN w:val="0"/>
        <w:spacing w:line="360" w:lineRule="auto"/>
        <w:jc w:val="both"/>
        <w:rPr>
          <w:rFonts w:ascii="MinionPro-Regular" w:hAnsi="MinionPro-Regular"/>
          <w:sz w:val="24"/>
          <w:szCs w:val="24"/>
        </w:rPr>
      </w:pPr>
      <w:r w:rsidRPr="00981369">
        <w:rPr>
          <w:rFonts w:ascii="MinionPro-Regular" w:hAnsi="MinionPro-Regular"/>
          <w:sz w:val="24"/>
          <w:szCs w:val="24"/>
        </w:rPr>
        <w:t>No por ser conocido deja de ser importante recordar que, de acuerdo a la Organización Mundial de la Salud, los hogares donde vive una persona con discapacidad tienen una mayor probabilidad de experimentar dificultades materiales. De acuerdo a la misma fuente, y tomadas individualmente, las personas con discapacidad tienen más dificultades en el ámbito educativo y obtienen peores resultados. También, por supuesto, tienen mayores dific</w:t>
      </w:r>
      <w:r>
        <w:rPr>
          <w:rFonts w:ascii="MinionPro-Regular" w:hAnsi="MinionPro-Regular"/>
          <w:sz w:val="24"/>
          <w:szCs w:val="24"/>
        </w:rPr>
        <w:t xml:space="preserve">ultades en el ámbito laboral y </w:t>
      </w:r>
      <w:r w:rsidRPr="00981369">
        <w:rPr>
          <w:rFonts w:ascii="MinionPro-Regular" w:hAnsi="MinionPro-Regular"/>
          <w:sz w:val="24"/>
          <w:szCs w:val="24"/>
        </w:rPr>
        <w:t xml:space="preserve"> una mayor probabilidad de sufrir pobreza. </w:t>
      </w:r>
      <w:r>
        <w:rPr>
          <w:rFonts w:ascii="MinionPro-Regular" w:hAnsi="MinionPro-Regular"/>
          <w:sz w:val="24"/>
          <w:szCs w:val="24"/>
        </w:rPr>
        <w:t>D</w:t>
      </w:r>
      <w:r w:rsidRPr="00981369">
        <w:rPr>
          <w:rFonts w:ascii="MinionPro-Regular" w:hAnsi="MinionPro-Regular"/>
          <w:sz w:val="24"/>
          <w:szCs w:val="24"/>
        </w:rPr>
        <w:t xml:space="preserve">e acuerdo a la </w:t>
      </w:r>
      <w:r w:rsidRPr="008B461D">
        <w:rPr>
          <w:rFonts w:ascii="MinionPro-Regular" w:hAnsi="MinionPro-Regular"/>
          <w:sz w:val="24"/>
          <w:szCs w:val="24"/>
        </w:rPr>
        <w:t>OCDE</w:t>
      </w:r>
      <w:r w:rsidRPr="008B461D">
        <w:rPr>
          <w:sz w:val="24"/>
          <w:szCs w:val="24"/>
          <w:vertAlign w:val="superscript"/>
        </w:rPr>
        <w:footnoteReference w:id="3"/>
      </w:r>
      <w:r w:rsidRPr="008B461D">
        <w:rPr>
          <w:rFonts w:ascii="MinionPro-Regular" w:hAnsi="MinionPro-Regular"/>
          <w:sz w:val="24"/>
          <w:szCs w:val="24"/>
        </w:rPr>
        <w:t xml:space="preserve">, </w:t>
      </w:r>
      <w:r>
        <w:rPr>
          <w:rFonts w:ascii="MinionPro-Regular" w:hAnsi="MinionPro-Regular"/>
          <w:sz w:val="24"/>
          <w:szCs w:val="24"/>
        </w:rPr>
        <w:t xml:space="preserve">en España, </w:t>
      </w:r>
      <w:r w:rsidRPr="008B461D">
        <w:rPr>
          <w:rFonts w:ascii="MinionPro-Regular" w:hAnsi="MinionPro-Regular"/>
          <w:sz w:val="24"/>
          <w:szCs w:val="24"/>
        </w:rPr>
        <w:t xml:space="preserve">la tasa de riesgo de pobreza de las personas con discapacidad es alrededor de un 80% mayor que la de las personas sin discapacidad. A este respecto, y según datos de la misma fuente, España lidera el ranking de países de la OCDE donde un mayor porcentaje de las personas con discapacidad no disfrutan de ningún tipo de ayuda. En nuestro país, </w:t>
      </w:r>
      <w:r>
        <w:rPr>
          <w:rFonts w:ascii="MinionPro-Regular" w:hAnsi="MinionPro-Regular"/>
          <w:sz w:val="24"/>
          <w:szCs w:val="24"/>
        </w:rPr>
        <w:t>la tasa</w:t>
      </w:r>
      <w:r w:rsidRPr="008B461D">
        <w:rPr>
          <w:rFonts w:ascii="MinionPro-Regular" w:hAnsi="MinionPro-Regular"/>
          <w:sz w:val="24"/>
          <w:szCs w:val="24"/>
        </w:rPr>
        <w:t xml:space="preserve"> de personas con discapacidad que no reciben ayuda</w:t>
      </w:r>
      <w:r>
        <w:rPr>
          <w:rFonts w:ascii="MinionPro-Regular" w:hAnsi="MinionPro-Regular"/>
          <w:sz w:val="24"/>
          <w:szCs w:val="24"/>
        </w:rPr>
        <w:t>s</w:t>
      </w:r>
      <w:r w:rsidRPr="008B461D">
        <w:rPr>
          <w:rFonts w:ascii="MinionPro-Regular" w:hAnsi="MinionPro-Regular"/>
          <w:sz w:val="24"/>
          <w:szCs w:val="24"/>
        </w:rPr>
        <w:t xml:space="preserve"> pública y que no tienen un empleo multiplica por tres la de Alemania, por ocho la del Reino Unido, por veinte la de Suecia y es más de un 50% mayor a la de Italia.</w:t>
      </w:r>
      <w:r w:rsidRPr="00981369">
        <w:rPr>
          <w:rFonts w:ascii="MinionPro-Regular" w:hAnsi="MinionPro-Regular"/>
          <w:sz w:val="24"/>
          <w:szCs w:val="24"/>
        </w:rPr>
        <w:t xml:space="preserve"> </w:t>
      </w:r>
    </w:p>
    <w:p w:rsidR="00E2336B" w:rsidRDefault="00E2336B" w:rsidP="00360D98">
      <w:pPr>
        <w:autoSpaceDE w:val="0"/>
        <w:autoSpaceDN w:val="0"/>
        <w:spacing w:line="360" w:lineRule="auto"/>
        <w:jc w:val="both"/>
        <w:rPr>
          <w:rFonts w:ascii="MinionPro-Regular" w:hAnsi="MinionPro-Regular"/>
          <w:sz w:val="24"/>
          <w:szCs w:val="24"/>
        </w:rPr>
      </w:pPr>
    </w:p>
    <w:p w:rsidR="00E2336B" w:rsidRDefault="00E2336B" w:rsidP="00360D98">
      <w:pPr>
        <w:autoSpaceDE w:val="0"/>
        <w:autoSpaceDN w:val="0"/>
        <w:spacing w:line="360" w:lineRule="auto"/>
        <w:jc w:val="both"/>
        <w:rPr>
          <w:rFonts w:ascii="MinionPro-Regular" w:hAnsi="MinionPro-Regular" w:cs="Times New Roman MT Std"/>
          <w:color w:val="221E1F"/>
          <w:szCs w:val="22"/>
        </w:rPr>
      </w:pPr>
      <w:r w:rsidRPr="0029507F">
        <w:rPr>
          <w:rFonts w:ascii="MinionPro-Regular" w:hAnsi="MinionPro-Regular"/>
          <w:sz w:val="24"/>
          <w:szCs w:val="24"/>
        </w:rPr>
        <w:t xml:space="preserve">El número 33 de la Colección Estudios Sociales de </w:t>
      </w:r>
      <w:r>
        <w:rPr>
          <w:rFonts w:ascii="MinionPro-Regular" w:hAnsi="MinionPro-Regular"/>
          <w:sz w:val="24"/>
          <w:szCs w:val="24"/>
        </w:rPr>
        <w:t>L</w:t>
      </w:r>
      <w:r w:rsidRPr="0029507F">
        <w:rPr>
          <w:rFonts w:ascii="MinionPro-Regular" w:hAnsi="MinionPro-Regular"/>
          <w:sz w:val="24"/>
          <w:szCs w:val="24"/>
        </w:rPr>
        <w:t>a Caixa</w:t>
      </w:r>
      <w:r w:rsidRPr="0029507F">
        <w:rPr>
          <w:rStyle w:val="Refdenotaalpie"/>
          <w:rFonts w:ascii="MinionPro-Regular" w:hAnsi="MinionPro-Regular"/>
          <w:sz w:val="24"/>
          <w:szCs w:val="24"/>
        </w:rPr>
        <w:footnoteReference w:id="4"/>
      </w:r>
      <w:r w:rsidRPr="0029507F">
        <w:rPr>
          <w:rFonts w:ascii="MinionPro-Regular" w:hAnsi="MinionPro-Regular"/>
          <w:sz w:val="24"/>
          <w:szCs w:val="24"/>
        </w:rPr>
        <w:t xml:space="preserve"> se hace eco de un </w:t>
      </w:r>
      <w:r w:rsidRPr="0029507F">
        <w:rPr>
          <w:rFonts w:cs="Times New Roman MT Std"/>
          <w:color w:val="221E1F"/>
          <w:sz w:val="24"/>
          <w:szCs w:val="24"/>
        </w:rPr>
        <w:t xml:space="preserve">estudio promovido por la Comisión Europea que ponía de manifiesto la disparidad de ingresos entre las personas con y sin discapacidad en España. A este respecto, el informe apunta que los ingresos, antes de las ayudas, de las personas con discapacidad en edad laboral de ambos sexos </w:t>
      </w:r>
      <w:r>
        <w:rPr>
          <w:rFonts w:cs="Times New Roman MT Std"/>
          <w:color w:val="221E1F"/>
          <w:sz w:val="24"/>
          <w:szCs w:val="24"/>
        </w:rPr>
        <w:t>en España eran un 34% inferior</w:t>
      </w:r>
      <w:r w:rsidRPr="0029507F">
        <w:rPr>
          <w:rFonts w:cs="Times New Roman MT Std"/>
          <w:color w:val="221E1F"/>
          <w:sz w:val="24"/>
          <w:szCs w:val="24"/>
        </w:rPr>
        <w:t xml:space="preserve"> a la media de la población. </w:t>
      </w:r>
      <w:r w:rsidRPr="00794594">
        <w:rPr>
          <w:rFonts w:ascii="MinionPro-Regular" w:hAnsi="MinionPro-Regular" w:cs="Times New Roman MT Std"/>
          <w:color w:val="221E1F"/>
          <w:sz w:val="24"/>
          <w:szCs w:val="24"/>
        </w:rPr>
        <w:t xml:space="preserve">Considerando las ayudas, la disparidad se reducía hasta </w:t>
      </w:r>
      <w:r>
        <w:rPr>
          <w:rFonts w:ascii="MinionPro-Regular" w:hAnsi="MinionPro-Regular" w:cs="Times New Roman MT Std"/>
          <w:color w:val="221E1F"/>
          <w:sz w:val="24"/>
          <w:szCs w:val="24"/>
        </w:rPr>
        <w:t>el</w:t>
      </w:r>
      <w:r w:rsidRPr="00794594">
        <w:rPr>
          <w:rFonts w:ascii="MinionPro-Regular" w:hAnsi="MinionPro-Regular" w:cs="Times New Roman MT Std"/>
          <w:color w:val="221E1F"/>
          <w:sz w:val="24"/>
          <w:szCs w:val="24"/>
        </w:rPr>
        <w:t xml:space="preserve"> 13%. La proporción de </w:t>
      </w:r>
      <w:r w:rsidRPr="00794594">
        <w:rPr>
          <w:rFonts w:ascii="MinionPro-Regular" w:hAnsi="MinionPro-Regular" w:cs="Times New Roman MT Std"/>
          <w:color w:val="221E1F"/>
          <w:sz w:val="24"/>
          <w:szCs w:val="24"/>
        </w:rPr>
        <w:lastRenderedPageBreak/>
        <w:t xml:space="preserve">personas con discapacidad  bajo el umbral de la pobreza se situaba en el 19,5%, </w:t>
      </w:r>
      <w:r>
        <w:rPr>
          <w:rFonts w:ascii="MinionPro-Regular" w:hAnsi="MinionPro-Regular" w:cs="Times New Roman MT Std"/>
          <w:color w:val="221E1F"/>
          <w:sz w:val="24"/>
          <w:szCs w:val="24"/>
        </w:rPr>
        <w:t xml:space="preserve">tasa que supera en </w:t>
      </w:r>
      <w:r w:rsidRPr="00794594">
        <w:rPr>
          <w:rFonts w:ascii="MinionPro-Regular" w:hAnsi="MinionPro-Regular" w:cs="Times New Roman MT Std"/>
          <w:color w:val="221E1F"/>
          <w:sz w:val="24"/>
          <w:szCs w:val="24"/>
        </w:rPr>
        <w:t xml:space="preserve">un 50% </w:t>
      </w:r>
      <w:r>
        <w:rPr>
          <w:rFonts w:ascii="MinionPro-Regular" w:hAnsi="MinionPro-Regular" w:cs="Times New Roman MT Std"/>
          <w:color w:val="221E1F"/>
          <w:sz w:val="24"/>
          <w:szCs w:val="24"/>
        </w:rPr>
        <w:t xml:space="preserve">la de las </w:t>
      </w:r>
      <w:r w:rsidRPr="00794594">
        <w:rPr>
          <w:rFonts w:ascii="MinionPro-Regular" w:hAnsi="MinionPro-Regular" w:cs="Times New Roman MT Std"/>
          <w:color w:val="221E1F"/>
          <w:sz w:val="24"/>
          <w:szCs w:val="24"/>
        </w:rPr>
        <w:t>de personas sin discapacidad.</w:t>
      </w:r>
      <w:r w:rsidRPr="00794594">
        <w:rPr>
          <w:rFonts w:ascii="MinionPro-Regular" w:hAnsi="MinionPro-Regular" w:cs="Times New Roman MT Std"/>
          <w:color w:val="221E1F"/>
          <w:szCs w:val="22"/>
        </w:rPr>
        <w:t xml:space="preserve"> </w:t>
      </w:r>
    </w:p>
    <w:p w:rsidR="00E2336B" w:rsidRDefault="00E2336B">
      <w:pPr>
        <w:pBdr>
          <w:bottom w:val="single" w:sz="4" w:space="1" w:color="auto"/>
        </w:pBdr>
        <w:autoSpaceDE w:val="0"/>
        <w:autoSpaceDN w:val="0"/>
        <w:spacing w:line="360" w:lineRule="auto"/>
        <w:jc w:val="both"/>
        <w:rPr>
          <w:rFonts w:ascii="MinionPro-Regular" w:hAnsi="MinionPro-Regular" w:cs="Times New Roman MT Std"/>
          <w:color w:val="221E1F"/>
          <w:szCs w:val="22"/>
        </w:rPr>
      </w:pPr>
    </w:p>
    <w:p w:rsidR="009F4AE6" w:rsidRDefault="009F4AE6">
      <w:pPr>
        <w:pBdr>
          <w:bottom w:val="single" w:sz="4" w:space="1" w:color="auto"/>
        </w:pBdr>
        <w:autoSpaceDE w:val="0"/>
        <w:autoSpaceDN w:val="0"/>
        <w:spacing w:line="360" w:lineRule="auto"/>
        <w:jc w:val="both"/>
        <w:rPr>
          <w:rFonts w:ascii="MinionPro-Regular" w:hAnsi="MinionPro-Regular" w:cs="Times New Roman MT Std"/>
          <w:color w:val="221E1F"/>
          <w:szCs w:val="22"/>
        </w:rPr>
      </w:pPr>
    </w:p>
    <w:p w:rsidR="009F4AE6" w:rsidRDefault="009F4AE6">
      <w:pPr>
        <w:pBdr>
          <w:bottom w:val="single" w:sz="4" w:space="1" w:color="auto"/>
        </w:pBdr>
        <w:autoSpaceDE w:val="0"/>
        <w:autoSpaceDN w:val="0"/>
        <w:spacing w:line="360" w:lineRule="auto"/>
        <w:jc w:val="both"/>
        <w:rPr>
          <w:rFonts w:ascii="MinionPro-Regular" w:hAnsi="MinionPro-Regular"/>
          <w:sz w:val="24"/>
          <w:szCs w:val="24"/>
        </w:rPr>
      </w:pPr>
    </w:p>
    <w:p w:rsidR="00E2336B" w:rsidRPr="0029507F" w:rsidRDefault="001F6475" w:rsidP="008E0AF6">
      <w:pPr>
        <w:autoSpaceDE w:val="0"/>
        <w:autoSpaceDN w:val="0"/>
        <w:spacing w:line="360" w:lineRule="auto"/>
        <w:jc w:val="both"/>
        <w:rPr>
          <w:rFonts w:ascii="MinionPro-Regular" w:hAnsi="MinionPro-Regular"/>
          <w:sz w:val="20"/>
          <w:szCs w:val="24"/>
        </w:rPr>
      </w:pPr>
      <w:r>
        <w:rPr>
          <w:rFonts w:ascii="MinionPro-Regular" w:hAnsi="MinionPro-Regular"/>
          <w:sz w:val="20"/>
          <w:szCs w:val="24"/>
        </w:rPr>
        <w:t>P</w:t>
      </w:r>
      <w:r w:rsidR="00E2336B" w:rsidRPr="0029507F">
        <w:rPr>
          <w:rFonts w:ascii="MinionPro-Regular" w:hAnsi="MinionPro-Regular"/>
          <w:sz w:val="20"/>
          <w:szCs w:val="24"/>
        </w:rPr>
        <w:t>orcentaje de personas con discapacidad que no reciben beneficios públicos</w:t>
      </w:r>
    </w:p>
    <w:p w:rsidR="00F93160" w:rsidRDefault="00E1516B" w:rsidP="008E0AF6">
      <w:pPr>
        <w:autoSpaceDE w:val="0"/>
        <w:autoSpaceDN w:val="0"/>
        <w:spacing w:line="360" w:lineRule="auto"/>
        <w:jc w:val="both"/>
        <w:rPr>
          <w:rFonts w:ascii="MinionPro-Regular" w:hAnsi="MinionPro-Regular"/>
          <w:noProof/>
          <w:sz w:val="24"/>
          <w:szCs w:val="24"/>
          <w:lang w:eastAsia="es-ES"/>
        </w:rPr>
      </w:pPr>
      <w:r>
        <w:rPr>
          <w:rFonts w:ascii="MinionPro-Regular" w:hAnsi="MinionPro-Regular"/>
          <w:noProof/>
          <w:sz w:val="24"/>
          <w:szCs w:val="24"/>
          <w:lang w:eastAsia="es-ES"/>
        </w:rPr>
        <w:drawing>
          <wp:inline distT="0" distB="0" distL="0" distR="0">
            <wp:extent cx="4149090" cy="3010535"/>
            <wp:effectExtent l="0" t="0" r="0" b="0"/>
            <wp:docPr id="2" name="Picture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E2336B" w:rsidRDefault="00E2336B" w:rsidP="0029507F">
      <w:pPr>
        <w:pBdr>
          <w:bottom w:val="single" w:sz="4" w:space="1" w:color="auto"/>
        </w:pBdr>
        <w:autoSpaceDE w:val="0"/>
        <w:autoSpaceDN w:val="0"/>
        <w:spacing w:line="360" w:lineRule="auto"/>
        <w:jc w:val="both"/>
        <w:rPr>
          <w:rFonts w:ascii="MinionPro-Regular" w:hAnsi="MinionPro-Regular"/>
          <w:sz w:val="20"/>
          <w:szCs w:val="24"/>
        </w:rPr>
      </w:pPr>
      <w:r>
        <w:rPr>
          <w:rFonts w:ascii="MinionPro-Regular" w:hAnsi="MinionPro-Regular"/>
          <w:sz w:val="20"/>
          <w:szCs w:val="24"/>
        </w:rPr>
        <w:t xml:space="preserve">Fuente: </w:t>
      </w:r>
      <w:r w:rsidRPr="0069727C">
        <w:rPr>
          <w:rFonts w:ascii="MinionPro-Regular" w:hAnsi="MinionPro-Regular"/>
          <w:sz w:val="20"/>
          <w:szCs w:val="24"/>
        </w:rPr>
        <w:t xml:space="preserve">Elaboración propia a partir de los datos </w:t>
      </w:r>
      <w:r>
        <w:rPr>
          <w:rFonts w:ascii="MinionPro-Regular" w:hAnsi="MinionPro-Regular"/>
          <w:sz w:val="20"/>
          <w:szCs w:val="24"/>
        </w:rPr>
        <w:t>de</w:t>
      </w:r>
      <w:r w:rsidRPr="0069727C">
        <w:rPr>
          <w:rFonts w:ascii="MinionPro-Regular" w:hAnsi="MinionPro-Regular"/>
          <w:sz w:val="20"/>
          <w:szCs w:val="24"/>
        </w:rPr>
        <w:t>: Sickness, disability and work</w:t>
      </w:r>
      <w:r>
        <w:rPr>
          <w:rFonts w:ascii="MinionPro-Regular" w:hAnsi="MinionPro-Regular"/>
          <w:sz w:val="20"/>
          <w:szCs w:val="24"/>
        </w:rPr>
        <w:t xml:space="preserve">. </w:t>
      </w:r>
      <w:r w:rsidRPr="0069727C">
        <w:rPr>
          <w:rFonts w:ascii="MinionPro-Regular" w:hAnsi="MinionPro-Regular"/>
          <w:sz w:val="20"/>
          <w:szCs w:val="24"/>
        </w:rPr>
        <w:t>OCDE</w:t>
      </w:r>
      <w:r>
        <w:rPr>
          <w:rFonts w:ascii="MinionPro-Regular" w:hAnsi="MinionPro-Regular"/>
          <w:sz w:val="20"/>
          <w:szCs w:val="24"/>
        </w:rPr>
        <w:t>. 2010.</w:t>
      </w:r>
    </w:p>
    <w:p w:rsidR="00E2336B" w:rsidRPr="004B2672" w:rsidRDefault="00E2336B" w:rsidP="0029507F">
      <w:pPr>
        <w:pBdr>
          <w:bottom w:val="single" w:sz="4" w:space="1" w:color="auto"/>
        </w:pBdr>
        <w:autoSpaceDE w:val="0"/>
        <w:autoSpaceDN w:val="0"/>
        <w:spacing w:line="360" w:lineRule="auto"/>
        <w:jc w:val="both"/>
        <w:rPr>
          <w:rFonts w:ascii="MinionPro-Regular" w:hAnsi="MinionPro-Regular"/>
          <w:sz w:val="20"/>
        </w:rPr>
      </w:pPr>
      <w:r w:rsidRPr="001C2926">
        <w:rPr>
          <w:rFonts w:ascii="MinionPro-Regular" w:hAnsi="MinionPro-Regular"/>
          <w:sz w:val="20"/>
          <w:szCs w:val="24"/>
        </w:rPr>
        <w:t xml:space="preserve">Nota explicativa de la gráfica: Eje vertical, porcentaje. Eje horizontal, países y prestaciones recibidas: En España no reciben prestación pública por discapacidad un 85%, no reciben ninguna prestación pública un 56,2% y no reciben prestaciones públicas y están desempleados un 27,4%. En Italia no reciben prestación pública por discapacidad un 80%, no reciben ninguna prestación pública un </w:t>
      </w:r>
      <w:r>
        <w:rPr>
          <w:rFonts w:ascii="MinionPro-Regular" w:hAnsi="MinionPro-Regular"/>
          <w:sz w:val="20"/>
          <w:szCs w:val="24"/>
        </w:rPr>
        <w:t>35,5</w:t>
      </w:r>
      <w:r w:rsidRPr="001C2926">
        <w:rPr>
          <w:rFonts w:ascii="MinionPro-Regular" w:hAnsi="MinionPro-Regular"/>
          <w:sz w:val="20"/>
          <w:szCs w:val="24"/>
        </w:rPr>
        <w:t xml:space="preserve">% y no reciben prestaciones públicas y están desempleados un </w:t>
      </w:r>
      <w:r>
        <w:rPr>
          <w:rFonts w:ascii="MinionPro-Regular" w:hAnsi="MinionPro-Regular"/>
          <w:sz w:val="20"/>
          <w:szCs w:val="24"/>
        </w:rPr>
        <w:t>15,2</w:t>
      </w:r>
      <w:r w:rsidRPr="001C2926">
        <w:rPr>
          <w:rFonts w:ascii="MinionPro-Regular" w:hAnsi="MinionPro-Regular"/>
          <w:sz w:val="20"/>
          <w:szCs w:val="24"/>
        </w:rPr>
        <w:t>%.</w:t>
      </w:r>
      <w:r w:rsidRPr="001B0FD3">
        <w:rPr>
          <w:rFonts w:ascii="MinionPro-Regular" w:hAnsi="MinionPro-Regular"/>
          <w:sz w:val="20"/>
          <w:szCs w:val="24"/>
        </w:rPr>
        <w:t xml:space="preserve"> En </w:t>
      </w:r>
      <w:r>
        <w:rPr>
          <w:rFonts w:ascii="MinionPro-Regular" w:hAnsi="MinionPro-Regular"/>
          <w:sz w:val="20"/>
          <w:szCs w:val="24"/>
        </w:rPr>
        <w:t>Alemania</w:t>
      </w:r>
      <w:r w:rsidRPr="001B0FD3">
        <w:rPr>
          <w:rFonts w:ascii="MinionPro-Regular" w:hAnsi="MinionPro-Regular"/>
          <w:sz w:val="20"/>
          <w:szCs w:val="24"/>
        </w:rPr>
        <w:t xml:space="preserve"> no reciben prestación pública por discapacidad un 87,9%, no reciben ninguna prestación pública un </w:t>
      </w:r>
      <w:r>
        <w:rPr>
          <w:rFonts w:ascii="MinionPro-Regular" w:hAnsi="MinionPro-Regular"/>
          <w:sz w:val="20"/>
          <w:szCs w:val="24"/>
        </w:rPr>
        <w:t>27,5</w:t>
      </w:r>
      <w:r w:rsidRPr="001B0FD3">
        <w:rPr>
          <w:rFonts w:ascii="MinionPro-Regular" w:hAnsi="MinionPro-Regular"/>
          <w:sz w:val="20"/>
          <w:szCs w:val="24"/>
        </w:rPr>
        <w:t>% y no reciben prestaciones públicas y están desempleados un 8,5%. En Reino Unido</w:t>
      </w:r>
      <w:r>
        <w:rPr>
          <w:rFonts w:ascii="MinionPro-Regular" w:hAnsi="MinionPro-Regular"/>
          <w:sz w:val="20"/>
          <w:szCs w:val="24"/>
        </w:rPr>
        <w:t xml:space="preserve"> </w:t>
      </w:r>
      <w:r w:rsidRPr="001B0FD3">
        <w:rPr>
          <w:rFonts w:ascii="MinionPro-Regular" w:hAnsi="MinionPro-Regular"/>
          <w:sz w:val="20"/>
          <w:szCs w:val="24"/>
        </w:rPr>
        <w:t>no reciben prestación pública por discapacidad un 83,1%, no reciben ninguna prestación pública un 25,0% y no reciben prestaciones públicas y están desempleados un 3,5%. En Suecia</w:t>
      </w:r>
      <w:r>
        <w:rPr>
          <w:rFonts w:ascii="MinionPro-Regular" w:hAnsi="MinionPro-Regular"/>
          <w:sz w:val="20"/>
          <w:szCs w:val="24"/>
        </w:rPr>
        <w:t xml:space="preserve"> </w:t>
      </w:r>
      <w:r w:rsidRPr="001B0FD3">
        <w:rPr>
          <w:rFonts w:ascii="MinionPro-Regular" w:hAnsi="MinionPro-Regular"/>
          <w:sz w:val="20"/>
          <w:szCs w:val="24"/>
        </w:rPr>
        <w:t xml:space="preserve">no reciben prestación pública por discapacidad un </w:t>
      </w:r>
      <w:r>
        <w:rPr>
          <w:rFonts w:ascii="MinionPro-Regular" w:hAnsi="MinionPro-Regular"/>
          <w:sz w:val="20"/>
          <w:szCs w:val="24"/>
        </w:rPr>
        <w:t>73</w:t>
      </w:r>
      <w:r w:rsidRPr="001B0FD3">
        <w:rPr>
          <w:rFonts w:ascii="MinionPro-Regular" w:hAnsi="MinionPro-Regular"/>
          <w:sz w:val="20"/>
          <w:szCs w:val="24"/>
        </w:rPr>
        <w:t xml:space="preserve">,1%, no reciben ninguna prestación pública un </w:t>
      </w:r>
      <w:r>
        <w:rPr>
          <w:rFonts w:ascii="MinionPro-Regular" w:hAnsi="MinionPro-Regular"/>
          <w:sz w:val="20"/>
          <w:szCs w:val="24"/>
        </w:rPr>
        <w:t>16,4</w:t>
      </w:r>
      <w:r w:rsidRPr="001B0FD3">
        <w:rPr>
          <w:rFonts w:ascii="MinionPro-Regular" w:hAnsi="MinionPro-Regular"/>
          <w:sz w:val="20"/>
          <w:szCs w:val="24"/>
        </w:rPr>
        <w:t xml:space="preserve">% y no reciben prestaciones públicas y están desempleados un </w:t>
      </w:r>
      <w:r>
        <w:rPr>
          <w:rFonts w:ascii="MinionPro-Regular" w:hAnsi="MinionPro-Regular"/>
          <w:sz w:val="20"/>
          <w:szCs w:val="24"/>
        </w:rPr>
        <w:t>1,</w:t>
      </w:r>
      <w:r w:rsidRPr="001B0FD3">
        <w:rPr>
          <w:rFonts w:ascii="MinionPro-Regular" w:hAnsi="MinionPro-Regular"/>
          <w:sz w:val="20"/>
          <w:szCs w:val="24"/>
        </w:rPr>
        <w:t>3%.</w:t>
      </w:r>
    </w:p>
    <w:p w:rsidR="00E2336B" w:rsidRPr="00981369" w:rsidRDefault="00E2336B" w:rsidP="00360D98">
      <w:pPr>
        <w:autoSpaceDE w:val="0"/>
        <w:autoSpaceDN w:val="0"/>
        <w:spacing w:line="360" w:lineRule="auto"/>
        <w:jc w:val="both"/>
        <w:rPr>
          <w:rFonts w:ascii="MinionPro-Regular" w:hAnsi="MinionPro-Regular"/>
          <w:sz w:val="24"/>
          <w:szCs w:val="24"/>
        </w:rPr>
      </w:pPr>
    </w:p>
    <w:p w:rsidR="00E2336B" w:rsidRDefault="00E2336B" w:rsidP="00360D98">
      <w:pPr>
        <w:autoSpaceDE w:val="0"/>
        <w:autoSpaceDN w:val="0"/>
        <w:spacing w:line="360" w:lineRule="auto"/>
        <w:jc w:val="both"/>
        <w:rPr>
          <w:rFonts w:ascii="MinionPro-Regular" w:hAnsi="MinionPro-Regular"/>
          <w:sz w:val="24"/>
          <w:szCs w:val="24"/>
        </w:rPr>
      </w:pPr>
      <w:r w:rsidRPr="00981369">
        <w:rPr>
          <w:rFonts w:ascii="MinionPro-Regular" w:hAnsi="MinionPro-Regular"/>
          <w:sz w:val="24"/>
          <w:szCs w:val="24"/>
        </w:rPr>
        <w:t xml:space="preserve">Este aspecto está también íntimamente ligado con el nivel formativo alcanzado por el colectivo de personas con discapacidad. No debemos olvidar tampoco que la enorme tasa de desempleo que sufre la economía española tiene una especial incidencia sobre los colectivos con un menor nivel de formación. Y que el colectivo de personas con discapacidad </w:t>
      </w:r>
      <w:r w:rsidRPr="001F6475">
        <w:rPr>
          <w:rFonts w:ascii="MinionPro-Regular" w:hAnsi="MinionPro-Regular"/>
          <w:sz w:val="24"/>
          <w:szCs w:val="24"/>
        </w:rPr>
        <w:t>tiene</w:t>
      </w:r>
      <w:r w:rsidRPr="00981369">
        <w:rPr>
          <w:rFonts w:ascii="MinionPro-Regular" w:hAnsi="MinionPro-Regular"/>
          <w:sz w:val="24"/>
          <w:szCs w:val="24"/>
        </w:rPr>
        <w:t xml:space="preserve">, como media, un menor nivel de estudios que el de la población general. </w:t>
      </w:r>
      <w:r>
        <w:rPr>
          <w:rFonts w:ascii="MinionPro-Regular" w:hAnsi="MinionPro-Regular"/>
          <w:sz w:val="24"/>
          <w:szCs w:val="24"/>
        </w:rPr>
        <w:t xml:space="preserve">No es de extrañar, por lo tanto, que el desempleo azote con mayor virulencia a este colectivo. </w:t>
      </w:r>
    </w:p>
    <w:p w:rsidR="00E2336B" w:rsidRDefault="00E2336B" w:rsidP="00360D98">
      <w:pPr>
        <w:autoSpaceDE w:val="0"/>
        <w:autoSpaceDN w:val="0"/>
        <w:spacing w:line="360" w:lineRule="auto"/>
        <w:jc w:val="both"/>
        <w:rPr>
          <w:rFonts w:ascii="MinionPro-Regular" w:hAnsi="MinionPro-Regular"/>
          <w:sz w:val="24"/>
          <w:szCs w:val="24"/>
        </w:rPr>
      </w:pPr>
    </w:p>
    <w:p w:rsidR="00E2336B" w:rsidRDefault="00E2336B" w:rsidP="00360D98">
      <w:pPr>
        <w:autoSpaceDE w:val="0"/>
        <w:autoSpaceDN w:val="0"/>
        <w:spacing w:line="360" w:lineRule="auto"/>
        <w:jc w:val="both"/>
        <w:rPr>
          <w:rFonts w:ascii="MinionPro-Regular" w:hAnsi="MinionPro-Regular"/>
          <w:sz w:val="24"/>
          <w:szCs w:val="24"/>
        </w:rPr>
      </w:pPr>
      <w:r w:rsidRPr="00981369">
        <w:rPr>
          <w:rFonts w:ascii="MinionPro-Regular" w:hAnsi="MinionPro-Regular"/>
          <w:sz w:val="24"/>
          <w:szCs w:val="24"/>
        </w:rPr>
        <w:t xml:space="preserve">De acuerdo a la OCDE, el nivel educativo alcanzado por las personas con discapacidad para los 25 países para los que hay datos disponibles es sustancialmente inferior al de las personas sin discapacidad. </w:t>
      </w:r>
    </w:p>
    <w:p w:rsidR="00E2336B" w:rsidRPr="00981369" w:rsidRDefault="00E2336B" w:rsidP="00360D98">
      <w:pPr>
        <w:autoSpaceDE w:val="0"/>
        <w:autoSpaceDN w:val="0"/>
        <w:spacing w:line="360" w:lineRule="auto"/>
        <w:jc w:val="both"/>
        <w:rPr>
          <w:rFonts w:ascii="MinionPro-Regular" w:hAnsi="MinionPro-Regular"/>
          <w:sz w:val="24"/>
          <w:szCs w:val="24"/>
        </w:rPr>
      </w:pPr>
    </w:p>
    <w:p w:rsidR="00E2336B" w:rsidRPr="00E71B22" w:rsidRDefault="00E2336B" w:rsidP="00B63622">
      <w:pPr>
        <w:pBdr>
          <w:top w:val="single" w:sz="4" w:space="1" w:color="auto"/>
          <w:bottom w:val="single" w:sz="4" w:space="1" w:color="auto"/>
        </w:pBdr>
        <w:autoSpaceDE w:val="0"/>
        <w:autoSpaceDN w:val="0"/>
        <w:spacing w:line="360" w:lineRule="auto"/>
        <w:jc w:val="both"/>
        <w:rPr>
          <w:rFonts w:ascii="MinionPro-Regular" w:hAnsi="MinionPro-Regular"/>
          <w:sz w:val="20"/>
          <w:szCs w:val="24"/>
        </w:rPr>
      </w:pPr>
      <w:r>
        <w:rPr>
          <w:rFonts w:ascii="MinionPro-Regular" w:hAnsi="MinionPro-Regular"/>
          <w:sz w:val="20"/>
          <w:szCs w:val="24"/>
        </w:rPr>
        <w:t>Ratio de p</w:t>
      </w:r>
      <w:r w:rsidRPr="00E71B22">
        <w:rPr>
          <w:rFonts w:ascii="MinionPro-Regular" w:hAnsi="MinionPro-Regular"/>
          <w:sz w:val="20"/>
          <w:szCs w:val="24"/>
        </w:rPr>
        <w:t>ersonas sin discapacidad en edad de trabajar con un bajo nivel educativo, entre sus homólogos con discapacidad, por grupo de edad, a finales de la década de 2000</w:t>
      </w:r>
    </w:p>
    <w:p w:rsidR="00E2336B" w:rsidRPr="00E71B22" w:rsidRDefault="00E1516B" w:rsidP="00B63622">
      <w:pPr>
        <w:pBdr>
          <w:top w:val="single" w:sz="4" w:space="1" w:color="auto"/>
          <w:bottom w:val="single" w:sz="4" w:space="1" w:color="auto"/>
        </w:pBdr>
        <w:autoSpaceDE w:val="0"/>
        <w:autoSpaceDN w:val="0"/>
        <w:spacing w:line="360" w:lineRule="auto"/>
        <w:jc w:val="both"/>
        <w:rPr>
          <w:rFonts w:ascii="MinionPro-Regular" w:hAnsi="MinionPro-Regular"/>
          <w:i/>
          <w:sz w:val="24"/>
          <w:szCs w:val="24"/>
        </w:rPr>
      </w:pPr>
      <w:r>
        <w:rPr>
          <w:rFonts w:ascii="MinionPro-Regular" w:hAnsi="MinionPro-Regular"/>
          <w:i/>
          <w:noProof/>
          <w:sz w:val="24"/>
          <w:szCs w:val="24"/>
          <w:lang w:eastAsia="es-ES"/>
        </w:rPr>
        <w:drawing>
          <wp:inline distT="0" distB="0" distL="0" distR="0">
            <wp:extent cx="4045585" cy="2587625"/>
            <wp:effectExtent l="0" t="0" r="0" b="0"/>
            <wp:docPr id="3" name="Picture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E2336B" w:rsidRDefault="00E2336B" w:rsidP="00B63622">
      <w:pPr>
        <w:pBdr>
          <w:top w:val="single" w:sz="4" w:space="1" w:color="auto"/>
          <w:bottom w:val="single" w:sz="4" w:space="1" w:color="auto"/>
        </w:pBdr>
        <w:autoSpaceDE w:val="0"/>
        <w:autoSpaceDN w:val="0"/>
        <w:spacing w:line="360" w:lineRule="auto"/>
        <w:jc w:val="both"/>
        <w:rPr>
          <w:rFonts w:ascii="MinionPro-Regular" w:hAnsi="MinionPro-Regular"/>
          <w:sz w:val="20"/>
          <w:szCs w:val="24"/>
        </w:rPr>
      </w:pPr>
      <w:r>
        <w:rPr>
          <w:rFonts w:ascii="MinionPro-Regular" w:hAnsi="MinionPro-Regular"/>
          <w:sz w:val="20"/>
          <w:szCs w:val="24"/>
        </w:rPr>
        <w:t xml:space="preserve">Fuente: </w:t>
      </w:r>
      <w:r w:rsidRPr="0069727C">
        <w:rPr>
          <w:rFonts w:ascii="MinionPro-Regular" w:hAnsi="MinionPro-Regular"/>
          <w:sz w:val="20"/>
          <w:szCs w:val="24"/>
        </w:rPr>
        <w:t xml:space="preserve">Elaboración propia a partir de los datos </w:t>
      </w:r>
      <w:r>
        <w:rPr>
          <w:rFonts w:ascii="MinionPro-Regular" w:hAnsi="MinionPro-Regular"/>
          <w:sz w:val="20"/>
          <w:szCs w:val="24"/>
        </w:rPr>
        <w:t>de</w:t>
      </w:r>
      <w:r w:rsidRPr="0069727C">
        <w:rPr>
          <w:rFonts w:ascii="MinionPro-Regular" w:hAnsi="MinionPro-Regular"/>
          <w:sz w:val="20"/>
          <w:szCs w:val="24"/>
        </w:rPr>
        <w:t xml:space="preserve"> Sickness, disability and work</w:t>
      </w:r>
      <w:r>
        <w:rPr>
          <w:rFonts w:ascii="MinionPro-Regular" w:hAnsi="MinionPro-Regular"/>
          <w:sz w:val="20"/>
          <w:szCs w:val="24"/>
        </w:rPr>
        <w:t xml:space="preserve">. </w:t>
      </w:r>
      <w:r w:rsidRPr="0069727C">
        <w:rPr>
          <w:rFonts w:ascii="MinionPro-Regular" w:hAnsi="MinionPro-Regular"/>
          <w:sz w:val="20"/>
          <w:szCs w:val="24"/>
        </w:rPr>
        <w:t>OCDE</w:t>
      </w:r>
      <w:r>
        <w:rPr>
          <w:rFonts w:ascii="MinionPro-Regular" w:hAnsi="MinionPro-Regular"/>
          <w:sz w:val="20"/>
          <w:szCs w:val="24"/>
        </w:rPr>
        <w:t>. 2010.</w:t>
      </w:r>
    </w:p>
    <w:p w:rsidR="00E2336B" w:rsidRPr="0069727C" w:rsidRDefault="00E2336B" w:rsidP="00B63622">
      <w:pPr>
        <w:pBdr>
          <w:top w:val="single" w:sz="4" w:space="1" w:color="auto"/>
          <w:bottom w:val="single" w:sz="4" w:space="1" w:color="auto"/>
        </w:pBdr>
        <w:autoSpaceDE w:val="0"/>
        <w:autoSpaceDN w:val="0"/>
        <w:spacing w:line="360" w:lineRule="auto"/>
        <w:jc w:val="both"/>
        <w:rPr>
          <w:rFonts w:ascii="MinionPro-Regular" w:hAnsi="MinionPro-Regular"/>
          <w:sz w:val="20"/>
          <w:szCs w:val="24"/>
        </w:rPr>
      </w:pPr>
      <w:r w:rsidRPr="001B0FD3">
        <w:rPr>
          <w:rFonts w:ascii="MinionPro-Regular" w:hAnsi="MinionPro-Regular"/>
          <w:sz w:val="20"/>
          <w:szCs w:val="24"/>
        </w:rPr>
        <w:lastRenderedPageBreak/>
        <w:t xml:space="preserve">Nota explicativa de la gráfica: Eje vertical, </w:t>
      </w:r>
      <w:r>
        <w:rPr>
          <w:rFonts w:ascii="MinionPro-Regular" w:hAnsi="MinionPro-Regular"/>
          <w:sz w:val="20"/>
          <w:szCs w:val="24"/>
        </w:rPr>
        <w:t>Ratio de p</w:t>
      </w:r>
      <w:r w:rsidRPr="00E71B22">
        <w:rPr>
          <w:rFonts w:ascii="MinionPro-Regular" w:hAnsi="MinionPro-Regular"/>
          <w:sz w:val="20"/>
          <w:szCs w:val="24"/>
        </w:rPr>
        <w:t>ersonas sin discapacidad en edad de trabajar con un bajo nivel educativo, entre sus homólogos con discapacidad</w:t>
      </w:r>
      <w:r w:rsidRPr="001B0FD3">
        <w:rPr>
          <w:rFonts w:ascii="MinionPro-Regular" w:hAnsi="MinionPro-Regular"/>
          <w:sz w:val="20"/>
          <w:szCs w:val="24"/>
        </w:rPr>
        <w:t xml:space="preserve">. Eje horizontal, países y </w:t>
      </w:r>
      <w:r>
        <w:rPr>
          <w:rFonts w:ascii="MinionPro-Regular" w:hAnsi="MinionPro-Regular"/>
          <w:sz w:val="20"/>
          <w:szCs w:val="24"/>
        </w:rPr>
        <w:t>rangos de edad</w:t>
      </w:r>
      <w:r w:rsidRPr="001B0FD3">
        <w:rPr>
          <w:rFonts w:ascii="MinionPro-Regular" w:hAnsi="MinionPro-Regular"/>
          <w:sz w:val="20"/>
          <w:szCs w:val="24"/>
        </w:rPr>
        <w:t xml:space="preserve">: En </w:t>
      </w:r>
      <w:r>
        <w:rPr>
          <w:rFonts w:ascii="MinionPro-Regular" w:hAnsi="MinionPro-Regular"/>
          <w:sz w:val="20"/>
          <w:szCs w:val="24"/>
        </w:rPr>
        <w:t>Alemania es de un 1,7 entre 20-29 años; de un 1,5 entre 30-39; de un 1,5 entre 40-49; de un 1,1 entre 50-59 y de un 1,1 entre 60-64.</w:t>
      </w:r>
      <w:r w:rsidRPr="0000151B">
        <w:rPr>
          <w:rFonts w:ascii="MinionPro-Regular" w:hAnsi="MinionPro-Regular"/>
          <w:sz w:val="20"/>
          <w:szCs w:val="24"/>
        </w:rPr>
        <w:t xml:space="preserve"> </w:t>
      </w:r>
      <w:r w:rsidRPr="001B0FD3">
        <w:rPr>
          <w:rFonts w:ascii="MinionPro-Regular" w:hAnsi="MinionPro-Regular"/>
          <w:sz w:val="20"/>
          <w:szCs w:val="24"/>
        </w:rPr>
        <w:t xml:space="preserve">En </w:t>
      </w:r>
      <w:r>
        <w:rPr>
          <w:rFonts w:ascii="MinionPro-Regular" w:hAnsi="MinionPro-Regular"/>
          <w:sz w:val="20"/>
          <w:szCs w:val="24"/>
        </w:rPr>
        <w:t>Italia es de un 1,5 entre 20-29 años; de un 1,2 entre 30-39; de un 1,2 entre 40-49; de un 1,1 entre 50-59 y de un 1,2 entre 60-64.</w:t>
      </w:r>
      <w:r w:rsidRPr="0000151B">
        <w:rPr>
          <w:rFonts w:ascii="MinionPro-Regular" w:hAnsi="MinionPro-Regular"/>
          <w:sz w:val="20"/>
          <w:szCs w:val="24"/>
        </w:rPr>
        <w:t xml:space="preserve"> </w:t>
      </w:r>
      <w:r w:rsidRPr="001B0FD3">
        <w:rPr>
          <w:rFonts w:ascii="MinionPro-Regular" w:hAnsi="MinionPro-Regular"/>
          <w:sz w:val="20"/>
          <w:szCs w:val="24"/>
        </w:rPr>
        <w:t xml:space="preserve">En </w:t>
      </w:r>
      <w:r>
        <w:rPr>
          <w:rFonts w:ascii="MinionPro-Regular" w:hAnsi="MinionPro-Regular"/>
          <w:sz w:val="20"/>
          <w:szCs w:val="24"/>
        </w:rPr>
        <w:t>España es de un 1,5 entre 20-29 años; de un 1,5 entre 30-39; de un 1,4 entre 40-49; de un 1,3 entre 50-59 y de un 1,1 entre 60-64.</w:t>
      </w:r>
      <w:r w:rsidRPr="00880203">
        <w:rPr>
          <w:rFonts w:ascii="MinionPro-Regular" w:hAnsi="MinionPro-Regular"/>
          <w:sz w:val="20"/>
          <w:szCs w:val="24"/>
        </w:rPr>
        <w:t xml:space="preserve"> </w:t>
      </w:r>
      <w:r w:rsidRPr="001B0FD3">
        <w:rPr>
          <w:rFonts w:ascii="MinionPro-Regular" w:hAnsi="MinionPro-Regular"/>
          <w:sz w:val="20"/>
          <w:szCs w:val="24"/>
        </w:rPr>
        <w:t xml:space="preserve">En </w:t>
      </w:r>
      <w:r>
        <w:rPr>
          <w:rFonts w:ascii="MinionPro-Regular" w:hAnsi="MinionPro-Regular"/>
          <w:sz w:val="20"/>
          <w:szCs w:val="24"/>
        </w:rPr>
        <w:t>Suecia es de un 1,2 entre 20-29 años; de un 1,3 entre 30-39; de un 2,1 entre 40-49; de un 1,2 entre 50-59 y de un 1,4 entre 60-64.</w:t>
      </w:r>
      <w:r w:rsidRPr="00880203">
        <w:rPr>
          <w:rFonts w:ascii="MinionPro-Regular" w:hAnsi="MinionPro-Regular"/>
          <w:sz w:val="20"/>
          <w:szCs w:val="24"/>
        </w:rPr>
        <w:t xml:space="preserve"> </w:t>
      </w:r>
      <w:r>
        <w:rPr>
          <w:rFonts w:ascii="MinionPro-Regular" w:hAnsi="MinionPro-Regular"/>
          <w:sz w:val="20"/>
          <w:szCs w:val="24"/>
        </w:rPr>
        <w:t>E</w:t>
      </w:r>
      <w:r w:rsidRPr="001B0FD3">
        <w:rPr>
          <w:rFonts w:ascii="MinionPro-Regular" w:hAnsi="MinionPro-Regular"/>
          <w:sz w:val="20"/>
          <w:szCs w:val="24"/>
        </w:rPr>
        <w:t xml:space="preserve">n </w:t>
      </w:r>
      <w:r>
        <w:rPr>
          <w:rFonts w:ascii="MinionPro-Regular" w:hAnsi="MinionPro-Regular"/>
          <w:sz w:val="20"/>
          <w:szCs w:val="24"/>
        </w:rPr>
        <w:t>Reino Unido es de un 2,1 entre 20-29 años; de un 2,2 entre 30-39; de un 2,0 entre 40-49; de un 1,8 entre 50-59 y de un 1,3 entre 60-64.</w:t>
      </w:r>
    </w:p>
    <w:p w:rsidR="00E2336B" w:rsidRDefault="00E2336B" w:rsidP="00360D98">
      <w:pPr>
        <w:autoSpaceDE w:val="0"/>
        <w:autoSpaceDN w:val="0"/>
        <w:spacing w:line="360" w:lineRule="auto"/>
        <w:jc w:val="both"/>
        <w:rPr>
          <w:rFonts w:ascii="MinionPro-Regular" w:hAnsi="MinionPro-Regular"/>
          <w:sz w:val="24"/>
          <w:szCs w:val="24"/>
        </w:rPr>
      </w:pPr>
    </w:p>
    <w:p w:rsidR="000C23EB" w:rsidRDefault="00E2336B" w:rsidP="009B5761">
      <w:pPr>
        <w:autoSpaceDE w:val="0"/>
        <w:autoSpaceDN w:val="0"/>
        <w:spacing w:line="360" w:lineRule="auto"/>
        <w:jc w:val="both"/>
        <w:rPr>
          <w:rFonts w:ascii="MinionPro-Regular" w:hAnsi="MinionPro-Regular"/>
          <w:color w:val="4F81BD" w:themeColor="accent1"/>
          <w:sz w:val="24"/>
          <w:szCs w:val="24"/>
        </w:rPr>
      </w:pPr>
      <w:r>
        <w:rPr>
          <w:rFonts w:ascii="MinionPro-Regular" w:hAnsi="MinionPro-Regular"/>
          <w:sz w:val="24"/>
          <w:szCs w:val="24"/>
        </w:rPr>
        <w:t>Los datos anteriores muestran que todavía existe un largo camino por recorrer en España</w:t>
      </w:r>
      <w:r w:rsidRPr="00981369">
        <w:rPr>
          <w:rFonts w:ascii="MinionPro-Regular" w:hAnsi="MinionPro-Regular"/>
          <w:sz w:val="24"/>
          <w:szCs w:val="24"/>
        </w:rPr>
        <w:t xml:space="preserve">. Para el colectivo entre 20 y 49 años, el porcentaje de personas con discapacidad que tienen un nivel educativo bajo es un 50% superior al de personas sin discapacidad. En una sociedad y economías donde el valor añadido está cada vez más relacionado con el conocimiento, este desfase de las personas con discapacidad les sitúa en una posición extremadamente desventajosa y contribuye a perpetuar </w:t>
      </w:r>
      <w:r>
        <w:rPr>
          <w:rFonts w:ascii="MinionPro-Regular" w:hAnsi="MinionPro-Regular"/>
          <w:sz w:val="24"/>
          <w:szCs w:val="24"/>
        </w:rPr>
        <w:t xml:space="preserve">las dificultades de </w:t>
      </w:r>
      <w:r w:rsidR="00F23441" w:rsidRPr="001F6475">
        <w:rPr>
          <w:rFonts w:ascii="MinionPro-Regular" w:hAnsi="MinionPro-Regular"/>
          <w:sz w:val="24"/>
          <w:szCs w:val="24"/>
        </w:rPr>
        <w:t>inclusión</w:t>
      </w:r>
      <w:r>
        <w:rPr>
          <w:rFonts w:ascii="MinionPro-Regular" w:hAnsi="MinionPro-Regular"/>
          <w:sz w:val="24"/>
          <w:szCs w:val="24"/>
        </w:rPr>
        <w:t xml:space="preserve"> social</w:t>
      </w:r>
      <w:r w:rsidRPr="00981369">
        <w:rPr>
          <w:rFonts w:ascii="MinionPro-Regular" w:hAnsi="MinionPro-Regular"/>
          <w:sz w:val="24"/>
          <w:szCs w:val="24"/>
        </w:rPr>
        <w:t xml:space="preserve">. </w:t>
      </w:r>
      <w:bookmarkStart w:id="12" w:name="_Toc340340541"/>
    </w:p>
    <w:p w:rsidR="003737D2" w:rsidRPr="009B5761" w:rsidRDefault="003737D2" w:rsidP="009B5761">
      <w:pPr>
        <w:autoSpaceDE w:val="0"/>
        <w:autoSpaceDN w:val="0"/>
        <w:spacing w:line="360" w:lineRule="auto"/>
        <w:jc w:val="both"/>
        <w:rPr>
          <w:rFonts w:ascii="MinionPro-Regular" w:hAnsi="MinionPro-Regular"/>
          <w:color w:val="4F81BD" w:themeColor="accent1"/>
          <w:sz w:val="24"/>
          <w:szCs w:val="24"/>
        </w:rPr>
      </w:pPr>
    </w:p>
    <w:p w:rsidR="00E2336B" w:rsidRPr="009B5761" w:rsidRDefault="00E2336B" w:rsidP="00A93292">
      <w:pPr>
        <w:pBdr>
          <w:top w:val="single" w:sz="4" w:space="1" w:color="auto"/>
        </w:pBdr>
        <w:autoSpaceDE w:val="0"/>
        <w:autoSpaceDN w:val="0"/>
        <w:spacing w:line="360" w:lineRule="auto"/>
        <w:jc w:val="both"/>
        <w:rPr>
          <w:rFonts w:ascii="MinionPro-Regular" w:hAnsi="MinionPro-Regular"/>
          <w:sz w:val="20"/>
          <w:szCs w:val="24"/>
        </w:rPr>
      </w:pPr>
      <w:r w:rsidRPr="009B5761">
        <w:rPr>
          <w:rFonts w:ascii="MinionPro-Regular" w:hAnsi="MinionPro-Regular"/>
          <w:sz w:val="20"/>
          <w:szCs w:val="24"/>
        </w:rPr>
        <w:t>Ratio de autobuses accesibles por cada cien mil habitantes en cada comunidad autónoma. Datos acumulados a 2008. Orden decreciente.</w:t>
      </w:r>
    </w:p>
    <w:p w:rsidR="00E2336B" w:rsidRDefault="00E1516B" w:rsidP="00A93292">
      <w:pPr>
        <w:pBdr>
          <w:top w:val="single" w:sz="4" w:space="1" w:color="auto"/>
        </w:pBdr>
        <w:autoSpaceDE w:val="0"/>
        <w:autoSpaceDN w:val="0"/>
        <w:spacing w:line="360" w:lineRule="auto"/>
        <w:jc w:val="both"/>
        <w:rPr>
          <w:rFonts w:ascii="MinionPro-Regular" w:hAnsi="MinionPro-Regular"/>
          <w:sz w:val="20"/>
          <w:szCs w:val="24"/>
        </w:rPr>
      </w:pPr>
      <w:r>
        <w:rPr>
          <w:rFonts w:ascii="MinionPro-Regular" w:hAnsi="MinionPro-Regular"/>
          <w:noProof/>
          <w:sz w:val="20"/>
          <w:szCs w:val="24"/>
          <w:lang w:eastAsia="es-ES"/>
        </w:rPr>
        <w:lastRenderedPageBreak/>
        <w:drawing>
          <wp:inline distT="0" distB="0" distL="0" distR="0">
            <wp:extent cx="5339715" cy="3114040"/>
            <wp:effectExtent l="0" t="0" r="0" b="0"/>
            <wp:docPr id="4" name="Picture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E2336B" w:rsidRPr="009B5761" w:rsidRDefault="00E2336B" w:rsidP="00A93292">
      <w:pPr>
        <w:pBdr>
          <w:bottom w:val="single" w:sz="4" w:space="1" w:color="auto"/>
        </w:pBdr>
        <w:autoSpaceDE w:val="0"/>
        <w:autoSpaceDN w:val="0"/>
        <w:spacing w:line="360" w:lineRule="auto"/>
        <w:jc w:val="both"/>
        <w:rPr>
          <w:rFonts w:ascii="MinionPro-Regular" w:hAnsi="MinionPro-Regular"/>
          <w:sz w:val="20"/>
          <w:szCs w:val="24"/>
        </w:rPr>
      </w:pPr>
      <w:r w:rsidRPr="009B5761">
        <w:rPr>
          <w:rFonts w:ascii="MinionPro-Regular" w:hAnsi="MinionPro-Regular"/>
          <w:sz w:val="20"/>
          <w:szCs w:val="24"/>
        </w:rPr>
        <w:t xml:space="preserve">Fuente: Elaboración propia a partir de datos del INE y del informe “Selección de indicadores sobre la situación de las personas con discapacidad en España 2008-2010”. Observatorio estatal de la discapacidad. </w:t>
      </w:r>
    </w:p>
    <w:p w:rsidR="00E2336B" w:rsidRPr="009B5761" w:rsidRDefault="00E2336B" w:rsidP="00A93292">
      <w:pPr>
        <w:pBdr>
          <w:bottom w:val="single" w:sz="4" w:space="1" w:color="auto"/>
        </w:pBdr>
        <w:autoSpaceDE w:val="0"/>
        <w:autoSpaceDN w:val="0"/>
        <w:spacing w:line="360" w:lineRule="auto"/>
        <w:jc w:val="both"/>
        <w:rPr>
          <w:rFonts w:ascii="MinionPro-Regular" w:hAnsi="MinionPro-Regular"/>
          <w:sz w:val="20"/>
          <w:szCs w:val="24"/>
        </w:rPr>
      </w:pPr>
      <w:r w:rsidRPr="009B5761">
        <w:rPr>
          <w:rFonts w:ascii="MinionPro-Regular" w:hAnsi="MinionPro-Regular"/>
          <w:sz w:val="20"/>
          <w:szCs w:val="24"/>
        </w:rPr>
        <w:t xml:space="preserve">Nota explicativa de la gráfica: Eje vertical, número de autobuses accesibles por cada 100.000 habitantes. Eje horizontal, Comunidades Autónomas de mayor a menor: Cataluña 12,34; Navarra 11,57; Madrid 11,08; Asturias 8,59; La Rioja 8,39;  Aragón 6,95; País Vasco 6,54; Castilla y León 6,29; Murcia 6,16; Canarias 5,64;  Comunidad Valenciana 5,29; Andalucía 5,18;  Melilla 5,11; Extremadura 4,44; Galicia 4,08; Castilla La Mancha 3,58; Cantabria 2,94; Baleares no hay datos disponibles;  Ceuta no hay datos disponibles. </w:t>
      </w:r>
    </w:p>
    <w:p w:rsidR="002959F0" w:rsidRDefault="002959F0">
      <w:pPr>
        <w:pStyle w:val="Textoindependiente"/>
      </w:pPr>
    </w:p>
    <w:p w:rsidR="004A0B73" w:rsidRDefault="004A0B73">
      <w:pPr>
        <w:pStyle w:val="Textoindependiente"/>
      </w:pPr>
    </w:p>
    <w:p w:rsidR="004A0B73" w:rsidRPr="009F4AE6" w:rsidRDefault="00E86451" w:rsidP="004A0B73">
      <w:pPr>
        <w:pBdr>
          <w:top w:val="single" w:sz="4" w:space="1" w:color="auto"/>
        </w:pBdr>
        <w:autoSpaceDE w:val="0"/>
        <w:autoSpaceDN w:val="0"/>
        <w:spacing w:line="360" w:lineRule="auto"/>
        <w:jc w:val="both"/>
        <w:rPr>
          <w:rFonts w:ascii="MinionPro-Regular" w:hAnsi="MinionPro-Regular"/>
          <w:sz w:val="20"/>
          <w:szCs w:val="24"/>
        </w:rPr>
      </w:pPr>
      <w:r w:rsidRPr="009F4AE6">
        <w:rPr>
          <w:rFonts w:ascii="MinionPro-Regular" w:hAnsi="MinionPro-Regular"/>
          <w:sz w:val="20"/>
          <w:szCs w:val="24"/>
        </w:rPr>
        <w:t xml:space="preserve">Ratio de autobuses accesibles por cada persona con discapacidad </w:t>
      </w:r>
      <w:r w:rsidR="009F4AE6" w:rsidRPr="009F4AE6">
        <w:rPr>
          <w:rFonts w:ascii="MinionPro-Regular" w:hAnsi="MinionPro-Regular"/>
          <w:sz w:val="20"/>
          <w:szCs w:val="24"/>
        </w:rPr>
        <w:t>ocupada</w:t>
      </w:r>
      <w:r w:rsidR="00174560" w:rsidRPr="009F4AE6">
        <w:rPr>
          <w:rFonts w:ascii="MinionPro-Regular" w:hAnsi="MinionPro-Regular"/>
          <w:sz w:val="20"/>
          <w:szCs w:val="24"/>
        </w:rPr>
        <w:t xml:space="preserve"> </w:t>
      </w:r>
      <w:r w:rsidRPr="009F4AE6">
        <w:rPr>
          <w:rFonts w:ascii="MinionPro-Regular" w:hAnsi="MinionPro-Regular"/>
          <w:sz w:val="20"/>
          <w:szCs w:val="24"/>
        </w:rPr>
        <w:t xml:space="preserve">en cada comunidad autónoma. </w:t>
      </w:r>
    </w:p>
    <w:p w:rsidR="004A0B73" w:rsidRPr="009F4AE6" w:rsidRDefault="004A0B73">
      <w:pPr>
        <w:pStyle w:val="Textoindependiente"/>
      </w:pPr>
    </w:p>
    <w:p w:rsidR="004A0B73" w:rsidRPr="009F4AE6" w:rsidRDefault="00F61DE8">
      <w:pPr>
        <w:pStyle w:val="Textoindependiente"/>
      </w:pPr>
      <w:r w:rsidRPr="009F4AE6">
        <w:rPr>
          <w:noProof/>
          <w:lang w:eastAsia="es-ES"/>
        </w:rPr>
        <w:lastRenderedPageBreak/>
        <w:drawing>
          <wp:inline distT="0" distB="0" distL="0" distR="0">
            <wp:extent cx="5400675" cy="3151113"/>
            <wp:effectExtent l="0" t="0" r="0" b="0"/>
            <wp:docPr id="2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4A0B73" w:rsidRPr="009F4AE6" w:rsidRDefault="00E86451" w:rsidP="004A0B73">
      <w:pPr>
        <w:pBdr>
          <w:bottom w:val="single" w:sz="4" w:space="1" w:color="auto"/>
        </w:pBdr>
        <w:autoSpaceDE w:val="0"/>
        <w:autoSpaceDN w:val="0"/>
        <w:spacing w:line="360" w:lineRule="auto"/>
        <w:jc w:val="both"/>
        <w:rPr>
          <w:rFonts w:ascii="MinionPro-Regular" w:hAnsi="MinionPro-Regular"/>
          <w:sz w:val="20"/>
          <w:szCs w:val="24"/>
        </w:rPr>
      </w:pPr>
      <w:r w:rsidRPr="009F4AE6">
        <w:rPr>
          <w:rFonts w:ascii="MinionPro-Regular" w:hAnsi="MinionPro-Regular"/>
          <w:sz w:val="20"/>
          <w:szCs w:val="24"/>
        </w:rPr>
        <w:t xml:space="preserve">Fuente: Elaboración propia a partir de datos del INE y del informe “Selección de indicadores sobre la situación de las personas con discapacidad en España 2008-2010”. Observatorio estatal de la discapacidad. </w:t>
      </w:r>
    </w:p>
    <w:p w:rsidR="004A0B73" w:rsidRPr="009B5761" w:rsidRDefault="00E86451" w:rsidP="004A0B73">
      <w:pPr>
        <w:pBdr>
          <w:bottom w:val="single" w:sz="4" w:space="1" w:color="auto"/>
        </w:pBdr>
        <w:autoSpaceDE w:val="0"/>
        <w:autoSpaceDN w:val="0"/>
        <w:spacing w:line="360" w:lineRule="auto"/>
        <w:jc w:val="both"/>
        <w:rPr>
          <w:rFonts w:ascii="MinionPro-Regular" w:hAnsi="MinionPro-Regular"/>
          <w:sz w:val="20"/>
          <w:szCs w:val="24"/>
        </w:rPr>
      </w:pPr>
      <w:r w:rsidRPr="009F4AE6">
        <w:rPr>
          <w:rFonts w:ascii="MinionPro-Regular" w:hAnsi="MinionPro-Regular"/>
          <w:sz w:val="20"/>
          <w:szCs w:val="24"/>
        </w:rPr>
        <w:t>Nota explicativa de la gráfica: Eje vertical, número de autobuses accesibles por persona con discapacidad. Eje horizontal, Comunidades Autónomas de mayor a menor: Madrid 19,19; Cataluña 13,38; Canarias 12,57; Navarra 12,44;</w:t>
      </w:r>
      <w:r w:rsidRPr="009F4AE6">
        <w:t xml:space="preserve"> </w:t>
      </w:r>
      <w:r w:rsidRPr="009F4AE6">
        <w:rPr>
          <w:rFonts w:ascii="MinionPro-Regular" w:hAnsi="MinionPro-Regular"/>
          <w:sz w:val="20"/>
          <w:szCs w:val="24"/>
        </w:rPr>
        <w:t>C.Valenciana 11,61; Castilla y León 10,12; La Rioja 9,29; Aragón 8,68; Asturias 8,46; Extremadura 8,30; Andalucía + Ceuta y Melilla 8,18; País Vasco 6,09; Galicia 5,24; Castilla La Mancha 4,02; Murcia 3,93; Cantabria</w:t>
      </w:r>
      <w:r w:rsidRPr="009F4AE6">
        <w:t xml:space="preserve"> </w:t>
      </w:r>
      <w:r w:rsidRPr="009F4AE6">
        <w:rPr>
          <w:rFonts w:ascii="MinionPro-Regular" w:hAnsi="MinionPro-Regular"/>
          <w:sz w:val="20"/>
          <w:szCs w:val="24"/>
        </w:rPr>
        <w:t>3,67 y Baleares no hay datos disponibles.</w:t>
      </w:r>
      <w:r w:rsidR="004A0B73" w:rsidRPr="009B5761">
        <w:rPr>
          <w:rFonts w:ascii="MinionPro-Regular" w:hAnsi="MinionPro-Regular"/>
          <w:sz w:val="20"/>
          <w:szCs w:val="24"/>
        </w:rPr>
        <w:t xml:space="preserve"> </w:t>
      </w:r>
    </w:p>
    <w:p w:rsidR="004A0B73" w:rsidRDefault="004A0B73">
      <w:pPr>
        <w:pStyle w:val="Textoindependiente"/>
      </w:pPr>
    </w:p>
    <w:p w:rsidR="00E2336B" w:rsidRPr="00794594" w:rsidRDefault="00E2336B" w:rsidP="0007541A">
      <w:pPr>
        <w:pStyle w:val="Ttulo2"/>
        <w:numPr>
          <w:ilvl w:val="1"/>
          <w:numId w:val="3"/>
        </w:numPr>
        <w:ind w:left="0"/>
        <w:rPr>
          <w:rFonts w:ascii="MinionPro-Regular" w:hAnsi="MinionPro-Regular"/>
        </w:rPr>
      </w:pPr>
      <w:bookmarkStart w:id="13" w:name="_Toc352773544"/>
      <w:r w:rsidRPr="00794594">
        <w:rPr>
          <w:rFonts w:ascii="MinionPro-Regular" w:hAnsi="MinionPro-Regular"/>
        </w:rPr>
        <w:t>La vida también es más cara para las personas con discapacidad</w:t>
      </w:r>
      <w:bookmarkEnd w:id="12"/>
      <w:bookmarkEnd w:id="13"/>
    </w:p>
    <w:p w:rsidR="00E2336B" w:rsidRPr="004D03DD" w:rsidRDefault="00E2336B" w:rsidP="004D03DD">
      <w:pPr>
        <w:pStyle w:val="Textoindependiente"/>
      </w:pPr>
    </w:p>
    <w:p w:rsidR="00E2336B" w:rsidRDefault="00E2336B" w:rsidP="00F845E5">
      <w:pPr>
        <w:autoSpaceDE w:val="0"/>
        <w:autoSpaceDN w:val="0"/>
        <w:spacing w:line="360" w:lineRule="auto"/>
        <w:jc w:val="both"/>
        <w:rPr>
          <w:rFonts w:ascii="MinionPro-Regular" w:hAnsi="MinionPro-Regular"/>
          <w:sz w:val="24"/>
          <w:szCs w:val="24"/>
        </w:rPr>
      </w:pPr>
      <w:r w:rsidRPr="00981369">
        <w:rPr>
          <w:rFonts w:ascii="MinionPro-Regular" w:hAnsi="MinionPro-Regular"/>
          <w:sz w:val="24"/>
          <w:szCs w:val="24"/>
        </w:rPr>
        <w:t xml:space="preserve">La </w:t>
      </w:r>
      <w:r w:rsidRPr="008B461D">
        <w:rPr>
          <w:rFonts w:ascii="MinionPro-Regular" w:hAnsi="MinionPro-Regular"/>
          <w:sz w:val="24"/>
          <w:szCs w:val="24"/>
        </w:rPr>
        <w:t xml:space="preserve">discapacidad no sólo dificulta la vida de las personas e incrementa el riesgo de exclusión social, sino que también supone un importante coste económico. </w:t>
      </w:r>
    </w:p>
    <w:p w:rsidR="00E2336B" w:rsidRPr="00981369" w:rsidRDefault="00E2336B" w:rsidP="004D03DD">
      <w:pPr>
        <w:autoSpaceDE w:val="0"/>
        <w:autoSpaceDN w:val="0"/>
        <w:spacing w:line="360" w:lineRule="auto"/>
        <w:jc w:val="both"/>
        <w:rPr>
          <w:rFonts w:ascii="MinionPro-Regular" w:hAnsi="MinionPro-Regular"/>
          <w:sz w:val="24"/>
          <w:szCs w:val="24"/>
        </w:rPr>
      </w:pPr>
    </w:p>
    <w:p w:rsidR="00E2336B" w:rsidRDefault="00E2336B" w:rsidP="00F845E5">
      <w:pPr>
        <w:autoSpaceDE w:val="0"/>
        <w:autoSpaceDN w:val="0"/>
        <w:spacing w:line="360" w:lineRule="auto"/>
        <w:jc w:val="both"/>
        <w:rPr>
          <w:rFonts w:ascii="MinionPro-Regular" w:hAnsi="MinionPro-Regular"/>
          <w:sz w:val="24"/>
          <w:szCs w:val="24"/>
        </w:rPr>
      </w:pPr>
      <w:r w:rsidRPr="008E3685">
        <w:rPr>
          <w:rFonts w:ascii="MinionPro-Regular" w:hAnsi="MinionPro-Regular"/>
          <w:sz w:val="24"/>
          <w:szCs w:val="24"/>
        </w:rPr>
        <w:t>Estudios desarrollados en distintos países en los últimos años</w:t>
      </w:r>
      <w:r w:rsidRPr="006436B1">
        <w:rPr>
          <w:rFonts w:ascii="MinionPro-Regular" w:hAnsi="MinionPro-Regular"/>
          <w:sz w:val="24"/>
          <w:szCs w:val="24"/>
        </w:rPr>
        <w:t xml:space="preserve"> </w:t>
      </w:r>
      <w:r w:rsidRPr="008E3685">
        <w:rPr>
          <w:rFonts w:ascii="MinionPro-Regular" w:hAnsi="MinionPro-Regular"/>
          <w:sz w:val="24"/>
          <w:szCs w:val="24"/>
        </w:rPr>
        <w:t>con el objetivo de evaluar los patrones de gastos de personas con y sin discapacidad</w:t>
      </w:r>
      <w:r w:rsidRPr="008B461D">
        <w:rPr>
          <w:rFonts w:ascii="MinionPro-Regular" w:hAnsi="MinionPro-Regular"/>
          <w:sz w:val="24"/>
          <w:szCs w:val="24"/>
        </w:rPr>
        <w:t xml:space="preserve">, </w:t>
      </w:r>
      <w:r>
        <w:rPr>
          <w:rFonts w:ascii="MinionPro-Regular" w:hAnsi="MinionPro-Regular"/>
          <w:sz w:val="24"/>
          <w:szCs w:val="24"/>
        </w:rPr>
        <w:t xml:space="preserve">y </w:t>
      </w:r>
      <w:r w:rsidRPr="008B461D">
        <w:rPr>
          <w:rFonts w:ascii="MinionPro-Regular" w:hAnsi="MinionPro-Regular"/>
          <w:sz w:val="24"/>
          <w:szCs w:val="24"/>
        </w:rPr>
        <w:t xml:space="preserve">de los que se hace eco el </w:t>
      </w:r>
      <w:r w:rsidRPr="008B461D">
        <w:rPr>
          <w:rFonts w:ascii="MinionPro-Regular" w:hAnsi="MinionPro-Regular"/>
          <w:sz w:val="24"/>
          <w:szCs w:val="24"/>
        </w:rPr>
        <w:lastRenderedPageBreak/>
        <w:t>Informe Mundial sobre Discapacidad</w:t>
      </w:r>
      <w:r>
        <w:rPr>
          <w:rStyle w:val="Refdenotaalpie"/>
          <w:rFonts w:ascii="MinionPro-Regular" w:hAnsi="MinionPro-Regular"/>
          <w:sz w:val="24"/>
          <w:szCs w:val="24"/>
        </w:rPr>
        <w:footnoteReference w:id="5"/>
      </w:r>
      <w:r w:rsidRPr="008B461D">
        <w:rPr>
          <w:rFonts w:ascii="MinionPro-Regular" w:hAnsi="MinionPro-Regular"/>
          <w:sz w:val="24"/>
          <w:szCs w:val="24"/>
        </w:rPr>
        <w:t xml:space="preserve"> correspondiente al ejercicio 2011</w:t>
      </w:r>
      <w:r>
        <w:rPr>
          <w:rFonts w:ascii="MinionPro-Regular" w:hAnsi="MinionPro-Regular"/>
          <w:sz w:val="24"/>
          <w:szCs w:val="24"/>
        </w:rPr>
        <w:t xml:space="preserve">, </w:t>
      </w:r>
      <w:r w:rsidRPr="008E3685">
        <w:rPr>
          <w:rFonts w:ascii="MinionPro-Regular" w:hAnsi="MinionPro-Regular"/>
          <w:sz w:val="24"/>
          <w:szCs w:val="24"/>
        </w:rPr>
        <w:t xml:space="preserve">ponen de manifiesto el enorme gasto adicional que tienen que soportar las personas con discapacidad para alcanzar un nivel de vida similar al de la población </w:t>
      </w:r>
      <w:r w:rsidRPr="00455028">
        <w:rPr>
          <w:rFonts w:ascii="MinionPro-Regular" w:hAnsi="MinionPro-Regular"/>
          <w:sz w:val="24"/>
          <w:szCs w:val="24"/>
        </w:rPr>
        <w:t>general</w:t>
      </w:r>
      <w:r w:rsidRPr="008E3685">
        <w:rPr>
          <w:rFonts w:ascii="MinionPro-Regular" w:hAnsi="MinionPro-Regular"/>
          <w:sz w:val="24"/>
          <w:szCs w:val="24"/>
        </w:rPr>
        <w:t>.</w:t>
      </w:r>
      <w:r w:rsidRPr="00981369">
        <w:rPr>
          <w:rFonts w:ascii="MinionPro-Regular" w:hAnsi="MinionPro-Regular"/>
          <w:sz w:val="24"/>
          <w:szCs w:val="24"/>
        </w:rPr>
        <w:t xml:space="preserve"> Este gasto adicional puede estar relacionado, por ejemplo, con necesidades especiales en materia alimenticia, de </w:t>
      </w:r>
      <w:r w:rsidRPr="008B461D">
        <w:rPr>
          <w:rFonts w:ascii="MinionPro-Regular" w:hAnsi="MinionPro-Regular"/>
          <w:sz w:val="24"/>
          <w:szCs w:val="24"/>
        </w:rPr>
        <w:t>transporte o de contar con equipos especiales que faciliten la vida diaria.</w:t>
      </w:r>
      <w:r>
        <w:rPr>
          <w:rFonts w:ascii="MinionPro-Regular" w:hAnsi="MinionPro-Regular"/>
          <w:sz w:val="24"/>
          <w:szCs w:val="24"/>
        </w:rPr>
        <w:t xml:space="preserve"> Estos estudios </w:t>
      </w:r>
      <w:r w:rsidRPr="008B461D">
        <w:rPr>
          <w:rFonts w:ascii="MinionPro-Regular" w:hAnsi="MinionPro-Regular"/>
          <w:sz w:val="24"/>
          <w:szCs w:val="24"/>
        </w:rPr>
        <w:t xml:space="preserve">muestran como las necesidades adicionales de gasto pueden suponer hasta el 69% del ingreso en el Reino Unido, o hasta el 37% en países como Irlanda o Australia. La discapacidad no sólo dificulta la vida diaria de las personas, </w:t>
      </w:r>
      <w:r>
        <w:rPr>
          <w:rFonts w:ascii="MinionPro-Regular" w:hAnsi="MinionPro-Regular"/>
          <w:sz w:val="24"/>
          <w:szCs w:val="24"/>
        </w:rPr>
        <w:t xml:space="preserve">sino que </w:t>
      </w:r>
      <w:r w:rsidRPr="008B461D">
        <w:rPr>
          <w:rFonts w:ascii="MinionPro-Regular" w:hAnsi="MinionPro-Regular"/>
          <w:sz w:val="24"/>
          <w:szCs w:val="24"/>
        </w:rPr>
        <w:t>también tiene un impacto notable sobre la renta de las personas. El sobrecoste para</w:t>
      </w:r>
      <w:r w:rsidRPr="00981369">
        <w:rPr>
          <w:rFonts w:ascii="MinionPro-Regular" w:hAnsi="MinionPro-Regular"/>
          <w:sz w:val="24"/>
          <w:szCs w:val="24"/>
        </w:rPr>
        <w:t xml:space="preserve"> alcanzar un nivel de bienestar equiparable al de las personas sin discapacidad podría ser trasladable al ámbito laboral. </w:t>
      </w:r>
    </w:p>
    <w:p w:rsidR="00E2336B" w:rsidRDefault="00E2336B" w:rsidP="004D03DD">
      <w:pPr>
        <w:autoSpaceDE w:val="0"/>
        <w:autoSpaceDN w:val="0"/>
        <w:spacing w:line="360" w:lineRule="auto"/>
        <w:jc w:val="both"/>
        <w:rPr>
          <w:rFonts w:ascii="MinionPro-Regular" w:hAnsi="MinionPro-Regular"/>
          <w:sz w:val="24"/>
          <w:szCs w:val="24"/>
        </w:rPr>
      </w:pPr>
    </w:p>
    <w:p w:rsidR="009B5761" w:rsidRDefault="00E2336B" w:rsidP="006D7340">
      <w:pPr>
        <w:autoSpaceDE w:val="0"/>
        <w:autoSpaceDN w:val="0"/>
        <w:spacing w:line="360" w:lineRule="auto"/>
        <w:jc w:val="both"/>
        <w:rPr>
          <w:rFonts w:ascii="MinionPro-Regular" w:hAnsi="MinionPro-Regular"/>
          <w:sz w:val="24"/>
          <w:szCs w:val="24"/>
        </w:rPr>
      </w:pPr>
      <w:r w:rsidRPr="00794594">
        <w:rPr>
          <w:rFonts w:ascii="MinionPro-Regular" w:hAnsi="MinionPro-Regular"/>
          <w:sz w:val="24"/>
          <w:szCs w:val="24"/>
        </w:rPr>
        <w:t>En lo que se refiere a España, un estudio</w:t>
      </w:r>
      <w:r w:rsidRPr="00794594">
        <w:rPr>
          <w:rFonts w:ascii="MinionPro-Regular" w:hAnsi="MinionPro-Regular"/>
          <w:vertAlign w:val="superscript"/>
        </w:rPr>
        <w:footnoteReference w:id="6"/>
      </w:r>
      <w:r w:rsidRPr="00794594">
        <w:rPr>
          <w:rFonts w:ascii="MinionPro-Regular" w:hAnsi="MinionPro-Regular"/>
          <w:sz w:val="24"/>
          <w:szCs w:val="24"/>
        </w:rPr>
        <w:t xml:space="preserve"> sobre datos de 2008, elaborado por el Ministerio de </w:t>
      </w:r>
      <w:r w:rsidRPr="0081432A">
        <w:rPr>
          <w:rFonts w:ascii="MinionPro-Regular" w:hAnsi="MinionPro-Regular"/>
          <w:sz w:val="24"/>
          <w:szCs w:val="24"/>
        </w:rPr>
        <w:t>Sanidad, Política Social e Igualdad</w:t>
      </w:r>
      <w:r w:rsidRPr="00794594">
        <w:rPr>
          <w:rFonts w:ascii="MinionPro-Regular" w:hAnsi="MinionPro-Regular"/>
          <w:sz w:val="24"/>
          <w:szCs w:val="24"/>
        </w:rPr>
        <w:t xml:space="preserve"> en colaboración con la Universidad Carlos III, estima el gasto consecuencia de la discapacidad</w:t>
      </w:r>
      <w:r>
        <w:rPr>
          <w:rFonts w:ascii="MinionPro-Regular" w:hAnsi="MinionPro-Regular"/>
          <w:sz w:val="24"/>
          <w:szCs w:val="24"/>
        </w:rPr>
        <w:t>. Ascendería</w:t>
      </w:r>
      <w:r w:rsidRPr="00794594">
        <w:rPr>
          <w:rFonts w:ascii="MinionPro-Regular" w:hAnsi="MinionPro-Regular"/>
          <w:sz w:val="24"/>
          <w:szCs w:val="24"/>
        </w:rPr>
        <w:t>, para aquel año</w:t>
      </w:r>
      <w:r>
        <w:rPr>
          <w:rFonts w:ascii="MinionPro-Regular" w:hAnsi="MinionPro-Regular"/>
          <w:sz w:val="24"/>
          <w:szCs w:val="24"/>
        </w:rPr>
        <w:t>,</w:t>
      </w:r>
      <w:r w:rsidRPr="00794594">
        <w:rPr>
          <w:rFonts w:ascii="MinionPro-Regular" w:hAnsi="MinionPro-Regular"/>
          <w:sz w:val="24"/>
          <w:szCs w:val="24"/>
        </w:rPr>
        <w:t xml:space="preserve"> a 3.300 millones de euros. El informe aclara que esa cifra probablemente subestima el gasto total. En cualquier caso, de acu</w:t>
      </w:r>
      <w:r>
        <w:rPr>
          <w:rFonts w:ascii="MinionPro-Regular" w:hAnsi="MinionPro-Regular"/>
          <w:sz w:val="24"/>
          <w:szCs w:val="24"/>
        </w:rPr>
        <w:t>e</w:t>
      </w:r>
      <w:r w:rsidRPr="00794594">
        <w:rPr>
          <w:rFonts w:ascii="MinionPro-Regular" w:hAnsi="MinionPro-Regular"/>
          <w:sz w:val="24"/>
          <w:szCs w:val="24"/>
        </w:rPr>
        <w:t xml:space="preserve">rdo a las cifras publicadas, el gasto medio por hogar ascendió a 2.874 euros. O lo que es lo mismo, </w:t>
      </w:r>
      <w:r w:rsidR="00F23441" w:rsidRPr="009B5761">
        <w:rPr>
          <w:rFonts w:ascii="MinionPro-Regular" w:hAnsi="MinionPro-Regular"/>
          <w:sz w:val="24"/>
          <w:szCs w:val="24"/>
        </w:rPr>
        <w:t>el 9% del gasto por hogar</w:t>
      </w:r>
      <w:r w:rsidRPr="00794594">
        <w:rPr>
          <w:rFonts w:ascii="MinionPro-Regular" w:hAnsi="MinionPro-Regular"/>
          <w:sz w:val="24"/>
          <w:szCs w:val="24"/>
        </w:rPr>
        <w:t xml:space="preserve">. El informe estima asimismo el coste de oportunidad del cuidado de las personas con discapacidad por sus familiares, </w:t>
      </w:r>
      <w:r>
        <w:rPr>
          <w:rFonts w:ascii="MinionPro-Regular" w:hAnsi="MinionPro-Regular"/>
          <w:sz w:val="24"/>
          <w:szCs w:val="24"/>
        </w:rPr>
        <w:t>que se estima en</w:t>
      </w:r>
      <w:r w:rsidRPr="00794594">
        <w:rPr>
          <w:rFonts w:ascii="MinionPro-Regular" w:hAnsi="MinionPro-Regular"/>
          <w:sz w:val="24"/>
          <w:szCs w:val="24"/>
        </w:rPr>
        <w:t xml:space="preserve"> 87.000 millones de euros, </w:t>
      </w:r>
      <w:r>
        <w:rPr>
          <w:rFonts w:ascii="MinionPro-Regular" w:hAnsi="MinionPro-Regular"/>
          <w:sz w:val="24"/>
          <w:szCs w:val="24"/>
        </w:rPr>
        <w:t>aproximadamente el</w:t>
      </w:r>
      <w:r w:rsidRPr="00794594">
        <w:rPr>
          <w:rFonts w:ascii="MinionPro-Regular" w:hAnsi="MinionPro-Regular"/>
          <w:sz w:val="24"/>
          <w:szCs w:val="24"/>
        </w:rPr>
        <w:t xml:space="preserve"> 7% del PIB de España para aquel año.</w:t>
      </w:r>
    </w:p>
    <w:p w:rsidR="003737D2" w:rsidRDefault="003737D2" w:rsidP="006D7340">
      <w:pPr>
        <w:autoSpaceDE w:val="0"/>
        <w:autoSpaceDN w:val="0"/>
        <w:spacing w:line="360" w:lineRule="auto"/>
        <w:jc w:val="both"/>
        <w:rPr>
          <w:rFonts w:ascii="MinionPro-Regular" w:hAnsi="MinionPro-Regular"/>
          <w:sz w:val="24"/>
          <w:szCs w:val="24"/>
        </w:rPr>
      </w:pPr>
    </w:p>
    <w:p w:rsidR="009F4AE6" w:rsidRDefault="009F4AE6" w:rsidP="006D7340">
      <w:pPr>
        <w:autoSpaceDE w:val="0"/>
        <w:autoSpaceDN w:val="0"/>
        <w:spacing w:line="360" w:lineRule="auto"/>
        <w:jc w:val="both"/>
        <w:rPr>
          <w:rFonts w:ascii="MinionPro-Regular" w:hAnsi="MinionPro-Regular"/>
          <w:sz w:val="24"/>
          <w:szCs w:val="24"/>
        </w:rPr>
      </w:pPr>
    </w:p>
    <w:p w:rsidR="009F4AE6" w:rsidRDefault="009F4AE6" w:rsidP="006D7340">
      <w:pPr>
        <w:autoSpaceDE w:val="0"/>
        <w:autoSpaceDN w:val="0"/>
        <w:spacing w:line="360" w:lineRule="auto"/>
        <w:jc w:val="both"/>
        <w:rPr>
          <w:rFonts w:ascii="MinionPro-Regular" w:hAnsi="MinionPro-Regular"/>
          <w:sz w:val="24"/>
          <w:szCs w:val="24"/>
        </w:rPr>
      </w:pPr>
    </w:p>
    <w:p w:rsidR="009F4AE6" w:rsidRDefault="009F4AE6" w:rsidP="006D7340">
      <w:pPr>
        <w:autoSpaceDE w:val="0"/>
        <w:autoSpaceDN w:val="0"/>
        <w:spacing w:line="360" w:lineRule="auto"/>
        <w:jc w:val="both"/>
        <w:rPr>
          <w:rFonts w:ascii="MinionPro-Regular" w:hAnsi="MinionPro-Regular"/>
          <w:sz w:val="24"/>
          <w:szCs w:val="24"/>
        </w:rPr>
      </w:pPr>
    </w:p>
    <w:p w:rsidR="009F4AE6" w:rsidRDefault="009F4AE6" w:rsidP="006D7340">
      <w:pPr>
        <w:autoSpaceDE w:val="0"/>
        <w:autoSpaceDN w:val="0"/>
        <w:spacing w:line="360" w:lineRule="auto"/>
        <w:jc w:val="both"/>
        <w:rPr>
          <w:rFonts w:ascii="MinionPro-Regular" w:hAnsi="MinionPro-Regular"/>
          <w:sz w:val="24"/>
          <w:szCs w:val="24"/>
        </w:rPr>
      </w:pPr>
    </w:p>
    <w:p w:rsidR="009F4AE6" w:rsidRDefault="009F4AE6" w:rsidP="006D7340">
      <w:pPr>
        <w:autoSpaceDE w:val="0"/>
        <w:autoSpaceDN w:val="0"/>
        <w:spacing w:line="360" w:lineRule="auto"/>
        <w:jc w:val="both"/>
        <w:rPr>
          <w:rFonts w:ascii="MinionPro-Regular" w:hAnsi="MinionPro-Regular"/>
          <w:sz w:val="24"/>
          <w:szCs w:val="24"/>
        </w:rPr>
      </w:pPr>
    </w:p>
    <w:p w:rsidR="009B5761" w:rsidRDefault="009B5761" w:rsidP="006D7340">
      <w:pPr>
        <w:autoSpaceDE w:val="0"/>
        <w:autoSpaceDN w:val="0"/>
        <w:spacing w:line="360" w:lineRule="auto"/>
        <w:jc w:val="both"/>
        <w:rPr>
          <w:rFonts w:ascii="MinionPro-Regular" w:hAnsi="MinionPro-Regular"/>
          <w:sz w:val="24"/>
          <w:szCs w:val="24"/>
        </w:rPr>
      </w:pPr>
    </w:p>
    <w:p w:rsidR="00E2336B" w:rsidRPr="00A67BCF" w:rsidRDefault="00E2336B" w:rsidP="00050400">
      <w:pPr>
        <w:pBdr>
          <w:top w:val="single" w:sz="4" w:space="1" w:color="auto"/>
          <w:left w:val="single" w:sz="4" w:space="4" w:color="auto"/>
          <w:bottom w:val="single" w:sz="4" w:space="1" w:color="auto"/>
          <w:right w:val="single" w:sz="4" w:space="4" w:color="auto"/>
        </w:pBdr>
        <w:autoSpaceDE w:val="0"/>
        <w:autoSpaceDN w:val="0"/>
        <w:spacing w:line="360" w:lineRule="auto"/>
        <w:jc w:val="both"/>
        <w:rPr>
          <w:rFonts w:ascii="MinionPro-Regular" w:hAnsi="MinionPro-Regular"/>
          <w:sz w:val="20"/>
          <w:szCs w:val="24"/>
          <w:u w:val="single"/>
          <w:lang w:val="es-ES_tradnl"/>
        </w:rPr>
      </w:pPr>
      <w:r w:rsidRPr="00050400">
        <w:rPr>
          <w:rFonts w:ascii="MinionPro-Regular" w:hAnsi="MinionPro-Regular"/>
          <w:sz w:val="20"/>
          <w:szCs w:val="24"/>
          <w:u w:val="single"/>
          <w:lang w:val="es-ES_tradnl"/>
        </w:rPr>
        <w:t>Las personas con discapacidad en España son las más vulnerables de la OCDE</w:t>
      </w:r>
      <w:r>
        <w:rPr>
          <w:rFonts w:ascii="MinionPro-Regular" w:hAnsi="MinionPro-Regular"/>
          <w:sz w:val="20"/>
          <w:szCs w:val="24"/>
          <w:u w:val="single"/>
          <w:lang w:val="es-ES_tradnl"/>
        </w:rPr>
        <w:t>. Puntos principales</w:t>
      </w:r>
    </w:p>
    <w:p w:rsidR="00E2336B" w:rsidRPr="00050400" w:rsidRDefault="00E2336B" w:rsidP="0007541A">
      <w:pPr>
        <w:pStyle w:val="Prrafodelista"/>
        <w:numPr>
          <w:ilvl w:val="0"/>
          <w:numId w:val="21"/>
        </w:numPr>
        <w:pBdr>
          <w:top w:val="single" w:sz="4" w:space="1" w:color="auto"/>
          <w:left w:val="single" w:sz="4" w:space="4" w:color="auto"/>
          <w:bottom w:val="single" w:sz="4" w:space="1" w:color="auto"/>
          <w:right w:val="single" w:sz="4" w:space="4" w:color="auto"/>
        </w:pBdr>
        <w:autoSpaceDE w:val="0"/>
        <w:autoSpaceDN w:val="0"/>
        <w:spacing w:line="360" w:lineRule="auto"/>
        <w:jc w:val="both"/>
        <w:rPr>
          <w:rFonts w:ascii="MinionPro-Regular" w:hAnsi="MinionPro-Regular"/>
          <w:sz w:val="20"/>
          <w:szCs w:val="24"/>
          <w:lang w:val="es-ES_tradnl"/>
        </w:rPr>
      </w:pPr>
      <w:r w:rsidRPr="00050400">
        <w:rPr>
          <w:rFonts w:ascii="MinionPro-Regular" w:hAnsi="MinionPro-Regular"/>
          <w:sz w:val="20"/>
          <w:szCs w:val="24"/>
          <w:lang w:val="es-ES_tradnl"/>
        </w:rPr>
        <w:t>Según la Organización Mundial de la Salud, los hogares donde vive una persona con discapacidad tienen una mayor probabilidad de experimentar dificultades materiales.</w:t>
      </w:r>
    </w:p>
    <w:p w:rsidR="00E2336B" w:rsidRPr="00590BE7" w:rsidRDefault="00E2336B" w:rsidP="0007541A">
      <w:pPr>
        <w:pStyle w:val="Prrafodelista"/>
        <w:numPr>
          <w:ilvl w:val="0"/>
          <w:numId w:val="21"/>
        </w:numPr>
        <w:pBdr>
          <w:top w:val="single" w:sz="4" w:space="1" w:color="auto"/>
          <w:left w:val="single" w:sz="4" w:space="4" w:color="auto"/>
          <w:bottom w:val="single" w:sz="4" w:space="1" w:color="auto"/>
          <w:right w:val="single" w:sz="4" w:space="4" w:color="auto"/>
        </w:pBdr>
        <w:autoSpaceDE w:val="0"/>
        <w:autoSpaceDN w:val="0"/>
        <w:spacing w:line="360" w:lineRule="auto"/>
        <w:jc w:val="both"/>
        <w:rPr>
          <w:rFonts w:ascii="MinionPro-Regular" w:hAnsi="MinionPro-Regular"/>
          <w:sz w:val="20"/>
          <w:szCs w:val="24"/>
          <w:lang w:val="es-ES_tradnl"/>
        </w:rPr>
      </w:pPr>
      <w:r w:rsidRPr="009319D0">
        <w:rPr>
          <w:rFonts w:ascii="MinionPro-Regular" w:hAnsi="MinionPro-Regular"/>
          <w:sz w:val="20"/>
          <w:szCs w:val="24"/>
          <w:lang w:val="es-ES_tradnl"/>
        </w:rPr>
        <w:t>La discapacidad no sólo dificulta la vida</w:t>
      </w:r>
      <w:r>
        <w:rPr>
          <w:rFonts w:ascii="MinionPro-Regular" w:hAnsi="MinionPro-Regular"/>
          <w:sz w:val="20"/>
          <w:szCs w:val="24"/>
          <w:lang w:val="es-ES_tradnl"/>
        </w:rPr>
        <w:t xml:space="preserve"> </w:t>
      </w:r>
      <w:r w:rsidRPr="009319D0">
        <w:rPr>
          <w:rFonts w:ascii="MinionPro-Regular" w:hAnsi="MinionPro-Regular"/>
          <w:sz w:val="20"/>
          <w:szCs w:val="24"/>
          <w:lang w:val="es-ES_tradnl"/>
        </w:rPr>
        <w:t xml:space="preserve">diaria de las personas e incrementa el riesgo de exclusión social, sino que también supone un importante coste económico. El sobrecoste para alcanzar un nivel de bienestar equiparable al de las personas sin discapacidad </w:t>
      </w:r>
      <w:r>
        <w:rPr>
          <w:rFonts w:ascii="MinionPro-Regular" w:hAnsi="MinionPro-Regular"/>
          <w:sz w:val="20"/>
          <w:szCs w:val="24"/>
          <w:lang w:val="es-ES_tradnl"/>
        </w:rPr>
        <w:t xml:space="preserve">era equivalente, según un informe publicado en 2008, </w:t>
      </w:r>
      <w:r w:rsidR="00F23441" w:rsidRPr="009B5761">
        <w:rPr>
          <w:rFonts w:ascii="MinionPro-Regular" w:hAnsi="MinionPro-Regular"/>
          <w:sz w:val="20"/>
          <w:szCs w:val="24"/>
          <w:lang w:val="es-ES_tradnl"/>
        </w:rPr>
        <w:t xml:space="preserve">al 9% del </w:t>
      </w:r>
      <w:r w:rsidR="009B5761" w:rsidRPr="007F5D3D">
        <w:rPr>
          <w:rFonts w:ascii="MinionPro-Regular" w:hAnsi="MinionPro-Regular"/>
          <w:sz w:val="20"/>
          <w:szCs w:val="24"/>
          <w:lang w:val="es-ES_tradnl"/>
        </w:rPr>
        <w:t>gasto medio por hogar</w:t>
      </w:r>
      <w:r w:rsidRPr="007F5D3D">
        <w:rPr>
          <w:rFonts w:ascii="MinionPro-Regular" w:hAnsi="MinionPro-Regular"/>
          <w:sz w:val="20"/>
          <w:szCs w:val="24"/>
          <w:lang w:val="es-ES_tradnl"/>
        </w:rPr>
        <w:t>.</w:t>
      </w:r>
    </w:p>
    <w:p w:rsidR="00E2336B" w:rsidRPr="00794594" w:rsidRDefault="00E2336B" w:rsidP="006D7340">
      <w:pPr>
        <w:autoSpaceDE w:val="0"/>
        <w:autoSpaceDN w:val="0"/>
        <w:spacing w:line="360" w:lineRule="auto"/>
        <w:jc w:val="both"/>
        <w:rPr>
          <w:rFonts w:ascii="MinionPro-Regular" w:hAnsi="MinionPro-Regular"/>
          <w:sz w:val="24"/>
          <w:szCs w:val="24"/>
        </w:rPr>
      </w:pPr>
    </w:p>
    <w:p w:rsidR="004B7382" w:rsidRDefault="004B7382">
      <w:pPr>
        <w:rPr>
          <w:rFonts w:ascii="MinionPro-Regular" w:hAnsi="MinionPro-Regular"/>
          <w:b/>
          <w:sz w:val="32"/>
        </w:rPr>
      </w:pPr>
      <w:bookmarkStart w:id="14" w:name="_Toc340732416"/>
      <w:bookmarkStart w:id="15" w:name="_Toc340745340"/>
      <w:bookmarkStart w:id="16" w:name="_Toc340745501"/>
      <w:bookmarkStart w:id="17" w:name="_Toc340340542"/>
      <w:bookmarkEnd w:id="14"/>
      <w:bookmarkEnd w:id="15"/>
      <w:bookmarkEnd w:id="16"/>
      <w:r>
        <w:rPr>
          <w:rFonts w:ascii="MinionPro-Regular" w:hAnsi="MinionPro-Regular"/>
        </w:rPr>
        <w:br w:type="page"/>
      </w:r>
    </w:p>
    <w:p w:rsidR="00E2336B" w:rsidRPr="00794594" w:rsidRDefault="00E2336B" w:rsidP="0007541A">
      <w:pPr>
        <w:pStyle w:val="Ttulo1"/>
        <w:numPr>
          <w:ilvl w:val="0"/>
          <w:numId w:val="3"/>
        </w:numPr>
        <w:rPr>
          <w:rFonts w:ascii="MinionPro-Regular" w:hAnsi="MinionPro-Regular"/>
        </w:rPr>
      </w:pPr>
      <w:bookmarkStart w:id="18" w:name="_Toc352773545"/>
      <w:r w:rsidRPr="00794594">
        <w:rPr>
          <w:rFonts w:ascii="MinionPro-Regular" w:hAnsi="MinionPro-Regular"/>
        </w:rPr>
        <w:lastRenderedPageBreak/>
        <w:t xml:space="preserve">La incorporación de las personas con discapacidad al empleo podría añadir un </w:t>
      </w:r>
      <w:r w:rsidRPr="007F5D3D">
        <w:rPr>
          <w:rFonts w:ascii="MinionPro-Regular" w:hAnsi="MinionPro-Regular"/>
        </w:rPr>
        <w:t>0,3</w:t>
      </w:r>
      <w:r w:rsidRPr="00794594">
        <w:rPr>
          <w:rFonts w:ascii="MinionPro-Regular" w:hAnsi="MinionPro-Regular"/>
        </w:rPr>
        <w:t>% anual al PIB de España</w:t>
      </w:r>
      <w:bookmarkEnd w:id="18"/>
      <w:r w:rsidRPr="00794594">
        <w:rPr>
          <w:rFonts w:ascii="MinionPro-Regular" w:hAnsi="MinionPro-Regular"/>
        </w:rPr>
        <w:t xml:space="preserve"> </w:t>
      </w:r>
      <w:bookmarkEnd w:id="17"/>
    </w:p>
    <w:p w:rsidR="00E2336B" w:rsidRPr="004D03DD" w:rsidRDefault="00E2336B" w:rsidP="004D03DD">
      <w:pPr>
        <w:pStyle w:val="Textoindependiente"/>
      </w:pPr>
    </w:p>
    <w:p w:rsidR="00E2336B" w:rsidRPr="008347EF" w:rsidRDefault="00E2336B" w:rsidP="001F6475">
      <w:pPr>
        <w:autoSpaceDE w:val="0"/>
        <w:autoSpaceDN w:val="0"/>
        <w:spacing w:line="360" w:lineRule="auto"/>
        <w:jc w:val="both"/>
        <w:rPr>
          <w:rFonts w:ascii="MinionPro-Regular" w:hAnsi="MinionPro-Regular"/>
          <w:sz w:val="24"/>
          <w:szCs w:val="24"/>
          <w:lang w:val="es-ES_tradnl"/>
        </w:rPr>
      </w:pPr>
      <w:r w:rsidRPr="00794594">
        <w:rPr>
          <w:rFonts w:ascii="MinionPro-Regular" w:hAnsi="MinionPro-Regular"/>
          <w:sz w:val="24"/>
          <w:szCs w:val="24"/>
        </w:rPr>
        <w:t xml:space="preserve">La incorporación de las personas con discapacidad al mercado laboral tiene distintas lecturas. En primer lugar, como veíamos anteriormente, existe un vínculo entre discapacidad y tasa de riesgo de pobreza. La incorporación al mercado laboral es la principal herramienta para reducir este riesgo y facilitar que las personas con discapacidad puedan vivir vidas satisfactorias y plenas. A este respecto queda un enorme camino por recorrer dada la reducida participación en el mercado laboral de las personas con discapacidad. De acuerdo </w:t>
      </w:r>
      <w:r w:rsidR="008347EF">
        <w:rPr>
          <w:rFonts w:ascii="MinionPro-Regular" w:hAnsi="MinionPro-Regular"/>
          <w:sz w:val="24"/>
          <w:szCs w:val="24"/>
        </w:rPr>
        <w:t xml:space="preserve">con la </w:t>
      </w:r>
      <w:r w:rsidR="008347EF">
        <w:rPr>
          <w:rFonts w:ascii="MinionPro-Regular" w:hAnsi="MinionPro-Regular"/>
          <w:sz w:val="24"/>
          <w:szCs w:val="24"/>
          <w:lang w:val="es-ES_tradnl"/>
        </w:rPr>
        <w:t>explotación de l</w:t>
      </w:r>
      <w:r w:rsidR="001F6475" w:rsidRPr="008347EF">
        <w:rPr>
          <w:rFonts w:ascii="MinionPro-Regular" w:hAnsi="MinionPro-Regular"/>
          <w:sz w:val="24"/>
          <w:szCs w:val="24"/>
          <w:lang w:val="es-ES_tradnl"/>
        </w:rPr>
        <w:t>a Encuesta de Población Activa y de la Base Estatal de Personas</w:t>
      </w:r>
      <w:r w:rsidR="008347EF">
        <w:rPr>
          <w:rFonts w:ascii="MinionPro-Regular" w:hAnsi="MinionPro-Regular"/>
          <w:sz w:val="24"/>
          <w:szCs w:val="24"/>
          <w:lang w:val="es-ES_tradnl"/>
        </w:rPr>
        <w:t xml:space="preserve"> </w:t>
      </w:r>
      <w:r w:rsidR="001F6475" w:rsidRPr="008347EF">
        <w:rPr>
          <w:rFonts w:ascii="MinionPro-Regular" w:hAnsi="MinionPro-Regular"/>
          <w:sz w:val="24"/>
          <w:szCs w:val="24"/>
          <w:lang w:val="es-ES_tradnl"/>
        </w:rPr>
        <w:t>con Discapacidad</w:t>
      </w:r>
      <w:r w:rsidR="008347EF" w:rsidRPr="008347EF">
        <w:rPr>
          <w:rFonts w:ascii="MinionPro-Regular" w:hAnsi="MinionPro-Regular"/>
          <w:sz w:val="24"/>
          <w:szCs w:val="24"/>
          <w:lang w:val="es-ES_tradnl"/>
        </w:rPr>
        <w:t xml:space="preserve"> </w:t>
      </w:r>
      <w:r w:rsidR="008347EF">
        <w:rPr>
          <w:rFonts w:ascii="MinionPro-Regular" w:hAnsi="MinionPro-Regular"/>
          <w:sz w:val="24"/>
          <w:szCs w:val="24"/>
          <w:lang w:val="es-ES_tradnl"/>
        </w:rPr>
        <w:t>(</w:t>
      </w:r>
      <w:r w:rsidR="001F6475" w:rsidRPr="008347EF">
        <w:rPr>
          <w:rFonts w:ascii="MinionPro-Regular" w:hAnsi="MinionPro-Regular"/>
          <w:sz w:val="24"/>
          <w:szCs w:val="24"/>
          <w:lang w:val="es-ES_tradnl"/>
        </w:rPr>
        <w:t>2011</w:t>
      </w:r>
      <w:r w:rsidR="008347EF">
        <w:rPr>
          <w:rFonts w:ascii="MinionPro-Regular" w:hAnsi="MinionPro-Regular"/>
          <w:sz w:val="24"/>
          <w:szCs w:val="24"/>
          <w:lang w:val="es-ES_tradnl"/>
        </w:rPr>
        <w:t>) llevada a cabo por el Instituto Nacional de Estadística</w:t>
      </w:r>
      <w:r w:rsidRPr="00794594">
        <w:rPr>
          <w:rFonts w:ascii="MinionPro-Regular" w:hAnsi="MinionPro-Regular"/>
          <w:sz w:val="24"/>
          <w:szCs w:val="24"/>
        </w:rPr>
        <w:t xml:space="preserve">, sólo el 36% de las personas con discapacidad participan activamente en el mercado laboral en España. Esta cifra se sitúa alrededor de </w:t>
      </w:r>
      <w:r>
        <w:rPr>
          <w:rFonts w:ascii="MinionPro-Regular" w:hAnsi="MinionPro-Regular"/>
          <w:sz w:val="24"/>
          <w:szCs w:val="24"/>
        </w:rPr>
        <w:t>40</w:t>
      </w:r>
      <w:r w:rsidRPr="00794594">
        <w:rPr>
          <w:rFonts w:ascii="MinionPro-Regular" w:hAnsi="MinionPro-Regular"/>
          <w:sz w:val="24"/>
          <w:szCs w:val="24"/>
        </w:rPr>
        <w:t xml:space="preserve"> puntos por detrás de la tasa de participación de la población general. O lo que es lo mismo, la probabilidad de que una persona con discapacidad participe en el mercado laboral en España es menos de la mitad de la de una persona sin discapacidad. La incorporación de las personas al trabajo es uno de los elementos principales para romper el círculo vicioso de la dependencia, de la exclusión social y de la pobreza. </w:t>
      </w:r>
    </w:p>
    <w:p w:rsidR="00E2336B" w:rsidRPr="00981369" w:rsidRDefault="00E2336B" w:rsidP="004D03DD">
      <w:pPr>
        <w:autoSpaceDE w:val="0"/>
        <w:autoSpaceDN w:val="0"/>
        <w:spacing w:line="360" w:lineRule="auto"/>
        <w:jc w:val="both"/>
        <w:rPr>
          <w:rFonts w:ascii="MinionPro-Regular" w:hAnsi="MinionPro-Regular"/>
          <w:sz w:val="24"/>
          <w:szCs w:val="24"/>
        </w:rPr>
      </w:pPr>
    </w:p>
    <w:p w:rsidR="00E2336B" w:rsidRDefault="00E2336B" w:rsidP="004D03DD">
      <w:pPr>
        <w:autoSpaceDE w:val="0"/>
        <w:autoSpaceDN w:val="0"/>
        <w:spacing w:line="360" w:lineRule="auto"/>
        <w:jc w:val="both"/>
        <w:rPr>
          <w:rFonts w:ascii="MinionPro-Regular" w:hAnsi="MinionPro-Regular"/>
          <w:sz w:val="24"/>
          <w:szCs w:val="24"/>
        </w:rPr>
      </w:pPr>
      <w:r w:rsidRPr="00981369">
        <w:rPr>
          <w:rFonts w:ascii="MinionPro-Regular" w:hAnsi="MinionPro-Regular"/>
          <w:sz w:val="24"/>
          <w:szCs w:val="24"/>
        </w:rPr>
        <w:t>La incorporación de las personas con discapacidad al mercado laboral</w:t>
      </w:r>
      <w:r>
        <w:rPr>
          <w:rFonts w:ascii="MinionPro-Regular" w:hAnsi="MinionPro-Regular"/>
          <w:sz w:val="24"/>
          <w:szCs w:val="24"/>
        </w:rPr>
        <w:t xml:space="preserve"> no es sólo </w:t>
      </w:r>
      <w:r w:rsidRPr="00981369">
        <w:rPr>
          <w:rFonts w:ascii="MinionPro-Regular" w:hAnsi="MinionPro-Regular"/>
          <w:sz w:val="24"/>
          <w:szCs w:val="24"/>
        </w:rPr>
        <w:t xml:space="preserve">un asunto de equidad. </w:t>
      </w:r>
      <w:r>
        <w:rPr>
          <w:rFonts w:ascii="MinionPro-Regular" w:hAnsi="MinionPro-Regular"/>
          <w:sz w:val="24"/>
          <w:szCs w:val="24"/>
        </w:rPr>
        <w:t>N</w:t>
      </w:r>
      <w:r w:rsidRPr="00981369">
        <w:rPr>
          <w:rFonts w:ascii="MinionPro-Regular" w:hAnsi="MinionPro-Regular"/>
          <w:sz w:val="24"/>
          <w:szCs w:val="24"/>
        </w:rPr>
        <w:t xml:space="preserve">o debemos olvidar el enorme despilfarro de recursos humanos que supone la </w:t>
      </w:r>
      <w:r>
        <w:rPr>
          <w:rFonts w:ascii="MinionPro-Regular" w:hAnsi="MinionPro-Regular"/>
          <w:sz w:val="24"/>
          <w:szCs w:val="24"/>
        </w:rPr>
        <w:t>no participación laboral</w:t>
      </w:r>
      <w:r w:rsidRPr="00981369">
        <w:rPr>
          <w:rFonts w:ascii="MinionPro-Regular" w:hAnsi="MinionPro-Regular"/>
          <w:sz w:val="24"/>
          <w:szCs w:val="24"/>
        </w:rPr>
        <w:t xml:space="preserve"> de este colectivo. Un simple cálculo, resultado de dividir el PIB de España por el número de personas empleadas, permite concluir que el coste de oportunidad anual en el que incurre la economía española como resultado de la no incorporación al mercado laboral de las personas con discapacidad podría situarse </w:t>
      </w:r>
      <w:r w:rsidRPr="00981369">
        <w:rPr>
          <w:rFonts w:ascii="MinionPro-Regular" w:hAnsi="MinionPro-Regular"/>
          <w:sz w:val="24"/>
          <w:szCs w:val="24"/>
        </w:rPr>
        <w:lastRenderedPageBreak/>
        <w:t>entre treinta y cuarenta mil millones de e</w:t>
      </w:r>
      <w:r>
        <w:rPr>
          <w:rFonts w:ascii="MinionPro-Regular" w:hAnsi="MinionPro-Regular"/>
          <w:sz w:val="24"/>
          <w:szCs w:val="24"/>
        </w:rPr>
        <w:t xml:space="preserve">uros al año, alrededor de un </w:t>
      </w:r>
      <w:r w:rsidRPr="007F5D3D">
        <w:rPr>
          <w:rFonts w:ascii="MinionPro-Regular" w:hAnsi="MinionPro-Regular"/>
          <w:sz w:val="24"/>
          <w:szCs w:val="24"/>
        </w:rPr>
        <w:t>0,3</w:t>
      </w:r>
      <w:r w:rsidRPr="00981369">
        <w:rPr>
          <w:rFonts w:ascii="MinionPro-Regular" w:hAnsi="MinionPro-Regular"/>
          <w:sz w:val="24"/>
          <w:szCs w:val="24"/>
        </w:rPr>
        <w:t>% del PIB anual.</w:t>
      </w:r>
    </w:p>
    <w:p w:rsidR="00E2336B" w:rsidRDefault="00E2336B" w:rsidP="004D03DD">
      <w:pPr>
        <w:autoSpaceDE w:val="0"/>
        <w:autoSpaceDN w:val="0"/>
        <w:spacing w:line="360" w:lineRule="auto"/>
        <w:jc w:val="both"/>
        <w:rPr>
          <w:rFonts w:ascii="MinionPro-Regular" w:hAnsi="MinionPro-Regular"/>
          <w:sz w:val="24"/>
          <w:szCs w:val="24"/>
        </w:rPr>
      </w:pPr>
    </w:p>
    <w:p w:rsidR="00F87AFB" w:rsidRDefault="00F87AFB" w:rsidP="004D03DD">
      <w:pPr>
        <w:autoSpaceDE w:val="0"/>
        <w:autoSpaceDN w:val="0"/>
        <w:spacing w:line="360" w:lineRule="auto"/>
        <w:jc w:val="both"/>
        <w:rPr>
          <w:rFonts w:ascii="MinionPro-Regular" w:hAnsi="MinionPro-Regular"/>
          <w:sz w:val="24"/>
          <w:szCs w:val="24"/>
        </w:rPr>
      </w:pPr>
    </w:p>
    <w:p w:rsidR="00E2336B" w:rsidRDefault="00E2336B" w:rsidP="004D03DD">
      <w:pPr>
        <w:autoSpaceDE w:val="0"/>
        <w:autoSpaceDN w:val="0"/>
        <w:spacing w:line="360" w:lineRule="auto"/>
        <w:jc w:val="both"/>
        <w:rPr>
          <w:rFonts w:ascii="MinionPro-Regular" w:hAnsi="MinionPro-Regular"/>
          <w:sz w:val="24"/>
          <w:szCs w:val="24"/>
        </w:rPr>
      </w:pPr>
      <w:r>
        <w:rPr>
          <w:rFonts w:ascii="MinionPro-Regular" w:hAnsi="MinionPro-Regular"/>
          <w:sz w:val="24"/>
          <w:szCs w:val="24"/>
        </w:rPr>
        <w:t>Según el informe del mercado de trabajo de las personas con discapacidad publicado por el Observatorio de las Ocupaciones (Ministerio de Empleo y Seguridad Social), con datos de 2011</w:t>
      </w:r>
      <w:r w:rsidR="007F5D3D">
        <w:rPr>
          <w:rFonts w:ascii="MinionPro-Regular" w:hAnsi="MinionPro-Regular"/>
          <w:sz w:val="24"/>
          <w:szCs w:val="24"/>
        </w:rPr>
        <w:t xml:space="preserve"> existen </w:t>
      </w:r>
      <w:r>
        <w:rPr>
          <w:rFonts w:ascii="MinionPro-Regular" w:hAnsi="MinionPro-Regular"/>
          <w:sz w:val="24"/>
          <w:szCs w:val="24"/>
        </w:rPr>
        <w:t>en el conjunto del territorio español 110.158 personas con discapacidad en las listas de demandante</w:t>
      </w:r>
      <w:r w:rsidR="00F87AFB">
        <w:rPr>
          <w:rFonts w:ascii="MinionPro-Regular" w:hAnsi="MinionPro-Regular"/>
          <w:sz w:val="24"/>
          <w:szCs w:val="24"/>
        </w:rPr>
        <w:t>s de empleo.</w:t>
      </w:r>
    </w:p>
    <w:p w:rsidR="00F87AFB" w:rsidRDefault="00F87AFB" w:rsidP="004D03DD">
      <w:pPr>
        <w:autoSpaceDE w:val="0"/>
        <w:autoSpaceDN w:val="0"/>
        <w:spacing w:line="360" w:lineRule="auto"/>
        <w:jc w:val="both"/>
        <w:rPr>
          <w:rFonts w:ascii="MinionPro-Regular" w:hAnsi="MinionPro-Regular"/>
          <w:sz w:val="24"/>
          <w:szCs w:val="24"/>
        </w:rPr>
      </w:pPr>
    </w:p>
    <w:p w:rsidR="00F87AFB" w:rsidRPr="007F5D3D" w:rsidRDefault="00F87AFB" w:rsidP="004D03DD">
      <w:pPr>
        <w:autoSpaceDE w:val="0"/>
        <w:autoSpaceDN w:val="0"/>
        <w:spacing w:line="360" w:lineRule="auto"/>
        <w:jc w:val="both"/>
        <w:rPr>
          <w:rFonts w:ascii="MinionPro-Regular" w:hAnsi="MinionPro-Regular"/>
          <w:sz w:val="24"/>
          <w:szCs w:val="24"/>
        </w:rPr>
      </w:pPr>
      <w:r w:rsidRPr="007F5D3D">
        <w:rPr>
          <w:rFonts w:ascii="MinionPro-Regular" w:hAnsi="MinionPro-Regular"/>
          <w:sz w:val="24"/>
          <w:szCs w:val="24"/>
        </w:rPr>
        <w:t>Además de remarcar los datos más recientes de 2011, exponiendo un mayor desglose por comunidades autónomas y sectores de actividad</w:t>
      </w:r>
      <w:r w:rsidR="002C29A3" w:rsidRPr="007F5D3D">
        <w:rPr>
          <w:rFonts w:ascii="MinionPro-Regular" w:hAnsi="MinionPro-Regular"/>
          <w:sz w:val="24"/>
          <w:szCs w:val="24"/>
        </w:rPr>
        <w:t xml:space="preserve"> más adelante</w:t>
      </w:r>
      <w:r w:rsidRPr="007F5D3D">
        <w:rPr>
          <w:rFonts w:ascii="MinionPro-Regular" w:hAnsi="MinionPro-Regular"/>
          <w:sz w:val="24"/>
          <w:szCs w:val="24"/>
        </w:rPr>
        <w:t xml:space="preserve">, a continuación se muestra un gráfico comparativo </w:t>
      </w:r>
      <w:r w:rsidR="00DC67A3" w:rsidRPr="007F5D3D">
        <w:rPr>
          <w:rFonts w:ascii="MinionPro-Regular" w:hAnsi="MinionPro-Regular"/>
          <w:sz w:val="24"/>
          <w:szCs w:val="24"/>
        </w:rPr>
        <w:t>d</w:t>
      </w:r>
      <w:r w:rsidRPr="007F5D3D">
        <w:rPr>
          <w:rFonts w:ascii="MinionPro-Regular" w:hAnsi="MinionPro-Regular"/>
          <w:sz w:val="24"/>
          <w:szCs w:val="24"/>
        </w:rPr>
        <w:t>el número de demandantes de empleo de las personas con discapacidad, correspondiente al período 1999-2011.</w:t>
      </w:r>
    </w:p>
    <w:p w:rsidR="002C29A3" w:rsidRDefault="002C29A3" w:rsidP="004D03DD">
      <w:pPr>
        <w:autoSpaceDE w:val="0"/>
        <w:autoSpaceDN w:val="0"/>
        <w:spacing w:line="360" w:lineRule="auto"/>
        <w:jc w:val="both"/>
        <w:rPr>
          <w:rFonts w:ascii="MinionPro-Regular" w:hAnsi="MinionPro-Regular"/>
          <w:color w:val="4F81BD" w:themeColor="accent1"/>
          <w:sz w:val="24"/>
          <w:szCs w:val="24"/>
        </w:rPr>
      </w:pPr>
    </w:p>
    <w:p w:rsidR="00A815E5" w:rsidRDefault="00A815E5" w:rsidP="00A815E5">
      <w:pPr>
        <w:pBdr>
          <w:top w:val="single" w:sz="4" w:space="1" w:color="auto"/>
        </w:pBdr>
        <w:autoSpaceDE w:val="0"/>
        <w:autoSpaceDN w:val="0"/>
        <w:spacing w:line="360" w:lineRule="auto"/>
        <w:jc w:val="both"/>
        <w:rPr>
          <w:rFonts w:ascii="MinionPro-Regular" w:hAnsi="MinionPro-Regular"/>
          <w:sz w:val="20"/>
          <w:szCs w:val="24"/>
        </w:rPr>
      </w:pPr>
      <w:r>
        <w:rPr>
          <w:rFonts w:ascii="MinionPro-Regular" w:hAnsi="MinionPro-Regular"/>
          <w:sz w:val="20"/>
          <w:szCs w:val="24"/>
        </w:rPr>
        <w:t>Tasa de paro</w:t>
      </w:r>
      <w:r w:rsidRPr="009B5761">
        <w:rPr>
          <w:rFonts w:ascii="MinionPro-Regular" w:hAnsi="MinionPro-Regular"/>
          <w:sz w:val="20"/>
          <w:szCs w:val="24"/>
        </w:rPr>
        <w:t>.</w:t>
      </w:r>
      <w:r>
        <w:rPr>
          <w:rFonts w:ascii="MinionPro-Regular" w:hAnsi="MinionPro-Regular"/>
          <w:sz w:val="20"/>
          <w:szCs w:val="24"/>
        </w:rPr>
        <w:t xml:space="preserve"> Evolución 2009-2011. Personas con y sin discapacidad.</w:t>
      </w:r>
    </w:p>
    <w:p w:rsidR="00A815E5" w:rsidRPr="009B5761" w:rsidRDefault="00E1516B" w:rsidP="00A815E5">
      <w:pPr>
        <w:pBdr>
          <w:top w:val="single" w:sz="4" w:space="1" w:color="auto"/>
        </w:pBdr>
        <w:autoSpaceDE w:val="0"/>
        <w:autoSpaceDN w:val="0"/>
        <w:spacing w:line="360" w:lineRule="auto"/>
        <w:jc w:val="both"/>
        <w:rPr>
          <w:rFonts w:ascii="MinionPro-Regular" w:hAnsi="MinionPro-Regular"/>
          <w:sz w:val="20"/>
          <w:szCs w:val="24"/>
        </w:rPr>
      </w:pPr>
      <w:r>
        <w:rPr>
          <w:rFonts w:ascii="MinionPro-Regular" w:hAnsi="MinionPro-Regular"/>
          <w:noProof/>
          <w:sz w:val="20"/>
          <w:szCs w:val="24"/>
          <w:lang w:eastAsia="es-ES"/>
        </w:rPr>
        <w:drawing>
          <wp:inline distT="0" distB="0" distL="0" distR="0">
            <wp:extent cx="4442460" cy="2795270"/>
            <wp:effectExtent l="0" t="0" r="0" b="0"/>
            <wp:docPr id="5"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A815E5" w:rsidRPr="009B5761" w:rsidRDefault="00A815E5" w:rsidP="00A815E5">
      <w:pPr>
        <w:pBdr>
          <w:bottom w:val="single" w:sz="4" w:space="1" w:color="auto"/>
        </w:pBdr>
        <w:autoSpaceDE w:val="0"/>
        <w:autoSpaceDN w:val="0"/>
        <w:spacing w:line="360" w:lineRule="auto"/>
        <w:jc w:val="both"/>
        <w:rPr>
          <w:rFonts w:ascii="MinionPro-Regular" w:hAnsi="MinionPro-Regular"/>
          <w:sz w:val="20"/>
          <w:szCs w:val="24"/>
        </w:rPr>
      </w:pPr>
      <w:r w:rsidRPr="009B5761">
        <w:rPr>
          <w:rFonts w:ascii="MinionPro-Regular" w:hAnsi="MinionPro-Regular"/>
          <w:sz w:val="20"/>
          <w:szCs w:val="24"/>
        </w:rPr>
        <w:lastRenderedPageBreak/>
        <w:t xml:space="preserve">Fuente: </w:t>
      </w:r>
      <w:r w:rsidR="00362187">
        <w:rPr>
          <w:rFonts w:ascii="MinionPro-Regular" w:hAnsi="MinionPro-Regular"/>
          <w:sz w:val="20"/>
          <w:szCs w:val="24"/>
        </w:rPr>
        <w:t xml:space="preserve">Elaboración propia a partir de datos de la </w:t>
      </w:r>
      <w:r>
        <w:rPr>
          <w:rFonts w:ascii="MinionPro-Regular" w:hAnsi="MinionPro-Regular"/>
          <w:sz w:val="20"/>
          <w:szCs w:val="24"/>
        </w:rPr>
        <w:t>Encuesta de Población Activa, 2011. Instituto Nacional de Estadística.</w:t>
      </w:r>
      <w:r w:rsidRPr="009B5761">
        <w:rPr>
          <w:rFonts w:ascii="MinionPro-Regular" w:hAnsi="MinionPro-Regular"/>
          <w:sz w:val="20"/>
          <w:szCs w:val="24"/>
        </w:rPr>
        <w:t xml:space="preserve"> </w:t>
      </w:r>
    </w:p>
    <w:p w:rsidR="00A815E5" w:rsidRPr="009B5761" w:rsidRDefault="00A815E5" w:rsidP="00A815E5">
      <w:pPr>
        <w:pBdr>
          <w:bottom w:val="single" w:sz="4" w:space="1" w:color="auto"/>
        </w:pBdr>
        <w:autoSpaceDE w:val="0"/>
        <w:autoSpaceDN w:val="0"/>
        <w:spacing w:line="360" w:lineRule="auto"/>
        <w:jc w:val="both"/>
        <w:rPr>
          <w:rFonts w:ascii="MinionPro-Regular" w:hAnsi="MinionPro-Regular"/>
          <w:sz w:val="20"/>
          <w:szCs w:val="24"/>
        </w:rPr>
      </w:pPr>
      <w:r w:rsidRPr="009B5761">
        <w:rPr>
          <w:rFonts w:ascii="MinionPro-Regular" w:hAnsi="MinionPro-Regular"/>
          <w:sz w:val="20"/>
          <w:szCs w:val="24"/>
        </w:rPr>
        <w:t xml:space="preserve">Nota explicativa de la gráfica: Eje vertical, </w:t>
      </w:r>
      <w:r>
        <w:rPr>
          <w:rFonts w:ascii="MinionPro-Regular" w:hAnsi="MinionPro-Regular"/>
          <w:sz w:val="20"/>
          <w:szCs w:val="24"/>
        </w:rPr>
        <w:t>tasa de paro en tanto por ciento</w:t>
      </w:r>
      <w:r w:rsidRPr="009B5761">
        <w:rPr>
          <w:rFonts w:ascii="MinionPro-Regular" w:hAnsi="MinionPro-Regular"/>
          <w:sz w:val="20"/>
          <w:szCs w:val="24"/>
        </w:rPr>
        <w:t>. Eje horizontal,</w:t>
      </w:r>
      <w:r>
        <w:rPr>
          <w:rFonts w:ascii="MinionPro-Regular" w:hAnsi="MinionPro-Regular"/>
          <w:sz w:val="20"/>
          <w:szCs w:val="24"/>
        </w:rPr>
        <w:t xml:space="preserve"> año 2009: Tasa de paro personas con discapacidad: 21,8%, personas sin discapacidad: 18,1%; año 2010: tasa de paro de personas con discapacidad: 23,3%, personas sin discapacidad: 20,1%; año 2011: Tasa de paro de personas con discapacidad: 26,9%, personas sin discapacidad: 21,7%.</w:t>
      </w:r>
    </w:p>
    <w:p w:rsidR="00A815E5" w:rsidRDefault="00A815E5" w:rsidP="004D03DD">
      <w:pPr>
        <w:autoSpaceDE w:val="0"/>
        <w:autoSpaceDN w:val="0"/>
        <w:spacing w:line="360" w:lineRule="auto"/>
        <w:jc w:val="both"/>
        <w:rPr>
          <w:rFonts w:ascii="MinionPro-Regular" w:hAnsi="MinionPro-Regular"/>
          <w:color w:val="4F81BD" w:themeColor="accent1"/>
          <w:sz w:val="24"/>
          <w:szCs w:val="24"/>
        </w:rPr>
      </w:pPr>
    </w:p>
    <w:p w:rsidR="006F792D" w:rsidRPr="007F5D3D" w:rsidRDefault="00DC67A3" w:rsidP="004D03DD">
      <w:pPr>
        <w:autoSpaceDE w:val="0"/>
        <w:autoSpaceDN w:val="0"/>
        <w:spacing w:line="360" w:lineRule="auto"/>
        <w:jc w:val="both"/>
        <w:rPr>
          <w:rFonts w:ascii="MinionPro-Regular" w:hAnsi="MinionPro-Regular"/>
          <w:sz w:val="24"/>
          <w:szCs w:val="24"/>
        </w:rPr>
      </w:pPr>
      <w:r w:rsidRPr="007F5D3D">
        <w:rPr>
          <w:rFonts w:ascii="MinionPro-Regular" w:hAnsi="MinionPro-Regular"/>
          <w:sz w:val="24"/>
          <w:szCs w:val="24"/>
        </w:rPr>
        <w:t xml:space="preserve">El gráfico que se muestra a continuación, pone de manifiesto el incremento progresivo en el número de demandantes en el INEM (actual SPEE). Esto puede deberse </w:t>
      </w:r>
      <w:r w:rsidR="007F5D3D">
        <w:rPr>
          <w:rFonts w:ascii="MinionPro-Regular" w:hAnsi="MinionPro-Regular"/>
          <w:sz w:val="24"/>
          <w:szCs w:val="24"/>
        </w:rPr>
        <w:t>principalmente a un cambio cultural</w:t>
      </w:r>
      <w:r w:rsidRPr="007F5D3D">
        <w:rPr>
          <w:rFonts w:ascii="MinionPro-Regular" w:hAnsi="MinionPro-Regular"/>
          <w:sz w:val="24"/>
          <w:szCs w:val="24"/>
        </w:rPr>
        <w:t xml:space="preserve">. </w:t>
      </w:r>
      <w:r w:rsidR="007F5D3D">
        <w:rPr>
          <w:rFonts w:ascii="MinionPro-Regular" w:hAnsi="MinionPro-Regular"/>
          <w:sz w:val="24"/>
          <w:szCs w:val="24"/>
        </w:rPr>
        <w:t>A</w:t>
      </w:r>
      <w:r w:rsidRPr="007F5D3D">
        <w:rPr>
          <w:rFonts w:ascii="MinionPro-Regular" w:hAnsi="MinionPro-Regular"/>
          <w:sz w:val="24"/>
          <w:szCs w:val="24"/>
        </w:rPr>
        <w:t xml:space="preserve"> medida que han pasado los años, se ha inculcado una </w:t>
      </w:r>
      <w:r w:rsidR="007F5D3D">
        <w:rPr>
          <w:rFonts w:ascii="MinionPro-Regular" w:hAnsi="MinionPro-Regular"/>
          <w:sz w:val="24"/>
          <w:szCs w:val="24"/>
        </w:rPr>
        <w:t xml:space="preserve">cultura o </w:t>
      </w:r>
      <w:r w:rsidRPr="007F5D3D">
        <w:rPr>
          <w:rFonts w:ascii="MinionPro-Regular" w:hAnsi="MinionPro-Regular"/>
          <w:sz w:val="24"/>
          <w:szCs w:val="24"/>
        </w:rPr>
        <w:t>mentalidad de mayor integración laboral de las personas con discapacidad, de manera que en 1999 es posible que l</w:t>
      </w:r>
      <w:r w:rsidR="007F5D3D">
        <w:rPr>
          <w:rFonts w:ascii="MinionPro-Regular" w:hAnsi="MinionPro-Regular"/>
          <w:sz w:val="24"/>
          <w:szCs w:val="24"/>
        </w:rPr>
        <w:t>a mayor parte de éstas personas</w:t>
      </w:r>
      <w:r w:rsidRPr="007F5D3D">
        <w:rPr>
          <w:rFonts w:ascii="MinionPro-Regular" w:hAnsi="MinionPro-Regular"/>
          <w:sz w:val="24"/>
          <w:szCs w:val="24"/>
        </w:rPr>
        <w:t xml:space="preserve"> no </w:t>
      </w:r>
      <w:r w:rsidR="007F5D3D">
        <w:rPr>
          <w:rFonts w:ascii="MinionPro-Regular" w:hAnsi="MinionPro-Regular"/>
          <w:sz w:val="24"/>
          <w:szCs w:val="24"/>
        </w:rPr>
        <w:t xml:space="preserve">estuvieran </w:t>
      </w:r>
      <w:r w:rsidRPr="007F5D3D">
        <w:rPr>
          <w:rFonts w:ascii="MinionPro-Regular" w:hAnsi="MinionPro-Regular"/>
          <w:sz w:val="24"/>
          <w:szCs w:val="24"/>
        </w:rPr>
        <w:t>registradas en el INEM debido a que no se les consideraba útiles para trabajar. Es decir, con los años se ha</w:t>
      </w:r>
      <w:r w:rsidR="007F5D3D">
        <w:rPr>
          <w:rFonts w:ascii="MinionPro-Regular" w:hAnsi="MinionPro-Regular"/>
          <w:sz w:val="24"/>
          <w:szCs w:val="24"/>
        </w:rPr>
        <w:t xml:space="preserve"> producido un afortunado cambio cultural que ha</w:t>
      </w:r>
      <w:r w:rsidRPr="007F5D3D">
        <w:rPr>
          <w:rFonts w:ascii="MinionPro-Regular" w:hAnsi="MinionPro-Regular"/>
          <w:sz w:val="24"/>
          <w:szCs w:val="24"/>
        </w:rPr>
        <w:t xml:space="preserve"> incrementado la población activa de personas con discapacidad.</w:t>
      </w:r>
    </w:p>
    <w:p w:rsidR="00DC67A3" w:rsidRDefault="00DC67A3" w:rsidP="004D03DD">
      <w:pPr>
        <w:autoSpaceDE w:val="0"/>
        <w:autoSpaceDN w:val="0"/>
        <w:spacing w:line="360" w:lineRule="auto"/>
        <w:jc w:val="both"/>
        <w:rPr>
          <w:rFonts w:ascii="MinionPro-Regular" w:hAnsi="MinionPro-Regular"/>
          <w:color w:val="4F81BD" w:themeColor="accent1"/>
          <w:sz w:val="24"/>
          <w:szCs w:val="24"/>
        </w:rPr>
      </w:pPr>
    </w:p>
    <w:p w:rsidR="00DC67A3" w:rsidRPr="007F5D3D" w:rsidRDefault="007F5D3D" w:rsidP="004D03DD">
      <w:pPr>
        <w:autoSpaceDE w:val="0"/>
        <w:autoSpaceDN w:val="0"/>
        <w:spacing w:line="360" w:lineRule="auto"/>
        <w:jc w:val="both"/>
        <w:rPr>
          <w:rFonts w:ascii="MinionPro-Regular" w:hAnsi="MinionPro-Regular"/>
          <w:sz w:val="24"/>
          <w:szCs w:val="24"/>
        </w:rPr>
      </w:pPr>
      <w:r w:rsidRPr="007F5D3D">
        <w:rPr>
          <w:rFonts w:ascii="MinionPro-Regular" w:hAnsi="MinionPro-Regular"/>
          <w:sz w:val="24"/>
          <w:szCs w:val="24"/>
        </w:rPr>
        <w:t xml:space="preserve">Una explicación alternativa tendría que ver con el aumento de la población de personas con discapacidad. Sin embargo, </w:t>
      </w:r>
      <w:r w:rsidR="00DC67A3" w:rsidRPr="007F5D3D">
        <w:rPr>
          <w:rFonts w:ascii="MinionPro-Regular" w:hAnsi="MinionPro-Regular"/>
          <w:sz w:val="24"/>
          <w:szCs w:val="24"/>
        </w:rPr>
        <w:t>esta tesis no explica los resultados de la gráfica puesto que el porcentaje de población con discapacidad permanece estable en el 9% respecto de la población total.</w:t>
      </w:r>
    </w:p>
    <w:p w:rsidR="00DC67A3" w:rsidRDefault="00DC67A3" w:rsidP="004D03DD">
      <w:pPr>
        <w:autoSpaceDE w:val="0"/>
        <w:autoSpaceDN w:val="0"/>
        <w:spacing w:line="360" w:lineRule="auto"/>
        <w:jc w:val="both"/>
        <w:rPr>
          <w:rFonts w:ascii="MinionPro-Regular" w:hAnsi="MinionPro-Regular"/>
          <w:color w:val="4F81BD" w:themeColor="accent1"/>
          <w:sz w:val="24"/>
          <w:szCs w:val="24"/>
        </w:rPr>
      </w:pPr>
    </w:p>
    <w:p w:rsidR="006F792D" w:rsidRPr="006F792D" w:rsidRDefault="006F792D" w:rsidP="006F792D">
      <w:pPr>
        <w:pBdr>
          <w:top w:val="single" w:sz="4" w:space="1" w:color="auto"/>
        </w:pBdr>
        <w:autoSpaceDE w:val="0"/>
        <w:autoSpaceDN w:val="0"/>
        <w:spacing w:line="360" w:lineRule="auto"/>
        <w:jc w:val="both"/>
        <w:rPr>
          <w:rFonts w:ascii="MinionPro-Regular" w:hAnsi="MinionPro-Regular"/>
          <w:sz w:val="20"/>
          <w:szCs w:val="24"/>
        </w:rPr>
      </w:pPr>
      <w:r w:rsidRPr="006F792D">
        <w:rPr>
          <w:rFonts w:ascii="MinionPro-Regular" w:hAnsi="MinionPro-Regular"/>
          <w:sz w:val="20"/>
          <w:szCs w:val="24"/>
        </w:rPr>
        <w:t>Número de demandantes de empleo</w:t>
      </w:r>
      <w:r w:rsidRPr="009B5761">
        <w:rPr>
          <w:rFonts w:ascii="MinionPro-Regular" w:hAnsi="MinionPro-Regular"/>
          <w:sz w:val="20"/>
          <w:szCs w:val="24"/>
        </w:rPr>
        <w:t>.</w:t>
      </w:r>
      <w:r>
        <w:rPr>
          <w:rFonts w:ascii="MinionPro-Regular" w:hAnsi="MinionPro-Regular"/>
          <w:sz w:val="20"/>
          <w:szCs w:val="24"/>
        </w:rPr>
        <w:t xml:space="preserve"> Personas con discapacidad. Evolución 1999-2011. (miles)</w:t>
      </w:r>
    </w:p>
    <w:p w:rsidR="00E2336B" w:rsidRDefault="00E1516B" w:rsidP="004D03DD">
      <w:pPr>
        <w:autoSpaceDE w:val="0"/>
        <w:autoSpaceDN w:val="0"/>
        <w:spacing w:line="360" w:lineRule="auto"/>
        <w:jc w:val="both"/>
        <w:rPr>
          <w:rFonts w:ascii="MinionPro-Regular" w:hAnsi="MinionPro-Regular"/>
          <w:sz w:val="20"/>
        </w:rPr>
      </w:pPr>
      <w:r>
        <w:rPr>
          <w:rFonts w:ascii="MinionPro-Regular" w:hAnsi="MinionPro-Regular"/>
          <w:noProof/>
          <w:sz w:val="20"/>
          <w:lang w:eastAsia="es-ES"/>
        </w:rPr>
        <w:lastRenderedPageBreak/>
        <w:drawing>
          <wp:inline distT="0" distB="0" distL="0" distR="0">
            <wp:extent cx="4908550" cy="2795270"/>
            <wp:effectExtent l="0" t="0" r="0" b="0"/>
            <wp:docPr id="6" name="Chart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6F792D" w:rsidRPr="009B5761" w:rsidRDefault="006F792D" w:rsidP="006F792D">
      <w:pPr>
        <w:pBdr>
          <w:bottom w:val="single" w:sz="4" w:space="1" w:color="auto"/>
        </w:pBdr>
        <w:autoSpaceDE w:val="0"/>
        <w:autoSpaceDN w:val="0"/>
        <w:spacing w:line="360" w:lineRule="auto"/>
        <w:jc w:val="both"/>
        <w:rPr>
          <w:rFonts w:ascii="MinionPro-Regular" w:hAnsi="MinionPro-Regular"/>
          <w:sz w:val="20"/>
          <w:szCs w:val="24"/>
        </w:rPr>
      </w:pPr>
      <w:r w:rsidRPr="009B5761">
        <w:rPr>
          <w:rFonts w:ascii="MinionPro-Regular" w:hAnsi="MinionPro-Regular"/>
          <w:sz w:val="20"/>
          <w:szCs w:val="24"/>
        </w:rPr>
        <w:t xml:space="preserve">Fuente: </w:t>
      </w:r>
      <w:r w:rsidR="00362187">
        <w:rPr>
          <w:rFonts w:ascii="MinionPro-Regular" w:hAnsi="MinionPro-Regular"/>
          <w:sz w:val="20"/>
          <w:szCs w:val="24"/>
        </w:rPr>
        <w:t>Elaboración propia a partir de los i</w:t>
      </w:r>
      <w:r>
        <w:rPr>
          <w:rFonts w:ascii="MinionPro-Regular" w:hAnsi="MinionPro-Regular"/>
          <w:sz w:val="20"/>
          <w:szCs w:val="24"/>
        </w:rPr>
        <w:t>nformes de mercado de trabajo de los años correspondientes, SPEE.</w:t>
      </w:r>
    </w:p>
    <w:p w:rsidR="006F792D" w:rsidRPr="009B5761" w:rsidRDefault="006F792D" w:rsidP="006F792D">
      <w:pPr>
        <w:pBdr>
          <w:bottom w:val="single" w:sz="4" w:space="1" w:color="auto"/>
        </w:pBdr>
        <w:autoSpaceDE w:val="0"/>
        <w:autoSpaceDN w:val="0"/>
        <w:spacing w:line="360" w:lineRule="auto"/>
        <w:jc w:val="both"/>
        <w:rPr>
          <w:rFonts w:ascii="MinionPro-Regular" w:hAnsi="MinionPro-Regular"/>
          <w:sz w:val="20"/>
          <w:szCs w:val="24"/>
        </w:rPr>
      </w:pPr>
      <w:r w:rsidRPr="009B5761">
        <w:rPr>
          <w:rFonts w:ascii="MinionPro-Regular" w:hAnsi="MinionPro-Regular"/>
          <w:sz w:val="20"/>
          <w:szCs w:val="24"/>
        </w:rPr>
        <w:t xml:space="preserve">Nota explicativa de la gráfica: Eje vertical, </w:t>
      </w:r>
      <w:r>
        <w:rPr>
          <w:rFonts w:ascii="MinionPro-Regular" w:hAnsi="MinionPro-Regular"/>
          <w:sz w:val="20"/>
          <w:szCs w:val="24"/>
        </w:rPr>
        <w:t>número de demandantes de empleo, personas con discapacidad (miles)</w:t>
      </w:r>
      <w:r w:rsidRPr="009B5761">
        <w:rPr>
          <w:rFonts w:ascii="MinionPro-Regular" w:hAnsi="MinionPro-Regular"/>
          <w:sz w:val="20"/>
          <w:szCs w:val="24"/>
        </w:rPr>
        <w:t>. Eje horizontal,</w:t>
      </w:r>
      <w:r>
        <w:rPr>
          <w:rFonts w:ascii="MinionPro-Regular" w:hAnsi="MinionPro-Regular"/>
          <w:sz w:val="20"/>
          <w:szCs w:val="24"/>
        </w:rPr>
        <w:t xml:space="preserve"> año 1999: 46,3; año 2000: 48,8; año 2001: 46,6; año 2002: 51,7; año 2003: 56,1; año 2004: 62,4; año 2005: N</w:t>
      </w:r>
      <w:r w:rsidR="00C60A7D">
        <w:rPr>
          <w:rFonts w:ascii="MinionPro-Regular" w:hAnsi="MinionPro-Regular"/>
          <w:sz w:val="20"/>
          <w:szCs w:val="24"/>
        </w:rPr>
        <w:t xml:space="preserve">o </w:t>
      </w:r>
      <w:r>
        <w:rPr>
          <w:rFonts w:ascii="MinionPro-Regular" w:hAnsi="MinionPro-Regular"/>
          <w:sz w:val="20"/>
          <w:szCs w:val="24"/>
        </w:rPr>
        <w:t>D</w:t>
      </w:r>
      <w:r w:rsidR="00C60A7D">
        <w:rPr>
          <w:rFonts w:ascii="MinionPro-Regular" w:hAnsi="MinionPro-Regular"/>
          <w:sz w:val="20"/>
          <w:szCs w:val="24"/>
        </w:rPr>
        <w:t>isponible</w:t>
      </w:r>
      <w:r>
        <w:rPr>
          <w:rFonts w:ascii="MinionPro-Regular" w:hAnsi="MinionPro-Regular"/>
          <w:sz w:val="20"/>
          <w:szCs w:val="24"/>
        </w:rPr>
        <w:t xml:space="preserve">; año 2006: 75,7; año 2007: </w:t>
      </w:r>
      <w:r w:rsidR="00DC67A3">
        <w:rPr>
          <w:rFonts w:ascii="MinionPro-Regular" w:hAnsi="MinionPro-Regular"/>
          <w:sz w:val="20"/>
          <w:szCs w:val="24"/>
        </w:rPr>
        <w:t>84,9</w:t>
      </w:r>
      <w:r>
        <w:rPr>
          <w:rFonts w:ascii="MinionPro-Regular" w:hAnsi="MinionPro-Regular"/>
          <w:sz w:val="20"/>
          <w:szCs w:val="24"/>
        </w:rPr>
        <w:t>; año 2008:</w:t>
      </w:r>
      <w:r w:rsidR="00DC67A3">
        <w:rPr>
          <w:rFonts w:ascii="MinionPro-Regular" w:hAnsi="MinionPro-Regular"/>
          <w:sz w:val="20"/>
          <w:szCs w:val="24"/>
        </w:rPr>
        <w:t xml:space="preserve"> 65,9; año 2009: 80,9; año 2010: 93,2; año 2011: 110,2.</w:t>
      </w:r>
      <w:r>
        <w:rPr>
          <w:rFonts w:ascii="MinionPro-Regular" w:hAnsi="MinionPro-Regular"/>
          <w:sz w:val="20"/>
          <w:szCs w:val="24"/>
        </w:rPr>
        <w:t xml:space="preserve">  </w:t>
      </w:r>
    </w:p>
    <w:p w:rsidR="002C29A3" w:rsidRDefault="002C29A3" w:rsidP="004D03DD">
      <w:pPr>
        <w:autoSpaceDE w:val="0"/>
        <w:autoSpaceDN w:val="0"/>
        <w:spacing w:line="360" w:lineRule="auto"/>
        <w:jc w:val="both"/>
        <w:rPr>
          <w:rFonts w:ascii="MinionPro-Regular" w:hAnsi="MinionPro-Regular"/>
          <w:sz w:val="20"/>
        </w:rPr>
      </w:pPr>
    </w:p>
    <w:p w:rsidR="002C29A3" w:rsidRPr="007F5D3D" w:rsidRDefault="00DC67A3" w:rsidP="004D03DD">
      <w:pPr>
        <w:autoSpaceDE w:val="0"/>
        <w:autoSpaceDN w:val="0"/>
        <w:spacing w:line="360" w:lineRule="auto"/>
        <w:jc w:val="both"/>
        <w:rPr>
          <w:rFonts w:ascii="MinionPro-Regular" w:hAnsi="MinionPro-Regular"/>
          <w:sz w:val="24"/>
          <w:szCs w:val="24"/>
        </w:rPr>
      </w:pPr>
      <w:r w:rsidRPr="007F5D3D">
        <w:rPr>
          <w:rFonts w:ascii="MinionPro-Regular" w:hAnsi="MinionPro-Regular"/>
          <w:sz w:val="24"/>
          <w:szCs w:val="24"/>
        </w:rPr>
        <w:t>A continuación, se muestran gráficos respecto de los datos disponibles más recientes (20011).</w:t>
      </w:r>
    </w:p>
    <w:p w:rsidR="002C29A3" w:rsidRPr="00DC67A3" w:rsidRDefault="002C29A3" w:rsidP="004D03DD">
      <w:pPr>
        <w:autoSpaceDE w:val="0"/>
        <w:autoSpaceDN w:val="0"/>
        <w:spacing w:line="360" w:lineRule="auto"/>
        <w:jc w:val="both"/>
        <w:rPr>
          <w:rFonts w:ascii="MinionPro-Regular" w:hAnsi="MinionPro-Regular"/>
          <w:color w:val="4F81BD" w:themeColor="accent1"/>
          <w:sz w:val="24"/>
          <w:szCs w:val="24"/>
        </w:rPr>
      </w:pPr>
    </w:p>
    <w:p w:rsidR="00E2336B" w:rsidRDefault="00E2336B" w:rsidP="00C64066">
      <w:pPr>
        <w:pBdr>
          <w:top w:val="single" w:sz="4" w:space="1" w:color="auto"/>
        </w:pBdr>
        <w:autoSpaceDE w:val="0"/>
        <w:autoSpaceDN w:val="0"/>
        <w:spacing w:line="360" w:lineRule="auto"/>
        <w:jc w:val="both"/>
        <w:rPr>
          <w:rFonts w:ascii="MinionPro-Regular" w:hAnsi="MinionPro-Regular"/>
          <w:sz w:val="20"/>
        </w:rPr>
      </w:pPr>
      <w:r w:rsidRPr="0081432A">
        <w:rPr>
          <w:rFonts w:ascii="MinionPro-Regular" w:hAnsi="MinionPro-Regular"/>
          <w:sz w:val="20"/>
        </w:rPr>
        <w:t>Ratio de personas con discapacidad en listas de demandantes de empleo, por cada 100.000 habitantes</w:t>
      </w:r>
    </w:p>
    <w:p w:rsidR="00E2336B" w:rsidRDefault="00E1516B" w:rsidP="004D03DD">
      <w:pPr>
        <w:autoSpaceDE w:val="0"/>
        <w:autoSpaceDN w:val="0"/>
        <w:spacing w:line="360" w:lineRule="auto"/>
        <w:jc w:val="both"/>
        <w:rPr>
          <w:rFonts w:ascii="MinionPro-Regular" w:hAnsi="MinionPro-Regular"/>
          <w:sz w:val="20"/>
        </w:rPr>
      </w:pPr>
      <w:r>
        <w:rPr>
          <w:rFonts w:ascii="MinionPro-Regular" w:hAnsi="MinionPro-Regular"/>
          <w:noProof/>
          <w:sz w:val="20"/>
          <w:lang w:eastAsia="es-ES"/>
        </w:rPr>
        <w:lastRenderedPageBreak/>
        <w:drawing>
          <wp:inline distT="0" distB="0" distL="0" distR="0">
            <wp:extent cx="5443220" cy="3260725"/>
            <wp:effectExtent l="0" t="0" r="0" b="0"/>
            <wp:docPr id="7" name="Picture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E2336B" w:rsidRDefault="00E2336B" w:rsidP="004D03DD">
      <w:pPr>
        <w:autoSpaceDE w:val="0"/>
        <w:autoSpaceDN w:val="0"/>
        <w:spacing w:line="360" w:lineRule="auto"/>
        <w:jc w:val="both"/>
        <w:rPr>
          <w:rFonts w:ascii="MinionPro-Regular" w:hAnsi="MinionPro-Regular"/>
          <w:sz w:val="20"/>
        </w:rPr>
      </w:pPr>
    </w:p>
    <w:p w:rsidR="00E2336B" w:rsidRDefault="00E2336B" w:rsidP="00C64066">
      <w:pPr>
        <w:pBdr>
          <w:bottom w:val="single" w:sz="4" w:space="1" w:color="auto"/>
        </w:pBdr>
        <w:autoSpaceDE w:val="0"/>
        <w:autoSpaceDN w:val="0"/>
        <w:spacing w:line="360" w:lineRule="auto"/>
        <w:jc w:val="both"/>
        <w:rPr>
          <w:rFonts w:ascii="MinionPro-Regular" w:hAnsi="MinionPro-Regular"/>
          <w:sz w:val="20"/>
        </w:rPr>
      </w:pPr>
      <w:r w:rsidRPr="0081432A">
        <w:rPr>
          <w:rFonts w:ascii="MinionPro-Regular" w:hAnsi="MinionPro-Regular"/>
          <w:sz w:val="20"/>
        </w:rPr>
        <w:t>Fuente: Elaboración pr</w:t>
      </w:r>
      <w:r>
        <w:rPr>
          <w:rFonts w:ascii="MinionPro-Regular" w:hAnsi="MinionPro-Regular"/>
          <w:sz w:val="20"/>
        </w:rPr>
        <w:t>opia a partir de los datos del i</w:t>
      </w:r>
      <w:r w:rsidRPr="0081432A">
        <w:rPr>
          <w:rFonts w:ascii="MinionPro-Regular" w:hAnsi="MinionPro-Regular"/>
          <w:sz w:val="20"/>
        </w:rPr>
        <w:t>nforme de mercado de trabajo de las personas con discapacidad (Observatorio de las Ocupaciones).</w:t>
      </w:r>
      <w:r w:rsidR="00537F58">
        <w:rPr>
          <w:rFonts w:ascii="MinionPro-Regular" w:hAnsi="MinionPro-Regular"/>
          <w:sz w:val="20"/>
        </w:rPr>
        <w:t xml:space="preserve"> Datos 2010</w:t>
      </w:r>
      <w:r w:rsidR="007024CF">
        <w:rPr>
          <w:rFonts w:ascii="MinionPro-Regular" w:hAnsi="MinionPro-Regular"/>
          <w:sz w:val="20"/>
        </w:rPr>
        <w:t>.</w:t>
      </w:r>
    </w:p>
    <w:p w:rsidR="00E2336B" w:rsidRPr="009B5761" w:rsidRDefault="00E2336B" w:rsidP="009B5761">
      <w:pPr>
        <w:pBdr>
          <w:bottom w:val="single" w:sz="4" w:space="1" w:color="auto"/>
        </w:pBdr>
        <w:autoSpaceDE w:val="0"/>
        <w:autoSpaceDN w:val="0"/>
        <w:spacing w:line="360" w:lineRule="auto"/>
        <w:jc w:val="both"/>
        <w:rPr>
          <w:rFonts w:ascii="MinionPro-Regular" w:hAnsi="MinionPro-Regular"/>
          <w:sz w:val="20"/>
          <w:szCs w:val="24"/>
        </w:rPr>
      </w:pPr>
      <w:r w:rsidRPr="001B0FD3">
        <w:rPr>
          <w:rFonts w:ascii="MinionPro-Regular" w:hAnsi="MinionPro-Regular"/>
          <w:sz w:val="20"/>
          <w:szCs w:val="24"/>
        </w:rPr>
        <w:t xml:space="preserve">Nota explicativa de la gráfica: Eje vertical, </w:t>
      </w:r>
      <w:r>
        <w:rPr>
          <w:rFonts w:ascii="MinionPro-Regular" w:hAnsi="MinionPro-Regular"/>
          <w:sz w:val="20"/>
          <w:szCs w:val="24"/>
        </w:rPr>
        <w:t>número personas con discapacidad demandantes de empleo por cada 100.000 habitantes</w:t>
      </w:r>
      <w:r w:rsidRPr="001B0FD3">
        <w:rPr>
          <w:rFonts w:ascii="MinionPro-Regular" w:hAnsi="MinionPro-Regular"/>
          <w:sz w:val="20"/>
          <w:szCs w:val="24"/>
        </w:rPr>
        <w:t xml:space="preserve">. Eje horizontal, </w:t>
      </w:r>
      <w:r>
        <w:rPr>
          <w:rFonts w:ascii="MinionPro-Regular" w:hAnsi="MinionPro-Regular"/>
          <w:sz w:val="20"/>
          <w:szCs w:val="24"/>
        </w:rPr>
        <w:t>Comunidades Autónomas de mayor a menor</w:t>
      </w:r>
      <w:r w:rsidRPr="001B0FD3">
        <w:rPr>
          <w:rFonts w:ascii="MinionPro-Regular" w:hAnsi="MinionPro-Regular"/>
          <w:sz w:val="20"/>
          <w:szCs w:val="24"/>
        </w:rPr>
        <w:t xml:space="preserve">: </w:t>
      </w:r>
      <w:r>
        <w:rPr>
          <w:rFonts w:ascii="MinionPro-Regular" w:hAnsi="MinionPro-Regular"/>
          <w:sz w:val="20"/>
          <w:szCs w:val="24"/>
        </w:rPr>
        <w:t>Melilla 862,8;</w:t>
      </w:r>
      <w:r w:rsidRPr="00C64066">
        <w:rPr>
          <w:rFonts w:ascii="MinionPro-Regular" w:hAnsi="MinionPro-Regular"/>
          <w:sz w:val="20"/>
          <w:szCs w:val="24"/>
        </w:rPr>
        <w:t xml:space="preserve"> </w:t>
      </w:r>
      <w:r>
        <w:rPr>
          <w:rFonts w:ascii="MinionPro-Regular" w:hAnsi="MinionPro-Regular"/>
          <w:sz w:val="20"/>
          <w:szCs w:val="24"/>
        </w:rPr>
        <w:t>Ceuta 621,7;</w:t>
      </w:r>
      <w:r w:rsidRPr="00C64066">
        <w:rPr>
          <w:rFonts w:ascii="MinionPro-Regular" w:hAnsi="MinionPro-Regular"/>
          <w:sz w:val="20"/>
          <w:szCs w:val="24"/>
        </w:rPr>
        <w:t xml:space="preserve"> </w:t>
      </w:r>
      <w:r>
        <w:rPr>
          <w:rFonts w:ascii="MinionPro-Regular" w:hAnsi="MinionPro-Regular"/>
          <w:sz w:val="20"/>
          <w:szCs w:val="24"/>
        </w:rPr>
        <w:t>Murcia 361,0; Extremadura 359,6; Asturias 344,3; Canarias 308,9; Galicia 292,5;</w:t>
      </w:r>
      <w:r w:rsidRPr="00C64066">
        <w:rPr>
          <w:rFonts w:ascii="MinionPro-Regular" w:hAnsi="MinionPro-Regular"/>
          <w:sz w:val="20"/>
          <w:szCs w:val="24"/>
        </w:rPr>
        <w:t xml:space="preserve"> </w:t>
      </w:r>
      <w:r>
        <w:rPr>
          <w:rFonts w:ascii="MinionPro-Regular" w:hAnsi="MinionPro-Regular"/>
          <w:sz w:val="20"/>
          <w:szCs w:val="24"/>
        </w:rPr>
        <w:t>Comunidad Valenciana 292,0; Cantabria 289.5; Andalucía 272,6; Castilla La Mancha 263,9; Castilla y León 248,4; La Rioja 243,4;</w:t>
      </w:r>
      <w:r w:rsidRPr="00C64066">
        <w:rPr>
          <w:rFonts w:ascii="MinionPro-Regular" w:hAnsi="MinionPro-Regular"/>
          <w:sz w:val="20"/>
          <w:szCs w:val="24"/>
        </w:rPr>
        <w:t xml:space="preserve"> </w:t>
      </w:r>
      <w:r>
        <w:rPr>
          <w:rFonts w:ascii="MinionPro-Regular" w:hAnsi="MinionPro-Regular"/>
          <w:sz w:val="20"/>
          <w:szCs w:val="24"/>
        </w:rPr>
        <w:t>Baleares 204,8; Aragón 190,4;</w:t>
      </w:r>
      <w:r w:rsidRPr="00963320">
        <w:rPr>
          <w:rFonts w:ascii="MinionPro-Regular" w:hAnsi="MinionPro-Regular"/>
          <w:sz w:val="20"/>
          <w:szCs w:val="24"/>
        </w:rPr>
        <w:t xml:space="preserve"> </w:t>
      </w:r>
      <w:r>
        <w:rPr>
          <w:rFonts w:ascii="MinionPro-Regular" w:hAnsi="MinionPro-Regular"/>
          <w:sz w:val="20"/>
          <w:szCs w:val="24"/>
        </w:rPr>
        <w:t>País Vasco 181,0;  Cataluña 155,9; Madrid 151,4; Navarra 140,9.</w:t>
      </w:r>
    </w:p>
    <w:p w:rsidR="00E2336B" w:rsidRDefault="00E2336B" w:rsidP="004D03DD">
      <w:pPr>
        <w:autoSpaceDE w:val="0"/>
        <w:autoSpaceDN w:val="0"/>
        <w:spacing w:line="360" w:lineRule="auto"/>
        <w:jc w:val="both"/>
        <w:rPr>
          <w:rFonts w:ascii="MinionPro-Regular" w:hAnsi="MinionPro-Regular"/>
          <w:sz w:val="20"/>
        </w:rPr>
      </w:pPr>
    </w:p>
    <w:p w:rsidR="00DC67A3" w:rsidRDefault="00DC67A3" w:rsidP="004D03DD">
      <w:pPr>
        <w:autoSpaceDE w:val="0"/>
        <w:autoSpaceDN w:val="0"/>
        <w:spacing w:line="360" w:lineRule="auto"/>
        <w:jc w:val="both"/>
        <w:rPr>
          <w:rFonts w:ascii="MinionPro-Regular" w:hAnsi="MinionPro-Regular"/>
          <w:color w:val="4F81BD" w:themeColor="accent1"/>
          <w:sz w:val="24"/>
        </w:rPr>
      </w:pPr>
    </w:p>
    <w:p w:rsidR="009F4AE6" w:rsidRDefault="009F4AE6" w:rsidP="004D03DD">
      <w:pPr>
        <w:autoSpaceDE w:val="0"/>
        <w:autoSpaceDN w:val="0"/>
        <w:spacing w:line="360" w:lineRule="auto"/>
        <w:jc w:val="both"/>
        <w:rPr>
          <w:rFonts w:ascii="MinionPro-Regular" w:hAnsi="MinionPro-Regular"/>
          <w:color w:val="4F81BD" w:themeColor="accent1"/>
          <w:sz w:val="24"/>
        </w:rPr>
      </w:pPr>
    </w:p>
    <w:p w:rsidR="0051659E" w:rsidRDefault="0051659E" w:rsidP="004D03DD">
      <w:pPr>
        <w:autoSpaceDE w:val="0"/>
        <w:autoSpaceDN w:val="0"/>
        <w:spacing w:line="360" w:lineRule="auto"/>
        <w:jc w:val="both"/>
        <w:rPr>
          <w:rFonts w:ascii="MinionPro-Regular" w:hAnsi="MinionPro-Regular"/>
          <w:color w:val="4F81BD" w:themeColor="accent1"/>
          <w:sz w:val="24"/>
        </w:rPr>
      </w:pPr>
    </w:p>
    <w:p w:rsidR="009F4AE6" w:rsidRDefault="009F4AE6" w:rsidP="004D03DD">
      <w:pPr>
        <w:autoSpaceDE w:val="0"/>
        <w:autoSpaceDN w:val="0"/>
        <w:spacing w:line="360" w:lineRule="auto"/>
        <w:jc w:val="both"/>
        <w:rPr>
          <w:rFonts w:ascii="MinionPro-Regular" w:hAnsi="MinionPro-Regular"/>
          <w:color w:val="4F81BD" w:themeColor="accent1"/>
          <w:sz w:val="24"/>
        </w:rPr>
      </w:pPr>
    </w:p>
    <w:p w:rsidR="0076123C" w:rsidRPr="009F4AE6" w:rsidRDefault="00E86451" w:rsidP="0076123C">
      <w:pPr>
        <w:pBdr>
          <w:top w:val="single" w:sz="4" w:space="1" w:color="auto"/>
        </w:pBdr>
        <w:autoSpaceDE w:val="0"/>
        <w:autoSpaceDN w:val="0"/>
        <w:spacing w:line="360" w:lineRule="auto"/>
        <w:jc w:val="both"/>
        <w:rPr>
          <w:rFonts w:ascii="MinionPro-Regular" w:hAnsi="MinionPro-Regular"/>
          <w:sz w:val="20"/>
        </w:rPr>
      </w:pPr>
      <w:r w:rsidRPr="009F4AE6">
        <w:rPr>
          <w:rFonts w:ascii="MinionPro-Regular" w:hAnsi="MinionPro-Regular"/>
          <w:sz w:val="20"/>
        </w:rPr>
        <w:t>Ratio de personas con discapacidad en listas de demandantes de empleo, por cada persona con discapacidad</w:t>
      </w:r>
      <w:r w:rsidR="00DE3EC2" w:rsidRPr="009F4AE6">
        <w:rPr>
          <w:rFonts w:ascii="MinionPro-Regular" w:hAnsi="MinionPro-Regular"/>
          <w:sz w:val="20"/>
          <w:szCs w:val="24"/>
        </w:rPr>
        <w:t xml:space="preserve"> ocupada.</w:t>
      </w:r>
    </w:p>
    <w:p w:rsidR="0076123C" w:rsidRPr="009F4AE6" w:rsidRDefault="0076123C" w:rsidP="004D03DD">
      <w:pPr>
        <w:autoSpaceDE w:val="0"/>
        <w:autoSpaceDN w:val="0"/>
        <w:spacing w:line="360" w:lineRule="auto"/>
        <w:jc w:val="both"/>
        <w:rPr>
          <w:rFonts w:ascii="MinionPro-Regular" w:hAnsi="MinionPro-Regular"/>
          <w:color w:val="4F81BD" w:themeColor="accent1"/>
          <w:sz w:val="24"/>
        </w:rPr>
      </w:pPr>
    </w:p>
    <w:p w:rsidR="0051659E" w:rsidRPr="009F4AE6" w:rsidRDefault="00F61DE8" w:rsidP="004D03DD">
      <w:pPr>
        <w:autoSpaceDE w:val="0"/>
        <w:autoSpaceDN w:val="0"/>
        <w:spacing w:line="360" w:lineRule="auto"/>
        <w:jc w:val="both"/>
        <w:rPr>
          <w:rFonts w:ascii="MinionPro-Regular" w:hAnsi="MinionPro-Regular"/>
          <w:color w:val="4F81BD" w:themeColor="accent1"/>
          <w:sz w:val="24"/>
        </w:rPr>
      </w:pPr>
      <w:r w:rsidRPr="009F4AE6">
        <w:rPr>
          <w:rFonts w:ascii="MinionPro-Regular" w:hAnsi="MinionPro-Regular"/>
          <w:noProof/>
          <w:color w:val="4F81BD" w:themeColor="accent1"/>
          <w:sz w:val="24"/>
          <w:lang w:eastAsia="es-ES"/>
        </w:rPr>
        <w:lastRenderedPageBreak/>
        <w:drawing>
          <wp:inline distT="0" distB="0" distL="0" distR="0">
            <wp:extent cx="5400675" cy="3139700"/>
            <wp:effectExtent l="0" t="0" r="0" b="0"/>
            <wp:docPr id="202"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76123C" w:rsidRPr="009F4AE6" w:rsidRDefault="00E86451" w:rsidP="0076123C">
      <w:pPr>
        <w:pBdr>
          <w:bottom w:val="single" w:sz="4" w:space="1" w:color="auto"/>
        </w:pBdr>
        <w:autoSpaceDE w:val="0"/>
        <w:autoSpaceDN w:val="0"/>
        <w:spacing w:line="360" w:lineRule="auto"/>
        <w:jc w:val="both"/>
        <w:rPr>
          <w:rFonts w:ascii="MinionPro-Regular" w:hAnsi="MinionPro-Regular"/>
          <w:sz w:val="20"/>
        </w:rPr>
      </w:pPr>
      <w:r w:rsidRPr="009F4AE6">
        <w:rPr>
          <w:rFonts w:ascii="MinionPro-Regular" w:hAnsi="MinionPro-Regular"/>
          <w:sz w:val="20"/>
        </w:rPr>
        <w:t>Fuente: Elaboración propia a partir de los datos del informe de mercado de trabajo de las personas con discapacidad (Observatorio de las Ocupaciones). Datos 2010.</w:t>
      </w:r>
    </w:p>
    <w:p w:rsidR="0076123C" w:rsidRPr="009B5761" w:rsidRDefault="00E86451" w:rsidP="0076123C">
      <w:pPr>
        <w:pBdr>
          <w:bottom w:val="single" w:sz="4" w:space="1" w:color="auto"/>
        </w:pBdr>
        <w:autoSpaceDE w:val="0"/>
        <w:autoSpaceDN w:val="0"/>
        <w:spacing w:line="360" w:lineRule="auto"/>
        <w:jc w:val="both"/>
        <w:rPr>
          <w:rFonts w:ascii="MinionPro-Regular" w:hAnsi="MinionPro-Regular"/>
          <w:sz w:val="20"/>
          <w:szCs w:val="24"/>
        </w:rPr>
      </w:pPr>
      <w:r w:rsidRPr="009F4AE6">
        <w:rPr>
          <w:rFonts w:ascii="MinionPro-Regular" w:hAnsi="MinionPro-Regular"/>
          <w:sz w:val="20"/>
          <w:szCs w:val="24"/>
        </w:rPr>
        <w:t>Nota explicativa de la gráfica: Eje vertical, número personas con discapacidad demandantes de empleo por cada persona con discapacidad</w:t>
      </w:r>
      <w:r w:rsidR="00DE3EC2" w:rsidRPr="009F4AE6">
        <w:rPr>
          <w:rFonts w:ascii="MinionPro-Regular" w:hAnsi="MinionPro-Regular"/>
          <w:sz w:val="20"/>
          <w:szCs w:val="24"/>
        </w:rPr>
        <w:t xml:space="preserve"> ocupada</w:t>
      </w:r>
      <w:r w:rsidRPr="009F4AE6">
        <w:rPr>
          <w:rFonts w:ascii="MinionPro-Regular" w:hAnsi="MinionPro-Regular"/>
          <w:sz w:val="20"/>
          <w:szCs w:val="24"/>
        </w:rPr>
        <w:t>. Eje horizontal, Comunidades Autónomas de mayor a menor: Canarias 0,69; C.Valenciana 0,64; Andalucía + Ceuta y Melilla 0,45; Castilla y León 0,40; Galicia 0,38; Cantabria 0,36; Asturias 0,34; Baleares 0,31; Castilla La Mancha</w:t>
      </w:r>
      <w:r w:rsidRPr="009F4AE6">
        <w:t xml:space="preserve"> </w:t>
      </w:r>
      <w:r w:rsidRPr="009F4AE6">
        <w:rPr>
          <w:rFonts w:ascii="MinionPro-Regular" w:hAnsi="MinionPro-Regular"/>
          <w:sz w:val="20"/>
          <w:szCs w:val="24"/>
        </w:rPr>
        <w:t>0,30; La Rioja</w:t>
      </w:r>
      <w:r w:rsidRPr="009F4AE6">
        <w:t xml:space="preserve"> </w:t>
      </w:r>
      <w:r w:rsidRPr="009F4AE6">
        <w:rPr>
          <w:rFonts w:ascii="MinionPro-Regular" w:hAnsi="MinionPro-Regular"/>
          <w:sz w:val="20"/>
          <w:szCs w:val="24"/>
        </w:rPr>
        <w:t>0,27; Madrid 0,26; Aragón 0,24; Murcia 0,23; Cataluña 0,17; País Vasco 0,17; Navarra</w:t>
      </w:r>
      <w:r w:rsidRPr="009F4AE6">
        <w:t xml:space="preserve"> </w:t>
      </w:r>
      <w:r w:rsidRPr="009F4AE6">
        <w:rPr>
          <w:rFonts w:ascii="MinionPro-Regular" w:hAnsi="MinionPro-Regular"/>
          <w:sz w:val="20"/>
          <w:szCs w:val="24"/>
        </w:rPr>
        <w:t>0,15.</w:t>
      </w:r>
    </w:p>
    <w:p w:rsidR="0076123C" w:rsidRDefault="0076123C" w:rsidP="004D03DD">
      <w:pPr>
        <w:autoSpaceDE w:val="0"/>
        <w:autoSpaceDN w:val="0"/>
        <w:spacing w:line="360" w:lineRule="auto"/>
        <w:jc w:val="both"/>
        <w:rPr>
          <w:rFonts w:ascii="MinionPro-Regular" w:hAnsi="MinionPro-Regular"/>
          <w:color w:val="4F81BD" w:themeColor="accent1"/>
          <w:sz w:val="24"/>
        </w:rPr>
      </w:pPr>
    </w:p>
    <w:p w:rsidR="009B5761" w:rsidRDefault="009B5761" w:rsidP="007F5D3D">
      <w:pPr>
        <w:autoSpaceDE w:val="0"/>
        <w:autoSpaceDN w:val="0"/>
        <w:spacing w:line="360" w:lineRule="auto"/>
        <w:jc w:val="both"/>
        <w:rPr>
          <w:rFonts w:ascii="MinionPro-Regular" w:hAnsi="MinionPro-Regular"/>
          <w:sz w:val="24"/>
        </w:rPr>
      </w:pPr>
      <w:r w:rsidRPr="007F5D3D">
        <w:rPr>
          <w:rFonts w:ascii="MinionPro-Regular" w:hAnsi="MinionPro-Regular"/>
          <w:sz w:val="24"/>
        </w:rPr>
        <w:t xml:space="preserve">Según la actividad económica, los demandantes de empleo se sitúan </w:t>
      </w:r>
      <w:r w:rsidR="007F5D3D" w:rsidRPr="007F5D3D">
        <w:rPr>
          <w:rFonts w:ascii="MinionPro-Regular" w:hAnsi="MinionPro-Regular"/>
          <w:sz w:val="24"/>
        </w:rPr>
        <w:t>los sectores que indica la siguiente gráfica.</w:t>
      </w:r>
    </w:p>
    <w:p w:rsidR="009F4AE6" w:rsidRDefault="009F4AE6" w:rsidP="007F5D3D">
      <w:pPr>
        <w:autoSpaceDE w:val="0"/>
        <w:autoSpaceDN w:val="0"/>
        <w:spacing w:line="360" w:lineRule="auto"/>
        <w:jc w:val="both"/>
        <w:rPr>
          <w:rFonts w:ascii="MinionPro-Regular" w:hAnsi="MinionPro-Regular"/>
          <w:sz w:val="24"/>
        </w:rPr>
      </w:pPr>
    </w:p>
    <w:p w:rsidR="009F4AE6" w:rsidRDefault="009F4AE6" w:rsidP="007F5D3D">
      <w:pPr>
        <w:autoSpaceDE w:val="0"/>
        <w:autoSpaceDN w:val="0"/>
        <w:spacing w:line="360" w:lineRule="auto"/>
        <w:jc w:val="both"/>
        <w:rPr>
          <w:rFonts w:ascii="MinionPro-Regular" w:hAnsi="MinionPro-Regular"/>
          <w:sz w:val="24"/>
        </w:rPr>
      </w:pPr>
    </w:p>
    <w:p w:rsidR="009F4AE6" w:rsidRDefault="009F4AE6" w:rsidP="007F5D3D">
      <w:pPr>
        <w:autoSpaceDE w:val="0"/>
        <w:autoSpaceDN w:val="0"/>
        <w:spacing w:line="360" w:lineRule="auto"/>
        <w:jc w:val="both"/>
        <w:rPr>
          <w:rFonts w:ascii="MinionPro-Regular" w:hAnsi="MinionPro-Regular"/>
          <w:sz w:val="24"/>
        </w:rPr>
      </w:pPr>
    </w:p>
    <w:p w:rsidR="009F4AE6" w:rsidRDefault="009F4AE6" w:rsidP="007F5D3D">
      <w:pPr>
        <w:autoSpaceDE w:val="0"/>
        <w:autoSpaceDN w:val="0"/>
        <w:spacing w:line="360" w:lineRule="auto"/>
        <w:jc w:val="both"/>
        <w:rPr>
          <w:rFonts w:ascii="MinionPro-Regular" w:hAnsi="MinionPro-Regular"/>
          <w:sz w:val="24"/>
        </w:rPr>
      </w:pPr>
    </w:p>
    <w:p w:rsidR="009F4AE6" w:rsidRPr="007F5D3D" w:rsidRDefault="009F4AE6" w:rsidP="007F5D3D">
      <w:pPr>
        <w:autoSpaceDE w:val="0"/>
        <w:autoSpaceDN w:val="0"/>
        <w:spacing w:line="360" w:lineRule="auto"/>
        <w:jc w:val="both"/>
        <w:rPr>
          <w:rFonts w:ascii="MinionPro-Regular" w:hAnsi="MinionPro-Regular"/>
          <w:sz w:val="24"/>
        </w:rPr>
      </w:pPr>
    </w:p>
    <w:p w:rsidR="009B5761" w:rsidRDefault="009B5761" w:rsidP="009B5761">
      <w:pPr>
        <w:autoSpaceDE w:val="0"/>
        <w:autoSpaceDN w:val="0"/>
        <w:spacing w:line="360" w:lineRule="auto"/>
        <w:ind w:left="340"/>
        <w:jc w:val="both"/>
        <w:rPr>
          <w:rFonts w:ascii="MinionPro-Regular" w:hAnsi="MinionPro-Regular"/>
          <w:sz w:val="20"/>
        </w:rPr>
      </w:pPr>
    </w:p>
    <w:p w:rsidR="00E2336B" w:rsidRDefault="00E2336B" w:rsidP="00075B74">
      <w:pPr>
        <w:pBdr>
          <w:top w:val="single" w:sz="4" w:space="1" w:color="auto"/>
        </w:pBdr>
        <w:autoSpaceDE w:val="0"/>
        <w:autoSpaceDN w:val="0"/>
        <w:spacing w:line="360" w:lineRule="auto"/>
        <w:jc w:val="both"/>
        <w:rPr>
          <w:rFonts w:ascii="MinionPro-Regular" w:hAnsi="MinionPro-Regular"/>
          <w:sz w:val="20"/>
        </w:rPr>
      </w:pPr>
      <w:r>
        <w:rPr>
          <w:rFonts w:ascii="MinionPro-Regular" w:hAnsi="MinionPro-Regular"/>
          <w:sz w:val="20"/>
        </w:rPr>
        <w:lastRenderedPageBreak/>
        <w:t>Total demandantes de empleo con discapacidad según actividad económica</w:t>
      </w:r>
    </w:p>
    <w:p w:rsidR="00582CCA" w:rsidRDefault="00E1516B" w:rsidP="006204C4">
      <w:pPr>
        <w:pBdr>
          <w:top w:val="single" w:sz="4" w:space="1" w:color="auto"/>
        </w:pBdr>
        <w:autoSpaceDE w:val="0"/>
        <w:autoSpaceDN w:val="0"/>
        <w:spacing w:line="360" w:lineRule="auto"/>
        <w:jc w:val="both"/>
        <w:rPr>
          <w:rFonts w:ascii="MinionPro-Regular" w:hAnsi="MinionPro-Regular"/>
          <w:sz w:val="20"/>
        </w:rPr>
      </w:pPr>
      <w:r>
        <w:rPr>
          <w:rFonts w:ascii="MinionPro-Regular" w:hAnsi="MinionPro-Regular"/>
          <w:noProof/>
          <w:lang w:eastAsia="es-ES"/>
        </w:rPr>
        <w:drawing>
          <wp:inline distT="0" distB="0" distL="0" distR="0">
            <wp:extent cx="3804285" cy="29591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1"/>
                    <a:srcRect/>
                    <a:stretch>
                      <a:fillRect/>
                    </a:stretch>
                  </pic:blipFill>
                  <pic:spPr bwMode="auto">
                    <a:xfrm>
                      <a:off x="0" y="0"/>
                      <a:ext cx="3804285" cy="2959100"/>
                    </a:xfrm>
                    <a:prstGeom prst="rect">
                      <a:avLst/>
                    </a:prstGeom>
                    <a:noFill/>
                    <a:ln w="9525">
                      <a:noFill/>
                      <a:miter lim="800000"/>
                      <a:headEnd/>
                      <a:tailEnd/>
                    </a:ln>
                  </pic:spPr>
                </pic:pic>
              </a:graphicData>
            </a:graphic>
          </wp:inline>
        </w:drawing>
      </w:r>
    </w:p>
    <w:p w:rsidR="00E2336B" w:rsidRDefault="00E2336B">
      <w:pPr>
        <w:pBdr>
          <w:bottom w:val="single" w:sz="4" w:space="1" w:color="auto"/>
        </w:pBdr>
        <w:autoSpaceDE w:val="0"/>
        <w:autoSpaceDN w:val="0"/>
        <w:spacing w:line="360" w:lineRule="auto"/>
        <w:jc w:val="both"/>
        <w:rPr>
          <w:rFonts w:ascii="MinionPro-Regular" w:hAnsi="MinionPro-Regular"/>
          <w:sz w:val="20"/>
        </w:rPr>
      </w:pPr>
      <w:r w:rsidRPr="00EA3EC9">
        <w:rPr>
          <w:rFonts w:ascii="MinionPro-Regular" w:hAnsi="MinionPro-Regular"/>
          <w:sz w:val="20"/>
        </w:rPr>
        <w:t>Fuente: Elaboración propia a p</w:t>
      </w:r>
      <w:r>
        <w:rPr>
          <w:rFonts w:ascii="MinionPro-Regular" w:hAnsi="MinionPro-Regular"/>
          <w:sz w:val="20"/>
        </w:rPr>
        <w:t>artir de los datos del i</w:t>
      </w:r>
      <w:r w:rsidRPr="00EA3EC9">
        <w:rPr>
          <w:rFonts w:ascii="MinionPro-Regular" w:hAnsi="MinionPro-Regular"/>
          <w:sz w:val="20"/>
        </w:rPr>
        <w:t>nforme de mercado de trabajo de las personas con discapacidad (Observatorio</w:t>
      </w:r>
      <w:r>
        <w:rPr>
          <w:rFonts w:ascii="MinionPro-Regular" w:hAnsi="MinionPro-Regular"/>
          <w:sz w:val="20"/>
        </w:rPr>
        <w:t xml:space="preserve"> de las Ocupaciones).</w:t>
      </w:r>
      <w:r w:rsidR="00537F58">
        <w:rPr>
          <w:rFonts w:ascii="MinionPro-Regular" w:hAnsi="MinionPro-Regular"/>
          <w:sz w:val="20"/>
        </w:rPr>
        <w:t xml:space="preserve"> Datos 2010</w:t>
      </w:r>
      <w:r w:rsidR="007024CF">
        <w:rPr>
          <w:rFonts w:ascii="MinionPro-Regular" w:hAnsi="MinionPro-Regular"/>
          <w:sz w:val="20"/>
        </w:rPr>
        <w:t>.</w:t>
      </w:r>
    </w:p>
    <w:p w:rsidR="00E2336B" w:rsidRPr="00387E83" w:rsidRDefault="00E2336B">
      <w:pPr>
        <w:pBdr>
          <w:bottom w:val="single" w:sz="4" w:space="1" w:color="auto"/>
        </w:pBdr>
        <w:autoSpaceDE w:val="0"/>
        <w:autoSpaceDN w:val="0"/>
        <w:spacing w:line="360" w:lineRule="auto"/>
        <w:jc w:val="both"/>
        <w:rPr>
          <w:rFonts w:ascii="MinionPro-Regular" w:hAnsi="MinionPro-Regular"/>
          <w:sz w:val="20"/>
          <w:szCs w:val="24"/>
        </w:rPr>
      </w:pPr>
      <w:r w:rsidRPr="001B0FD3">
        <w:rPr>
          <w:rFonts w:ascii="MinionPro-Regular" w:hAnsi="MinionPro-Regular"/>
          <w:sz w:val="20"/>
          <w:szCs w:val="24"/>
        </w:rPr>
        <w:t xml:space="preserve">Nota explicativa de la gráfica: </w:t>
      </w:r>
      <w:r>
        <w:rPr>
          <w:rFonts w:ascii="MinionPro-Regular" w:hAnsi="MinionPro-Regular"/>
          <w:sz w:val="20"/>
          <w:szCs w:val="24"/>
        </w:rPr>
        <w:t>En el sector s</w:t>
      </w:r>
      <w:r w:rsidRPr="001C2926">
        <w:rPr>
          <w:rFonts w:ascii="MinionPro-Regular" w:hAnsi="MinionPro-Regular"/>
          <w:sz w:val="20"/>
          <w:szCs w:val="24"/>
        </w:rPr>
        <w:t>ervicios</w:t>
      </w:r>
      <w:r>
        <w:rPr>
          <w:rFonts w:ascii="MinionPro-Regular" w:hAnsi="MinionPro-Regular"/>
          <w:sz w:val="20"/>
          <w:szCs w:val="24"/>
        </w:rPr>
        <w:t xml:space="preserve"> hay </w:t>
      </w:r>
      <w:r w:rsidRPr="001C2926">
        <w:rPr>
          <w:rFonts w:ascii="MinionPro-Regular" w:hAnsi="MinionPro-Regular"/>
          <w:sz w:val="20"/>
          <w:szCs w:val="24"/>
        </w:rPr>
        <w:t>71.536</w:t>
      </w:r>
      <w:r>
        <w:rPr>
          <w:rFonts w:ascii="MinionPro-Regular" w:hAnsi="MinionPro-Regular"/>
          <w:sz w:val="20"/>
          <w:szCs w:val="24"/>
        </w:rPr>
        <w:t xml:space="preserve"> demandantes de empleo con discapacidad, lo que supone un 65% del total; en c</w:t>
      </w:r>
      <w:r w:rsidRPr="001C2926">
        <w:rPr>
          <w:rFonts w:ascii="MinionPro-Regular" w:hAnsi="MinionPro-Regular"/>
          <w:sz w:val="20"/>
          <w:szCs w:val="24"/>
        </w:rPr>
        <w:t>onstrucción 9.285</w:t>
      </w:r>
      <w:r>
        <w:rPr>
          <w:rFonts w:ascii="MinionPro-Regular" w:hAnsi="MinionPro-Regular"/>
          <w:sz w:val="20"/>
          <w:szCs w:val="24"/>
        </w:rPr>
        <w:t xml:space="preserve"> (8%); en industria </w:t>
      </w:r>
      <w:r w:rsidRPr="001C2926">
        <w:rPr>
          <w:rFonts w:ascii="MinionPro-Regular" w:hAnsi="MinionPro-Regular"/>
          <w:sz w:val="20"/>
          <w:szCs w:val="24"/>
        </w:rPr>
        <w:t>11.016</w:t>
      </w:r>
      <w:r>
        <w:rPr>
          <w:rFonts w:ascii="MinionPro-Regular" w:hAnsi="MinionPro-Regular"/>
          <w:sz w:val="20"/>
          <w:szCs w:val="24"/>
        </w:rPr>
        <w:t xml:space="preserve"> (10% del total); en agricultura </w:t>
      </w:r>
      <w:r w:rsidRPr="001C2926">
        <w:rPr>
          <w:rFonts w:ascii="MinionPro-Regular" w:hAnsi="MinionPro-Regular"/>
          <w:sz w:val="20"/>
          <w:szCs w:val="24"/>
        </w:rPr>
        <w:t>3.001</w:t>
      </w:r>
      <w:r>
        <w:rPr>
          <w:rFonts w:ascii="MinionPro-Regular" w:hAnsi="MinionPro-Regular"/>
          <w:sz w:val="20"/>
          <w:szCs w:val="24"/>
        </w:rPr>
        <w:t xml:space="preserve"> (3% del total) y sin actividad </w:t>
      </w:r>
      <w:r w:rsidRPr="001C2926">
        <w:rPr>
          <w:rFonts w:ascii="MinionPro-Regular" w:hAnsi="MinionPro-Regular"/>
          <w:sz w:val="20"/>
          <w:szCs w:val="24"/>
        </w:rPr>
        <w:t>15.320</w:t>
      </w:r>
      <w:r>
        <w:rPr>
          <w:rFonts w:ascii="MinionPro-Regular" w:hAnsi="MinionPro-Regular"/>
          <w:sz w:val="20"/>
          <w:szCs w:val="24"/>
        </w:rPr>
        <w:t xml:space="preserve"> (14% del total).</w:t>
      </w:r>
    </w:p>
    <w:p w:rsidR="00E2336B" w:rsidRDefault="00E2336B" w:rsidP="004D03DD">
      <w:pPr>
        <w:autoSpaceDE w:val="0"/>
        <w:autoSpaceDN w:val="0"/>
        <w:spacing w:line="360" w:lineRule="auto"/>
        <w:jc w:val="both"/>
        <w:rPr>
          <w:rFonts w:ascii="MinionPro-Regular" w:hAnsi="MinionPro-Regular"/>
          <w:sz w:val="24"/>
        </w:rPr>
      </w:pPr>
    </w:p>
    <w:p w:rsidR="00E2336B" w:rsidRDefault="00F23441">
      <w:pPr>
        <w:autoSpaceDE w:val="0"/>
        <w:autoSpaceDN w:val="0"/>
        <w:spacing w:line="360" w:lineRule="auto"/>
        <w:jc w:val="both"/>
        <w:rPr>
          <w:rFonts w:ascii="MinionPro-Regular" w:hAnsi="MinionPro-Regular"/>
          <w:sz w:val="24"/>
        </w:rPr>
      </w:pPr>
      <w:r w:rsidRPr="00F23441">
        <w:rPr>
          <w:rFonts w:ascii="MinionPro-Regular" w:hAnsi="MinionPro-Regular"/>
          <w:sz w:val="24"/>
        </w:rPr>
        <w:t>A continuación, se muestran</w:t>
      </w:r>
      <w:r w:rsidR="00E2336B">
        <w:rPr>
          <w:rFonts w:ascii="MinionPro-Regular" w:hAnsi="MinionPro-Regular"/>
          <w:sz w:val="24"/>
        </w:rPr>
        <w:t xml:space="preserve"> los gráficos correspondientes a los distintos sectores de actividad, excluyendo la información de demandantes que no presentan un sector de actividad definido.</w:t>
      </w:r>
      <w:r w:rsidRPr="00F23441">
        <w:rPr>
          <w:rFonts w:ascii="MinionPro-Regular" w:hAnsi="MinionPro-Regular"/>
          <w:sz w:val="24"/>
        </w:rPr>
        <w:t xml:space="preserve"> </w:t>
      </w:r>
      <w:r w:rsidR="007F5D3D">
        <w:rPr>
          <w:rFonts w:ascii="MinionPro-Regular" w:hAnsi="MinionPro-Regular"/>
          <w:sz w:val="24"/>
        </w:rPr>
        <w:t xml:space="preserve">Esta información puede servir para poner de manifiesto las diferentes realidades en términos de demanda de empleo de personas con discapacidad en las distintas comunidades autónomas españolas. </w:t>
      </w:r>
    </w:p>
    <w:p w:rsidR="007F5D3D" w:rsidRDefault="007F5D3D">
      <w:pPr>
        <w:autoSpaceDE w:val="0"/>
        <w:autoSpaceDN w:val="0"/>
        <w:spacing w:line="360" w:lineRule="auto"/>
        <w:jc w:val="both"/>
        <w:rPr>
          <w:rFonts w:ascii="MinionPro-Regular" w:hAnsi="MinionPro-Regular"/>
          <w:sz w:val="24"/>
        </w:rPr>
      </w:pPr>
    </w:p>
    <w:p w:rsidR="007F5D3D" w:rsidRDefault="007F5D3D">
      <w:pPr>
        <w:autoSpaceDE w:val="0"/>
        <w:autoSpaceDN w:val="0"/>
        <w:spacing w:line="360" w:lineRule="auto"/>
        <w:jc w:val="both"/>
        <w:rPr>
          <w:rFonts w:ascii="MinionPro-Regular" w:hAnsi="MinionPro-Regular"/>
          <w:sz w:val="24"/>
        </w:rPr>
      </w:pPr>
    </w:p>
    <w:p w:rsidR="007F5D3D" w:rsidRDefault="007F5D3D">
      <w:pPr>
        <w:autoSpaceDE w:val="0"/>
        <w:autoSpaceDN w:val="0"/>
        <w:spacing w:line="360" w:lineRule="auto"/>
        <w:jc w:val="both"/>
        <w:rPr>
          <w:rFonts w:ascii="MinionPro-Regular" w:hAnsi="MinionPro-Regular"/>
          <w:sz w:val="24"/>
        </w:rPr>
      </w:pPr>
    </w:p>
    <w:p w:rsidR="007F5D3D" w:rsidRDefault="007F5D3D">
      <w:pPr>
        <w:autoSpaceDE w:val="0"/>
        <w:autoSpaceDN w:val="0"/>
        <w:spacing w:line="360" w:lineRule="auto"/>
        <w:jc w:val="both"/>
        <w:rPr>
          <w:rFonts w:ascii="MinionPro-Regular" w:hAnsi="MinionPro-Regular"/>
          <w:sz w:val="24"/>
        </w:rPr>
      </w:pPr>
    </w:p>
    <w:p w:rsidR="007F5D3D" w:rsidRDefault="007F5D3D">
      <w:pPr>
        <w:autoSpaceDE w:val="0"/>
        <w:autoSpaceDN w:val="0"/>
        <w:spacing w:line="360" w:lineRule="auto"/>
        <w:jc w:val="both"/>
        <w:rPr>
          <w:rFonts w:ascii="MinionPro-Regular" w:hAnsi="MinionPro-Regular"/>
          <w:sz w:val="24"/>
        </w:rPr>
      </w:pPr>
    </w:p>
    <w:p w:rsidR="002C29A3" w:rsidRDefault="002C29A3" w:rsidP="004D03DD">
      <w:pPr>
        <w:autoSpaceDE w:val="0"/>
        <w:autoSpaceDN w:val="0"/>
        <w:spacing w:line="360" w:lineRule="auto"/>
        <w:jc w:val="both"/>
        <w:rPr>
          <w:rFonts w:ascii="MinionPro-Regular" w:hAnsi="MinionPro-Regular"/>
          <w:sz w:val="24"/>
        </w:rPr>
      </w:pPr>
    </w:p>
    <w:p w:rsidR="007F5D3D" w:rsidRDefault="007F5D3D" w:rsidP="004D03DD">
      <w:pPr>
        <w:autoSpaceDE w:val="0"/>
        <w:autoSpaceDN w:val="0"/>
        <w:spacing w:line="360" w:lineRule="auto"/>
        <w:jc w:val="both"/>
        <w:rPr>
          <w:rFonts w:ascii="MinionPro-Regular" w:hAnsi="MinionPro-Regular"/>
          <w:sz w:val="24"/>
        </w:rPr>
      </w:pPr>
    </w:p>
    <w:p w:rsidR="00E2336B" w:rsidRDefault="00E2336B" w:rsidP="00963320">
      <w:pPr>
        <w:pBdr>
          <w:top w:val="single" w:sz="4" w:space="1" w:color="auto"/>
        </w:pBdr>
        <w:autoSpaceDE w:val="0"/>
        <w:autoSpaceDN w:val="0"/>
        <w:spacing w:line="360" w:lineRule="auto"/>
        <w:jc w:val="both"/>
        <w:rPr>
          <w:rFonts w:ascii="MinionPro-Regular" w:hAnsi="MinionPro-Regular"/>
          <w:sz w:val="20"/>
        </w:rPr>
      </w:pPr>
      <w:r w:rsidRPr="00EA3EC9">
        <w:rPr>
          <w:rFonts w:ascii="MinionPro-Regular" w:hAnsi="MinionPro-Regular"/>
          <w:sz w:val="20"/>
        </w:rPr>
        <w:t>Ratio de personas con discapacidad en listas de demandantes de empleo, por cada 100.000 habitantes</w:t>
      </w:r>
      <w:r>
        <w:rPr>
          <w:rFonts w:ascii="MinionPro-Regular" w:hAnsi="MinionPro-Regular"/>
          <w:sz w:val="20"/>
        </w:rPr>
        <w:t>. Orden decreciente. Sector agricultura.</w:t>
      </w:r>
    </w:p>
    <w:p w:rsidR="00E2336B" w:rsidRDefault="00E1516B" w:rsidP="004D03DD">
      <w:pPr>
        <w:autoSpaceDE w:val="0"/>
        <w:autoSpaceDN w:val="0"/>
        <w:spacing w:line="360" w:lineRule="auto"/>
        <w:jc w:val="both"/>
        <w:rPr>
          <w:rFonts w:ascii="MinionPro-Regular" w:hAnsi="MinionPro-Regular"/>
          <w:sz w:val="24"/>
        </w:rPr>
      </w:pPr>
      <w:r>
        <w:rPr>
          <w:rFonts w:ascii="MinionPro-Regular" w:hAnsi="MinionPro-Regular"/>
          <w:noProof/>
          <w:sz w:val="24"/>
          <w:lang w:eastAsia="es-ES"/>
        </w:rPr>
        <w:drawing>
          <wp:inline distT="0" distB="0" distL="0" distR="0">
            <wp:extent cx="5279390" cy="2777490"/>
            <wp:effectExtent l="0" t="0" r="0" b="0"/>
            <wp:docPr id="9" name="Picture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E2336B" w:rsidRPr="007024CF" w:rsidRDefault="00E2336B" w:rsidP="00963320">
      <w:pPr>
        <w:pBdr>
          <w:bottom w:val="single" w:sz="4" w:space="1" w:color="auto"/>
        </w:pBdr>
        <w:autoSpaceDE w:val="0"/>
        <w:autoSpaceDN w:val="0"/>
        <w:spacing w:line="360" w:lineRule="auto"/>
        <w:jc w:val="both"/>
        <w:rPr>
          <w:rFonts w:ascii="MinionPro-Regular" w:hAnsi="MinionPro-Regular"/>
          <w:b/>
          <w:sz w:val="20"/>
        </w:rPr>
      </w:pPr>
      <w:r w:rsidRPr="00EA3EC9">
        <w:rPr>
          <w:rFonts w:ascii="MinionPro-Regular" w:hAnsi="MinionPro-Regular"/>
          <w:sz w:val="20"/>
        </w:rPr>
        <w:t>Fuente: Elaboración pr</w:t>
      </w:r>
      <w:r>
        <w:rPr>
          <w:rFonts w:ascii="MinionPro-Regular" w:hAnsi="MinionPro-Regular"/>
          <w:sz w:val="20"/>
        </w:rPr>
        <w:t>opia a partir de los datos del i</w:t>
      </w:r>
      <w:r w:rsidRPr="00EA3EC9">
        <w:rPr>
          <w:rFonts w:ascii="MinionPro-Regular" w:hAnsi="MinionPro-Regular"/>
          <w:sz w:val="20"/>
        </w:rPr>
        <w:t>nforme de mercado de trabajo de las personas con discapacidad (Observatorio de las Ocupaciones).</w:t>
      </w:r>
      <w:r w:rsidR="00537F58">
        <w:rPr>
          <w:rFonts w:ascii="MinionPro-Regular" w:hAnsi="MinionPro-Regular"/>
          <w:sz w:val="20"/>
        </w:rPr>
        <w:t xml:space="preserve"> Datos </w:t>
      </w:r>
      <w:r w:rsidR="00537F58" w:rsidRPr="00537F58">
        <w:rPr>
          <w:rFonts w:ascii="MinionPro-Regular" w:hAnsi="MinionPro-Regular"/>
          <w:sz w:val="20"/>
        </w:rPr>
        <w:t>201</w:t>
      </w:r>
      <w:r w:rsidR="00537F58">
        <w:rPr>
          <w:rFonts w:ascii="MinionPro-Regular" w:hAnsi="MinionPro-Regular"/>
          <w:sz w:val="20"/>
        </w:rPr>
        <w:t>0</w:t>
      </w:r>
      <w:r w:rsidR="007024CF" w:rsidRPr="00537F58">
        <w:rPr>
          <w:rFonts w:ascii="MinionPro-Regular" w:hAnsi="MinionPro-Regular"/>
          <w:sz w:val="20"/>
        </w:rPr>
        <w:t>.</w:t>
      </w:r>
    </w:p>
    <w:p w:rsidR="00E2336B" w:rsidRPr="00387E83" w:rsidRDefault="00E2336B" w:rsidP="00963320">
      <w:pPr>
        <w:pBdr>
          <w:bottom w:val="single" w:sz="4" w:space="1" w:color="auto"/>
        </w:pBdr>
        <w:autoSpaceDE w:val="0"/>
        <w:autoSpaceDN w:val="0"/>
        <w:spacing w:line="360" w:lineRule="auto"/>
        <w:jc w:val="both"/>
        <w:rPr>
          <w:rFonts w:ascii="MinionPro-Regular" w:hAnsi="MinionPro-Regular"/>
          <w:sz w:val="20"/>
          <w:szCs w:val="24"/>
        </w:rPr>
      </w:pPr>
      <w:r w:rsidRPr="001B0FD3">
        <w:rPr>
          <w:rFonts w:ascii="MinionPro-Regular" w:hAnsi="MinionPro-Regular"/>
          <w:sz w:val="20"/>
          <w:szCs w:val="24"/>
        </w:rPr>
        <w:t xml:space="preserve">Nota explicativa de la gráfica: Eje vertical, </w:t>
      </w:r>
      <w:r>
        <w:rPr>
          <w:rFonts w:ascii="MinionPro-Regular" w:hAnsi="MinionPro-Regular"/>
          <w:sz w:val="20"/>
          <w:szCs w:val="24"/>
        </w:rPr>
        <w:t>número personas con discapacidad demandantes de empleo en el sector agricultura por cada 100.000 habitantes</w:t>
      </w:r>
      <w:r w:rsidRPr="001B0FD3">
        <w:rPr>
          <w:rFonts w:ascii="MinionPro-Regular" w:hAnsi="MinionPro-Regular"/>
          <w:sz w:val="20"/>
          <w:szCs w:val="24"/>
        </w:rPr>
        <w:t xml:space="preserve">. Eje horizontal, </w:t>
      </w:r>
      <w:r>
        <w:rPr>
          <w:rFonts w:ascii="MinionPro-Regular" w:hAnsi="MinionPro-Regular"/>
          <w:sz w:val="20"/>
          <w:szCs w:val="24"/>
        </w:rPr>
        <w:t>Comunidades Autónomas, de mayor a menor</w:t>
      </w:r>
      <w:r w:rsidRPr="001B0FD3">
        <w:rPr>
          <w:rFonts w:ascii="MinionPro-Regular" w:hAnsi="MinionPro-Regular"/>
          <w:sz w:val="20"/>
          <w:szCs w:val="24"/>
        </w:rPr>
        <w:t xml:space="preserve">: </w:t>
      </w:r>
      <w:r>
        <w:rPr>
          <w:rFonts w:ascii="MinionPro-Regular" w:hAnsi="MinionPro-Regular"/>
          <w:sz w:val="20"/>
          <w:szCs w:val="24"/>
        </w:rPr>
        <w:t>Murcia 17,94; Extremadura 16,00; La Rioja 15,49; Castilla La Mancha 8,82; Castilla y León 8,53; Baleares 8,04; Galicia 7,35; Comunidad Valenciana 6,12; Andalucía 5,27; Aragón 4,67; Navarra 3,70; Cantabria 2,60; País Vasco 2,56; Melilla 2,55; Cataluña 2,04; Asturias 1,81; en Canarias 1,81;  Ceuta 1,29; Madrid 0,91.</w:t>
      </w:r>
    </w:p>
    <w:p w:rsidR="00E2336B" w:rsidRDefault="00E2336B" w:rsidP="004D03DD">
      <w:pPr>
        <w:autoSpaceDE w:val="0"/>
        <w:autoSpaceDN w:val="0"/>
        <w:spacing w:line="360" w:lineRule="auto"/>
        <w:jc w:val="both"/>
        <w:rPr>
          <w:rFonts w:ascii="MinionPro-Regular" w:hAnsi="MinionPro-Regular"/>
          <w:sz w:val="24"/>
        </w:rPr>
      </w:pPr>
    </w:p>
    <w:p w:rsidR="00E2336B" w:rsidRDefault="00E2336B" w:rsidP="004D03DD">
      <w:pPr>
        <w:autoSpaceDE w:val="0"/>
        <w:autoSpaceDN w:val="0"/>
        <w:spacing w:line="360" w:lineRule="auto"/>
        <w:jc w:val="both"/>
        <w:rPr>
          <w:rFonts w:ascii="MinionPro-Regular" w:hAnsi="MinionPro-Regular"/>
          <w:sz w:val="24"/>
        </w:rPr>
      </w:pPr>
      <w:r>
        <w:rPr>
          <w:rFonts w:ascii="MinionPro-Regular" w:hAnsi="MinionPro-Regular"/>
          <w:sz w:val="24"/>
        </w:rPr>
        <w:t>En cuanto a la actividad industrial, destacan la Comunidad Valenciana y La Rioja, con valores tres veces superiores a las comunidades insulares (Islas Canarias e Islas Baleares).</w:t>
      </w:r>
    </w:p>
    <w:p w:rsidR="009F4AE6" w:rsidRDefault="009F4AE6" w:rsidP="004D03DD">
      <w:pPr>
        <w:autoSpaceDE w:val="0"/>
        <w:autoSpaceDN w:val="0"/>
        <w:spacing w:line="360" w:lineRule="auto"/>
        <w:jc w:val="both"/>
        <w:rPr>
          <w:rFonts w:ascii="MinionPro-Regular" w:hAnsi="MinionPro-Regular"/>
          <w:sz w:val="24"/>
        </w:rPr>
      </w:pPr>
    </w:p>
    <w:p w:rsidR="009F4AE6" w:rsidRDefault="009F4AE6" w:rsidP="004D03DD">
      <w:pPr>
        <w:autoSpaceDE w:val="0"/>
        <w:autoSpaceDN w:val="0"/>
        <w:spacing w:line="360" w:lineRule="auto"/>
        <w:jc w:val="both"/>
        <w:rPr>
          <w:rFonts w:ascii="MinionPro-Regular" w:hAnsi="MinionPro-Regular"/>
          <w:sz w:val="24"/>
        </w:rPr>
      </w:pPr>
    </w:p>
    <w:p w:rsidR="009F4AE6" w:rsidRDefault="009F4AE6" w:rsidP="004D03DD">
      <w:pPr>
        <w:autoSpaceDE w:val="0"/>
        <w:autoSpaceDN w:val="0"/>
        <w:spacing w:line="360" w:lineRule="auto"/>
        <w:jc w:val="both"/>
        <w:rPr>
          <w:rFonts w:ascii="MinionPro-Regular" w:hAnsi="MinionPro-Regular"/>
          <w:sz w:val="24"/>
        </w:rPr>
      </w:pPr>
    </w:p>
    <w:p w:rsidR="009F4AE6" w:rsidRDefault="009F4AE6" w:rsidP="004D03DD">
      <w:pPr>
        <w:autoSpaceDE w:val="0"/>
        <w:autoSpaceDN w:val="0"/>
        <w:spacing w:line="360" w:lineRule="auto"/>
        <w:jc w:val="both"/>
        <w:rPr>
          <w:rFonts w:ascii="MinionPro-Regular" w:hAnsi="MinionPro-Regular"/>
          <w:sz w:val="24"/>
        </w:rPr>
      </w:pPr>
    </w:p>
    <w:p w:rsidR="002C29A3" w:rsidRDefault="002C29A3" w:rsidP="004D03DD">
      <w:pPr>
        <w:autoSpaceDE w:val="0"/>
        <w:autoSpaceDN w:val="0"/>
        <w:spacing w:line="360" w:lineRule="auto"/>
        <w:jc w:val="both"/>
        <w:rPr>
          <w:rFonts w:ascii="MinionPro-Regular" w:hAnsi="MinionPro-Regular"/>
          <w:sz w:val="20"/>
        </w:rPr>
      </w:pPr>
    </w:p>
    <w:p w:rsidR="002C29A3" w:rsidRDefault="002C29A3" w:rsidP="004D03DD">
      <w:pPr>
        <w:autoSpaceDE w:val="0"/>
        <w:autoSpaceDN w:val="0"/>
        <w:spacing w:line="360" w:lineRule="auto"/>
        <w:jc w:val="both"/>
        <w:rPr>
          <w:rFonts w:ascii="MinionPro-Regular" w:hAnsi="MinionPro-Regular"/>
          <w:sz w:val="20"/>
        </w:rPr>
      </w:pPr>
    </w:p>
    <w:p w:rsidR="00E2336B" w:rsidRDefault="00E2336B" w:rsidP="00302D4B">
      <w:pPr>
        <w:pBdr>
          <w:top w:val="single" w:sz="4" w:space="1" w:color="auto"/>
        </w:pBdr>
        <w:autoSpaceDE w:val="0"/>
        <w:autoSpaceDN w:val="0"/>
        <w:spacing w:line="360" w:lineRule="auto"/>
        <w:jc w:val="both"/>
        <w:rPr>
          <w:rFonts w:ascii="MinionPro-Regular" w:hAnsi="MinionPro-Regular"/>
          <w:sz w:val="20"/>
        </w:rPr>
      </w:pPr>
      <w:r w:rsidRPr="00EA3EC9">
        <w:rPr>
          <w:rFonts w:ascii="MinionPro-Regular" w:hAnsi="MinionPro-Regular"/>
          <w:sz w:val="20"/>
        </w:rPr>
        <w:t>Ratio de personas con discapacidad en listas de demandantes de empleo, por cada 100.000 habitantes</w:t>
      </w:r>
      <w:r>
        <w:rPr>
          <w:rFonts w:ascii="MinionPro-Regular" w:hAnsi="MinionPro-Regular"/>
          <w:sz w:val="20"/>
        </w:rPr>
        <w:t>. Orden decreciente. Sector industria.</w:t>
      </w:r>
    </w:p>
    <w:p w:rsidR="00E2336B" w:rsidRDefault="00E1516B" w:rsidP="004D03DD">
      <w:pPr>
        <w:autoSpaceDE w:val="0"/>
        <w:autoSpaceDN w:val="0"/>
        <w:spacing w:line="360" w:lineRule="auto"/>
        <w:jc w:val="both"/>
        <w:rPr>
          <w:rFonts w:ascii="MinionPro-Regular" w:hAnsi="MinionPro-Regular"/>
          <w:sz w:val="20"/>
        </w:rPr>
      </w:pPr>
      <w:r>
        <w:rPr>
          <w:rFonts w:ascii="MinionPro-Regular" w:hAnsi="MinionPro-Regular"/>
          <w:noProof/>
          <w:sz w:val="20"/>
          <w:lang w:eastAsia="es-ES"/>
        </w:rPr>
        <w:drawing>
          <wp:inline distT="0" distB="0" distL="0" distR="0">
            <wp:extent cx="5296535" cy="3105785"/>
            <wp:effectExtent l="0" t="0" r="0" b="0"/>
            <wp:docPr id="10" name="Picture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E2336B" w:rsidRDefault="00E2336B" w:rsidP="00302D4B">
      <w:pPr>
        <w:pBdr>
          <w:bottom w:val="single" w:sz="4" w:space="1" w:color="auto"/>
        </w:pBdr>
        <w:autoSpaceDE w:val="0"/>
        <w:autoSpaceDN w:val="0"/>
        <w:spacing w:line="360" w:lineRule="auto"/>
        <w:jc w:val="both"/>
        <w:rPr>
          <w:rFonts w:ascii="MinionPro-Regular" w:hAnsi="MinionPro-Regular"/>
          <w:sz w:val="24"/>
          <w:szCs w:val="24"/>
        </w:rPr>
      </w:pPr>
      <w:r w:rsidRPr="00EA3EC9">
        <w:rPr>
          <w:rFonts w:ascii="MinionPro-Regular" w:hAnsi="MinionPro-Regular"/>
          <w:sz w:val="20"/>
        </w:rPr>
        <w:t>Fuente: Elaboración propia a partir de los datos del Informe de mercado de trabajo de las personas con discapacidad (Observatorio de las Ocupaciones).</w:t>
      </w:r>
      <w:r w:rsidR="00537F58">
        <w:rPr>
          <w:rFonts w:ascii="MinionPro-Regular" w:hAnsi="MinionPro-Regular"/>
          <w:sz w:val="20"/>
        </w:rPr>
        <w:t xml:space="preserve"> Datos 2010</w:t>
      </w:r>
      <w:r w:rsidR="007024CF">
        <w:rPr>
          <w:rFonts w:ascii="MinionPro-Regular" w:hAnsi="MinionPro-Regular"/>
          <w:sz w:val="20"/>
        </w:rPr>
        <w:t>.</w:t>
      </w:r>
    </w:p>
    <w:p w:rsidR="00E2336B" w:rsidRDefault="00E2336B" w:rsidP="00302D4B">
      <w:pPr>
        <w:pBdr>
          <w:bottom w:val="single" w:sz="4" w:space="1" w:color="auto"/>
        </w:pBdr>
        <w:autoSpaceDE w:val="0"/>
        <w:autoSpaceDN w:val="0"/>
        <w:spacing w:line="360" w:lineRule="auto"/>
        <w:jc w:val="both"/>
        <w:rPr>
          <w:rFonts w:ascii="MinionPro-Regular" w:hAnsi="MinionPro-Regular"/>
          <w:sz w:val="20"/>
          <w:szCs w:val="24"/>
        </w:rPr>
      </w:pPr>
      <w:r w:rsidRPr="001B0FD3">
        <w:rPr>
          <w:rFonts w:ascii="MinionPro-Regular" w:hAnsi="MinionPro-Regular"/>
          <w:sz w:val="20"/>
          <w:szCs w:val="24"/>
        </w:rPr>
        <w:t xml:space="preserve">Nota explicativa de la gráfica: Eje vertical, </w:t>
      </w:r>
      <w:r>
        <w:rPr>
          <w:rFonts w:ascii="MinionPro-Regular" w:hAnsi="MinionPro-Regular"/>
          <w:sz w:val="20"/>
          <w:szCs w:val="24"/>
        </w:rPr>
        <w:t>número de personas con discapacidad demandantes de empleo del sector industria por cada 100.000 habitantes</w:t>
      </w:r>
      <w:r w:rsidRPr="001B0FD3">
        <w:rPr>
          <w:rFonts w:ascii="MinionPro-Regular" w:hAnsi="MinionPro-Regular"/>
          <w:sz w:val="20"/>
          <w:szCs w:val="24"/>
        </w:rPr>
        <w:t xml:space="preserve">. Eje horizontal, </w:t>
      </w:r>
      <w:r>
        <w:rPr>
          <w:rFonts w:ascii="MinionPro-Regular" w:hAnsi="MinionPro-Regular"/>
          <w:sz w:val="20"/>
          <w:szCs w:val="24"/>
        </w:rPr>
        <w:t>Comunidades Autónomas, de mayor a menor: La Rioja 43,58; Murcia 42,72; Comunidad Valenciana 42,43; Galicia 32,13; Asturias 29,77;</w:t>
      </w:r>
      <w:r w:rsidRPr="00302D4B">
        <w:rPr>
          <w:rFonts w:ascii="MinionPro-Regular" w:hAnsi="MinionPro-Regular"/>
          <w:sz w:val="20"/>
          <w:szCs w:val="24"/>
        </w:rPr>
        <w:t xml:space="preserve"> </w:t>
      </w:r>
      <w:r>
        <w:rPr>
          <w:rFonts w:ascii="MinionPro-Regular" w:hAnsi="MinionPro-Regular"/>
          <w:sz w:val="20"/>
          <w:szCs w:val="24"/>
        </w:rPr>
        <w:t>País Vasco 27,73;</w:t>
      </w:r>
      <w:r w:rsidRPr="00302D4B">
        <w:rPr>
          <w:rFonts w:ascii="MinionPro-Regular" w:hAnsi="MinionPro-Regular"/>
          <w:sz w:val="20"/>
          <w:szCs w:val="24"/>
        </w:rPr>
        <w:t xml:space="preserve"> </w:t>
      </w:r>
      <w:r>
        <w:rPr>
          <w:rFonts w:ascii="MinionPro-Regular" w:hAnsi="MinionPro-Regular"/>
          <w:sz w:val="20"/>
          <w:szCs w:val="24"/>
        </w:rPr>
        <w:t>Cantabria 26,32;</w:t>
      </w:r>
      <w:r w:rsidRPr="00302D4B">
        <w:rPr>
          <w:rFonts w:ascii="MinionPro-Regular" w:hAnsi="MinionPro-Regular"/>
          <w:sz w:val="20"/>
          <w:szCs w:val="24"/>
        </w:rPr>
        <w:t xml:space="preserve"> </w:t>
      </w:r>
      <w:r>
        <w:rPr>
          <w:rFonts w:ascii="MinionPro-Regular" w:hAnsi="MinionPro-Regular"/>
          <w:sz w:val="20"/>
          <w:szCs w:val="24"/>
        </w:rPr>
        <w:t>Castilla y León 25,41; Extremadura 25,15;</w:t>
      </w:r>
      <w:r w:rsidRPr="00302D4B">
        <w:rPr>
          <w:rFonts w:ascii="MinionPro-Regular" w:hAnsi="MinionPro-Regular"/>
          <w:sz w:val="20"/>
          <w:szCs w:val="24"/>
        </w:rPr>
        <w:t xml:space="preserve"> </w:t>
      </w:r>
      <w:r>
        <w:rPr>
          <w:rFonts w:ascii="MinionPro-Regular" w:hAnsi="MinionPro-Regular"/>
          <w:sz w:val="20"/>
          <w:szCs w:val="24"/>
        </w:rPr>
        <w:t>Aragón 24,05;</w:t>
      </w:r>
      <w:r w:rsidRPr="00302D4B">
        <w:rPr>
          <w:rFonts w:ascii="MinionPro-Regular" w:hAnsi="MinionPro-Regular"/>
          <w:sz w:val="20"/>
          <w:szCs w:val="24"/>
        </w:rPr>
        <w:t xml:space="preserve"> </w:t>
      </w:r>
      <w:r>
        <w:rPr>
          <w:rFonts w:ascii="MinionPro-Regular" w:hAnsi="MinionPro-Regular"/>
          <w:sz w:val="20"/>
          <w:szCs w:val="24"/>
        </w:rPr>
        <w:t>Castilla La Mancha 21,61; Cataluña 19,94;</w:t>
      </w:r>
      <w:r w:rsidRPr="00302D4B">
        <w:rPr>
          <w:rFonts w:ascii="MinionPro-Regular" w:hAnsi="MinionPro-Regular"/>
          <w:sz w:val="20"/>
          <w:szCs w:val="24"/>
        </w:rPr>
        <w:t xml:space="preserve"> </w:t>
      </w:r>
      <w:r>
        <w:rPr>
          <w:rFonts w:ascii="MinionPro-Regular" w:hAnsi="MinionPro-Regular"/>
          <w:sz w:val="20"/>
          <w:szCs w:val="24"/>
        </w:rPr>
        <w:t>Andalucía 18,50;</w:t>
      </w:r>
      <w:r w:rsidRPr="00302D4B">
        <w:rPr>
          <w:rFonts w:ascii="MinionPro-Regular" w:hAnsi="MinionPro-Regular"/>
          <w:sz w:val="20"/>
          <w:szCs w:val="24"/>
        </w:rPr>
        <w:t xml:space="preserve"> </w:t>
      </w:r>
      <w:r>
        <w:rPr>
          <w:rFonts w:ascii="MinionPro-Regular" w:hAnsi="MinionPro-Regular"/>
          <w:sz w:val="20"/>
          <w:szCs w:val="24"/>
        </w:rPr>
        <w:t>Madrid 15,83; Navarra 15,42;</w:t>
      </w:r>
      <w:r w:rsidRPr="00302D4B">
        <w:rPr>
          <w:rFonts w:ascii="MinionPro-Regular" w:hAnsi="MinionPro-Regular"/>
          <w:sz w:val="20"/>
          <w:szCs w:val="24"/>
        </w:rPr>
        <w:t xml:space="preserve"> </w:t>
      </w:r>
      <w:r>
        <w:rPr>
          <w:rFonts w:ascii="MinionPro-Regular" w:hAnsi="MinionPro-Regular"/>
          <w:sz w:val="20"/>
          <w:szCs w:val="24"/>
        </w:rPr>
        <w:t>Canarias 13,73;</w:t>
      </w:r>
      <w:r w:rsidRPr="00302D4B">
        <w:rPr>
          <w:rFonts w:ascii="MinionPro-Regular" w:hAnsi="MinionPro-Regular"/>
          <w:sz w:val="20"/>
          <w:szCs w:val="24"/>
        </w:rPr>
        <w:t xml:space="preserve"> </w:t>
      </w:r>
      <w:r>
        <w:rPr>
          <w:rFonts w:ascii="MinionPro-Regular" w:hAnsi="MinionPro-Regular"/>
          <w:sz w:val="20"/>
          <w:szCs w:val="24"/>
        </w:rPr>
        <w:t>Baleares 13,23;</w:t>
      </w:r>
      <w:r w:rsidRPr="00302D4B">
        <w:rPr>
          <w:rFonts w:ascii="MinionPro-Regular" w:hAnsi="MinionPro-Regular"/>
          <w:sz w:val="20"/>
          <w:szCs w:val="24"/>
        </w:rPr>
        <w:t xml:space="preserve"> </w:t>
      </w:r>
      <w:r>
        <w:rPr>
          <w:rFonts w:ascii="MinionPro-Regular" w:hAnsi="MinionPro-Regular"/>
          <w:sz w:val="20"/>
          <w:szCs w:val="24"/>
        </w:rPr>
        <w:t>Melilla 11,49 y Ceuta 9,05.</w:t>
      </w:r>
    </w:p>
    <w:p w:rsidR="00E2336B" w:rsidRDefault="00E2336B" w:rsidP="004D03DD">
      <w:pPr>
        <w:autoSpaceDE w:val="0"/>
        <w:autoSpaceDN w:val="0"/>
        <w:spacing w:line="360" w:lineRule="auto"/>
        <w:jc w:val="both"/>
        <w:rPr>
          <w:rFonts w:ascii="MinionPro-Regular" w:hAnsi="MinionPro-Regular"/>
          <w:sz w:val="20"/>
        </w:rPr>
      </w:pPr>
    </w:p>
    <w:p w:rsidR="00E2336B" w:rsidRDefault="00E2336B" w:rsidP="004D03DD">
      <w:pPr>
        <w:autoSpaceDE w:val="0"/>
        <w:autoSpaceDN w:val="0"/>
        <w:spacing w:line="360" w:lineRule="auto"/>
        <w:jc w:val="both"/>
        <w:rPr>
          <w:rFonts w:ascii="MinionPro-Regular" w:hAnsi="MinionPro-Regular"/>
          <w:sz w:val="20"/>
        </w:rPr>
      </w:pPr>
    </w:p>
    <w:p w:rsidR="00E2336B" w:rsidRDefault="00E2336B" w:rsidP="004D03DD">
      <w:pPr>
        <w:autoSpaceDE w:val="0"/>
        <w:autoSpaceDN w:val="0"/>
        <w:spacing w:line="360" w:lineRule="auto"/>
        <w:jc w:val="both"/>
        <w:rPr>
          <w:rFonts w:ascii="MinionPro-Regular" w:hAnsi="MinionPro-Regular"/>
          <w:sz w:val="20"/>
        </w:rPr>
      </w:pPr>
    </w:p>
    <w:p w:rsidR="00E2336B" w:rsidRDefault="00E2336B" w:rsidP="004D03DD">
      <w:pPr>
        <w:autoSpaceDE w:val="0"/>
        <w:autoSpaceDN w:val="0"/>
        <w:spacing w:line="360" w:lineRule="auto"/>
        <w:jc w:val="both"/>
        <w:rPr>
          <w:rFonts w:ascii="MinionPro-Regular" w:hAnsi="MinionPro-Regular"/>
          <w:sz w:val="20"/>
        </w:rPr>
      </w:pPr>
    </w:p>
    <w:p w:rsidR="002C29A3" w:rsidRDefault="002C29A3" w:rsidP="004D03DD">
      <w:pPr>
        <w:autoSpaceDE w:val="0"/>
        <w:autoSpaceDN w:val="0"/>
        <w:spacing w:line="360" w:lineRule="auto"/>
        <w:jc w:val="both"/>
        <w:rPr>
          <w:rFonts w:ascii="MinionPro-Regular" w:hAnsi="MinionPro-Regular"/>
          <w:sz w:val="20"/>
        </w:rPr>
      </w:pPr>
    </w:p>
    <w:p w:rsidR="007F5D3D" w:rsidRDefault="007F5D3D" w:rsidP="004D03DD">
      <w:pPr>
        <w:autoSpaceDE w:val="0"/>
        <w:autoSpaceDN w:val="0"/>
        <w:spacing w:line="360" w:lineRule="auto"/>
        <w:jc w:val="both"/>
        <w:rPr>
          <w:rFonts w:ascii="MinionPro-Regular" w:hAnsi="MinionPro-Regular"/>
          <w:sz w:val="20"/>
        </w:rPr>
      </w:pPr>
    </w:p>
    <w:p w:rsidR="007F5D3D" w:rsidRDefault="007F5D3D" w:rsidP="004D03DD">
      <w:pPr>
        <w:autoSpaceDE w:val="0"/>
        <w:autoSpaceDN w:val="0"/>
        <w:spacing w:line="360" w:lineRule="auto"/>
        <w:jc w:val="both"/>
        <w:rPr>
          <w:rFonts w:ascii="MinionPro-Regular" w:hAnsi="MinionPro-Regular"/>
          <w:sz w:val="20"/>
        </w:rPr>
      </w:pPr>
    </w:p>
    <w:p w:rsidR="007F5D3D" w:rsidRDefault="007F5D3D" w:rsidP="004D03DD">
      <w:pPr>
        <w:autoSpaceDE w:val="0"/>
        <w:autoSpaceDN w:val="0"/>
        <w:spacing w:line="360" w:lineRule="auto"/>
        <w:jc w:val="both"/>
        <w:rPr>
          <w:rFonts w:ascii="MinionPro-Regular" w:hAnsi="MinionPro-Regular"/>
          <w:sz w:val="20"/>
        </w:rPr>
      </w:pPr>
    </w:p>
    <w:p w:rsidR="007F5D3D" w:rsidRDefault="007F5D3D" w:rsidP="004D03DD">
      <w:pPr>
        <w:autoSpaceDE w:val="0"/>
        <w:autoSpaceDN w:val="0"/>
        <w:spacing w:line="360" w:lineRule="auto"/>
        <w:jc w:val="both"/>
        <w:rPr>
          <w:rFonts w:ascii="MinionPro-Regular" w:hAnsi="MinionPro-Regular"/>
          <w:sz w:val="20"/>
        </w:rPr>
      </w:pPr>
    </w:p>
    <w:p w:rsidR="009F4AE6" w:rsidRDefault="009F4AE6" w:rsidP="004D03DD">
      <w:pPr>
        <w:autoSpaceDE w:val="0"/>
        <w:autoSpaceDN w:val="0"/>
        <w:spacing w:line="360" w:lineRule="auto"/>
        <w:jc w:val="both"/>
        <w:rPr>
          <w:rFonts w:ascii="MinionPro-Regular" w:hAnsi="MinionPro-Regular"/>
          <w:sz w:val="20"/>
        </w:rPr>
      </w:pPr>
    </w:p>
    <w:p w:rsidR="00E2336B" w:rsidRDefault="00E2336B" w:rsidP="00302D4B">
      <w:pPr>
        <w:pBdr>
          <w:top w:val="single" w:sz="4" w:space="1" w:color="auto"/>
        </w:pBdr>
        <w:autoSpaceDE w:val="0"/>
        <w:autoSpaceDN w:val="0"/>
        <w:spacing w:line="360" w:lineRule="auto"/>
        <w:jc w:val="both"/>
        <w:rPr>
          <w:rFonts w:ascii="MinionPro-Regular" w:hAnsi="MinionPro-Regular"/>
          <w:color w:val="FF0000"/>
          <w:sz w:val="20"/>
        </w:rPr>
      </w:pPr>
      <w:r w:rsidRPr="00EA3EC9">
        <w:rPr>
          <w:rFonts w:ascii="MinionPro-Regular" w:hAnsi="MinionPro-Regular"/>
          <w:sz w:val="20"/>
        </w:rPr>
        <w:t>Ratio de personas con discapacidad en listas de demandantes de empleo, por cada 100.000 habitantes</w:t>
      </w:r>
      <w:r>
        <w:rPr>
          <w:rFonts w:ascii="MinionPro-Regular" w:hAnsi="MinionPro-Regular"/>
          <w:sz w:val="20"/>
        </w:rPr>
        <w:t>. Orden decreciente. Sector construcción.</w:t>
      </w:r>
    </w:p>
    <w:p w:rsidR="00E2336B" w:rsidRDefault="00E1516B" w:rsidP="0094215C">
      <w:pPr>
        <w:pBdr>
          <w:top w:val="single" w:sz="4" w:space="1" w:color="auto"/>
        </w:pBdr>
        <w:autoSpaceDE w:val="0"/>
        <w:autoSpaceDN w:val="0"/>
        <w:spacing w:line="360" w:lineRule="auto"/>
        <w:jc w:val="both"/>
        <w:rPr>
          <w:rFonts w:ascii="MinionPro-Regular" w:hAnsi="MinionPro-Regular"/>
          <w:sz w:val="20"/>
        </w:rPr>
      </w:pPr>
      <w:r>
        <w:rPr>
          <w:rFonts w:ascii="MinionPro-Regular" w:hAnsi="MinionPro-Regular"/>
          <w:noProof/>
          <w:sz w:val="20"/>
          <w:lang w:eastAsia="es-ES"/>
        </w:rPr>
        <w:drawing>
          <wp:inline distT="0" distB="0" distL="0" distR="0">
            <wp:extent cx="5615940" cy="3260725"/>
            <wp:effectExtent l="0" t="0" r="0" b="0"/>
            <wp:docPr id="11"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E2336B" w:rsidRDefault="00E2336B" w:rsidP="0037661F">
      <w:pPr>
        <w:pBdr>
          <w:bottom w:val="single" w:sz="4" w:space="1" w:color="auto"/>
        </w:pBdr>
        <w:autoSpaceDE w:val="0"/>
        <w:autoSpaceDN w:val="0"/>
        <w:spacing w:line="360" w:lineRule="auto"/>
        <w:jc w:val="both"/>
        <w:rPr>
          <w:rFonts w:ascii="MinionPro-Regular" w:hAnsi="MinionPro-Regular"/>
          <w:sz w:val="20"/>
        </w:rPr>
      </w:pPr>
      <w:r w:rsidRPr="00EA3EC9">
        <w:rPr>
          <w:rFonts w:ascii="MinionPro-Regular" w:hAnsi="MinionPro-Regular"/>
          <w:sz w:val="20"/>
        </w:rPr>
        <w:t>Fuente: Elaboración propia a partir de los datos del Informe de mercado de trabajo de las personas con discapacidad (Observatorio de las Ocupaciones).</w:t>
      </w:r>
      <w:r w:rsidR="007024CF">
        <w:rPr>
          <w:rFonts w:ascii="MinionPro-Regular" w:hAnsi="MinionPro-Regular"/>
          <w:sz w:val="20"/>
        </w:rPr>
        <w:t xml:space="preserve"> Datos</w:t>
      </w:r>
      <w:r w:rsidR="00537F58">
        <w:rPr>
          <w:rFonts w:ascii="MinionPro-Regular" w:hAnsi="MinionPro-Regular"/>
          <w:sz w:val="20"/>
        </w:rPr>
        <w:t xml:space="preserve"> 2010</w:t>
      </w:r>
      <w:r w:rsidR="007024CF">
        <w:rPr>
          <w:rFonts w:ascii="MinionPro-Regular" w:hAnsi="MinionPro-Regular"/>
          <w:sz w:val="20"/>
        </w:rPr>
        <w:t>.</w:t>
      </w:r>
    </w:p>
    <w:p w:rsidR="00E2336B" w:rsidRPr="00387E83" w:rsidRDefault="00E2336B" w:rsidP="0037661F">
      <w:pPr>
        <w:pBdr>
          <w:bottom w:val="single" w:sz="4" w:space="1" w:color="auto"/>
        </w:pBdr>
        <w:autoSpaceDE w:val="0"/>
        <w:autoSpaceDN w:val="0"/>
        <w:spacing w:line="360" w:lineRule="auto"/>
        <w:jc w:val="both"/>
        <w:rPr>
          <w:rFonts w:ascii="MinionPro-Regular" w:hAnsi="MinionPro-Regular"/>
          <w:sz w:val="20"/>
          <w:szCs w:val="24"/>
        </w:rPr>
      </w:pPr>
      <w:r w:rsidRPr="001B0FD3">
        <w:rPr>
          <w:rFonts w:ascii="MinionPro-Regular" w:hAnsi="MinionPro-Regular"/>
          <w:sz w:val="20"/>
          <w:szCs w:val="24"/>
        </w:rPr>
        <w:t xml:space="preserve">Nota explicativa de la gráfica: Eje de vertical, </w:t>
      </w:r>
      <w:r>
        <w:rPr>
          <w:rFonts w:ascii="MinionPro-Regular" w:hAnsi="MinionPro-Regular"/>
          <w:sz w:val="20"/>
          <w:szCs w:val="24"/>
        </w:rPr>
        <w:t>número de personas con discapacidad demandantes de empleo del sector construcción por cada 100.000 habitantes</w:t>
      </w:r>
      <w:r w:rsidRPr="001B0FD3">
        <w:rPr>
          <w:rFonts w:ascii="MinionPro-Regular" w:hAnsi="MinionPro-Regular"/>
          <w:sz w:val="20"/>
          <w:szCs w:val="24"/>
        </w:rPr>
        <w:t xml:space="preserve">. Eje horizontal, </w:t>
      </w:r>
      <w:r>
        <w:rPr>
          <w:rFonts w:ascii="MinionPro-Regular" w:hAnsi="MinionPro-Regular"/>
          <w:sz w:val="20"/>
          <w:szCs w:val="24"/>
        </w:rPr>
        <w:t>Comunidades Autónomas, de mayor a menor: Murcia 44,01; Melilla 37,0</w:t>
      </w:r>
      <w:r w:rsidR="0094215C">
        <w:rPr>
          <w:rFonts w:ascii="MinionPro-Regular" w:hAnsi="MinionPro-Regular"/>
          <w:sz w:val="20"/>
          <w:szCs w:val="24"/>
        </w:rPr>
        <w:t>1; Cantabria 30,65; Galicia 28,6</w:t>
      </w:r>
      <w:r>
        <w:rPr>
          <w:rFonts w:ascii="MinionPro-Regular" w:hAnsi="MinionPro-Regular"/>
          <w:sz w:val="20"/>
          <w:szCs w:val="24"/>
        </w:rPr>
        <w:t>0;</w:t>
      </w:r>
      <w:r w:rsidRPr="0037661F">
        <w:rPr>
          <w:rFonts w:ascii="MinionPro-Regular" w:hAnsi="MinionPro-Regular"/>
          <w:sz w:val="20"/>
          <w:szCs w:val="24"/>
        </w:rPr>
        <w:t xml:space="preserve"> </w:t>
      </w:r>
      <w:r>
        <w:rPr>
          <w:rFonts w:ascii="MinionPro-Regular" w:hAnsi="MinionPro-Regular"/>
          <w:sz w:val="20"/>
          <w:szCs w:val="24"/>
        </w:rPr>
        <w:t>Castilla y León 27,65;</w:t>
      </w:r>
      <w:r w:rsidRPr="0037661F">
        <w:rPr>
          <w:rFonts w:ascii="MinionPro-Regular" w:hAnsi="MinionPro-Regular"/>
          <w:sz w:val="20"/>
          <w:szCs w:val="24"/>
        </w:rPr>
        <w:t xml:space="preserve"> </w:t>
      </w:r>
      <w:r>
        <w:rPr>
          <w:rFonts w:ascii="MinionPro-Regular" w:hAnsi="MinionPro-Regular"/>
          <w:sz w:val="20"/>
          <w:szCs w:val="24"/>
        </w:rPr>
        <w:t>Extremadura 25,62; Asturias 25,00; Andalucía 24,33;</w:t>
      </w:r>
      <w:r w:rsidRPr="0037661F">
        <w:rPr>
          <w:rFonts w:ascii="MinionPro-Regular" w:hAnsi="MinionPro-Regular"/>
          <w:sz w:val="20"/>
          <w:szCs w:val="24"/>
        </w:rPr>
        <w:t xml:space="preserve"> </w:t>
      </w:r>
      <w:r>
        <w:rPr>
          <w:rFonts w:ascii="MinionPro-Regular" w:hAnsi="MinionPro-Regular"/>
          <w:sz w:val="20"/>
          <w:szCs w:val="24"/>
        </w:rPr>
        <w:t xml:space="preserve">Comunidad Valenciana 22,76; Castilla La Mancha </w:t>
      </w:r>
      <w:r>
        <w:rPr>
          <w:rFonts w:ascii="MinionPro-Regular" w:hAnsi="MinionPro-Regular"/>
          <w:sz w:val="20"/>
          <w:szCs w:val="24"/>
        </w:rPr>
        <w:lastRenderedPageBreak/>
        <w:t>20,44; Baleares 18,40; Ceuta 16,80; La Rioja 16,78</w:t>
      </w:r>
      <w:r w:rsidRPr="0037661F">
        <w:rPr>
          <w:rFonts w:ascii="MinionPro-Regular" w:hAnsi="MinionPro-Regular"/>
          <w:sz w:val="20"/>
          <w:szCs w:val="24"/>
        </w:rPr>
        <w:t xml:space="preserve"> </w:t>
      </w:r>
      <w:r>
        <w:rPr>
          <w:rFonts w:ascii="MinionPro-Regular" w:hAnsi="MinionPro-Regular"/>
          <w:sz w:val="20"/>
          <w:szCs w:val="24"/>
        </w:rPr>
        <w:t>Aragón 15,12; Canarias 13,12País Vasco 11,90; Cataluña 11,47; Madrid 9,94;</w:t>
      </w:r>
      <w:r w:rsidRPr="0037661F">
        <w:rPr>
          <w:rFonts w:ascii="MinionPro-Regular" w:hAnsi="MinionPro-Regular"/>
          <w:sz w:val="20"/>
          <w:szCs w:val="24"/>
        </w:rPr>
        <w:t xml:space="preserve"> </w:t>
      </w:r>
      <w:r>
        <w:rPr>
          <w:rFonts w:ascii="MinionPro-Regular" w:hAnsi="MinionPro-Regular"/>
          <w:sz w:val="20"/>
          <w:szCs w:val="24"/>
        </w:rPr>
        <w:t>Navarra 5,78.</w:t>
      </w:r>
    </w:p>
    <w:p w:rsidR="00E2336B" w:rsidRDefault="00E2336B" w:rsidP="004D03DD">
      <w:pPr>
        <w:autoSpaceDE w:val="0"/>
        <w:autoSpaceDN w:val="0"/>
        <w:spacing w:line="360" w:lineRule="auto"/>
        <w:jc w:val="both"/>
        <w:rPr>
          <w:rFonts w:ascii="MinionPro-Regular" w:hAnsi="MinionPro-Regular"/>
          <w:sz w:val="20"/>
        </w:rPr>
      </w:pPr>
    </w:p>
    <w:p w:rsidR="00E2336B" w:rsidRDefault="00E2336B" w:rsidP="004D03DD">
      <w:pPr>
        <w:autoSpaceDE w:val="0"/>
        <w:autoSpaceDN w:val="0"/>
        <w:spacing w:line="360" w:lineRule="auto"/>
        <w:jc w:val="both"/>
        <w:rPr>
          <w:rFonts w:ascii="MinionPro-Regular" w:hAnsi="MinionPro-Regular"/>
          <w:sz w:val="20"/>
        </w:rPr>
      </w:pPr>
    </w:p>
    <w:p w:rsidR="00E2336B" w:rsidRDefault="00E2336B" w:rsidP="004D03DD">
      <w:pPr>
        <w:autoSpaceDE w:val="0"/>
        <w:autoSpaceDN w:val="0"/>
        <w:spacing w:line="360" w:lineRule="auto"/>
        <w:jc w:val="both"/>
        <w:rPr>
          <w:rFonts w:ascii="MinionPro-Regular" w:hAnsi="MinionPro-Regular"/>
          <w:sz w:val="20"/>
        </w:rPr>
      </w:pPr>
    </w:p>
    <w:p w:rsidR="00E2336B" w:rsidRDefault="00E2336B" w:rsidP="004D03DD">
      <w:pPr>
        <w:autoSpaceDE w:val="0"/>
        <w:autoSpaceDN w:val="0"/>
        <w:spacing w:line="360" w:lineRule="auto"/>
        <w:jc w:val="both"/>
        <w:rPr>
          <w:rFonts w:ascii="MinionPro-Regular" w:hAnsi="MinionPro-Regular"/>
          <w:sz w:val="20"/>
        </w:rPr>
      </w:pPr>
    </w:p>
    <w:p w:rsidR="00E2336B" w:rsidRDefault="00E2336B" w:rsidP="004D03DD">
      <w:pPr>
        <w:autoSpaceDE w:val="0"/>
        <w:autoSpaceDN w:val="0"/>
        <w:spacing w:line="360" w:lineRule="auto"/>
        <w:jc w:val="both"/>
        <w:rPr>
          <w:rFonts w:ascii="MinionPro-Regular" w:hAnsi="MinionPro-Regular"/>
          <w:sz w:val="20"/>
        </w:rPr>
      </w:pPr>
    </w:p>
    <w:p w:rsidR="00E2336B" w:rsidRDefault="00E2336B" w:rsidP="004D03DD">
      <w:pPr>
        <w:autoSpaceDE w:val="0"/>
        <w:autoSpaceDN w:val="0"/>
        <w:spacing w:line="360" w:lineRule="auto"/>
        <w:jc w:val="both"/>
        <w:rPr>
          <w:rFonts w:ascii="MinionPro-Regular" w:hAnsi="MinionPro-Regular"/>
          <w:sz w:val="20"/>
        </w:rPr>
      </w:pPr>
    </w:p>
    <w:p w:rsidR="00E2336B" w:rsidRDefault="00E2336B" w:rsidP="004D03DD">
      <w:pPr>
        <w:autoSpaceDE w:val="0"/>
        <w:autoSpaceDN w:val="0"/>
        <w:spacing w:line="360" w:lineRule="auto"/>
        <w:jc w:val="both"/>
        <w:rPr>
          <w:rFonts w:ascii="MinionPro-Regular" w:hAnsi="MinionPro-Regular"/>
          <w:sz w:val="20"/>
        </w:rPr>
      </w:pPr>
    </w:p>
    <w:p w:rsidR="00E2336B" w:rsidRDefault="00E2336B" w:rsidP="004D03DD">
      <w:pPr>
        <w:autoSpaceDE w:val="0"/>
        <w:autoSpaceDN w:val="0"/>
        <w:spacing w:line="360" w:lineRule="auto"/>
        <w:jc w:val="both"/>
        <w:rPr>
          <w:rFonts w:ascii="MinionPro-Regular" w:hAnsi="MinionPro-Regular"/>
          <w:sz w:val="20"/>
        </w:rPr>
      </w:pPr>
    </w:p>
    <w:p w:rsidR="00E2336B" w:rsidRDefault="00E2336B" w:rsidP="004D03DD">
      <w:pPr>
        <w:autoSpaceDE w:val="0"/>
        <w:autoSpaceDN w:val="0"/>
        <w:spacing w:line="360" w:lineRule="auto"/>
        <w:jc w:val="both"/>
        <w:rPr>
          <w:rFonts w:ascii="MinionPro-Regular" w:hAnsi="MinionPro-Regular"/>
          <w:sz w:val="20"/>
        </w:rPr>
      </w:pPr>
    </w:p>
    <w:p w:rsidR="00E2336B" w:rsidRDefault="00E2336B" w:rsidP="004D03DD">
      <w:pPr>
        <w:autoSpaceDE w:val="0"/>
        <w:autoSpaceDN w:val="0"/>
        <w:spacing w:line="360" w:lineRule="auto"/>
        <w:jc w:val="both"/>
        <w:rPr>
          <w:rFonts w:ascii="MinionPro-Regular" w:hAnsi="MinionPro-Regular"/>
          <w:sz w:val="20"/>
        </w:rPr>
      </w:pPr>
    </w:p>
    <w:p w:rsidR="00E2336B" w:rsidRDefault="00E2336B" w:rsidP="00F97A54">
      <w:pPr>
        <w:pBdr>
          <w:top w:val="single" w:sz="4" w:space="1" w:color="auto"/>
        </w:pBdr>
        <w:autoSpaceDE w:val="0"/>
        <w:autoSpaceDN w:val="0"/>
        <w:spacing w:line="360" w:lineRule="auto"/>
        <w:jc w:val="both"/>
        <w:rPr>
          <w:rFonts w:ascii="MinionPro-Regular" w:hAnsi="MinionPro-Regular"/>
          <w:sz w:val="20"/>
        </w:rPr>
      </w:pPr>
      <w:r w:rsidRPr="00EA3EC9">
        <w:rPr>
          <w:rFonts w:ascii="MinionPro-Regular" w:hAnsi="MinionPro-Regular"/>
          <w:sz w:val="20"/>
        </w:rPr>
        <w:t>Ratio de personas con discapacidad en listas de demandantes de empleo, por cada 100.000 habitantes</w:t>
      </w:r>
      <w:r>
        <w:rPr>
          <w:rFonts w:ascii="MinionPro-Regular" w:hAnsi="MinionPro-Regular"/>
          <w:sz w:val="20"/>
        </w:rPr>
        <w:t>. Orden decreciente.  Sector servicios.</w:t>
      </w:r>
    </w:p>
    <w:p w:rsidR="00E2336B" w:rsidRPr="00EA3EC9" w:rsidRDefault="00E1516B" w:rsidP="004D03DD">
      <w:pPr>
        <w:autoSpaceDE w:val="0"/>
        <w:autoSpaceDN w:val="0"/>
        <w:spacing w:line="360" w:lineRule="auto"/>
        <w:jc w:val="both"/>
        <w:rPr>
          <w:rFonts w:ascii="MinionPro-Regular" w:hAnsi="MinionPro-Regular"/>
          <w:sz w:val="20"/>
        </w:rPr>
      </w:pPr>
      <w:r>
        <w:rPr>
          <w:rFonts w:ascii="MinionPro-Regular" w:hAnsi="MinionPro-Regular"/>
          <w:noProof/>
          <w:sz w:val="20"/>
          <w:lang w:eastAsia="es-ES"/>
        </w:rPr>
        <w:drawing>
          <wp:inline distT="0" distB="0" distL="0" distR="0">
            <wp:extent cx="5400040" cy="3140075"/>
            <wp:effectExtent l="0" t="0" r="0" b="0"/>
            <wp:docPr id="12" name="Picture 1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E2336B" w:rsidRDefault="00E2336B" w:rsidP="00F97A54">
      <w:pPr>
        <w:pBdr>
          <w:bottom w:val="single" w:sz="4" w:space="1" w:color="auto"/>
        </w:pBdr>
        <w:autoSpaceDE w:val="0"/>
        <w:autoSpaceDN w:val="0"/>
        <w:spacing w:line="360" w:lineRule="auto"/>
        <w:jc w:val="both"/>
        <w:rPr>
          <w:rFonts w:ascii="MinionPro-Regular" w:hAnsi="MinionPro-Regular"/>
          <w:sz w:val="20"/>
        </w:rPr>
      </w:pPr>
      <w:r w:rsidRPr="00EA3EC9">
        <w:rPr>
          <w:rFonts w:ascii="MinionPro-Regular" w:hAnsi="MinionPro-Regular"/>
          <w:sz w:val="20"/>
        </w:rPr>
        <w:t>Fuente: Elaboración propia a partir de los datos del Informe de mercado de trabajo de las personas con discapacidad (Observatorio de las Ocupaciones).</w:t>
      </w:r>
      <w:r w:rsidR="00537F58">
        <w:rPr>
          <w:rFonts w:ascii="MinionPro-Regular" w:hAnsi="MinionPro-Regular"/>
          <w:sz w:val="20"/>
        </w:rPr>
        <w:t xml:space="preserve"> Datos 2010</w:t>
      </w:r>
      <w:r w:rsidR="007024CF">
        <w:rPr>
          <w:rFonts w:ascii="MinionPro-Regular" w:hAnsi="MinionPro-Regular"/>
          <w:sz w:val="20"/>
        </w:rPr>
        <w:t>.</w:t>
      </w:r>
    </w:p>
    <w:p w:rsidR="00E2336B" w:rsidRPr="00387E83" w:rsidRDefault="00E2336B" w:rsidP="00F97A54">
      <w:pPr>
        <w:pBdr>
          <w:bottom w:val="single" w:sz="4" w:space="1" w:color="auto"/>
        </w:pBdr>
        <w:autoSpaceDE w:val="0"/>
        <w:autoSpaceDN w:val="0"/>
        <w:spacing w:line="360" w:lineRule="auto"/>
        <w:jc w:val="both"/>
        <w:rPr>
          <w:rFonts w:ascii="MinionPro-Regular" w:hAnsi="MinionPro-Regular"/>
          <w:sz w:val="20"/>
        </w:rPr>
      </w:pPr>
      <w:r w:rsidRPr="001B0FD3">
        <w:rPr>
          <w:rFonts w:ascii="MinionPro-Regular" w:hAnsi="MinionPro-Regular"/>
          <w:sz w:val="20"/>
          <w:szCs w:val="24"/>
        </w:rPr>
        <w:t xml:space="preserve">Nota explicativa de la gráfica: Eje de vertical, </w:t>
      </w:r>
      <w:r>
        <w:rPr>
          <w:rFonts w:ascii="MinionPro-Regular" w:hAnsi="MinionPro-Regular"/>
          <w:sz w:val="20"/>
          <w:szCs w:val="24"/>
        </w:rPr>
        <w:t>número de personas con discapacidad demandantes de empleo del sector servicios por cada 100.000 habitantes</w:t>
      </w:r>
      <w:r w:rsidRPr="001B0FD3">
        <w:rPr>
          <w:rFonts w:ascii="MinionPro-Regular" w:hAnsi="MinionPro-Regular"/>
          <w:sz w:val="20"/>
          <w:szCs w:val="24"/>
        </w:rPr>
        <w:t xml:space="preserve">. Eje horizontal, </w:t>
      </w:r>
      <w:r>
        <w:rPr>
          <w:rFonts w:ascii="MinionPro-Regular" w:hAnsi="MinionPro-Regular"/>
          <w:sz w:val="20"/>
          <w:szCs w:val="24"/>
        </w:rPr>
        <w:t xml:space="preserve">Comunidades Autónomas, de </w:t>
      </w:r>
      <w:r>
        <w:rPr>
          <w:rFonts w:ascii="MinionPro-Regular" w:hAnsi="MinionPro-Regular"/>
          <w:sz w:val="20"/>
          <w:szCs w:val="24"/>
        </w:rPr>
        <w:lastRenderedPageBreak/>
        <w:t xml:space="preserve">mayor a menor: Melilla </w:t>
      </w:r>
      <w:r w:rsidRPr="001C2926">
        <w:rPr>
          <w:rFonts w:ascii="MinionPro-Regular" w:hAnsi="MinionPro-Regular"/>
          <w:sz w:val="20"/>
        </w:rPr>
        <w:t>719,84</w:t>
      </w:r>
      <w:r>
        <w:rPr>
          <w:rFonts w:ascii="MinionPro-Regular" w:hAnsi="MinionPro-Regular"/>
          <w:sz w:val="20"/>
        </w:rPr>
        <w:t xml:space="preserve">; </w:t>
      </w:r>
      <w:r>
        <w:rPr>
          <w:rFonts w:ascii="MinionPro-Regular" w:hAnsi="MinionPro-Regular"/>
          <w:sz w:val="20"/>
          <w:szCs w:val="24"/>
        </w:rPr>
        <w:t xml:space="preserve">Ceuta </w:t>
      </w:r>
      <w:r w:rsidRPr="001C2926">
        <w:rPr>
          <w:rFonts w:ascii="MinionPro-Regular" w:hAnsi="MinionPro-Regular"/>
          <w:sz w:val="20"/>
          <w:szCs w:val="24"/>
        </w:rPr>
        <w:t>500,17</w:t>
      </w:r>
      <w:r w:rsidR="003D5285">
        <w:rPr>
          <w:rFonts w:ascii="MinionPro-Regular" w:hAnsi="MinionPro-Regular"/>
          <w:sz w:val="20"/>
          <w:szCs w:val="24"/>
        </w:rPr>
        <w:t>; Asturias 249,77;</w:t>
      </w:r>
      <w:r>
        <w:rPr>
          <w:rFonts w:ascii="MinionPro-Regular" w:hAnsi="MinionPro-Regular"/>
          <w:sz w:val="20"/>
          <w:szCs w:val="24"/>
        </w:rPr>
        <w:t xml:space="preserve"> en Extremadura </w:t>
      </w:r>
      <w:r w:rsidRPr="001C2926">
        <w:rPr>
          <w:rFonts w:ascii="MinionPro-Regular" w:hAnsi="MinionPro-Regular"/>
          <w:sz w:val="20"/>
          <w:szCs w:val="24"/>
        </w:rPr>
        <w:t>187,62</w:t>
      </w:r>
      <w:r>
        <w:rPr>
          <w:rFonts w:ascii="MinionPro-Regular" w:hAnsi="MinionPro-Regular"/>
          <w:sz w:val="20"/>
          <w:szCs w:val="24"/>
        </w:rPr>
        <w:t xml:space="preserve">; Murcia </w:t>
      </w:r>
      <w:r w:rsidRPr="001C2926">
        <w:rPr>
          <w:rFonts w:ascii="MinionPro-Regular" w:hAnsi="MinionPro-Regular"/>
          <w:sz w:val="20"/>
          <w:szCs w:val="24"/>
        </w:rPr>
        <w:t>221,94</w:t>
      </w:r>
      <w:r>
        <w:rPr>
          <w:rFonts w:ascii="MinionPro-Regular" w:hAnsi="MinionPro-Regular"/>
          <w:sz w:val="20"/>
          <w:szCs w:val="24"/>
        </w:rPr>
        <w:t>;</w:t>
      </w:r>
      <w:r w:rsidRPr="00C77614">
        <w:rPr>
          <w:rFonts w:ascii="MinionPro-Regular" w:hAnsi="MinionPro-Regular"/>
          <w:sz w:val="20"/>
          <w:szCs w:val="24"/>
        </w:rPr>
        <w:t xml:space="preserve"> </w:t>
      </w:r>
      <w:r>
        <w:rPr>
          <w:rFonts w:ascii="MinionPro-Regular" w:hAnsi="MinionPro-Regular"/>
          <w:sz w:val="20"/>
          <w:szCs w:val="24"/>
        </w:rPr>
        <w:t xml:space="preserve">Cantabria </w:t>
      </w:r>
      <w:r>
        <w:rPr>
          <w:rFonts w:ascii="MinionPro-Regular" w:hAnsi="MinionPro-Regular"/>
          <w:sz w:val="20"/>
        </w:rPr>
        <w:t xml:space="preserve">196,51; </w:t>
      </w:r>
      <w:r>
        <w:rPr>
          <w:rFonts w:ascii="MinionPro-Regular" w:hAnsi="MinionPro-Regular"/>
          <w:sz w:val="20"/>
          <w:szCs w:val="24"/>
        </w:rPr>
        <w:t xml:space="preserve">Castilla La Mancha </w:t>
      </w:r>
      <w:r w:rsidRPr="001C2926">
        <w:rPr>
          <w:rFonts w:ascii="MinionPro-Regular" w:hAnsi="MinionPro-Regular"/>
          <w:sz w:val="20"/>
          <w:szCs w:val="24"/>
        </w:rPr>
        <w:t>189,16</w:t>
      </w:r>
      <w:r>
        <w:rPr>
          <w:rFonts w:ascii="MinionPro-Regular" w:hAnsi="MinionPro-Regular"/>
          <w:sz w:val="20"/>
          <w:szCs w:val="24"/>
        </w:rPr>
        <w:t xml:space="preserve">; Comunidad Valenciana </w:t>
      </w:r>
      <w:r w:rsidRPr="001C2926">
        <w:rPr>
          <w:rFonts w:ascii="MinionPro-Regular" w:hAnsi="MinionPro-Regular"/>
          <w:sz w:val="20"/>
          <w:szCs w:val="24"/>
        </w:rPr>
        <w:t>187,62</w:t>
      </w:r>
      <w:r>
        <w:rPr>
          <w:rFonts w:ascii="MinionPro-Regular" w:hAnsi="MinionPro-Regular"/>
          <w:sz w:val="20"/>
          <w:szCs w:val="24"/>
        </w:rPr>
        <w:t xml:space="preserve">; Galicia </w:t>
      </w:r>
      <w:r w:rsidRPr="001C2926">
        <w:rPr>
          <w:rFonts w:ascii="MinionPro-Regular" w:hAnsi="MinionPro-Regular"/>
          <w:sz w:val="20"/>
          <w:szCs w:val="24"/>
        </w:rPr>
        <w:t>161,90</w:t>
      </w:r>
      <w:r>
        <w:rPr>
          <w:rFonts w:ascii="MinionPro-Regular" w:hAnsi="MinionPro-Regular"/>
          <w:sz w:val="20"/>
          <w:szCs w:val="24"/>
        </w:rPr>
        <w:t xml:space="preserve">; Baleares 155,09; Andalucía 154,34;La Rioja </w:t>
      </w:r>
      <w:r w:rsidRPr="001C2926">
        <w:rPr>
          <w:rFonts w:ascii="MinionPro-Regular" w:hAnsi="MinionPro-Regular"/>
          <w:sz w:val="20"/>
          <w:szCs w:val="24"/>
        </w:rPr>
        <w:t>147,51</w:t>
      </w:r>
      <w:r>
        <w:rPr>
          <w:rFonts w:ascii="MinionPro-Regular" w:hAnsi="MinionPro-Regular"/>
          <w:sz w:val="20"/>
          <w:szCs w:val="24"/>
        </w:rPr>
        <w:t xml:space="preserve">; Castilla y León </w:t>
      </w:r>
      <w:r w:rsidRPr="001C2926">
        <w:rPr>
          <w:rFonts w:ascii="MinionPro-Regular" w:hAnsi="MinionPro-Regular"/>
          <w:sz w:val="20"/>
          <w:szCs w:val="24"/>
        </w:rPr>
        <w:t>134,09</w:t>
      </w:r>
      <w:r>
        <w:rPr>
          <w:rFonts w:ascii="MinionPro-Regular" w:hAnsi="MinionPro-Regular"/>
          <w:sz w:val="20"/>
          <w:szCs w:val="24"/>
        </w:rPr>
        <w:t>; Aragón 127,41;</w:t>
      </w:r>
      <w:r w:rsidRPr="00F97A54">
        <w:rPr>
          <w:rFonts w:ascii="MinionPro-Regular" w:hAnsi="MinionPro-Regular"/>
          <w:sz w:val="20"/>
          <w:szCs w:val="24"/>
        </w:rPr>
        <w:t xml:space="preserve"> </w:t>
      </w:r>
      <w:r>
        <w:rPr>
          <w:rFonts w:ascii="MinionPro-Regular" w:hAnsi="MinionPro-Regular"/>
          <w:sz w:val="20"/>
          <w:szCs w:val="24"/>
        </w:rPr>
        <w:t xml:space="preserve">Canarias </w:t>
      </w:r>
      <w:r w:rsidRPr="001C2926">
        <w:rPr>
          <w:rFonts w:ascii="MinionPro-Regular" w:hAnsi="MinionPro-Regular"/>
          <w:sz w:val="20"/>
          <w:szCs w:val="24"/>
        </w:rPr>
        <w:t>118,72</w:t>
      </w:r>
      <w:r>
        <w:rPr>
          <w:rFonts w:ascii="MinionPro-Regular" w:hAnsi="MinionPro-Regular"/>
          <w:sz w:val="20"/>
          <w:szCs w:val="24"/>
        </w:rPr>
        <w:t>;</w:t>
      </w:r>
      <w:r w:rsidRPr="00F97A54">
        <w:rPr>
          <w:rFonts w:ascii="MinionPro-Regular" w:hAnsi="MinionPro-Regular"/>
          <w:sz w:val="20"/>
          <w:szCs w:val="24"/>
        </w:rPr>
        <w:t xml:space="preserve"> </w:t>
      </w:r>
      <w:r>
        <w:rPr>
          <w:rFonts w:ascii="MinionPro-Regular" w:hAnsi="MinionPro-Regular"/>
          <w:sz w:val="20"/>
          <w:szCs w:val="24"/>
        </w:rPr>
        <w:t xml:space="preserve">País Vasco </w:t>
      </w:r>
      <w:r w:rsidRPr="001C2926">
        <w:rPr>
          <w:rFonts w:ascii="MinionPro-Regular" w:hAnsi="MinionPro-Regular"/>
          <w:sz w:val="20"/>
          <w:szCs w:val="24"/>
        </w:rPr>
        <w:t>118,50</w:t>
      </w:r>
      <w:r>
        <w:rPr>
          <w:rFonts w:ascii="MinionPro-Regular" w:hAnsi="MinionPro-Regular"/>
          <w:sz w:val="20"/>
          <w:szCs w:val="24"/>
        </w:rPr>
        <w:t xml:space="preserve">; Madrid </w:t>
      </w:r>
      <w:r w:rsidRPr="001C2926">
        <w:rPr>
          <w:rFonts w:ascii="MinionPro-Regular" w:hAnsi="MinionPro-Regular"/>
          <w:sz w:val="20"/>
          <w:szCs w:val="24"/>
        </w:rPr>
        <w:t>113,34</w:t>
      </w:r>
      <w:r>
        <w:rPr>
          <w:rFonts w:ascii="MinionPro-Regular" w:hAnsi="MinionPro-Regular"/>
          <w:sz w:val="20"/>
          <w:szCs w:val="24"/>
        </w:rPr>
        <w:t xml:space="preserve">; Cataluña </w:t>
      </w:r>
      <w:r w:rsidRPr="001C2926">
        <w:rPr>
          <w:rFonts w:ascii="MinionPro-Regular" w:hAnsi="MinionPro-Regular"/>
          <w:sz w:val="20"/>
          <w:szCs w:val="24"/>
        </w:rPr>
        <w:t>110,64</w:t>
      </w:r>
      <w:r>
        <w:rPr>
          <w:rFonts w:ascii="MinionPro-Regular" w:hAnsi="MinionPro-Regular"/>
          <w:sz w:val="20"/>
          <w:szCs w:val="24"/>
        </w:rPr>
        <w:t>;</w:t>
      </w:r>
      <w:r w:rsidRPr="00F97A54">
        <w:rPr>
          <w:rFonts w:ascii="MinionPro-Regular" w:hAnsi="MinionPro-Regular"/>
          <w:sz w:val="20"/>
          <w:szCs w:val="24"/>
        </w:rPr>
        <w:t xml:space="preserve"> </w:t>
      </w:r>
      <w:r>
        <w:rPr>
          <w:rFonts w:ascii="MinionPro-Regular" w:hAnsi="MinionPro-Regular"/>
          <w:sz w:val="20"/>
          <w:szCs w:val="24"/>
        </w:rPr>
        <w:t xml:space="preserve">Navarra </w:t>
      </w:r>
      <w:r w:rsidRPr="001C2926">
        <w:rPr>
          <w:rFonts w:ascii="MinionPro-Regular" w:hAnsi="MinionPro-Regular"/>
          <w:sz w:val="20"/>
          <w:szCs w:val="24"/>
        </w:rPr>
        <w:t>101,55</w:t>
      </w:r>
      <w:r>
        <w:rPr>
          <w:rFonts w:ascii="MinionPro-Regular" w:hAnsi="MinionPro-Regular"/>
          <w:sz w:val="20"/>
          <w:szCs w:val="24"/>
        </w:rPr>
        <w:t>.</w:t>
      </w:r>
    </w:p>
    <w:p w:rsidR="00E2336B" w:rsidRDefault="00E2336B" w:rsidP="004D03DD">
      <w:pPr>
        <w:autoSpaceDE w:val="0"/>
        <w:autoSpaceDN w:val="0"/>
        <w:spacing w:line="360" w:lineRule="auto"/>
        <w:jc w:val="both"/>
        <w:rPr>
          <w:rFonts w:ascii="MinionPro-Regular" w:hAnsi="MinionPro-Regular"/>
          <w:sz w:val="24"/>
          <w:szCs w:val="24"/>
        </w:rPr>
      </w:pPr>
    </w:p>
    <w:p w:rsidR="00E2336B" w:rsidRDefault="00E2336B" w:rsidP="004D03DD">
      <w:pPr>
        <w:autoSpaceDE w:val="0"/>
        <w:autoSpaceDN w:val="0"/>
        <w:spacing w:line="360" w:lineRule="auto"/>
        <w:jc w:val="both"/>
        <w:rPr>
          <w:rFonts w:ascii="MinionPro-Regular" w:hAnsi="MinionPro-Regular"/>
          <w:sz w:val="24"/>
          <w:szCs w:val="24"/>
        </w:rPr>
      </w:pPr>
    </w:p>
    <w:p w:rsidR="00E2336B" w:rsidRDefault="00E2336B">
      <w:pPr>
        <w:autoSpaceDE w:val="0"/>
        <w:autoSpaceDN w:val="0"/>
        <w:spacing w:line="360" w:lineRule="auto"/>
        <w:jc w:val="both"/>
        <w:rPr>
          <w:rFonts w:ascii="MinionPro-Regular" w:hAnsi="MinionPro-Regular"/>
          <w:sz w:val="24"/>
          <w:szCs w:val="24"/>
        </w:rPr>
      </w:pPr>
      <w:r w:rsidRPr="00981369">
        <w:rPr>
          <w:rFonts w:ascii="MinionPro-Regular" w:hAnsi="MinionPro-Regular"/>
          <w:sz w:val="24"/>
          <w:szCs w:val="24"/>
        </w:rPr>
        <w:t>Adicionalmente, en un contexto en el que la inversión de la pirámide demográfica podría dificultar, a lo largo de los próximos años y décadas, el mantenimiento de los estados del bienestar en las economías avanzadas, la incorporación a la fuerza de trabajo de</w:t>
      </w:r>
      <w:r>
        <w:rPr>
          <w:rFonts w:ascii="MinionPro-Regular" w:hAnsi="MinionPro-Regular"/>
          <w:sz w:val="24"/>
          <w:szCs w:val="24"/>
        </w:rPr>
        <w:t xml:space="preserve"> </w:t>
      </w:r>
      <w:r w:rsidRPr="00981369">
        <w:rPr>
          <w:rFonts w:ascii="MinionPro-Regular" w:hAnsi="MinionPro-Regular"/>
          <w:sz w:val="24"/>
          <w:szCs w:val="24"/>
        </w:rPr>
        <w:t>las personas con discapacidad</w:t>
      </w:r>
      <w:r>
        <w:rPr>
          <w:rFonts w:ascii="MinionPro-Regular" w:hAnsi="MinionPro-Regular"/>
          <w:sz w:val="24"/>
          <w:szCs w:val="24"/>
        </w:rPr>
        <w:t>, tal y como sostiene la OCDE,</w:t>
      </w:r>
      <w:r w:rsidRPr="00981369">
        <w:rPr>
          <w:rFonts w:ascii="MinionPro-Regular" w:hAnsi="MinionPro-Regular"/>
          <w:sz w:val="24"/>
          <w:szCs w:val="24"/>
        </w:rPr>
        <w:t xml:space="preserve"> podría resultar clave. Las medidas </w:t>
      </w:r>
      <w:r>
        <w:rPr>
          <w:rFonts w:ascii="MinionPro-Regular" w:hAnsi="MinionPro-Regular"/>
          <w:sz w:val="24"/>
          <w:szCs w:val="24"/>
        </w:rPr>
        <w:t>en esta dirección podrían</w:t>
      </w:r>
      <w:r w:rsidRPr="00981369">
        <w:rPr>
          <w:rFonts w:ascii="MinionPro-Regular" w:hAnsi="MinionPro-Regular"/>
          <w:sz w:val="24"/>
          <w:szCs w:val="24"/>
        </w:rPr>
        <w:t xml:space="preserve"> suavizar la curva decreciente a la que, en ausencia de cambios bruscos en los patrones demográficos</w:t>
      </w:r>
      <w:r>
        <w:rPr>
          <w:rFonts w:ascii="MinionPro-Regular" w:hAnsi="MinionPro-Regular"/>
          <w:sz w:val="24"/>
          <w:szCs w:val="24"/>
        </w:rPr>
        <w:t xml:space="preserve"> y dado el envejecimiento de la población</w:t>
      </w:r>
      <w:r w:rsidRPr="00981369">
        <w:rPr>
          <w:rFonts w:ascii="MinionPro-Regular" w:hAnsi="MinionPro-Regular"/>
          <w:sz w:val="24"/>
          <w:szCs w:val="24"/>
        </w:rPr>
        <w:t xml:space="preserve">, está abocada </w:t>
      </w:r>
      <w:r w:rsidR="00A243B2">
        <w:rPr>
          <w:rFonts w:ascii="MinionPro-Regular" w:hAnsi="MinionPro-Regular"/>
          <w:sz w:val="24"/>
          <w:szCs w:val="24"/>
        </w:rPr>
        <w:t>la fuerza de trabajo en España.</w:t>
      </w:r>
    </w:p>
    <w:p w:rsidR="00A243B2" w:rsidRPr="005712AD" w:rsidRDefault="00A243B2">
      <w:pPr>
        <w:autoSpaceDE w:val="0"/>
        <w:autoSpaceDN w:val="0"/>
        <w:spacing w:line="360" w:lineRule="auto"/>
        <w:jc w:val="both"/>
        <w:rPr>
          <w:rFonts w:ascii="MinionPro-Regular" w:hAnsi="MinionPro-Regular"/>
          <w:sz w:val="24"/>
          <w:szCs w:val="24"/>
        </w:rPr>
      </w:pPr>
      <w:r w:rsidRPr="005712AD">
        <w:rPr>
          <w:rFonts w:ascii="MinionPro-Regular" w:hAnsi="MinionPro-Regular"/>
          <w:sz w:val="24"/>
          <w:szCs w:val="24"/>
        </w:rPr>
        <w:t xml:space="preserve">De esta manera, la proyección de </w:t>
      </w:r>
      <w:r w:rsidR="007F5D3D" w:rsidRPr="005712AD">
        <w:rPr>
          <w:rFonts w:ascii="MinionPro-Regular" w:hAnsi="MinionPro-Regular"/>
          <w:sz w:val="24"/>
          <w:szCs w:val="24"/>
        </w:rPr>
        <w:t>población activa</w:t>
      </w:r>
      <w:r w:rsidRPr="005712AD">
        <w:rPr>
          <w:rFonts w:ascii="MinionPro-Regular" w:hAnsi="MinionPro-Regular"/>
          <w:sz w:val="24"/>
          <w:szCs w:val="24"/>
        </w:rPr>
        <w:t xml:space="preserve"> en 2050, según la OCDE (2010), será mayor que la tendencia actual, en función de los distintos escenarios:</w:t>
      </w:r>
    </w:p>
    <w:p w:rsidR="007F5D3D" w:rsidRPr="005712AD" w:rsidRDefault="007F5D3D">
      <w:pPr>
        <w:autoSpaceDE w:val="0"/>
        <w:autoSpaceDN w:val="0"/>
        <w:spacing w:line="360" w:lineRule="auto"/>
        <w:jc w:val="both"/>
        <w:rPr>
          <w:rFonts w:ascii="MinionPro-Regular" w:hAnsi="MinionPro-Regular"/>
          <w:sz w:val="24"/>
          <w:szCs w:val="24"/>
        </w:rPr>
      </w:pPr>
    </w:p>
    <w:p w:rsidR="00A243B2" w:rsidRPr="005712AD" w:rsidRDefault="001A09A6" w:rsidP="0007541A">
      <w:pPr>
        <w:numPr>
          <w:ilvl w:val="0"/>
          <w:numId w:val="27"/>
        </w:numPr>
        <w:autoSpaceDE w:val="0"/>
        <w:autoSpaceDN w:val="0"/>
        <w:spacing w:line="360" w:lineRule="auto"/>
        <w:jc w:val="both"/>
        <w:rPr>
          <w:rFonts w:ascii="MinionPro-Regular" w:hAnsi="MinionPro-Regular"/>
          <w:sz w:val="24"/>
          <w:szCs w:val="24"/>
        </w:rPr>
      </w:pPr>
      <w:r w:rsidRPr="005712AD">
        <w:rPr>
          <w:rFonts w:ascii="MinionPro-Regular" w:hAnsi="MinionPro-Regular"/>
          <w:sz w:val="24"/>
          <w:szCs w:val="24"/>
        </w:rPr>
        <w:t>Igualdad de las personas con discapacidad</w:t>
      </w:r>
    </w:p>
    <w:p w:rsidR="001A09A6" w:rsidRPr="005712AD" w:rsidRDefault="001A09A6" w:rsidP="0007541A">
      <w:pPr>
        <w:numPr>
          <w:ilvl w:val="0"/>
          <w:numId w:val="27"/>
        </w:numPr>
        <w:autoSpaceDE w:val="0"/>
        <w:autoSpaceDN w:val="0"/>
        <w:spacing w:line="360" w:lineRule="auto"/>
        <w:jc w:val="both"/>
        <w:rPr>
          <w:rFonts w:ascii="MinionPro-Regular" w:hAnsi="MinionPro-Regular"/>
          <w:sz w:val="24"/>
          <w:szCs w:val="24"/>
        </w:rPr>
      </w:pPr>
      <w:r w:rsidRPr="005712AD">
        <w:rPr>
          <w:rFonts w:ascii="MinionPro-Regular" w:hAnsi="MinionPro-Regular"/>
          <w:sz w:val="24"/>
          <w:szCs w:val="24"/>
        </w:rPr>
        <w:t>Jubilación tardía</w:t>
      </w:r>
    </w:p>
    <w:p w:rsidR="001A09A6" w:rsidRPr="005712AD" w:rsidRDefault="001A09A6" w:rsidP="0007541A">
      <w:pPr>
        <w:numPr>
          <w:ilvl w:val="0"/>
          <w:numId w:val="27"/>
        </w:numPr>
        <w:autoSpaceDE w:val="0"/>
        <w:autoSpaceDN w:val="0"/>
        <w:spacing w:line="360" w:lineRule="auto"/>
        <w:jc w:val="both"/>
        <w:rPr>
          <w:rFonts w:ascii="MinionPro-Regular" w:hAnsi="MinionPro-Regular"/>
          <w:sz w:val="24"/>
          <w:szCs w:val="24"/>
        </w:rPr>
      </w:pPr>
      <w:r w:rsidRPr="005712AD">
        <w:rPr>
          <w:rFonts w:ascii="MinionPro-Regular" w:hAnsi="MinionPro-Regular"/>
          <w:sz w:val="24"/>
          <w:szCs w:val="24"/>
        </w:rPr>
        <w:t>Igualdad de género</w:t>
      </w:r>
    </w:p>
    <w:p w:rsidR="001A09A6" w:rsidRPr="005712AD" w:rsidRDefault="001A09A6" w:rsidP="001A09A6">
      <w:pPr>
        <w:autoSpaceDE w:val="0"/>
        <w:autoSpaceDN w:val="0"/>
        <w:spacing w:line="360" w:lineRule="auto"/>
        <w:jc w:val="both"/>
        <w:rPr>
          <w:rFonts w:ascii="MinionPro-Regular" w:hAnsi="MinionPro-Regular"/>
          <w:sz w:val="24"/>
          <w:szCs w:val="24"/>
        </w:rPr>
      </w:pPr>
    </w:p>
    <w:p w:rsidR="001A09A6" w:rsidRPr="005712AD" w:rsidRDefault="007F5D3D" w:rsidP="001A09A6">
      <w:pPr>
        <w:autoSpaceDE w:val="0"/>
        <w:autoSpaceDN w:val="0"/>
        <w:spacing w:line="360" w:lineRule="auto"/>
        <w:jc w:val="both"/>
        <w:rPr>
          <w:rFonts w:ascii="MinionPro-Regular" w:hAnsi="MinionPro-Regular"/>
          <w:sz w:val="24"/>
          <w:szCs w:val="24"/>
        </w:rPr>
      </w:pPr>
      <w:r w:rsidRPr="005712AD">
        <w:rPr>
          <w:rFonts w:ascii="MinionPro-Regular" w:hAnsi="MinionPro-Regular"/>
          <w:sz w:val="24"/>
          <w:szCs w:val="24"/>
        </w:rPr>
        <w:t>Es decir, si los elementos anteriores se materializan</w:t>
      </w:r>
      <w:r w:rsidR="001A09A6" w:rsidRPr="005712AD">
        <w:rPr>
          <w:rFonts w:ascii="MinionPro-Regular" w:hAnsi="MinionPro-Regular"/>
          <w:sz w:val="24"/>
          <w:szCs w:val="24"/>
        </w:rPr>
        <w:t>, o al menos alguno de ellos, en 2050 habrá mayor mano de obra que lo estimado en el estudio de mercado de la OCDE según la tendencia actual.</w:t>
      </w:r>
    </w:p>
    <w:p w:rsidR="007F5D3D" w:rsidRPr="005712AD" w:rsidRDefault="007F5D3D" w:rsidP="001A09A6">
      <w:pPr>
        <w:autoSpaceDE w:val="0"/>
        <w:autoSpaceDN w:val="0"/>
        <w:spacing w:line="360" w:lineRule="auto"/>
        <w:jc w:val="both"/>
        <w:rPr>
          <w:rFonts w:ascii="MinionPro-Regular" w:hAnsi="MinionPro-Regular"/>
          <w:sz w:val="24"/>
          <w:szCs w:val="24"/>
        </w:rPr>
      </w:pPr>
    </w:p>
    <w:p w:rsidR="0097472E" w:rsidRPr="005712AD" w:rsidRDefault="001A09A6">
      <w:pPr>
        <w:autoSpaceDE w:val="0"/>
        <w:autoSpaceDN w:val="0"/>
        <w:spacing w:line="360" w:lineRule="auto"/>
        <w:jc w:val="both"/>
        <w:rPr>
          <w:rFonts w:ascii="MinionPro-Regular" w:hAnsi="MinionPro-Regular"/>
          <w:sz w:val="24"/>
          <w:szCs w:val="24"/>
        </w:rPr>
      </w:pPr>
      <w:r w:rsidRPr="005712AD">
        <w:rPr>
          <w:rFonts w:ascii="MinionPro-Regular" w:hAnsi="MinionPro-Regular"/>
          <w:sz w:val="24"/>
          <w:szCs w:val="24"/>
        </w:rPr>
        <w:t>El estudio de mercado establece una cifra inferior a</w:t>
      </w:r>
      <w:r w:rsidR="007F5D3D" w:rsidRPr="005712AD">
        <w:rPr>
          <w:rFonts w:ascii="MinionPro-Regular" w:hAnsi="MinionPro-Regular"/>
          <w:sz w:val="24"/>
          <w:szCs w:val="24"/>
        </w:rPr>
        <w:t xml:space="preserve"> 20 millones de trabajadores</w:t>
      </w:r>
      <w:r w:rsidRPr="005712AD">
        <w:rPr>
          <w:rFonts w:ascii="MinionPro-Regular" w:hAnsi="MinionPro-Regular"/>
          <w:sz w:val="24"/>
          <w:szCs w:val="24"/>
        </w:rPr>
        <w:t xml:space="preserve">, sin embargo, si se promueve la igualdad de las personas con discapacidad en el acceso al </w:t>
      </w:r>
      <w:r w:rsidRPr="005712AD">
        <w:rPr>
          <w:rFonts w:ascii="MinionPro-Regular" w:hAnsi="MinionPro-Regular"/>
          <w:sz w:val="24"/>
          <w:szCs w:val="24"/>
        </w:rPr>
        <w:lastRenderedPageBreak/>
        <w:t>empleo, esta cifra podría incrementa</w:t>
      </w:r>
      <w:r w:rsidR="007F5D3D" w:rsidRPr="005712AD">
        <w:rPr>
          <w:rFonts w:ascii="MinionPro-Regular" w:hAnsi="MinionPro-Regular"/>
          <w:sz w:val="24"/>
          <w:szCs w:val="24"/>
        </w:rPr>
        <w:t>rse</w:t>
      </w:r>
      <w:r w:rsidRPr="005712AD">
        <w:rPr>
          <w:rFonts w:ascii="MinionPro-Regular" w:hAnsi="MinionPro-Regular"/>
          <w:sz w:val="24"/>
          <w:szCs w:val="24"/>
        </w:rPr>
        <w:t xml:space="preserve"> </w:t>
      </w:r>
      <w:r w:rsidR="007F5D3D" w:rsidRPr="005712AD">
        <w:rPr>
          <w:rFonts w:ascii="MinionPro-Regular" w:hAnsi="MinionPro-Regular"/>
          <w:sz w:val="24"/>
          <w:szCs w:val="24"/>
        </w:rPr>
        <w:t>hasta los 21 millones</w:t>
      </w:r>
      <w:r w:rsidRPr="005712AD">
        <w:rPr>
          <w:rFonts w:ascii="MinionPro-Regular" w:hAnsi="MinionPro-Regular"/>
          <w:sz w:val="24"/>
          <w:szCs w:val="24"/>
        </w:rPr>
        <w:t>; si se aplica la jubilación tardía sobre la población en edad de trabajar, el efecto no es muy brusco pero sería superior a la última cifra proporcionada. Y, por último, si se lograse la igualdad de género, la población total ocupad</w:t>
      </w:r>
      <w:r w:rsidR="008C1CF5" w:rsidRPr="005712AD">
        <w:rPr>
          <w:rFonts w:ascii="MinionPro-Regular" w:hAnsi="MinionPro-Regular"/>
          <w:sz w:val="24"/>
          <w:szCs w:val="24"/>
        </w:rPr>
        <w:t xml:space="preserve">a se incrementaría en 2050 a alrededor de </w:t>
      </w:r>
      <w:r w:rsidR="007F5D3D" w:rsidRPr="005712AD">
        <w:rPr>
          <w:rFonts w:ascii="MinionPro-Regular" w:hAnsi="MinionPro-Regular"/>
          <w:sz w:val="24"/>
          <w:szCs w:val="24"/>
        </w:rPr>
        <w:t>23 millones.</w:t>
      </w:r>
    </w:p>
    <w:p w:rsidR="006204C4" w:rsidRPr="005712AD" w:rsidRDefault="006204C4">
      <w:pPr>
        <w:autoSpaceDE w:val="0"/>
        <w:autoSpaceDN w:val="0"/>
        <w:spacing w:line="360" w:lineRule="auto"/>
        <w:jc w:val="both"/>
        <w:rPr>
          <w:rFonts w:ascii="MinionPro-Regular" w:hAnsi="MinionPro-Regular"/>
          <w:sz w:val="24"/>
          <w:szCs w:val="24"/>
        </w:rPr>
      </w:pPr>
    </w:p>
    <w:p w:rsidR="006204C4" w:rsidRPr="0007541A" w:rsidRDefault="006204C4">
      <w:pPr>
        <w:autoSpaceDE w:val="0"/>
        <w:autoSpaceDN w:val="0"/>
        <w:spacing w:line="360" w:lineRule="auto"/>
        <w:jc w:val="both"/>
        <w:rPr>
          <w:rFonts w:ascii="MinionPro-Regular" w:hAnsi="MinionPro-Regular"/>
          <w:sz w:val="24"/>
          <w:szCs w:val="24"/>
        </w:rPr>
      </w:pPr>
    </w:p>
    <w:p w:rsidR="006204C4" w:rsidRDefault="006204C4">
      <w:pPr>
        <w:autoSpaceDE w:val="0"/>
        <w:autoSpaceDN w:val="0"/>
        <w:spacing w:line="360" w:lineRule="auto"/>
        <w:jc w:val="both"/>
        <w:rPr>
          <w:rFonts w:ascii="MinionPro-Regular" w:hAnsi="MinionPro-Regular"/>
          <w:color w:val="4F81BD" w:themeColor="accent1"/>
          <w:sz w:val="24"/>
          <w:szCs w:val="24"/>
        </w:rPr>
      </w:pPr>
    </w:p>
    <w:p w:rsidR="006204C4" w:rsidRDefault="006204C4">
      <w:pPr>
        <w:autoSpaceDE w:val="0"/>
        <w:autoSpaceDN w:val="0"/>
        <w:spacing w:line="360" w:lineRule="auto"/>
        <w:jc w:val="both"/>
        <w:rPr>
          <w:rFonts w:ascii="MinionPro-Regular" w:hAnsi="MinionPro-Regular"/>
          <w:color w:val="4F81BD" w:themeColor="accent1"/>
          <w:sz w:val="24"/>
          <w:szCs w:val="24"/>
        </w:rPr>
      </w:pPr>
    </w:p>
    <w:p w:rsidR="006204C4" w:rsidRDefault="006204C4">
      <w:pPr>
        <w:autoSpaceDE w:val="0"/>
        <w:autoSpaceDN w:val="0"/>
        <w:spacing w:line="360" w:lineRule="auto"/>
        <w:jc w:val="both"/>
        <w:rPr>
          <w:rFonts w:ascii="MinionPro-Regular" w:hAnsi="MinionPro-Regular"/>
          <w:color w:val="4F81BD" w:themeColor="accent1"/>
          <w:sz w:val="24"/>
          <w:szCs w:val="24"/>
        </w:rPr>
      </w:pPr>
    </w:p>
    <w:p w:rsidR="006204C4" w:rsidRDefault="006204C4">
      <w:pPr>
        <w:autoSpaceDE w:val="0"/>
        <w:autoSpaceDN w:val="0"/>
        <w:spacing w:line="360" w:lineRule="auto"/>
        <w:jc w:val="both"/>
        <w:rPr>
          <w:rFonts w:ascii="MinionPro-Regular" w:hAnsi="MinionPro-Regular"/>
          <w:color w:val="4F81BD" w:themeColor="accent1"/>
          <w:sz w:val="24"/>
          <w:szCs w:val="24"/>
        </w:rPr>
      </w:pPr>
    </w:p>
    <w:p w:rsidR="006204C4" w:rsidRDefault="006204C4">
      <w:pPr>
        <w:autoSpaceDE w:val="0"/>
        <w:autoSpaceDN w:val="0"/>
        <w:spacing w:line="360" w:lineRule="auto"/>
        <w:jc w:val="both"/>
        <w:rPr>
          <w:rFonts w:ascii="MinionPro-Regular" w:hAnsi="MinionPro-Regular"/>
          <w:color w:val="4F81BD" w:themeColor="accent1"/>
          <w:sz w:val="24"/>
          <w:szCs w:val="24"/>
        </w:rPr>
      </w:pPr>
    </w:p>
    <w:p w:rsidR="006204C4" w:rsidRDefault="006204C4">
      <w:pPr>
        <w:autoSpaceDE w:val="0"/>
        <w:autoSpaceDN w:val="0"/>
        <w:spacing w:line="360" w:lineRule="auto"/>
        <w:jc w:val="both"/>
        <w:rPr>
          <w:rFonts w:ascii="MinionPro-Regular" w:hAnsi="MinionPro-Regular"/>
          <w:color w:val="4F81BD" w:themeColor="accent1"/>
          <w:sz w:val="24"/>
          <w:szCs w:val="24"/>
        </w:rPr>
      </w:pPr>
    </w:p>
    <w:p w:rsidR="006204C4" w:rsidRDefault="006204C4">
      <w:pPr>
        <w:autoSpaceDE w:val="0"/>
        <w:autoSpaceDN w:val="0"/>
        <w:spacing w:line="360" w:lineRule="auto"/>
        <w:jc w:val="both"/>
        <w:rPr>
          <w:rFonts w:ascii="MinionPro-Regular" w:hAnsi="MinionPro-Regular"/>
          <w:color w:val="4F81BD" w:themeColor="accent1"/>
          <w:sz w:val="24"/>
          <w:szCs w:val="24"/>
        </w:rPr>
      </w:pPr>
    </w:p>
    <w:p w:rsidR="006204C4" w:rsidRDefault="006204C4">
      <w:pPr>
        <w:autoSpaceDE w:val="0"/>
        <w:autoSpaceDN w:val="0"/>
        <w:spacing w:line="360" w:lineRule="auto"/>
        <w:jc w:val="both"/>
        <w:rPr>
          <w:rFonts w:ascii="MinionPro-Regular" w:hAnsi="MinionPro-Regular"/>
          <w:color w:val="4F81BD" w:themeColor="accent1"/>
          <w:sz w:val="24"/>
          <w:szCs w:val="24"/>
        </w:rPr>
      </w:pPr>
    </w:p>
    <w:p w:rsidR="006204C4" w:rsidRPr="006204C4" w:rsidRDefault="006204C4">
      <w:pPr>
        <w:autoSpaceDE w:val="0"/>
        <w:autoSpaceDN w:val="0"/>
        <w:spacing w:line="360" w:lineRule="auto"/>
        <w:jc w:val="both"/>
        <w:rPr>
          <w:rFonts w:ascii="MinionPro-Regular" w:hAnsi="MinionPro-Regular"/>
          <w:color w:val="4F81BD" w:themeColor="accent1"/>
          <w:sz w:val="24"/>
          <w:szCs w:val="24"/>
        </w:rPr>
      </w:pPr>
    </w:p>
    <w:p w:rsidR="00E2336B" w:rsidRPr="005F517D" w:rsidRDefault="00E2336B">
      <w:pPr>
        <w:pBdr>
          <w:top w:val="single" w:sz="4" w:space="1" w:color="auto"/>
        </w:pBdr>
        <w:autoSpaceDE w:val="0"/>
        <w:autoSpaceDN w:val="0"/>
        <w:spacing w:line="360" w:lineRule="auto"/>
        <w:jc w:val="both"/>
        <w:rPr>
          <w:rFonts w:ascii="MinionPro-Regular" w:hAnsi="MinionPro-Regular"/>
          <w:sz w:val="24"/>
          <w:szCs w:val="24"/>
        </w:rPr>
      </w:pPr>
      <w:r w:rsidRPr="005F517D">
        <w:rPr>
          <w:rFonts w:ascii="MinionPro-Regular" w:hAnsi="MinionPro-Regular"/>
          <w:sz w:val="20"/>
          <w:szCs w:val="24"/>
        </w:rPr>
        <w:t xml:space="preserve">Proyección de la mano de obra de acuerdo a </w:t>
      </w:r>
      <w:r w:rsidR="001A09A6" w:rsidRPr="005F517D">
        <w:rPr>
          <w:rFonts w:ascii="MinionPro-Regular" w:hAnsi="MinionPro-Regular"/>
          <w:sz w:val="20"/>
          <w:szCs w:val="24"/>
        </w:rPr>
        <w:t>tres</w:t>
      </w:r>
      <w:r w:rsidRPr="005F517D">
        <w:rPr>
          <w:rFonts w:ascii="MinionPro-Regular" w:hAnsi="MinionPro-Regular"/>
          <w:sz w:val="20"/>
          <w:szCs w:val="24"/>
        </w:rPr>
        <w:t xml:space="preserve"> escenarios diferentes de </w:t>
      </w:r>
      <w:r w:rsidR="001A09A6" w:rsidRPr="005F517D">
        <w:rPr>
          <w:rFonts w:ascii="MinionPro-Regular" w:hAnsi="MinionPro-Regular"/>
          <w:sz w:val="20"/>
          <w:szCs w:val="24"/>
        </w:rPr>
        <w:t>tasas de participación en el mercado laboral de personas con discapacidad</w:t>
      </w:r>
      <w:r w:rsidRPr="005F517D">
        <w:rPr>
          <w:rFonts w:ascii="MinionPro-Regular" w:hAnsi="MinionPro-Regular"/>
          <w:sz w:val="20"/>
          <w:szCs w:val="24"/>
        </w:rPr>
        <w:t>, género y</w:t>
      </w:r>
      <w:r w:rsidR="001A09A6" w:rsidRPr="005F517D">
        <w:rPr>
          <w:rFonts w:ascii="MinionPro-Regular" w:hAnsi="MinionPro-Regular"/>
          <w:sz w:val="20"/>
          <w:szCs w:val="24"/>
        </w:rPr>
        <w:t xml:space="preserve"> jubilación tardía</w:t>
      </w:r>
      <w:r w:rsidRPr="005F517D">
        <w:rPr>
          <w:rFonts w:ascii="MinionPro-Regular" w:hAnsi="MinionPro-Regular"/>
          <w:sz w:val="20"/>
          <w:szCs w:val="24"/>
        </w:rPr>
        <w:t xml:space="preserve"> en España, 1980-2050 (en miles).</w:t>
      </w:r>
    </w:p>
    <w:p w:rsidR="00E2336B" w:rsidRDefault="00E1516B" w:rsidP="008C67CB">
      <w:pPr>
        <w:autoSpaceDE w:val="0"/>
        <w:autoSpaceDN w:val="0"/>
        <w:spacing w:line="360" w:lineRule="auto"/>
        <w:rPr>
          <w:rFonts w:ascii="MinionPro-Regular" w:hAnsi="MinionPro-Regular"/>
          <w:i/>
          <w:sz w:val="24"/>
          <w:szCs w:val="24"/>
        </w:rPr>
      </w:pPr>
      <w:r>
        <w:rPr>
          <w:rFonts w:ascii="MinionPro-Regular" w:hAnsi="MinionPro-Regular"/>
          <w:i/>
          <w:noProof/>
          <w:sz w:val="24"/>
          <w:szCs w:val="24"/>
          <w:lang w:eastAsia="es-ES"/>
        </w:rPr>
        <w:lastRenderedPageBreak/>
        <w:drawing>
          <wp:inline distT="0" distB="0" distL="0" distR="0">
            <wp:extent cx="3830320" cy="2665730"/>
            <wp:effectExtent l="0" t="0" r="0" b="0"/>
            <wp:docPr id="13" name="Picture 1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E2336B" w:rsidRDefault="00E2336B" w:rsidP="008C67CB">
      <w:pPr>
        <w:pBdr>
          <w:bottom w:val="single" w:sz="4" w:space="1" w:color="auto"/>
        </w:pBdr>
        <w:autoSpaceDE w:val="0"/>
        <w:autoSpaceDN w:val="0"/>
        <w:spacing w:line="360" w:lineRule="auto"/>
        <w:jc w:val="both"/>
        <w:rPr>
          <w:rFonts w:ascii="MinionPro-Regular" w:hAnsi="MinionPro-Regular"/>
          <w:sz w:val="20"/>
          <w:szCs w:val="24"/>
        </w:rPr>
      </w:pPr>
      <w:r>
        <w:rPr>
          <w:rFonts w:ascii="MinionPro-Regular" w:hAnsi="MinionPro-Regular"/>
          <w:sz w:val="20"/>
          <w:szCs w:val="24"/>
        </w:rPr>
        <w:t xml:space="preserve">Fuente: </w:t>
      </w:r>
      <w:r w:rsidRPr="0069727C">
        <w:rPr>
          <w:rFonts w:ascii="MinionPro-Regular" w:hAnsi="MinionPro-Regular"/>
          <w:sz w:val="20"/>
          <w:szCs w:val="24"/>
        </w:rPr>
        <w:t xml:space="preserve">Elaboración propia a partir de los datos </w:t>
      </w:r>
      <w:r>
        <w:rPr>
          <w:rFonts w:ascii="MinionPro-Regular" w:hAnsi="MinionPro-Regular"/>
          <w:sz w:val="20"/>
          <w:szCs w:val="24"/>
        </w:rPr>
        <w:t>de</w:t>
      </w:r>
      <w:r w:rsidRPr="0069727C">
        <w:rPr>
          <w:rFonts w:ascii="MinionPro-Regular" w:hAnsi="MinionPro-Regular"/>
          <w:sz w:val="20"/>
          <w:szCs w:val="24"/>
        </w:rPr>
        <w:t xml:space="preserve"> Sickness, disability and work</w:t>
      </w:r>
      <w:r>
        <w:rPr>
          <w:rFonts w:ascii="MinionPro-Regular" w:hAnsi="MinionPro-Regular"/>
          <w:sz w:val="20"/>
          <w:szCs w:val="24"/>
        </w:rPr>
        <w:t xml:space="preserve">. </w:t>
      </w:r>
      <w:r w:rsidRPr="0069727C">
        <w:rPr>
          <w:rFonts w:ascii="MinionPro-Regular" w:hAnsi="MinionPro-Regular"/>
          <w:sz w:val="20"/>
          <w:szCs w:val="24"/>
        </w:rPr>
        <w:t>OCDE</w:t>
      </w:r>
      <w:r>
        <w:rPr>
          <w:rFonts w:ascii="MinionPro-Regular" w:hAnsi="MinionPro-Regular"/>
          <w:sz w:val="20"/>
          <w:szCs w:val="24"/>
        </w:rPr>
        <w:t>. 2010.</w:t>
      </w:r>
    </w:p>
    <w:p w:rsidR="00E2336B" w:rsidRPr="00387E83" w:rsidRDefault="00E2336B" w:rsidP="008C67CB">
      <w:pPr>
        <w:pBdr>
          <w:bottom w:val="single" w:sz="4" w:space="1" w:color="auto"/>
        </w:pBdr>
        <w:autoSpaceDE w:val="0"/>
        <w:autoSpaceDN w:val="0"/>
        <w:spacing w:line="360" w:lineRule="auto"/>
        <w:jc w:val="both"/>
        <w:rPr>
          <w:rFonts w:ascii="MinionPro-Regular" w:hAnsi="MinionPro-Regular"/>
          <w:sz w:val="20"/>
        </w:rPr>
      </w:pPr>
      <w:r w:rsidRPr="001B0FD3">
        <w:rPr>
          <w:rFonts w:ascii="MinionPro-Regular" w:hAnsi="MinionPro-Regular"/>
          <w:sz w:val="20"/>
          <w:szCs w:val="24"/>
        </w:rPr>
        <w:t xml:space="preserve">Nota explicativa de la gráfica: </w:t>
      </w:r>
      <w:r>
        <w:rPr>
          <w:rFonts w:ascii="MinionPro-Regular" w:hAnsi="MinionPro-Regular"/>
          <w:sz w:val="20"/>
          <w:szCs w:val="24"/>
        </w:rPr>
        <w:t>La proyección de la mano de obra en 2050 será mayor que la tendencia actual si se lleva a cabo la igualdad de las personas con discapacidad, mayor aún si</w:t>
      </w:r>
      <w:r w:rsidR="001A09A6" w:rsidRPr="001A09A6">
        <w:rPr>
          <w:rFonts w:ascii="MinionPro-Regular" w:hAnsi="MinionPro-Regular"/>
          <w:sz w:val="20"/>
          <w:szCs w:val="24"/>
        </w:rPr>
        <w:t xml:space="preserve"> </w:t>
      </w:r>
      <w:r w:rsidR="001A09A6">
        <w:rPr>
          <w:rFonts w:ascii="MinionPro-Regular" w:hAnsi="MinionPro-Regular"/>
          <w:sz w:val="20"/>
          <w:szCs w:val="24"/>
        </w:rPr>
        <w:t>se lleva a cabo la jubilación tardía</w:t>
      </w:r>
      <w:r>
        <w:rPr>
          <w:rFonts w:ascii="MinionPro-Regular" w:hAnsi="MinionPro-Regular"/>
          <w:sz w:val="20"/>
          <w:szCs w:val="24"/>
        </w:rPr>
        <w:t xml:space="preserve"> y todavía más alta</w:t>
      </w:r>
      <w:r w:rsidR="006204C4">
        <w:rPr>
          <w:rFonts w:ascii="MinionPro-Regular" w:hAnsi="MinionPro-Regular"/>
          <w:sz w:val="20"/>
          <w:szCs w:val="24"/>
        </w:rPr>
        <w:t xml:space="preserve"> si se produce</w:t>
      </w:r>
      <w:r w:rsidR="001A09A6">
        <w:rPr>
          <w:rFonts w:ascii="MinionPro-Regular" w:hAnsi="MinionPro-Regular"/>
          <w:sz w:val="20"/>
          <w:szCs w:val="24"/>
        </w:rPr>
        <w:t xml:space="preserve"> la igualdad de género</w:t>
      </w:r>
      <w:r>
        <w:rPr>
          <w:rFonts w:ascii="MinionPro-Regular" w:hAnsi="MinionPro-Regular"/>
          <w:sz w:val="20"/>
          <w:szCs w:val="24"/>
        </w:rPr>
        <w:t xml:space="preserve">. </w:t>
      </w:r>
    </w:p>
    <w:p w:rsidR="00E2336B" w:rsidRDefault="00E2336B" w:rsidP="004D03DD">
      <w:pPr>
        <w:autoSpaceDE w:val="0"/>
        <w:autoSpaceDN w:val="0"/>
        <w:spacing w:line="360" w:lineRule="auto"/>
        <w:jc w:val="both"/>
        <w:rPr>
          <w:rFonts w:ascii="MinionPro-Regular" w:hAnsi="MinionPro-Regular"/>
          <w:sz w:val="24"/>
          <w:szCs w:val="24"/>
        </w:rPr>
      </w:pPr>
    </w:p>
    <w:p w:rsidR="00E2336B" w:rsidRDefault="00E2336B" w:rsidP="008C67CB">
      <w:pPr>
        <w:pBdr>
          <w:bottom w:val="single" w:sz="4" w:space="1" w:color="auto"/>
        </w:pBdr>
        <w:autoSpaceDE w:val="0"/>
        <w:autoSpaceDN w:val="0"/>
        <w:spacing w:line="360" w:lineRule="auto"/>
        <w:jc w:val="both"/>
        <w:rPr>
          <w:rFonts w:ascii="MinionPro-Regular" w:hAnsi="MinionPro-Regular"/>
          <w:sz w:val="24"/>
          <w:szCs w:val="24"/>
        </w:rPr>
      </w:pPr>
      <w:r>
        <w:rPr>
          <w:rFonts w:ascii="MinionPro-Regular" w:hAnsi="MinionPro-Regular"/>
          <w:sz w:val="24"/>
          <w:szCs w:val="24"/>
        </w:rPr>
        <w:t>No debemos olvidar que, además del envejecimiento que está sufriendo la población en general, el número de personas con discapacidad aumenta con la edad.</w:t>
      </w:r>
    </w:p>
    <w:p w:rsidR="00E2336B" w:rsidRDefault="00E2336B" w:rsidP="008C67CB">
      <w:pPr>
        <w:pBdr>
          <w:bottom w:val="single" w:sz="4" w:space="1" w:color="auto"/>
        </w:pBdr>
        <w:autoSpaceDE w:val="0"/>
        <w:autoSpaceDN w:val="0"/>
        <w:spacing w:line="360" w:lineRule="auto"/>
        <w:jc w:val="both"/>
        <w:rPr>
          <w:rFonts w:ascii="MinionPro-Regular" w:hAnsi="MinionPro-Regular"/>
          <w:sz w:val="24"/>
          <w:szCs w:val="24"/>
        </w:rPr>
      </w:pPr>
    </w:p>
    <w:p w:rsidR="006204C4" w:rsidRDefault="006204C4" w:rsidP="008C67CB">
      <w:pPr>
        <w:pBdr>
          <w:bottom w:val="single" w:sz="4" w:space="1" w:color="auto"/>
        </w:pBdr>
        <w:autoSpaceDE w:val="0"/>
        <w:autoSpaceDN w:val="0"/>
        <w:spacing w:line="360" w:lineRule="auto"/>
        <w:jc w:val="both"/>
        <w:rPr>
          <w:rFonts w:ascii="MinionPro-Regular" w:hAnsi="MinionPro-Regular"/>
          <w:sz w:val="24"/>
          <w:szCs w:val="24"/>
        </w:rPr>
      </w:pPr>
    </w:p>
    <w:p w:rsidR="006204C4" w:rsidRDefault="006204C4" w:rsidP="008C67CB">
      <w:pPr>
        <w:pBdr>
          <w:bottom w:val="single" w:sz="4" w:space="1" w:color="auto"/>
        </w:pBdr>
        <w:autoSpaceDE w:val="0"/>
        <w:autoSpaceDN w:val="0"/>
        <w:spacing w:line="360" w:lineRule="auto"/>
        <w:jc w:val="both"/>
        <w:rPr>
          <w:rFonts w:ascii="MinionPro-Regular" w:hAnsi="MinionPro-Regular"/>
          <w:sz w:val="24"/>
          <w:szCs w:val="24"/>
        </w:rPr>
      </w:pPr>
    </w:p>
    <w:p w:rsidR="006204C4" w:rsidRDefault="006204C4" w:rsidP="008C67CB">
      <w:pPr>
        <w:pBdr>
          <w:bottom w:val="single" w:sz="4" w:space="1" w:color="auto"/>
        </w:pBdr>
        <w:autoSpaceDE w:val="0"/>
        <w:autoSpaceDN w:val="0"/>
        <w:spacing w:line="360" w:lineRule="auto"/>
        <w:jc w:val="both"/>
        <w:rPr>
          <w:rFonts w:ascii="MinionPro-Regular" w:hAnsi="MinionPro-Regular"/>
          <w:sz w:val="24"/>
          <w:szCs w:val="24"/>
        </w:rPr>
      </w:pPr>
    </w:p>
    <w:p w:rsidR="006204C4" w:rsidRDefault="006204C4" w:rsidP="008C67CB">
      <w:pPr>
        <w:pBdr>
          <w:bottom w:val="single" w:sz="4" w:space="1" w:color="auto"/>
        </w:pBdr>
        <w:autoSpaceDE w:val="0"/>
        <w:autoSpaceDN w:val="0"/>
        <w:spacing w:line="360" w:lineRule="auto"/>
        <w:jc w:val="both"/>
        <w:rPr>
          <w:rFonts w:ascii="MinionPro-Regular" w:hAnsi="MinionPro-Regular"/>
          <w:sz w:val="24"/>
          <w:szCs w:val="24"/>
        </w:rPr>
      </w:pPr>
    </w:p>
    <w:p w:rsidR="006204C4" w:rsidRDefault="006204C4" w:rsidP="008C67CB">
      <w:pPr>
        <w:pBdr>
          <w:bottom w:val="single" w:sz="4" w:space="1" w:color="auto"/>
        </w:pBdr>
        <w:autoSpaceDE w:val="0"/>
        <w:autoSpaceDN w:val="0"/>
        <w:spacing w:line="360" w:lineRule="auto"/>
        <w:jc w:val="both"/>
        <w:rPr>
          <w:rFonts w:ascii="MinionPro-Regular" w:hAnsi="MinionPro-Regular"/>
          <w:sz w:val="24"/>
          <w:szCs w:val="24"/>
        </w:rPr>
      </w:pPr>
    </w:p>
    <w:p w:rsidR="006204C4" w:rsidRDefault="006204C4" w:rsidP="008C67CB">
      <w:pPr>
        <w:pBdr>
          <w:bottom w:val="single" w:sz="4" w:space="1" w:color="auto"/>
        </w:pBdr>
        <w:autoSpaceDE w:val="0"/>
        <w:autoSpaceDN w:val="0"/>
        <w:spacing w:line="360" w:lineRule="auto"/>
        <w:jc w:val="both"/>
        <w:rPr>
          <w:rFonts w:ascii="MinionPro-Regular" w:hAnsi="MinionPro-Regular"/>
          <w:sz w:val="24"/>
          <w:szCs w:val="24"/>
        </w:rPr>
      </w:pPr>
    </w:p>
    <w:p w:rsidR="006204C4" w:rsidRDefault="006204C4" w:rsidP="008C67CB">
      <w:pPr>
        <w:pBdr>
          <w:bottom w:val="single" w:sz="4" w:space="1" w:color="auto"/>
        </w:pBdr>
        <w:autoSpaceDE w:val="0"/>
        <w:autoSpaceDN w:val="0"/>
        <w:spacing w:line="360" w:lineRule="auto"/>
        <w:jc w:val="both"/>
        <w:rPr>
          <w:rFonts w:ascii="MinionPro-Regular" w:hAnsi="MinionPro-Regular"/>
          <w:sz w:val="24"/>
          <w:szCs w:val="24"/>
        </w:rPr>
      </w:pPr>
    </w:p>
    <w:p w:rsidR="006204C4" w:rsidRDefault="006204C4" w:rsidP="008C67CB">
      <w:pPr>
        <w:pBdr>
          <w:bottom w:val="single" w:sz="4" w:space="1" w:color="auto"/>
        </w:pBdr>
        <w:autoSpaceDE w:val="0"/>
        <w:autoSpaceDN w:val="0"/>
        <w:spacing w:line="360" w:lineRule="auto"/>
        <w:jc w:val="both"/>
        <w:rPr>
          <w:rFonts w:ascii="MinionPro-Regular" w:hAnsi="MinionPro-Regular"/>
          <w:sz w:val="24"/>
          <w:szCs w:val="24"/>
        </w:rPr>
      </w:pPr>
    </w:p>
    <w:p w:rsidR="006204C4" w:rsidRDefault="006204C4" w:rsidP="008C67CB">
      <w:pPr>
        <w:pBdr>
          <w:bottom w:val="single" w:sz="4" w:space="1" w:color="auto"/>
        </w:pBdr>
        <w:autoSpaceDE w:val="0"/>
        <w:autoSpaceDN w:val="0"/>
        <w:spacing w:line="360" w:lineRule="auto"/>
        <w:jc w:val="both"/>
        <w:rPr>
          <w:rFonts w:ascii="MinionPro-Regular" w:hAnsi="MinionPro-Regular"/>
          <w:sz w:val="24"/>
          <w:szCs w:val="24"/>
        </w:rPr>
      </w:pPr>
    </w:p>
    <w:p w:rsidR="0007541A" w:rsidRDefault="0007541A" w:rsidP="008C67CB">
      <w:pPr>
        <w:pBdr>
          <w:bottom w:val="single" w:sz="4" w:space="1" w:color="auto"/>
        </w:pBdr>
        <w:autoSpaceDE w:val="0"/>
        <w:autoSpaceDN w:val="0"/>
        <w:spacing w:line="360" w:lineRule="auto"/>
        <w:jc w:val="both"/>
        <w:rPr>
          <w:rFonts w:ascii="MinionPro-Regular" w:hAnsi="MinionPro-Regular"/>
          <w:sz w:val="24"/>
          <w:szCs w:val="24"/>
        </w:rPr>
      </w:pPr>
    </w:p>
    <w:p w:rsidR="00E2336B" w:rsidRDefault="00E2336B" w:rsidP="008C1CF5">
      <w:pPr>
        <w:autoSpaceDE w:val="0"/>
        <w:autoSpaceDN w:val="0"/>
        <w:spacing w:line="360" w:lineRule="auto"/>
        <w:jc w:val="both"/>
        <w:rPr>
          <w:rFonts w:ascii="MinionPro-Regular" w:hAnsi="MinionPro-Regular"/>
          <w:sz w:val="24"/>
          <w:szCs w:val="24"/>
        </w:rPr>
      </w:pPr>
      <w:r>
        <w:rPr>
          <w:rFonts w:ascii="MinionPro-Regular" w:hAnsi="MinionPro-Regular"/>
          <w:sz w:val="20"/>
          <w:szCs w:val="24"/>
        </w:rPr>
        <w:t>Tasa de personas con algún tipo de discapacidad por cada mil habitantes en función de los tramos de edad. Datos a 2008.</w:t>
      </w:r>
    </w:p>
    <w:p w:rsidR="00E2336B" w:rsidRDefault="00E1516B" w:rsidP="008C67CB">
      <w:pPr>
        <w:autoSpaceDE w:val="0"/>
        <w:autoSpaceDN w:val="0"/>
        <w:spacing w:line="360" w:lineRule="auto"/>
        <w:jc w:val="both"/>
        <w:rPr>
          <w:rFonts w:ascii="MinionPro-Regular" w:hAnsi="MinionPro-Regular"/>
          <w:sz w:val="24"/>
          <w:szCs w:val="24"/>
        </w:rPr>
      </w:pPr>
      <w:r>
        <w:rPr>
          <w:rFonts w:ascii="MinionPro-Regular" w:hAnsi="MinionPro-Regular"/>
          <w:noProof/>
          <w:sz w:val="24"/>
          <w:szCs w:val="24"/>
          <w:lang w:eastAsia="es-ES"/>
        </w:rPr>
        <w:drawing>
          <wp:inline distT="0" distB="0" distL="0" distR="0">
            <wp:extent cx="4848225" cy="2208530"/>
            <wp:effectExtent l="0" t="0" r="0" b="0"/>
            <wp:docPr id="14" name="Picture 1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E2336B" w:rsidRDefault="00E2336B" w:rsidP="008C67CB">
      <w:pPr>
        <w:pBdr>
          <w:bottom w:val="single" w:sz="4" w:space="1" w:color="auto"/>
        </w:pBdr>
        <w:autoSpaceDE w:val="0"/>
        <w:autoSpaceDN w:val="0"/>
        <w:spacing w:line="360" w:lineRule="auto"/>
        <w:jc w:val="both"/>
        <w:rPr>
          <w:rFonts w:ascii="MinionPro-Regular" w:hAnsi="MinionPro-Regular"/>
          <w:sz w:val="20"/>
          <w:szCs w:val="24"/>
        </w:rPr>
      </w:pPr>
      <w:r>
        <w:rPr>
          <w:rFonts w:ascii="MinionPro-Regular" w:hAnsi="MinionPro-Regular"/>
          <w:sz w:val="20"/>
          <w:szCs w:val="24"/>
        </w:rPr>
        <w:t xml:space="preserve">Fuente: </w:t>
      </w:r>
      <w:r w:rsidRPr="0069727C">
        <w:rPr>
          <w:rFonts w:ascii="MinionPro-Regular" w:hAnsi="MinionPro-Regular"/>
          <w:sz w:val="20"/>
          <w:szCs w:val="24"/>
        </w:rPr>
        <w:t xml:space="preserve">Elaboración propia a partir de los datos </w:t>
      </w:r>
      <w:r>
        <w:rPr>
          <w:rFonts w:ascii="MinionPro-Regular" w:hAnsi="MinionPro-Regular"/>
          <w:sz w:val="20"/>
          <w:szCs w:val="24"/>
        </w:rPr>
        <w:t>del INE.</w:t>
      </w:r>
    </w:p>
    <w:p w:rsidR="00E2336B" w:rsidRDefault="00E2336B" w:rsidP="008C67CB">
      <w:pPr>
        <w:pBdr>
          <w:bottom w:val="single" w:sz="4" w:space="1" w:color="auto"/>
        </w:pBdr>
        <w:autoSpaceDE w:val="0"/>
        <w:autoSpaceDN w:val="0"/>
        <w:spacing w:line="360" w:lineRule="auto"/>
        <w:jc w:val="both"/>
        <w:rPr>
          <w:rFonts w:ascii="MinionPro-Regular" w:hAnsi="MinionPro-Regular"/>
          <w:sz w:val="20"/>
          <w:szCs w:val="24"/>
        </w:rPr>
      </w:pPr>
      <w:r w:rsidRPr="001B0FD3">
        <w:rPr>
          <w:rFonts w:ascii="MinionPro-Regular" w:hAnsi="MinionPro-Regular"/>
          <w:sz w:val="20"/>
          <w:szCs w:val="24"/>
        </w:rPr>
        <w:t xml:space="preserve">Nota explicativa de la gráfica: Eje de vertical, </w:t>
      </w:r>
      <w:r>
        <w:rPr>
          <w:rFonts w:ascii="MinionPro-Regular" w:hAnsi="MinionPro-Regular"/>
          <w:sz w:val="20"/>
          <w:szCs w:val="24"/>
        </w:rPr>
        <w:t>rangos de edad</w:t>
      </w:r>
      <w:r w:rsidRPr="001B0FD3">
        <w:rPr>
          <w:rFonts w:ascii="MinionPro-Regular" w:hAnsi="MinionPro-Regular"/>
          <w:sz w:val="20"/>
          <w:szCs w:val="24"/>
        </w:rPr>
        <w:t xml:space="preserve">. Eje horizontal, </w:t>
      </w:r>
      <w:r>
        <w:rPr>
          <w:rFonts w:ascii="MinionPro-Regular" w:hAnsi="MinionPro-Regular"/>
          <w:sz w:val="20"/>
          <w:szCs w:val="24"/>
        </w:rPr>
        <w:t xml:space="preserve">Miles de personas. De </w:t>
      </w:r>
      <w:r w:rsidRPr="001C2926">
        <w:rPr>
          <w:rFonts w:ascii="MinionPro-Regular" w:hAnsi="MinionPro-Regular"/>
          <w:sz w:val="20"/>
          <w:szCs w:val="24"/>
        </w:rPr>
        <w:t xml:space="preserve">0 a 5 años 21,5; </w:t>
      </w:r>
      <w:r>
        <w:rPr>
          <w:rFonts w:ascii="MinionPro-Regular" w:hAnsi="MinionPro-Regular"/>
          <w:sz w:val="20"/>
          <w:szCs w:val="24"/>
        </w:rPr>
        <w:t>d</w:t>
      </w:r>
      <w:r w:rsidRPr="001C2926">
        <w:rPr>
          <w:rFonts w:ascii="MinionPro-Regular" w:hAnsi="MinionPro-Regular"/>
          <w:sz w:val="20"/>
          <w:szCs w:val="24"/>
        </w:rPr>
        <w:t>e 6 a 15 años 18,41</w:t>
      </w:r>
      <w:r>
        <w:rPr>
          <w:rFonts w:ascii="MinionPro-Regular" w:hAnsi="MinionPro-Regular"/>
          <w:sz w:val="20"/>
          <w:szCs w:val="24"/>
        </w:rPr>
        <w:t>; de</w:t>
      </w:r>
      <w:r w:rsidRPr="001C2926">
        <w:rPr>
          <w:rFonts w:ascii="MinionPro-Regular" w:hAnsi="MinionPro-Regular"/>
          <w:sz w:val="20"/>
          <w:szCs w:val="24"/>
        </w:rPr>
        <w:t xml:space="preserve"> 16 a 24 años</w:t>
      </w:r>
      <w:r>
        <w:rPr>
          <w:rFonts w:ascii="MinionPro-Regular" w:hAnsi="MinionPro-Regular"/>
          <w:sz w:val="20"/>
          <w:szCs w:val="24"/>
        </w:rPr>
        <w:t xml:space="preserve"> </w:t>
      </w:r>
      <w:r w:rsidRPr="001C2926">
        <w:rPr>
          <w:rFonts w:ascii="MinionPro-Regular" w:hAnsi="MinionPro-Regular"/>
          <w:sz w:val="20"/>
          <w:szCs w:val="24"/>
        </w:rPr>
        <w:t>16,28</w:t>
      </w:r>
      <w:r>
        <w:rPr>
          <w:rFonts w:ascii="MinionPro-Regular" w:hAnsi="MinionPro-Regular"/>
          <w:sz w:val="20"/>
          <w:szCs w:val="24"/>
        </w:rPr>
        <w:t>; d</w:t>
      </w:r>
      <w:r w:rsidRPr="001C2926">
        <w:rPr>
          <w:rFonts w:ascii="MinionPro-Regular" w:hAnsi="MinionPro-Regular"/>
          <w:sz w:val="20"/>
          <w:szCs w:val="24"/>
        </w:rPr>
        <w:t>e 25 a 34 años</w:t>
      </w:r>
      <w:r>
        <w:rPr>
          <w:rFonts w:ascii="MinionPro-Regular" w:hAnsi="MinionPro-Regular"/>
          <w:sz w:val="20"/>
          <w:szCs w:val="24"/>
        </w:rPr>
        <w:t xml:space="preserve"> </w:t>
      </w:r>
      <w:r w:rsidRPr="001C2926">
        <w:rPr>
          <w:rFonts w:ascii="MinionPro-Regular" w:hAnsi="MinionPro-Regular"/>
          <w:sz w:val="20"/>
          <w:szCs w:val="24"/>
        </w:rPr>
        <w:t>21,99</w:t>
      </w:r>
      <w:r>
        <w:rPr>
          <w:rFonts w:ascii="MinionPro-Regular" w:hAnsi="MinionPro-Regular"/>
          <w:sz w:val="20"/>
          <w:szCs w:val="24"/>
        </w:rPr>
        <w:t>; d</w:t>
      </w:r>
      <w:r w:rsidRPr="001C2926">
        <w:rPr>
          <w:rFonts w:ascii="MinionPro-Regular" w:hAnsi="MinionPro-Regular"/>
          <w:sz w:val="20"/>
          <w:szCs w:val="24"/>
        </w:rPr>
        <w:t>e 35 a 44 años</w:t>
      </w:r>
      <w:r>
        <w:rPr>
          <w:rFonts w:ascii="MinionPro-Regular" w:hAnsi="MinionPro-Regular"/>
          <w:sz w:val="20"/>
          <w:szCs w:val="24"/>
        </w:rPr>
        <w:t xml:space="preserve"> </w:t>
      </w:r>
      <w:r w:rsidRPr="001C2926">
        <w:rPr>
          <w:rFonts w:ascii="MinionPro-Regular" w:hAnsi="MinionPro-Regular"/>
          <w:sz w:val="20"/>
          <w:szCs w:val="24"/>
        </w:rPr>
        <w:t>38,61</w:t>
      </w:r>
      <w:r>
        <w:rPr>
          <w:rFonts w:ascii="MinionPro-Regular" w:hAnsi="MinionPro-Regular"/>
          <w:sz w:val="20"/>
          <w:szCs w:val="24"/>
        </w:rPr>
        <w:t>; d</w:t>
      </w:r>
      <w:r w:rsidRPr="001C2926">
        <w:rPr>
          <w:rFonts w:ascii="MinionPro-Regular" w:hAnsi="MinionPro-Regular"/>
          <w:sz w:val="20"/>
          <w:szCs w:val="24"/>
        </w:rPr>
        <w:t>e 45 a 54 años</w:t>
      </w:r>
      <w:r>
        <w:rPr>
          <w:rFonts w:ascii="MinionPro-Regular" w:hAnsi="MinionPro-Regular"/>
          <w:sz w:val="20"/>
          <w:szCs w:val="24"/>
        </w:rPr>
        <w:t xml:space="preserve"> </w:t>
      </w:r>
      <w:r w:rsidRPr="001C2926">
        <w:rPr>
          <w:rFonts w:ascii="MinionPro-Regular" w:hAnsi="MinionPro-Regular"/>
          <w:sz w:val="20"/>
          <w:szCs w:val="24"/>
        </w:rPr>
        <w:t>66,65</w:t>
      </w:r>
      <w:r>
        <w:rPr>
          <w:rFonts w:ascii="MinionPro-Regular" w:hAnsi="MinionPro-Regular"/>
          <w:sz w:val="20"/>
          <w:szCs w:val="24"/>
        </w:rPr>
        <w:t>; d</w:t>
      </w:r>
      <w:r w:rsidRPr="001C2926">
        <w:rPr>
          <w:rFonts w:ascii="MinionPro-Regular" w:hAnsi="MinionPro-Regular"/>
          <w:sz w:val="20"/>
          <w:szCs w:val="24"/>
        </w:rPr>
        <w:t>e 55 a 64 años</w:t>
      </w:r>
      <w:r>
        <w:rPr>
          <w:rFonts w:ascii="MinionPro-Regular" w:hAnsi="MinionPro-Regular"/>
          <w:sz w:val="20"/>
          <w:szCs w:val="24"/>
        </w:rPr>
        <w:t xml:space="preserve"> </w:t>
      </w:r>
      <w:r w:rsidRPr="001C2926">
        <w:rPr>
          <w:rFonts w:ascii="MinionPro-Regular" w:hAnsi="MinionPro-Regular"/>
          <w:sz w:val="20"/>
          <w:szCs w:val="24"/>
        </w:rPr>
        <w:t>113,27</w:t>
      </w:r>
      <w:r>
        <w:rPr>
          <w:rFonts w:ascii="MinionPro-Regular" w:hAnsi="MinionPro-Regular"/>
          <w:sz w:val="20"/>
          <w:szCs w:val="24"/>
        </w:rPr>
        <w:t>; d</w:t>
      </w:r>
      <w:r w:rsidRPr="001C2926">
        <w:rPr>
          <w:rFonts w:ascii="MinionPro-Regular" w:hAnsi="MinionPro-Regular"/>
          <w:sz w:val="20"/>
          <w:szCs w:val="24"/>
        </w:rPr>
        <w:t>e 65 a 79 año</w:t>
      </w:r>
      <w:r>
        <w:rPr>
          <w:rFonts w:ascii="MinionPro-Regular" w:hAnsi="MinionPro-Regular"/>
          <w:sz w:val="20"/>
          <w:szCs w:val="24"/>
        </w:rPr>
        <w:t xml:space="preserve">s </w:t>
      </w:r>
      <w:r w:rsidRPr="001C2926">
        <w:rPr>
          <w:rFonts w:ascii="MinionPro-Regular" w:hAnsi="MinionPro-Regular"/>
          <w:sz w:val="20"/>
          <w:szCs w:val="24"/>
        </w:rPr>
        <w:t>223,91</w:t>
      </w:r>
      <w:r>
        <w:rPr>
          <w:rFonts w:ascii="MinionPro-Regular" w:hAnsi="MinionPro-Regular"/>
          <w:sz w:val="20"/>
          <w:szCs w:val="24"/>
        </w:rPr>
        <w:t>; d</w:t>
      </w:r>
      <w:r w:rsidRPr="001C2926">
        <w:rPr>
          <w:rFonts w:ascii="MinionPro-Regular" w:hAnsi="MinionPro-Regular"/>
          <w:sz w:val="20"/>
          <w:szCs w:val="24"/>
        </w:rPr>
        <w:t>e 65 a 69 años</w:t>
      </w:r>
      <w:r>
        <w:rPr>
          <w:rFonts w:ascii="MinionPro-Regular" w:hAnsi="MinionPro-Regular"/>
          <w:sz w:val="20"/>
          <w:szCs w:val="24"/>
        </w:rPr>
        <w:t xml:space="preserve"> </w:t>
      </w:r>
      <w:r w:rsidRPr="001C2926">
        <w:rPr>
          <w:rFonts w:ascii="MinionPro-Regular" w:hAnsi="MinionPro-Regular"/>
          <w:sz w:val="20"/>
          <w:szCs w:val="24"/>
        </w:rPr>
        <w:t>155,75</w:t>
      </w:r>
      <w:r>
        <w:rPr>
          <w:rFonts w:ascii="MinionPro-Regular" w:hAnsi="MinionPro-Regular"/>
          <w:sz w:val="20"/>
          <w:szCs w:val="24"/>
        </w:rPr>
        <w:t>; d</w:t>
      </w:r>
      <w:r w:rsidRPr="001C2926">
        <w:rPr>
          <w:rFonts w:ascii="MinionPro-Regular" w:hAnsi="MinionPro-Regular"/>
          <w:sz w:val="20"/>
          <w:szCs w:val="24"/>
        </w:rPr>
        <w:t>e 70 a 74 años</w:t>
      </w:r>
      <w:r>
        <w:rPr>
          <w:rFonts w:ascii="MinionPro-Regular" w:hAnsi="MinionPro-Regular"/>
          <w:sz w:val="20"/>
          <w:szCs w:val="24"/>
        </w:rPr>
        <w:t xml:space="preserve"> </w:t>
      </w:r>
      <w:r w:rsidRPr="001C2926">
        <w:rPr>
          <w:rFonts w:ascii="MinionPro-Regular" w:hAnsi="MinionPro-Regular"/>
          <w:sz w:val="20"/>
          <w:szCs w:val="24"/>
        </w:rPr>
        <w:t>218,24</w:t>
      </w:r>
      <w:r>
        <w:rPr>
          <w:rFonts w:ascii="MinionPro-Regular" w:hAnsi="MinionPro-Regular"/>
          <w:sz w:val="20"/>
          <w:szCs w:val="24"/>
        </w:rPr>
        <w:t>; d</w:t>
      </w:r>
      <w:r w:rsidRPr="001C2926">
        <w:rPr>
          <w:rFonts w:ascii="MinionPro-Regular" w:hAnsi="MinionPro-Regular"/>
          <w:sz w:val="20"/>
          <w:szCs w:val="24"/>
        </w:rPr>
        <w:t>e 75 a 79 años</w:t>
      </w:r>
      <w:r>
        <w:rPr>
          <w:rFonts w:ascii="MinionPro-Regular" w:hAnsi="MinionPro-Regular"/>
          <w:sz w:val="20"/>
          <w:szCs w:val="24"/>
        </w:rPr>
        <w:t xml:space="preserve"> </w:t>
      </w:r>
      <w:r w:rsidRPr="001C2926">
        <w:rPr>
          <w:rFonts w:ascii="MinionPro-Regular" w:hAnsi="MinionPro-Regular"/>
          <w:sz w:val="20"/>
          <w:szCs w:val="24"/>
        </w:rPr>
        <w:t>308,89</w:t>
      </w:r>
      <w:r>
        <w:rPr>
          <w:rFonts w:ascii="MinionPro-Regular" w:hAnsi="MinionPro-Regular"/>
          <w:sz w:val="20"/>
          <w:szCs w:val="24"/>
        </w:rPr>
        <w:t>; d</w:t>
      </w:r>
      <w:r w:rsidRPr="001C2926">
        <w:rPr>
          <w:rFonts w:ascii="MinionPro-Regular" w:hAnsi="MinionPro-Regular"/>
          <w:sz w:val="20"/>
          <w:szCs w:val="24"/>
        </w:rPr>
        <w:t>e 80 a 84 años</w:t>
      </w:r>
      <w:r>
        <w:rPr>
          <w:rFonts w:ascii="MinionPro-Regular" w:hAnsi="MinionPro-Regular"/>
          <w:sz w:val="20"/>
          <w:szCs w:val="24"/>
        </w:rPr>
        <w:t xml:space="preserve"> </w:t>
      </w:r>
      <w:r w:rsidRPr="001C2926">
        <w:rPr>
          <w:rFonts w:ascii="MinionPro-Regular" w:hAnsi="MinionPro-Regular"/>
          <w:sz w:val="20"/>
          <w:szCs w:val="24"/>
        </w:rPr>
        <w:t>426,54</w:t>
      </w:r>
      <w:r>
        <w:rPr>
          <w:rFonts w:ascii="MinionPro-Regular" w:hAnsi="MinionPro-Regular"/>
          <w:sz w:val="20"/>
          <w:szCs w:val="24"/>
        </w:rPr>
        <w:t>; d</w:t>
      </w:r>
      <w:r w:rsidRPr="001C2926">
        <w:rPr>
          <w:rFonts w:ascii="MinionPro-Regular" w:hAnsi="MinionPro-Regular"/>
          <w:sz w:val="20"/>
          <w:szCs w:val="24"/>
        </w:rPr>
        <w:t>e 85 a 89 años</w:t>
      </w:r>
      <w:r>
        <w:rPr>
          <w:rFonts w:ascii="MinionPro-Regular" w:hAnsi="MinionPro-Regular"/>
          <w:sz w:val="20"/>
          <w:szCs w:val="24"/>
        </w:rPr>
        <w:t xml:space="preserve"> </w:t>
      </w:r>
      <w:r w:rsidRPr="001C2926">
        <w:rPr>
          <w:rFonts w:ascii="MinionPro-Regular" w:hAnsi="MinionPro-Regular"/>
          <w:sz w:val="20"/>
          <w:szCs w:val="24"/>
        </w:rPr>
        <w:t>574,48</w:t>
      </w:r>
      <w:r>
        <w:rPr>
          <w:rFonts w:ascii="MinionPro-Regular" w:hAnsi="MinionPro-Regular"/>
          <w:sz w:val="20"/>
          <w:szCs w:val="24"/>
        </w:rPr>
        <w:t>; d</w:t>
      </w:r>
      <w:r w:rsidRPr="001C2926">
        <w:rPr>
          <w:rFonts w:ascii="MinionPro-Regular" w:hAnsi="MinionPro-Regular"/>
          <w:sz w:val="20"/>
          <w:szCs w:val="24"/>
        </w:rPr>
        <w:t>e 90 y más años</w:t>
      </w:r>
      <w:r>
        <w:rPr>
          <w:rFonts w:ascii="MinionPro-Regular" w:hAnsi="MinionPro-Regular"/>
          <w:sz w:val="20"/>
          <w:szCs w:val="24"/>
        </w:rPr>
        <w:t xml:space="preserve"> </w:t>
      </w:r>
      <w:r w:rsidRPr="001C2926">
        <w:rPr>
          <w:rFonts w:ascii="MinionPro-Regular" w:hAnsi="MinionPro-Regular"/>
          <w:sz w:val="20"/>
          <w:szCs w:val="24"/>
        </w:rPr>
        <w:t>751,47</w:t>
      </w:r>
    </w:p>
    <w:p w:rsidR="00E2336B" w:rsidRDefault="00E2336B" w:rsidP="004D03DD">
      <w:pPr>
        <w:autoSpaceDE w:val="0"/>
        <w:autoSpaceDN w:val="0"/>
        <w:spacing w:line="360" w:lineRule="auto"/>
        <w:jc w:val="both"/>
        <w:rPr>
          <w:rFonts w:ascii="MinionPro-Regular" w:hAnsi="MinionPro-Regular"/>
          <w:sz w:val="24"/>
          <w:szCs w:val="24"/>
        </w:rPr>
      </w:pPr>
    </w:p>
    <w:p w:rsidR="00E2336B" w:rsidRDefault="00E2336B" w:rsidP="004D03DD">
      <w:pPr>
        <w:autoSpaceDE w:val="0"/>
        <w:autoSpaceDN w:val="0"/>
        <w:spacing w:line="360" w:lineRule="auto"/>
        <w:jc w:val="both"/>
        <w:rPr>
          <w:rFonts w:ascii="MinionPro-Regular" w:hAnsi="MinionPro-Regular"/>
          <w:sz w:val="24"/>
          <w:szCs w:val="24"/>
        </w:rPr>
      </w:pPr>
      <w:r w:rsidRPr="00981369">
        <w:rPr>
          <w:rFonts w:ascii="MinionPro-Regular" w:hAnsi="MinionPro-Regular"/>
          <w:sz w:val="24"/>
          <w:szCs w:val="24"/>
        </w:rPr>
        <w:t>La incorporación de las personas con discapacidad al mercado de trabajo tiene</w:t>
      </w:r>
      <w:r>
        <w:rPr>
          <w:rFonts w:ascii="MinionPro-Regular" w:hAnsi="MinionPro-Regular"/>
          <w:sz w:val="24"/>
          <w:szCs w:val="24"/>
        </w:rPr>
        <w:t>, por lo tanto,</w:t>
      </w:r>
      <w:r w:rsidRPr="00981369">
        <w:rPr>
          <w:rFonts w:ascii="MinionPro-Regular" w:hAnsi="MinionPro-Regular"/>
          <w:sz w:val="24"/>
          <w:szCs w:val="24"/>
        </w:rPr>
        <w:t xml:space="preserve"> un efecto adicional relacionado con el sostenimiento del estado del bienestar. </w:t>
      </w:r>
    </w:p>
    <w:p w:rsidR="00E2336B" w:rsidRPr="00981369" w:rsidRDefault="00E2336B" w:rsidP="004D03DD">
      <w:pPr>
        <w:autoSpaceDE w:val="0"/>
        <w:autoSpaceDN w:val="0"/>
        <w:spacing w:line="360" w:lineRule="auto"/>
        <w:jc w:val="both"/>
        <w:rPr>
          <w:rFonts w:ascii="MinionPro-Regular" w:hAnsi="MinionPro-Regular"/>
          <w:sz w:val="24"/>
          <w:szCs w:val="24"/>
        </w:rPr>
      </w:pPr>
    </w:p>
    <w:p w:rsidR="00E2336B" w:rsidRDefault="00E2336B">
      <w:pPr>
        <w:autoSpaceDE w:val="0"/>
        <w:autoSpaceDN w:val="0"/>
        <w:spacing w:line="360" w:lineRule="auto"/>
        <w:jc w:val="both"/>
        <w:rPr>
          <w:rFonts w:ascii="MinionPro-Regular" w:hAnsi="MinionPro-Regular"/>
          <w:sz w:val="24"/>
          <w:szCs w:val="24"/>
        </w:rPr>
      </w:pPr>
      <w:r w:rsidRPr="00981369">
        <w:rPr>
          <w:rFonts w:ascii="MinionPro-Regular" w:hAnsi="MinionPro-Regular"/>
          <w:sz w:val="24"/>
          <w:szCs w:val="24"/>
        </w:rPr>
        <w:t xml:space="preserve">Desde el punto de vista del gasto público, conviene recordar asimismo el carácter permanente de las ayudas públicas a las personas con discapacidad. Tal y como muestran los estudios desarrollados al efecto por organizaciones internacionales como la OCDE, </w:t>
      </w:r>
      <w:r>
        <w:rPr>
          <w:rFonts w:ascii="MinionPro-Regular" w:hAnsi="MinionPro-Regular"/>
          <w:sz w:val="24"/>
          <w:szCs w:val="24"/>
        </w:rPr>
        <w:t>la salida de una</w:t>
      </w:r>
      <w:r w:rsidRPr="00981369">
        <w:rPr>
          <w:rFonts w:ascii="MinionPro-Regular" w:hAnsi="MinionPro-Regular"/>
          <w:sz w:val="24"/>
          <w:szCs w:val="24"/>
        </w:rPr>
        <w:t xml:space="preserve"> persona con discapacidad del mercado laboral</w:t>
      </w:r>
      <w:r>
        <w:rPr>
          <w:rFonts w:ascii="MinionPro-Regular" w:hAnsi="MinionPro-Regular"/>
          <w:sz w:val="24"/>
          <w:szCs w:val="24"/>
        </w:rPr>
        <w:t xml:space="preserve"> tiene carácter casi permanente</w:t>
      </w:r>
      <w:r w:rsidRPr="00981369">
        <w:rPr>
          <w:rFonts w:ascii="MinionPro-Regular" w:hAnsi="MinionPro-Regular"/>
          <w:sz w:val="24"/>
          <w:szCs w:val="24"/>
        </w:rPr>
        <w:t xml:space="preserve">.  Esto es, la probabilidad de que una persona que recibe subsidios por discapacidad se reincorpore al mercado laboral es </w:t>
      </w:r>
      <w:r>
        <w:rPr>
          <w:rFonts w:ascii="MinionPro-Regular" w:hAnsi="MinionPro-Regular"/>
          <w:sz w:val="24"/>
          <w:szCs w:val="24"/>
        </w:rPr>
        <w:t>reducida</w:t>
      </w:r>
      <w:r w:rsidRPr="00981369">
        <w:rPr>
          <w:rFonts w:ascii="MinionPro-Regular" w:hAnsi="MinionPro-Regular"/>
          <w:sz w:val="24"/>
          <w:szCs w:val="24"/>
        </w:rPr>
        <w:t xml:space="preserve">. De este modo, las iniciativas y el apoyo público al empleo de las personas con discapacidad tiene como contrapartida </w:t>
      </w:r>
      <w:r w:rsidRPr="00981369">
        <w:rPr>
          <w:rFonts w:ascii="MinionPro-Regular" w:hAnsi="MinionPro-Regular"/>
          <w:sz w:val="24"/>
          <w:szCs w:val="24"/>
        </w:rPr>
        <w:lastRenderedPageBreak/>
        <w:t>una disminución que podríamos denominar estructural y de largo plazo sobre el gasto social y reduce las presiones sobre el estado del bienestar.</w:t>
      </w:r>
    </w:p>
    <w:p w:rsidR="00E2336B" w:rsidRDefault="00E2336B">
      <w:pPr>
        <w:autoSpaceDE w:val="0"/>
        <w:autoSpaceDN w:val="0"/>
        <w:spacing w:line="360" w:lineRule="auto"/>
        <w:jc w:val="both"/>
        <w:rPr>
          <w:rFonts w:ascii="MinionPro-Regular" w:hAnsi="MinionPro-Regular"/>
          <w:sz w:val="24"/>
          <w:szCs w:val="24"/>
        </w:rPr>
      </w:pPr>
    </w:p>
    <w:p w:rsidR="00CD5A9C" w:rsidRPr="005F517D" w:rsidRDefault="00F23441" w:rsidP="008C1CF5">
      <w:pPr>
        <w:autoSpaceDE w:val="0"/>
        <w:autoSpaceDN w:val="0"/>
        <w:spacing w:line="360" w:lineRule="auto"/>
        <w:jc w:val="both"/>
        <w:rPr>
          <w:rFonts w:ascii="MinionPro-Regular" w:hAnsi="MinionPro-Regular"/>
          <w:sz w:val="24"/>
          <w:szCs w:val="24"/>
        </w:rPr>
      </w:pPr>
      <w:r w:rsidRPr="008C1CF5">
        <w:rPr>
          <w:rFonts w:ascii="MinionPro-Regular" w:hAnsi="MinionPro-Regular"/>
          <w:sz w:val="24"/>
          <w:szCs w:val="24"/>
        </w:rPr>
        <w:t>Por último, no debe olvidarse que las personas con discapacidad, según se proclama en el artículo 26 de la Carta de los Derechos Fundamentales de la Unión Europea, tienen reconocido el derecho a “</w:t>
      </w:r>
      <w:r w:rsidRPr="008C1CF5">
        <w:rPr>
          <w:rFonts w:ascii="MinionPro-Regular" w:hAnsi="MinionPro-Regular"/>
          <w:i/>
          <w:sz w:val="24"/>
          <w:szCs w:val="24"/>
        </w:rPr>
        <w:t>beneficiarse de medidas que garanticen su autonomía, su integración social y profesional y su participación en la vida de la comunidad</w:t>
      </w:r>
      <w:r w:rsidRPr="008C1CF5">
        <w:rPr>
          <w:rFonts w:ascii="MinionPro-Regular" w:hAnsi="MinionPro-Regular"/>
          <w:sz w:val="24"/>
          <w:szCs w:val="24"/>
        </w:rPr>
        <w:t>”. No se trata de un imperativo legal. Se trata de unas directrices de unión fundamentadas en valores universales de la dignidad humana, la libertad, la igualdad y la solidaridad.</w:t>
      </w:r>
      <w:r w:rsidR="005F517D">
        <w:rPr>
          <w:rFonts w:ascii="MinionPro-Regular" w:hAnsi="MinionPro-Regular"/>
          <w:sz w:val="24"/>
          <w:szCs w:val="24"/>
        </w:rPr>
        <w:t xml:space="preserve"> </w:t>
      </w:r>
      <w:r w:rsidR="005F517D" w:rsidRPr="005F517D">
        <w:rPr>
          <w:rFonts w:ascii="MinionPro-Regular" w:hAnsi="MinionPro-Regular"/>
          <w:sz w:val="24"/>
          <w:szCs w:val="24"/>
        </w:rPr>
        <w:t>Asimi</w:t>
      </w:r>
      <w:r w:rsidR="005F517D">
        <w:rPr>
          <w:rFonts w:ascii="MinionPro-Regular" w:hAnsi="MinionPro-Regular"/>
          <w:sz w:val="24"/>
          <w:szCs w:val="24"/>
        </w:rPr>
        <w:t>s</w:t>
      </w:r>
      <w:r w:rsidR="005F517D" w:rsidRPr="005F517D">
        <w:rPr>
          <w:rFonts w:ascii="MinionPro-Regular" w:hAnsi="MinionPro-Regular"/>
          <w:sz w:val="24"/>
          <w:szCs w:val="24"/>
        </w:rPr>
        <w:t>mo</w:t>
      </w:r>
      <w:r w:rsidR="008C1CF5" w:rsidRPr="005F517D">
        <w:rPr>
          <w:rFonts w:ascii="MinionPro-Regular" w:hAnsi="MinionPro-Regular"/>
          <w:sz w:val="24"/>
          <w:szCs w:val="24"/>
        </w:rPr>
        <w:t xml:space="preserve">, </w:t>
      </w:r>
      <w:r w:rsidR="005F517D" w:rsidRPr="005F517D">
        <w:rPr>
          <w:rFonts w:ascii="MinionPro-Regular" w:hAnsi="MinionPro-Regular"/>
          <w:sz w:val="24"/>
          <w:szCs w:val="24"/>
        </w:rPr>
        <w:t>hay que tener presente</w:t>
      </w:r>
      <w:r w:rsidR="008C1CF5" w:rsidRPr="005F517D">
        <w:rPr>
          <w:rFonts w:ascii="MinionPro-Regular" w:hAnsi="MinionPro-Regular"/>
          <w:sz w:val="24"/>
          <w:szCs w:val="24"/>
        </w:rPr>
        <w:t xml:space="preserve"> el propósito que queda plasmado en la Convención sobre los derechos de las personas con discapacidad en su artículo primero: “</w:t>
      </w:r>
      <w:r w:rsidR="008C1CF5" w:rsidRPr="005F517D">
        <w:rPr>
          <w:rFonts w:ascii="MinionPro-Regular" w:hAnsi="MinionPro-Regular"/>
          <w:i/>
          <w:sz w:val="24"/>
          <w:szCs w:val="24"/>
          <w:lang w:val="es-ES_tradnl"/>
        </w:rPr>
        <w:t>El propósito de la presente Convención es promover, proteger y asegurar el goce pleno y en condiciones de igualdad de todos los derechos humanos y libertades fundamentales por todas las personas con discapacidad, y promover el respeto de su dignidad inherente”</w:t>
      </w:r>
      <w:r w:rsidR="008C1CF5" w:rsidRPr="005F517D">
        <w:rPr>
          <w:rFonts w:ascii="MinionPro-Regular" w:hAnsi="MinionPro-Regular"/>
          <w:sz w:val="24"/>
          <w:szCs w:val="24"/>
          <w:lang w:val="es-ES_tradnl"/>
        </w:rPr>
        <w:t>.</w:t>
      </w:r>
      <w:r w:rsidR="00E2336B" w:rsidRPr="005F517D">
        <w:rPr>
          <w:rFonts w:ascii="MinionPro-Regular" w:hAnsi="MinionPro-Regular"/>
          <w:sz w:val="24"/>
          <w:szCs w:val="24"/>
        </w:rPr>
        <w:t xml:space="preserve"> </w:t>
      </w:r>
      <w:r w:rsidR="005F517D">
        <w:rPr>
          <w:rFonts w:ascii="MinionPro-Regular" w:hAnsi="MinionPro-Regular"/>
          <w:sz w:val="24"/>
          <w:szCs w:val="24"/>
        </w:rPr>
        <w:t xml:space="preserve"> Los principios generales de la Convención tienen una indudable lectura desde el punto de vista de la participación en el mercado laboral. Son los siguientes: </w:t>
      </w:r>
    </w:p>
    <w:p w:rsidR="00CD5A9C" w:rsidRPr="005F517D" w:rsidRDefault="00CD5A9C" w:rsidP="00CD5A9C">
      <w:pPr>
        <w:autoSpaceDE w:val="0"/>
        <w:autoSpaceDN w:val="0"/>
        <w:spacing w:line="360" w:lineRule="auto"/>
        <w:jc w:val="both"/>
        <w:rPr>
          <w:rFonts w:ascii="MinionPro-Regular" w:hAnsi="MinionPro-Regular"/>
          <w:sz w:val="24"/>
          <w:szCs w:val="24"/>
          <w:lang w:val="es-ES_tradnl"/>
        </w:rPr>
      </w:pPr>
      <w:r w:rsidRPr="005F517D">
        <w:rPr>
          <w:rFonts w:ascii="MinionPro-Regular" w:hAnsi="MinionPro-Regular"/>
          <w:i/>
          <w:iCs/>
          <w:sz w:val="24"/>
          <w:szCs w:val="24"/>
          <w:lang w:val="es-ES_tradnl"/>
        </w:rPr>
        <w:t>a</w:t>
      </w:r>
      <w:r w:rsidRPr="005F517D">
        <w:rPr>
          <w:rFonts w:ascii="MinionPro-Regular" w:hAnsi="MinionPro-Regular"/>
          <w:sz w:val="24"/>
          <w:szCs w:val="24"/>
          <w:lang w:val="es-ES_tradnl"/>
        </w:rPr>
        <w:t>) El respeto de la dignidad inherente, la autonomía individual,</w:t>
      </w:r>
      <w:r w:rsidR="0004553B" w:rsidRPr="005F517D">
        <w:rPr>
          <w:rFonts w:ascii="MinionPro-Regular" w:hAnsi="MinionPro-Regular"/>
          <w:sz w:val="24"/>
          <w:szCs w:val="24"/>
          <w:lang w:val="es-ES_tradnl"/>
        </w:rPr>
        <w:t xml:space="preserve"> </w:t>
      </w:r>
      <w:r w:rsidRPr="005F517D">
        <w:rPr>
          <w:rFonts w:ascii="MinionPro-Regular" w:hAnsi="MinionPro-Regular"/>
          <w:sz w:val="24"/>
          <w:szCs w:val="24"/>
          <w:lang w:val="es-ES_tradnl"/>
        </w:rPr>
        <w:t>incluida la libertad de tomar las propias decisiones, y la independencia de las</w:t>
      </w:r>
      <w:r w:rsidR="0004553B" w:rsidRPr="005F517D">
        <w:rPr>
          <w:rFonts w:ascii="MinionPro-Regular" w:hAnsi="MinionPro-Regular"/>
          <w:sz w:val="24"/>
          <w:szCs w:val="24"/>
          <w:lang w:val="es-ES_tradnl"/>
        </w:rPr>
        <w:t xml:space="preserve"> </w:t>
      </w:r>
      <w:r w:rsidRPr="005F517D">
        <w:rPr>
          <w:rFonts w:ascii="MinionPro-Regular" w:hAnsi="MinionPro-Regular"/>
          <w:sz w:val="24"/>
          <w:szCs w:val="24"/>
          <w:lang w:val="es-ES_tradnl"/>
        </w:rPr>
        <w:t>personas;</w:t>
      </w:r>
    </w:p>
    <w:p w:rsidR="00CD5A9C" w:rsidRPr="005F517D" w:rsidRDefault="00CD5A9C" w:rsidP="00CD5A9C">
      <w:pPr>
        <w:autoSpaceDE w:val="0"/>
        <w:autoSpaceDN w:val="0"/>
        <w:spacing w:line="360" w:lineRule="auto"/>
        <w:jc w:val="both"/>
        <w:rPr>
          <w:rFonts w:ascii="MinionPro-Regular" w:hAnsi="MinionPro-Regular"/>
          <w:sz w:val="24"/>
          <w:szCs w:val="24"/>
          <w:lang w:val="es-ES_tradnl"/>
        </w:rPr>
      </w:pPr>
      <w:r w:rsidRPr="005F517D">
        <w:rPr>
          <w:rFonts w:ascii="MinionPro-Regular" w:hAnsi="MinionPro-Regular"/>
          <w:i/>
          <w:iCs/>
          <w:sz w:val="24"/>
          <w:szCs w:val="24"/>
          <w:lang w:val="es-ES_tradnl"/>
        </w:rPr>
        <w:t>b</w:t>
      </w:r>
      <w:r w:rsidRPr="005F517D">
        <w:rPr>
          <w:rFonts w:ascii="MinionPro-Regular" w:hAnsi="MinionPro-Regular"/>
          <w:sz w:val="24"/>
          <w:szCs w:val="24"/>
          <w:lang w:val="es-ES_tradnl"/>
        </w:rPr>
        <w:t>) La no discriminación;</w:t>
      </w:r>
    </w:p>
    <w:p w:rsidR="00CD5A9C" w:rsidRPr="005F517D" w:rsidRDefault="00CD5A9C" w:rsidP="00CD5A9C">
      <w:pPr>
        <w:autoSpaceDE w:val="0"/>
        <w:autoSpaceDN w:val="0"/>
        <w:spacing w:line="360" w:lineRule="auto"/>
        <w:jc w:val="both"/>
        <w:rPr>
          <w:rFonts w:ascii="MinionPro-Regular" w:hAnsi="MinionPro-Regular"/>
          <w:sz w:val="24"/>
          <w:szCs w:val="24"/>
          <w:lang w:val="es-ES_tradnl"/>
        </w:rPr>
      </w:pPr>
      <w:r w:rsidRPr="005F517D">
        <w:rPr>
          <w:rFonts w:ascii="MinionPro-Regular" w:hAnsi="MinionPro-Regular"/>
          <w:i/>
          <w:iCs/>
          <w:sz w:val="24"/>
          <w:szCs w:val="24"/>
          <w:lang w:val="es-ES_tradnl"/>
        </w:rPr>
        <w:t>c</w:t>
      </w:r>
      <w:r w:rsidRPr="005F517D">
        <w:rPr>
          <w:rFonts w:ascii="MinionPro-Regular" w:hAnsi="MinionPro-Regular"/>
          <w:sz w:val="24"/>
          <w:szCs w:val="24"/>
          <w:lang w:val="es-ES_tradnl"/>
        </w:rPr>
        <w:t>) La participación e inclusión plenas y efectivas en la sociedad;</w:t>
      </w:r>
    </w:p>
    <w:p w:rsidR="00CD5A9C" w:rsidRPr="005F517D" w:rsidRDefault="00CD5A9C" w:rsidP="00CD5A9C">
      <w:pPr>
        <w:autoSpaceDE w:val="0"/>
        <w:autoSpaceDN w:val="0"/>
        <w:spacing w:line="360" w:lineRule="auto"/>
        <w:jc w:val="both"/>
        <w:rPr>
          <w:rFonts w:ascii="MinionPro-Regular" w:hAnsi="MinionPro-Regular"/>
          <w:sz w:val="24"/>
          <w:szCs w:val="24"/>
          <w:lang w:val="es-ES_tradnl"/>
        </w:rPr>
      </w:pPr>
      <w:r w:rsidRPr="005F517D">
        <w:rPr>
          <w:rFonts w:ascii="MinionPro-Regular" w:hAnsi="MinionPro-Regular"/>
          <w:i/>
          <w:iCs/>
          <w:sz w:val="24"/>
          <w:szCs w:val="24"/>
          <w:lang w:val="es-ES_tradnl"/>
        </w:rPr>
        <w:t>d</w:t>
      </w:r>
      <w:r w:rsidRPr="005F517D">
        <w:rPr>
          <w:rFonts w:ascii="MinionPro-Regular" w:hAnsi="MinionPro-Regular"/>
          <w:sz w:val="24"/>
          <w:szCs w:val="24"/>
          <w:lang w:val="es-ES_tradnl"/>
        </w:rPr>
        <w:t>) El respeto por la diferencia y la aceptación de las personas con</w:t>
      </w:r>
      <w:r w:rsidR="0004553B" w:rsidRPr="005F517D">
        <w:rPr>
          <w:rFonts w:ascii="MinionPro-Regular" w:hAnsi="MinionPro-Regular"/>
          <w:sz w:val="24"/>
          <w:szCs w:val="24"/>
          <w:lang w:val="es-ES_tradnl"/>
        </w:rPr>
        <w:t xml:space="preserve"> </w:t>
      </w:r>
      <w:r w:rsidRPr="005F517D">
        <w:rPr>
          <w:rFonts w:ascii="MinionPro-Regular" w:hAnsi="MinionPro-Regular"/>
          <w:sz w:val="24"/>
          <w:szCs w:val="24"/>
          <w:lang w:val="es-ES_tradnl"/>
        </w:rPr>
        <w:t>discapacidad como parte de la diversidad y la condición humanas;</w:t>
      </w:r>
    </w:p>
    <w:p w:rsidR="00CD5A9C" w:rsidRPr="005F517D" w:rsidRDefault="00CD5A9C" w:rsidP="00CD5A9C">
      <w:pPr>
        <w:autoSpaceDE w:val="0"/>
        <w:autoSpaceDN w:val="0"/>
        <w:spacing w:line="360" w:lineRule="auto"/>
        <w:jc w:val="both"/>
        <w:rPr>
          <w:rFonts w:ascii="MinionPro-Regular" w:hAnsi="MinionPro-Regular"/>
          <w:sz w:val="24"/>
          <w:szCs w:val="24"/>
          <w:lang w:val="es-ES_tradnl"/>
        </w:rPr>
      </w:pPr>
      <w:r w:rsidRPr="005F517D">
        <w:rPr>
          <w:rFonts w:ascii="MinionPro-Regular" w:hAnsi="MinionPro-Regular"/>
          <w:i/>
          <w:iCs/>
          <w:sz w:val="24"/>
          <w:szCs w:val="24"/>
          <w:lang w:val="es-ES_tradnl"/>
        </w:rPr>
        <w:t>e</w:t>
      </w:r>
      <w:r w:rsidRPr="005F517D">
        <w:rPr>
          <w:rFonts w:ascii="MinionPro-Regular" w:hAnsi="MinionPro-Regular"/>
          <w:sz w:val="24"/>
          <w:szCs w:val="24"/>
          <w:lang w:val="es-ES_tradnl"/>
        </w:rPr>
        <w:t>) La igualdad de oportunidades;</w:t>
      </w:r>
    </w:p>
    <w:p w:rsidR="00CD5A9C" w:rsidRPr="005F517D" w:rsidRDefault="00CD5A9C" w:rsidP="00CD5A9C">
      <w:pPr>
        <w:autoSpaceDE w:val="0"/>
        <w:autoSpaceDN w:val="0"/>
        <w:spacing w:line="360" w:lineRule="auto"/>
        <w:jc w:val="both"/>
        <w:rPr>
          <w:rFonts w:ascii="MinionPro-Regular" w:hAnsi="MinionPro-Regular"/>
          <w:sz w:val="24"/>
          <w:szCs w:val="24"/>
          <w:lang w:val="es-ES_tradnl"/>
        </w:rPr>
      </w:pPr>
      <w:r w:rsidRPr="005F517D">
        <w:rPr>
          <w:rFonts w:ascii="MinionPro-Regular" w:hAnsi="MinionPro-Regular"/>
          <w:i/>
          <w:iCs/>
          <w:sz w:val="24"/>
          <w:szCs w:val="24"/>
          <w:lang w:val="es-ES_tradnl"/>
        </w:rPr>
        <w:t>f</w:t>
      </w:r>
      <w:r w:rsidRPr="005F517D">
        <w:rPr>
          <w:rFonts w:ascii="MinionPro-Regular" w:hAnsi="MinionPro-Regular"/>
          <w:sz w:val="24"/>
          <w:szCs w:val="24"/>
          <w:lang w:val="es-ES_tradnl"/>
        </w:rPr>
        <w:t>) La accesibilidad;</w:t>
      </w:r>
    </w:p>
    <w:p w:rsidR="00CD5A9C" w:rsidRPr="005F517D" w:rsidRDefault="00CD5A9C" w:rsidP="00CD5A9C">
      <w:pPr>
        <w:autoSpaceDE w:val="0"/>
        <w:autoSpaceDN w:val="0"/>
        <w:spacing w:line="360" w:lineRule="auto"/>
        <w:jc w:val="both"/>
        <w:rPr>
          <w:rFonts w:ascii="MinionPro-Regular" w:hAnsi="MinionPro-Regular"/>
          <w:sz w:val="24"/>
          <w:szCs w:val="24"/>
          <w:lang w:val="es-ES_tradnl"/>
        </w:rPr>
      </w:pPr>
      <w:r w:rsidRPr="005F517D">
        <w:rPr>
          <w:rFonts w:ascii="MinionPro-Regular" w:hAnsi="MinionPro-Regular"/>
          <w:i/>
          <w:iCs/>
          <w:sz w:val="24"/>
          <w:szCs w:val="24"/>
          <w:lang w:val="es-ES_tradnl"/>
        </w:rPr>
        <w:t>g</w:t>
      </w:r>
      <w:r w:rsidRPr="005F517D">
        <w:rPr>
          <w:rFonts w:ascii="MinionPro-Regular" w:hAnsi="MinionPro-Regular"/>
          <w:sz w:val="24"/>
          <w:szCs w:val="24"/>
          <w:lang w:val="es-ES_tradnl"/>
        </w:rPr>
        <w:t>) La igualdad entre el hombre y la mujer;</w:t>
      </w:r>
    </w:p>
    <w:p w:rsidR="00E2336B" w:rsidRPr="005F517D" w:rsidRDefault="00CD5A9C" w:rsidP="00CD5A9C">
      <w:pPr>
        <w:autoSpaceDE w:val="0"/>
        <w:autoSpaceDN w:val="0"/>
        <w:spacing w:line="360" w:lineRule="auto"/>
        <w:jc w:val="both"/>
        <w:rPr>
          <w:rFonts w:ascii="MinionPro-Regular" w:hAnsi="MinionPro-Regular"/>
          <w:sz w:val="24"/>
          <w:szCs w:val="24"/>
          <w:lang w:val="es-ES_tradnl"/>
        </w:rPr>
      </w:pPr>
      <w:r w:rsidRPr="005F517D">
        <w:rPr>
          <w:rFonts w:ascii="MinionPro-Regular" w:hAnsi="MinionPro-Regular"/>
          <w:i/>
          <w:iCs/>
          <w:sz w:val="24"/>
          <w:szCs w:val="24"/>
          <w:lang w:val="es-ES_tradnl"/>
        </w:rPr>
        <w:lastRenderedPageBreak/>
        <w:t>h</w:t>
      </w:r>
      <w:r w:rsidRPr="005F517D">
        <w:rPr>
          <w:rFonts w:ascii="MinionPro-Regular" w:hAnsi="MinionPro-Regular"/>
          <w:sz w:val="24"/>
          <w:szCs w:val="24"/>
          <w:lang w:val="es-ES_tradnl"/>
        </w:rPr>
        <w:t>) El respeto a la evolución de las facultades de los niños y las niñas con discapacidad y de su derecho a preservar su identidad.</w:t>
      </w:r>
      <w:r w:rsidRPr="005F517D">
        <w:rPr>
          <w:rFonts w:ascii="MinionPro-Regular" w:hAnsi="MinionPro-Regular"/>
          <w:sz w:val="24"/>
          <w:szCs w:val="24"/>
        </w:rPr>
        <w:t xml:space="preserve">  </w:t>
      </w:r>
    </w:p>
    <w:p w:rsidR="00E2336B" w:rsidRDefault="00E2336B">
      <w:pPr>
        <w:autoSpaceDE w:val="0"/>
        <w:autoSpaceDN w:val="0"/>
        <w:spacing w:line="360" w:lineRule="auto"/>
        <w:jc w:val="both"/>
        <w:rPr>
          <w:rFonts w:ascii="MinionPro-Regular" w:hAnsi="MinionPro-Regular"/>
          <w:sz w:val="24"/>
          <w:szCs w:val="24"/>
        </w:rPr>
      </w:pPr>
    </w:p>
    <w:p w:rsidR="0007541A" w:rsidRDefault="0007541A">
      <w:pPr>
        <w:autoSpaceDE w:val="0"/>
        <w:autoSpaceDN w:val="0"/>
        <w:spacing w:line="360" w:lineRule="auto"/>
        <w:jc w:val="both"/>
        <w:rPr>
          <w:rFonts w:ascii="MinionPro-Regular" w:hAnsi="MinionPro-Regular"/>
          <w:sz w:val="24"/>
          <w:szCs w:val="24"/>
        </w:rPr>
      </w:pPr>
    </w:p>
    <w:p w:rsidR="0007541A" w:rsidRDefault="0007541A">
      <w:pPr>
        <w:autoSpaceDE w:val="0"/>
        <w:autoSpaceDN w:val="0"/>
        <w:spacing w:line="360" w:lineRule="auto"/>
        <w:jc w:val="both"/>
        <w:rPr>
          <w:rFonts w:ascii="MinionPro-Regular" w:hAnsi="MinionPro-Regular"/>
          <w:sz w:val="24"/>
          <w:szCs w:val="24"/>
        </w:rPr>
      </w:pPr>
    </w:p>
    <w:p w:rsidR="00E2336B" w:rsidRDefault="00E2336B">
      <w:pPr>
        <w:autoSpaceDE w:val="0"/>
        <w:autoSpaceDN w:val="0"/>
        <w:spacing w:line="360" w:lineRule="auto"/>
        <w:jc w:val="both"/>
        <w:rPr>
          <w:rFonts w:ascii="MinionPro-Regular" w:hAnsi="MinionPro-Regular"/>
          <w:sz w:val="24"/>
          <w:szCs w:val="24"/>
        </w:rPr>
      </w:pPr>
    </w:p>
    <w:p w:rsidR="00E2336B" w:rsidRPr="0007541A" w:rsidRDefault="00E2336B" w:rsidP="007C3D6C">
      <w:pPr>
        <w:pBdr>
          <w:top w:val="single" w:sz="4" w:space="1" w:color="auto"/>
          <w:left w:val="single" w:sz="4" w:space="4" w:color="auto"/>
          <w:bottom w:val="single" w:sz="4" w:space="1" w:color="auto"/>
          <w:right w:val="single" w:sz="4" w:space="4" w:color="auto"/>
        </w:pBdr>
        <w:autoSpaceDE w:val="0"/>
        <w:autoSpaceDN w:val="0"/>
        <w:spacing w:line="360" w:lineRule="auto"/>
        <w:jc w:val="both"/>
        <w:rPr>
          <w:rFonts w:ascii="MinionPro-Regular" w:hAnsi="MinionPro-Regular"/>
          <w:sz w:val="20"/>
          <w:szCs w:val="24"/>
          <w:u w:val="single"/>
          <w:lang w:val="es-ES_tradnl"/>
        </w:rPr>
      </w:pPr>
      <w:r w:rsidRPr="007C3D6C">
        <w:rPr>
          <w:rFonts w:ascii="MinionPro-Regular" w:hAnsi="MinionPro-Regular"/>
          <w:sz w:val="20"/>
          <w:szCs w:val="24"/>
          <w:u w:val="single"/>
          <w:lang w:val="es-ES_tradnl"/>
        </w:rPr>
        <w:t xml:space="preserve">La incorporación de las personas con discapacidad </w:t>
      </w:r>
      <w:r w:rsidRPr="0007541A">
        <w:rPr>
          <w:rFonts w:ascii="MinionPro-Regular" w:hAnsi="MinionPro-Regular"/>
          <w:sz w:val="20"/>
          <w:szCs w:val="24"/>
          <w:u w:val="single"/>
          <w:lang w:val="es-ES_tradnl"/>
        </w:rPr>
        <w:t xml:space="preserve">al empleo podría añadir un </w:t>
      </w:r>
      <w:r w:rsidR="0058592E" w:rsidRPr="0007541A">
        <w:rPr>
          <w:rFonts w:ascii="MinionPro-Regular" w:hAnsi="MinionPro-Regular"/>
          <w:sz w:val="20"/>
          <w:szCs w:val="24"/>
          <w:u w:val="single"/>
          <w:lang w:val="es-ES_tradnl"/>
        </w:rPr>
        <w:t>0,3</w:t>
      </w:r>
      <w:r w:rsidR="00F23441" w:rsidRPr="0007541A">
        <w:rPr>
          <w:rFonts w:ascii="MinionPro-Regular" w:hAnsi="MinionPro-Regular"/>
          <w:sz w:val="20"/>
          <w:szCs w:val="24"/>
          <w:u w:val="single"/>
          <w:lang w:val="es-ES_tradnl"/>
        </w:rPr>
        <w:t>%</w:t>
      </w:r>
      <w:r w:rsidRPr="0007541A">
        <w:rPr>
          <w:rFonts w:ascii="MinionPro-Regular" w:hAnsi="MinionPro-Regular"/>
          <w:sz w:val="20"/>
          <w:szCs w:val="24"/>
          <w:u w:val="single"/>
          <w:lang w:val="es-ES_tradnl"/>
        </w:rPr>
        <w:t xml:space="preserve"> anual al PIB de España. Puntos principales</w:t>
      </w:r>
    </w:p>
    <w:p w:rsidR="00E2336B" w:rsidRPr="0007541A" w:rsidRDefault="00E2336B" w:rsidP="0007541A">
      <w:pPr>
        <w:pStyle w:val="Prrafodelista"/>
        <w:numPr>
          <w:ilvl w:val="0"/>
          <w:numId w:val="22"/>
        </w:numPr>
        <w:pBdr>
          <w:top w:val="single" w:sz="4" w:space="1" w:color="auto"/>
          <w:left w:val="single" w:sz="4" w:space="4" w:color="auto"/>
          <w:bottom w:val="single" w:sz="4" w:space="1" w:color="auto"/>
          <w:right w:val="single" w:sz="4" w:space="4" w:color="auto"/>
        </w:pBdr>
        <w:autoSpaceDE w:val="0"/>
        <w:autoSpaceDN w:val="0"/>
        <w:spacing w:line="360" w:lineRule="auto"/>
        <w:jc w:val="both"/>
        <w:rPr>
          <w:rFonts w:ascii="MinionPro-Regular" w:hAnsi="MinionPro-Regular"/>
          <w:sz w:val="20"/>
          <w:szCs w:val="24"/>
          <w:lang w:val="es-ES_tradnl"/>
        </w:rPr>
      </w:pPr>
      <w:r w:rsidRPr="0007541A">
        <w:rPr>
          <w:rFonts w:ascii="MinionPro-Regular" w:hAnsi="MinionPro-Regular"/>
          <w:sz w:val="20"/>
          <w:szCs w:val="24"/>
          <w:lang w:val="es-ES_tradnl"/>
        </w:rPr>
        <w:t>La</w:t>
      </w:r>
      <w:r w:rsidRPr="0007541A">
        <w:t xml:space="preserve"> </w:t>
      </w:r>
      <w:r w:rsidRPr="0007541A">
        <w:rPr>
          <w:rFonts w:ascii="MinionPro-Regular" w:hAnsi="MinionPro-Regular"/>
          <w:sz w:val="20"/>
          <w:szCs w:val="24"/>
          <w:lang w:val="es-ES_tradnl"/>
        </w:rPr>
        <w:t xml:space="preserve">probabilidad de que una persona con discapacidad participe en el mercado laboral en España es menos de la mitad de la de una persona sin discapacidad. El coste de oportunidad anual en el que incurre la economía española como resultado de la no incorporación al mercado laboral de las personas con discapacidad podría situarse alrededor de un </w:t>
      </w:r>
      <w:r w:rsidR="0058592E" w:rsidRPr="0007541A">
        <w:rPr>
          <w:rFonts w:ascii="MinionPro-Regular" w:hAnsi="MinionPro-Regular"/>
          <w:sz w:val="20"/>
          <w:szCs w:val="24"/>
          <w:lang w:val="es-ES_tradnl"/>
        </w:rPr>
        <w:t>0,3</w:t>
      </w:r>
      <w:r w:rsidR="00F23441" w:rsidRPr="0007541A">
        <w:rPr>
          <w:rFonts w:ascii="MinionPro-Regular" w:hAnsi="MinionPro-Regular"/>
          <w:sz w:val="20"/>
          <w:szCs w:val="24"/>
          <w:lang w:val="es-ES_tradnl"/>
        </w:rPr>
        <w:t>%</w:t>
      </w:r>
      <w:r w:rsidRPr="0007541A">
        <w:rPr>
          <w:rFonts w:ascii="MinionPro-Regular" w:hAnsi="MinionPro-Regular"/>
          <w:sz w:val="20"/>
          <w:szCs w:val="24"/>
          <w:lang w:val="es-ES_tradnl"/>
        </w:rPr>
        <w:t xml:space="preserve"> del PIB.</w:t>
      </w:r>
    </w:p>
    <w:p w:rsidR="00E2336B" w:rsidRDefault="00E2336B" w:rsidP="0007541A">
      <w:pPr>
        <w:pStyle w:val="Prrafodelista"/>
        <w:numPr>
          <w:ilvl w:val="0"/>
          <w:numId w:val="22"/>
        </w:numPr>
        <w:pBdr>
          <w:top w:val="single" w:sz="4" w:space="1" w:color="auto"/>
          <w:left w:val="single" w:sz="4" w:space="4" w:color="auto"/>
          <w:bottom w:val="single" w:sz="4" w:space="1" w:color="auto"/>
          <w:right w:val="single" w:sz="4" w:space="4" w:color="auto"/>
        </w:pBdr>
        <w:autoSpaceDE w:val="0"/>
        <w:autoSpaceDN w:val="0"/>
        <w:spacing w:line="360" w:lineRule="auto"/>
        <w:jc w:val="both"/>
        <w:rPr>
          <w:rFonts w:ascii="MinionPro-Regular" w:hAnsi="MinionPro-Regular"/>
          <w:sz w:val="20"/>
          <w:szCs w:val="24"/>
          <w:lang w:val="es-ES_tradnl"/>
        </w:rPr>
      </w:pPr>
      <w:r w:rsidRPr="0007541A">
        <w:rPr>
          <w:rFonts w:ascii="MinionPro-Regular" w:hAnsi="MinionPro-Regular"/>
          <w:sz w:val="20"/>
          <w:szCs w:val="24"/>
          <w:lang w:val="es-ES_tradnl"/>
        </w:rPr>
        <w:t>En un contexto en el que la inversión de la pirámide demográfica podría dificultar, a lo largo de los próximos años y décadas, el mantenimiento de los estados del bienestar</w:t>
      </w:r>
      <w:r w:rsidRPr="007C3D6C">
        <w:rPr>
          <w:rFonts w:ascii="MinionPro-Regular" w:hAnsi="MinionPro-Regular"/>
          <w:sz w:val="20"/>
          <w:szCs w:val="24"/>
          <w:lang w:val="es-ES_tradnl"/>
        </w:rPr>
        <w:t xml:space="preserve"> en las economías avanzadas, la incorporación a la fuerza de trabajo de las personas con discapacidad podría resultar clave</w:t>
      </w:r>
      <w:r>
        <w:rPr>
          <w:rFonts w:ascii="MinionPro-Regular" w:hAnsi="MinionPro-Regular"/>
          <w:sz w:val="20"/>
          <w:szCs w:val="24"/>
          <w:lang w:val="es-ES_tradnl"/>
        </w:rPr>
        <w:t>. Tanto desde el punto de vista del incremento de la fuerza laboral como de la disminución del gasto estructural.</w:t>
      </w:r>
    </w:p>
    <w:p w:rsidR="000F6263" w:rsidRDefault="00950AC4" w:rsidP="0007541A">
      <w:pPr>
        <w:pStyle w:val="Prrafodelista"/>
        <w:numPr>
          <w:ilvl w:val="0"/>
          <w:numId w:val="22"/>
        </w:numPr>
        <w:pBdr>
          <w:top w:val="single" w:sz="4" w:space="1" w:color="auto"/>
          <w:left w:val="single" w:sz="4" w:space="4" w:color="auto"/>
          <w:bottom w:val="single" w:sz="4" w:space="1" w:color="auto"/>
          <w:right w:val="single" w:sz="4" w:space="4" w:color="auto"/>
        </w:pBdr>
        <w:autoSpaceDE w:val="0"/>
        <w:autoSpaceDN w:val="0"/>
        <w:spacing w:line="360" w:lineRule="auto"/>
        <w:jc w:val="both"/>
        <w:rPr>
          <w:rFonts w:ascii="MinionPro-Regular" w:hAnsi="MinionPro-Regular"/>
          <w:sz w:val="20"/>
          <w:szCs w:val="24"/>
          <w:lang w:val="es-ES_tradnl"/>
        </w:rPr>
      </w:pPr>
      <w:r>
        <w:rPr>
          <w:rFonts w:ascii="MinionPro-Regular" w:hAnsi="MinionPro-Regular"/>
          <w:sz w:val="20"/>
          <w:szCs w:val="24"/>
          <w:lang w:val="es-ES_tradnl"/>
        </w:rPr>
        <w:t>Las personas con discapacidad que figuran en las listas de demandantes de empleo del INEM (actual SPEE), ha ido en aumento desde el año 1999.</w:t>
      </w:r>
    </w:p>
    <w:p w:rsidR="00E2336B" w:rsidRDefault="00E2336B">
      <w:pPr>
        <w:rPr>
          <w:rFonts w:ascii="MinionPro-Regular" w:hAnsi="MinionPro-Regular"/>
          <w:b/>
          <w:sz w:val="24"/>
          <w:szCs w:val="24"/>
        </w:rPr>
      </w:pPr>
      <w:bookmarkStart w:id="19" w:name="_Toc343587489"/>
      <w:bookmarkStart w:id="20" w:name="_Toc344314309"/>
      <w:bookmarkStart w:id="21" w:name="_Toc344386214"/>
      <w:bookmarkStart w:id="22" w:name="_Toc344402454"/>
      <w:bookmarkEnd w:id="19"/>
      <w:bookmarkEnd w:id="20"/>
      <w:bookmarkEnd w:id="21"/>
      <w:bookmarkEnd w:id="22"/>
      <w:r>
        <w:rPr>
          <w:rFonts w:ascii="MinionPro-Regular" w:hAnsi="MinionPro-Regular"/>
          <w:sz w:val="24"/>
          <w:szCs w:val="24"/>
        </w:rPr>
        <w:br w:type="page"/>
      </w:r>
    </w:p>
    <w:p w:rsidR="00E2336B" w:rsidRPr="00794594" w:rsidRDefault="00E2336B" w:rsidP="0007541A">
      <w:pPr>
        <w:pStyle w:val="Ttulo1"/>
        <w:numPr>
          <w:ilvl w:val="0"/>
          <w:numId w:val="3"/>
        </w:numPr>
        <w:rPr>
          <w:rFonts w:ascii="MinionPro-Regular" w:hAnsi="MinionPro-Regular"/>
        </w:rPr>
      </w:pPr>
      <w:bookmarkStart w:id="23" w:name="_Toc344964054"/>
      <w:bookmarkStart w:id="24" w:name="_Toc340732418"/>
      <w:bookmarkStart w:id="25" w:name="_Toc340745342"/>
      <w:bookmarkStart w:id="26" w:name="_Toc340745503"/>
      <w:bookmarkStart w:id="27" w:name="_Toc340340543"/>
      <w:bookmarkStart w:id="28" w:name="_Toc352773546"/>
      <w:bookmarkEnd w:id="23"/>
      <w:bookmarkEnd w:id="24"/>
      <w:bookmarkEnd w:id="25"/>
      <w:bookmarkEnd w:id="26"/>
      <w:r w:rsidRPr="00794594">
        <w:rPr>
          <w:rFonts w:ascii="MinionPro-Regular" w:hAnsi="MinionPro-Regular"/>
        </w:rPr>
        <w:lastRenderedPageBreak/>
        <w:t>Los datos de empleo de las personas con discapacidad siguen siendo muy bajos</w:t>
      </w:r>
      <w:bookmarkEnd w:id="27"/>
      <w:bookmarkEnd w:id="28"/>
    </w:p>
    <w:p w:rsidR="00E2336B" w:rsidRDefault="00E2336B" w:rsidP="004D03DD">
      <w:pPr>
        <w:autoSpaceDE w:val="0"/>
        <w:autoSpaceDN w:val="0"/>
        <w:spacing w:line="360" w:lineRule="auto"/>
        <w:jc w:val="both"/>
        <w:rPr>
          <w:rFonts w:ascii="MinionPro-Regular" w:hAnsi="MinionPro-Regular"/>
          <w:sz w:val="24"/>
          <w:szCs w:val="24"/>
        </w:rPr>
      </w:pPr>
    </w:p>
    <w:p w:rsidR="00E2336B" w:rsidRDefault="00E2336B">
      <w:pPr>
        <w:autoSpaceDE w:val="0"/>
        <w:autoSpaceDN w:val="0"/>
        <w:spacing w:line="360" w:lineRule="auto"/>
        <w:jc w:val="both"/>
        <w:rPr>
          <w:rFonts w:ascii="MinionPro-Regular" w:hAnsi="MinionPro-Regular"/>
          <w:sz w:val="24"/>
          <w:szCs w:val="24"/>
        </w:rPr>
      </w:pPr>
      <w:r w:rsidRPr="00981369">
        <w:rPr>
          <w:rFonts w:ascii="MinionPro-Regular" w:hAnsi="MinionPro-Regular"/>
          <w:sz w:val="24"/>
          <w:szCs w:val="24"/>
        </w:rPr>
        <w:t xml:space="preserve">Los datos de la </w:t>
      </w:r>
      <w:r w:rsidR="00F65D17">
        <w:rPr>
          <w:rFonts w:ascii="MinionPro-Regular" w:hAnsi="MinionPro-Regular"/>
          <w:sz w:val="24"/>
          <w:szCs w:val="24"/>
        </w:rPr>
        <w:t>Encuesta de Población Activa de 2011</w:t>
      </w:r>
      <w:r w:rsidRPr="00981369">
        <w:rPr>
          <w:rFonts w:ascii="MinionPro-Regular" w:hAnsi="MinionPro-Regular"/>
          <w:sz w:val="24"/>
          <w:szCs w:val="24"/>
        </w:rPr>
        <w:t xml:space="preserve"> muestran como las tasas de empleo de las personas con discapacidad son sustancialmente inferiores a las de las personas </w:t>
      </w:r>
      <w:r>
        <w:rPr>
          <w:rFonts w:ascii="MinionPro-Regular" w:hAnsi="MinionPro-Regular"/>
          <w:sz w:val="24"/>
          <w:szCs w:val="24"/>
        </w:rPr>
        <w:t>sin</w:t>
      </w:r>
      <w:r w:rsidRPr="00981369">
        <w:rPr>
          <w:rFonts w:ascii="MinionPro-Regular" w:hAnsi="MinionPro-Regular"/>
          <w:sz w:val="24"/>
          <w:szCs w:val="24"/>
        </w:rPr>
        <w:t xml:space="preserve"> discapacidad. </w:t>
      </w:r>
    </w:p>
    <w:p w:rsidR="0007541A" w:rsidRDefault="0007541A">
      <w:pPr>
        <w:autoSpaceDE w:val="0"/>
        <w:autoSpaceDN w:val="0"/>
        <w:spacing w:line="360" w:lineRule="auto"/>
        <w:jc w:val="both"/>
        <w:rPr>
          <w:rFonts w:ascii="MinionPro-Regular" w:hAnsi="MinionPro-Regular"/>
          <w:sz w:val="24"/>
          <w:szCs w:val="24"/>
        </w:rPr>
      </w:pPr>
    </w:p>
    <w:p w:rsidR="00626FE1" w:rsidRPr="00362187" w:rsidRDefault="00626FE1" w:rsidP="00626FE1">
      <w:pPr>
        <w:pBdr>
          <w:top w:val="single" w:sz="4" w:space="1" w:color="auto"/>
        </w:pBdr>
        <w:autoSpaceDE w:val="0"/>
        <w:autoSpaceDN w:val="0"/>
        <w:spacing w:line="360" w:lineRule="auto"/>
        <w:jc w:val="both"/>
        <w:rPr>
          <w:noProof/>
          <w:sz w:val="20"/>
        </w:rPr>
      </w:pPr>
      <w:r>
        <w:rPr>
          <w:noProof/>
          <w:sz w:val="20"/>
        </w:rPr>
        <w:t>Evolución tasa de actividad. Periodo 2009-2011. Personas con y sin discapacidad.</w:t>
      </w:r>
    </w:p>
    <w:p w:rsidR="00626FE1" w:rsidRDefault="00626FE1" w:rsidP="00626FE1">
      <w:pPr>
        <w:autoSpaceDE w:val="0"/>
        <w:autoSpaceDN w:val="0"/>
        <w:spacing w:line="360" w:lineRule="auto"/>
        <w:jc w:val="both"/>
        <w:rPr>
          <w:rFonts w:ascii="MinionPro-Regular" w:hAnsi="MinionPro-Regular"/>
          <w:color w:val="FF0000"/>
          <w:sz w:val="24"/>
          <w:szCs w:val="24"/>
        </w:rPr>
      </w:pPr>
      <w:r>
        <w:rPr>
          <w:rFonts w:ascii="MinionPro-Regular" w:hAnsi="MinionPro-Regular"/>
          <w:noProof/>
          <w:color w:val="FF0000"/>
          <w:sz w:val="24"/>
          <w:szCs w:val="24"/>
          <w:lang w:eastAsia="es-ES"/>
        </w:rPr>
        <w:drawing>
          <wp:inline distT="0" distB="0" distL="0" distR="0">
            <wp:extent cx="4442460" cy="2795270"/>
            <wp:effectExtent l="0" t="0" r="0" b="0"/>
            <wp:docPr id="116" name="Chart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626FE1" w:rsidRDefault="00626FE1" w:rsidP="00626FE1">
      <w:pPr>
        <w:pBdr>
          <w:bottom w:val="single" w:sz="4" w:space="1" w:color="auto"/>
        </w:pBdr>
        <w:autoSpaceDE w:val="0"/>
        <w:autoSpaceDN w:val="0"/>
        <w:spacing w:line="360" w:lineRule="auto"/>
        <w:jc w:val="both"/>
        <w:rPr>
          <w:rFonts w:ascii="MinionPro-Regular" w:hAnsi="MinionPro-Regular"/>
          <w:sz w:val="20"/>
          <w:szCs w:val="24"/>
        </w:rPr>
      </w:pPr>
      <w:r>
        <w:rPr>
          <w:noProof/>
          <w:lang w:val="es-ES_tradnl"/>
        </w:rPr>
        <w:t>F</w:t>
      </w:r>
      <w:r w:rsidRPr="008E154B">
        <w:rPr>
          <w:rFonts w:ascii="MinionPro-Regular" w:hAnsi="MinionPro-Regular"/>
          <w:sz w:val="20"/>
          <w:szCs w:val="24"/>
        </w:rPr>
        <w:t xml:space="preserve">uente: Elaboración propia a partir de los datos de la  </w:t>
      </w:r>
      <w:r>
        <w:rPr>
          <w:rFonts w:ascii="MinionPro-Regular" w:hAnsi="MinionPro-Regular"/>
          <w:sz w:val="20"/>
          <w:szCs w:val="24"/>
        </w:rPr>
        <w:t>Encuesta de Población Activa (EPA), 2011.</w:t>
      </w:r>
    </w:p>
    <w:p w:rsidR="00626FE1" w:rsidRDefault="00626FE1" w:rsidP="00626FE1">
      <w:pPr>
        <w:pBdr>
          <w:bottom w:val="single" w:sz="4" w:space="1" w:color="auto"/>
        </w:pBdr>
        <w:autoSpaceDE w:val="0"/>
        <w:autoSpaceDN w:val="0"/>
        <w:spacing w:line="360" w:lineRule="auto"/>
        <w:jc w:val="both"/>
        <w:rPr>
          <w:rFonts w:ascii="MinionPro-Regular" w:hAnsi="MinionPro-Regular"/>
          <w:sz w:val="20"/>
          <w:szCs w:val="24"/>
        </w:rPr>
      </w:pPr>
      <w:r>
        <w:rPr>
          <w:rFonts w:ascii="MinionPro-Regular" w:hAnsi="MinionPro-Regular"/>
          <w:sz w:val="20"/>
          <w:szCs w:val="24"/>
        </w:rPr>
        <w:t>Nota explicativa de la gráfica: Eje vertical, tasa de actividad en porcentaje (con discapacidad y sin discapacidad). Eje horizontal, años 2009, 2010 y 2011. Los datos son: en el año 2009, 36,2% personas con discapacidad, activas, 75,4% personas sin discapacidad, activas; en el año 2010, 36,2% personas con discapacidad activas, 75,9% de personas sin discapacidad, activas; en el año 2011, 36,6% de personas con discapacidad, activas, 76,4% de personas sin discapacidad activas.</w:t>
      </w:r>
    </w:p>
    <w:p w:rsidR="00626FE1" w:rsidRDefault="00626FE1" w:rsidP="004D03DD">
      <w:pPr>
        <w:autoSpaceDE w:val="0"/>
        <w:autoSpaceDN w:val="0"/>
        <w:spacing w:line="360" w:lineRule="auto"/>
        <w:jc w:val="both"/>
        <w:rPr>
          <w:noProof/>
          <w:sz w:val="20"/>
        </w:rPr>
      </w:pPr>
    </w:p>
    <w:p w:rsidR="00E2336B" w:rsidRDefault="00E2336B" w:rsidP="004D03DD">
      <w:pPr>
        <w:autoSpaceDE w:val="0"/>
        <w:autoSpaceDN w:val="0"/>
        <w:spacing w:line="360" w:lineRule="auto"/>
        <w:jc w:val="both"/>
        <w:rPr>
          <w:rFonts w:ascii="MinionPro-Regular" w:hAnsi="MinionPro-Regular"/>
          <w:sz w:val="24"/>
          <w:szCs w:val="24"/>
        </w:rPr>
      </w:pPr>
      <w:r>
        <w:rPr>
          <w:rFonts w:ascii="MinionPro-Regular" w:hAnsi="MinionPro-Regular"/>
          <w:sz w:val="24"/>
          <w:szCs w:val="24"/>
        </w:rPr>
        <w:t>H</w:t>
      </w:r>
      <w:r w:rsidRPr="00981369">
        <w:rPr>
          <w:rFonts w:ascii="MinionPro-Regular" w:hAnsi="MinionPro-Regular"/>
          <w:sz w:val="24"/>
          <w:szCs w:val="24"/>
        </w:rPr>
        <w:t xml:space="preserve">ay varios elementos que resulta conveniente destacar respecto del </w:t>
      </w:r>
      <w:r>
        <w:rPr>
          <w:rFonts w:ascii="MinionPro-Regular" w:hAnsi="MinionPro-Regular"/>
          <w:sz w:val="24"/>
          <w:szCs w:val="24"/>
        </w:rPr>
        <w:t xml:space="preserve">caso español; </w:t>
      </w:r>
      <w:r w:rsidRPr="00981369">
        <w:rPr>
          <w:rFonts w:ascii="MinionPro-Regular" w:hAnsi="MinionPro-Regular"/>
          <w:sz w:val="24"/>
          <w:szCs w:val="24"/>
        </w:rPr>
        <w:t xml:space="preserve">la tasa de empleo de personas con discapacidad en países avanzados como Suecia, Alemania o Reino Unido es sustancialmente superior a la de España. En Suecia, la tasa de empleo </w:t>
      </w:r>
      <w:r w:rsidRPr="00981369">
        <w:rPr>
          <w:rFonts w:ascii="MinionPro-Regular" w:hAnsi="MinionPro-Regular"/>
          <w:sz w:val="24"/>
          <w:szCs w:val="24"/>
        </w:rPr>
        <w:lastRenderedPageBreak/>
        <w:t xml:space="preserve">superaba a la española, a finales de la pasada década y de acuerdo a los datos de la OCDE, en un 74%. Las tasas de Alemania y Reino Unido superaban a la </w:t>
      </w:r>
      <w:r>
        <w:rPr>
          <w:rFonts w:ascii="MinionPro-Regular" w:hAnsi="MinionPro-Regular"/>
          <w:sz w:val="24"/>
          <w:szCs w:val="24"/>
        </w:rPr>
        <w:t>de España</w:t>
      </w:r>
      <w:r w:rsidRPr="00981369">
        <w:rPr>
          <w:rFonts w:ascii="MinionPro-Regular" w:hAnsi="MinionPro-Regular"/>
          <w:sz w:val="24"/>
          <w:szCs w:val="24"/>
        </w:rPr>
        <w:t xml:space="preserve"> en un 41 y en un 26%, respectivamente. </w:t>
      </w:r>
    </w:p>
    <w:p w:rsidR="00E2336B" w:rsidRPr="00981369" w:rsidRDefault="00E2336B" w:rsidP="004D03DD">
      <w:pPr>
        <w:autoSpaceDE w:val="0"/>
        <w:autoSpaceDN w:val="0"/>
        <w:spacing w:line="360" w:lineRule="auto"/>
        <w:jc w:val="both"/>
        <w:rPr>
          <w:rFonts w:ascii="MinionPro-Regular" w:hAnsi="MinionPro-Regular"/>
          <w:sz w:val="24"/>
          <w:szCs w:val="24"/>
        </w:rPr>
      </w:pPr>
    </w:p>
    <w:p w:rsidR="005F517D" w:rsidRDefault="00E2336B" w:rsidP="004D03DD">
      <w:pPr>
        <w:autoSpaceDE w:val="0"/>
        <w:autoSpaceDN w:val="0"/>
        <w:spacing w:line="360" w:lineRule="auto"/>
        <w:jc w:val="both"/>
        <w:rPr>
          <w:rFonts w:ascii="MinionPro-Regular" w:hAnsi="MinionPro-Regular"/>
          <w:sz w:val="24"/>
          <w:szCs w:val="24"/>
        </w:rPr>
      </w:pPr>
      <w:r w:rsidRPr="00981369">
        <w:rPr>
          <w:rFonts w:ascii="MinionPro-Regular" w:hAnsi="MinionPro-Regular"/>
          <w:sz w:val="24"/>
          <w:szCs w:val="24"/>
        </w:rPr>
        <w:t xml:space="preserve">Otro elemento que cabría tomar en consideración es el reducido impacto que los años de prosperidad económica en España tuvieron sobre la tasa de empleo de las personas con discapacidad en nuestro país. De acuerdo a los </w:t>
      </w:r>
      <w:r w:rsidRPr="008B461D">
        <w:rPr>
          <w:rFonts w:ascii="MinionPro-Regular" w:hAnsi="MinionPro-Regular"/>
          <w:sz w:val="24"/>
          <w:szCs w:val="24"/>
        </w:rPr>
        <w:t>datos del INE, entre</w:t>
      </w:r>
      <w:r w:rsidRPr="00981369">
        <w:rPr>
          <w:rFonts w:ascii="MinionPro-Regular" w:hAnsi="MinionPro-Regular"/>
          <w:sz w:val="24"/>
          <w:szCs w:val="24"/>
        </w:rPr>
        <w:t xml:space="preserve"> los años 1997 y 2007, la tasa de desempleo en España se redujo en aproximadamente un 50%. Sin embargo, esta reducción en la tasa de desempleo general del país no se tradujo en un aumento proporcional de la tasa de empleo de las personas con discapacidad</w:t>
      </w:r>
      <w:r>
        <w:rPr>
          <w:rFonts w:ascii="MinionPro-Regular" w:hAnsi="MinionPro-Regular"/>
          <w:sz w:val="24"/>
          <w:szCs w:val="24"/>
        </w:rPr>
        <w:t>, tal y como podía preverse dado el menor punto de partida de las persona con discapacidad</w:t>
      </w:r>
      <w:r w:rsidRPr="00981369">
        <w:rPr>
          <w:rFonts w:ascii="MinionPro-Regular" w:hAnsi="MinionPro-Regular"/>
          <w:sz w:val="24"/>
          <w:szCs w:val="24"/>
        </w:rPr>
        <w:t>. Desde mediados de los años noventa hasta finales de la primera década de los años 2000</w:t>
      </w:r>
      <w:r>
        <w:rPr>
          <w:rFonts w:ascii="MinionPro-Regular" w:hAnsi="MinionPro-Regular"/>
          <w:sz w:val="24"/>
          <w:szCs w:val="24"/>
        </w:rPr>
        <w:t>,</w:t>
      </w:r>
      <w:r w:rsidRPr="00981369">
        <w:rPr>
          <w:rFonts w:ascii="MinionPro-Regular" w:hAnsi="MinionPro-Regular"/>
          <w:sz w:val="24"/>
          <w:szCs w:val="24"/>
        </w:rPr>
        <w:t xml:space="preserve"> el efecto convergencia que debería haberse producido en el aumento de la ocupación de las personas con discapacidad</w:t>
      </w:r>
      <w:r>
        <w:rPr>
          <w:rFonts w:ascii="MinionPro-Regular" w:hAnsi="MinionPro-Regular"/>
          <w:sz w:val="24"/>
          <w:szCs w:val="24"/>
        </w:rPr>
        <w:t>, dada su peor posición de partida,</w:t>
      </w:r>
      <w:r w:rsidRPr="00981369">
        <w:rPr>
          <w:rFonts w:ascii="MinionPro-Regular" w:hAnsi="MinionPro-Regular"/>
          <w:sz w:val="24"/>
          <w:szCs w:val="24"/>
        </w:rPr>
        <w:t xml:space="preserve"> apenas es perceptible.</w:t>
      </w:r>
      <w:r w:rsidR="00950AC4">
        <w:rPr>
          <w:rFonts w:ascii="MinionPro-Regular" w:hAnsi="MinionPro-Regular"/>
          <w:sz w:val="24"/>
          <w:szCs w:val="24"/>
        </w:rPr>
        <w:t xml:space="preserve"> </w:t>
      </w:r>
      <w:r w:rsidR="00A064BE" w:rsidRPr="005F517D">
        <w:rPr>
          <w:rFonts w:ascii="MinionPro-Regular" w:hAnsi="MinionPro-Regular"/>
          <w:sz w:val="24"/>
          <w:szCs w:val="24"/>
        </w:rPr>
        <w:t xml:space="preserve">La información más reciente data de 2011. </w:t>
      </w:r>
    </w:p>
    <w:p w:rsidR="005F517D" w:rsidRDefault="005F517D" w:rsidP="004D03DD">
      <w:pPr>
        <w:autoSpaceDE w:val="0"/>
        <w:autoSpaceDN w:val="0"/>
        <w:spacing w:line="360" w:lineRule="auto"/>
        <w:jc w:val="both"/>
        <w:rPr>
          <w:rFonts w:ascii="MinionPro-Regular" w:hAnsi="MinionPro-Regular"/>
          <w:sz w:val="24"/>
          <w:szCs w:val="24"/>
        </w:rPr>
      </w:pPr>
    </w:p>
    <w:p w:rsidR="00362187" w:rsidRDefault="00A064BE" w:rsidP="004D03DD">
      <w:pPr>
        <w:autoSpaceDE w:val="0"/>
        <w:autoSpaceDN w:val="0"/>
        <w:spacing w:line="360" w:lineRule="auto"/>
        <w:jc w:val="both"/>
        <w:rPr>
          <w:rFonts w:ascii="MinionPro-Regular" w:hAnsi="MinionPro-Regular"/>
          <w:sz w:val="24"/>
          <w:szCs w:val="24"/>
        </w:rPr>
      </w:pPr>
      <w:r w:rsidRPr="005F517D">
        <w:rPr>
          <w:rFonts w:ascii="MinionPro-Regular" w:hAnsi="MinionPro-Regular"/>
          <w:sz w:val="24"/>
          <w:szCs w:val="24"/>
        </w:rPr>
        <w:t>Según la encuesta de población activa (EPA), el 36,6% de las personas con discapacidad legalmente reconocida eran activos en 2011. Esta tasa de actividad es casi 40 puntos inferior a la de la población sin discapacidad (76,4%). La tasa de empleo en las personas con discapacidad es del 26,7%, y por otro lado la tasa de paro del colectivo fue del 26,9%, más de 5 puntos superior a la de la población sin discapacidad</w:t>
      </w:r>
      <w:r w:rsidRPr="00362187">
        <w:rPr>
          <w:rFonts w:ascii="MinionPro-Regular" w:hAnsi="MinionPro-Regular"/>
          <w:color w:val="4F81BD" w:themeColor="accent1"/>
          <w:sz w:val="24"/>
          <w:szCs w:val="24"/>
        </w:rPr>
        <w:t>.</w:t>
      </w:r>
      <w:r>
        <w:rPr>
          <w:rFonts w:ascii="MinionPro-Regular" w:hAnsi="MinionPro-Regular"/>
          <w:sz w:val="24"/>
          <w:szCs w:val="24"/>
        </w:rPr>
        <w:t xml:space="preserve"> </w:t>
      </w:r>
    </w:p>
    <w:p w:rsidR="0007541A" w:rsidRDefault="0007541A" w:rsidP="004D03DD">
      <w:pPr>
        <w:autoSpaceDE w:val="0"/>
        <w:autoSpaceDN w:val="0"/>
        <w:spacing w:line="360" w:lineRule="auto"/>
        <w:jc w:val="both"/>
        <w:rPr>
          <w:rFonts w:ascii="MinionPro-Regular" w:hAnsi="MinionPro-Regular"/>
          <w:sz w:val="24"/>
          <w:szCs w:val="24"/>
        </w:rPr>
      </w:pPr>
    </w:p>
    <w:p w:rsidR="0007541A" w:rsidRDefault="0007541A" w:rsidP="004D03DD">
      <w:pPr>
        <w:autoSpaceDE w:val="0"/>
        <w:autoSpaceDN w:val="0"/>
        <w:spacing w:line="360" w:lineRule="auto"/>
        <w:jc w:val="both"/>
        <w:rPr>
          <w:rFonts w:ascii="MinionPro-Regular" w:hAnsi="MinionPro-Regular"/>
          <w:sz w:val="24"/>
          <w:szCs w:val="24"/>
        </w:rPr>
      </w:pPr>
    </w:p>
    <w:p w:rsidR="0007541A" w:rsidRDefault="0007541A" w:rsidP="004D03DD">
      <w:pPr>
        <w:autoSpaceDE w:val="0"/>
        <w:autoSpaceDN w:val="0"/>
        <w:spacing w:line="360" w:lineRule="auto"/>
        <w:jc w:val="both"/>
        <w:rPr>
          <w:rFonts w:ascii="MinionPro-Regular" w:hAnsi="MinionPro-Regular"/>
          <w:sz w:val="24"/>
          <w:szCs w:val="24"/>
        </w:rPr>
      </w:pPr>
    </w:p>
    <w:p w:rsidR="0007541A" w:rsidRDefault="0007541A" w:rsidP="004D03DD">
      <w:pPr>
        <w:autoSpaceDE w:val="0"/>
        <w:autoSpaceDN w:val="0"/>
        <w:spacing w:line="360" w:lineRule="auto"/>
        <w:jc w:val="both"/>
        <w:rPr>
          <w:rFonts w:ascii="MinionPro-Regular" w:hAnsi="MinionPro-Regular"/>
          <w:sz w:val="24"/>
          <w:szCs w:val="24"/>
        </w:rPr>
      </w:pPr>
    </w:p>
    <w:p w:rsidR="0007541A" w:rsidRDefault="0007541A" w:rsidP="004D03DD">
      <w:pPr>
        <w:autoSpaceDE w:val="0"/>
        <w:autoSpaceDN w:val="0"/>
        <w:spacing w:line="360" w:lineRule="auto"/>
        <w:jc w:val="both"/>
        <w:rPr>
          <w:rFonts w:ascii="MinionPro-Regular" w:hAnsi="MinionPro-Regular"/>
          <w:sz w:val="24"/>
          <w:szCs w:val="24"/>
        </w:rPr>
      </w:pPr>
    </w:p>
    <w:p w:rsidR="0007541A" w:rsidRDefault="0007541A" w:rsidP="004D03DD">
      <w:pPr>
        <w:autoSpaceDE w:val="0"/>
        <w:autoSpaceDN w:val="0"/>
        <w:spacing w:line="360" w:lineRule="auto"/>
        <w:jc w:val="both"/>
        <w:rPr>
          <w:rFonts w:ascii="MinionPro-Regular" w:hAnsi="MinionPro-Regular"/>
          <w:sz w:val="24"/>
          <w:szCs w:val="24"/>
        </w:rPr>
      </w:pPr>
    </w:p>
    <w:p w:rsidR="0007541A" w:rsidRDefault="0007541A" w:rsidP="004D03DD">
      <w:pPr>
        <w:autoSpaceDE w:val="0"/>
        <w:autoSpaceDN w:val="0"/>
        <w:spacing w:line="360" w:lineRule="auto"/>
        <w:jc w:val="both"/>
        <w:rPr>
          <w:rFonts w:ascii="MinionPro-Regular" w:hAnsi="MinionPro-Regular"/>
          <w:sz w:val="24"/>
          <w:szCs w:val="24"/>
        </w:rPr>
      </w:pPr>
    </w:p>
    <w:p w:rsidR="0007541A" w:rsidRDefault="0007541A" w:rsidP="004D03DD">
      <w:pPr>
        <w:autoSpaceDE w:val="0"/>
        <w:autoSpaceDN w:val="0"/>
        <w:spacing w:line="360" w:lineRule="auto"/>
        <w:jc w:val="both"/>
        <w:rPr>
          <w:rFonts w:ascii="MinionPro-Regular" w:hAnsi="MinionPro-Regular"/>
          <w:sz w:val="24"/>
          <w:szCs w:val="24"/>
        </w:rPr>
      </w:pPr>
    </w:p>
    <w:p w:rsidR="0007541A" w:rsidRDefault="0007541A" w:rsidP="004D03DD">
      <w:pPr>
        <w:autoSpaceDE w:val="0"/>
        <w:autoSpaceDN w:val="0"/>
        <w:spacing w:line="360" w:lineRule="auto"/>
        <w:jc w:val="both"/>
        <w:rPr>
          <w:rFonts w:ascii="MinionPro-Regular" w:hAnsi="MinionPro-Regular"/>
          <w:sz w:val="24"/>
          <w:szCs w:val="24"/>
        </w:rPr>
      </w:pPr>
    </w:p>
    <w:p w:rsidR="0007541A" w:rsidRDefault="0007541A" w:rsidP="004D03DD">
      <w:pPr>
        <w:autoSpaceDE w:val="0"/>
        <w:autoSpaceDN w:val="0"/>
        <w:spacing w:line="360" w:lineRule="auto"/>
        <w:jc w:val="both"/>
        <w:rPr>
          <w:rFonts w:ascii="MinionPro-Regular" w:hAnsi="MinionPro-Regular"/>
          <w:strike/>
          <w:color w:val="FF0000"/>
          <w:sz w:val="24"/>
          <w:szCs w:val="24"/>
        </w:rPr>
      </w:pPr>
    </w:p>
    <w:p w:rsidR="00626FE1" w:rsidRPr="00362187" w:rsidRDefault="00626FE1" w:rsidP="00626FE1">
      <w:pPr>
        <w:pBdr>
          <w:top w:val="single" w:sz="4" w:space="1" w:color="auto"/>
        </w:pBdr>
        <w:autoSpaceDE w:val="0"/>
        <w:autoSpaceDN w:val="0"/>
        <w:spacing w:line="360" w:lineRule="auto"/>
        <w:jc w:val="both"/>
        <w:rPr>
          <w:noProof/>
          <w:sz w:val="20"/>
        </w:rPr>
      </w:pPr>
      <w:r>
        <w:rPr>
          <w:noProof/>
          <w:sz w:val="20"/>
        </w:rPr>
        <w:t>Evolución tasa de empleo. Periodo 2009-2011. Personas con y sin discapacidad.</w:t>
      </w:r>
    </w:p>
    <w:p w:rsidR="00626FE1" w:rsidRDefault="00626FE1" w:rsidP="00626FE1">
      <w:pPr>
        <w:autoSpaceDE w:val="0"/>
        <w:autoSpaceDN w:val="0"/>
        <w:spacing w:line="360" w:lineRule="auto"/>
        <w:jc w:val="both"/>
        <w:rPr>
          <w:rFonts w:ascii="MinionPro-Regular" w:hAnsi="MinionPro-Regular"/>
          <w:color w:val="FF0000"/>
          <w:sz w:val="24"/>
          <w:szCs w:val="24"/>
        </w:rPr>
      </w:pPr>
      <w:r>
        <w:rPr>
          <w:rFonts w:ascii="MinionPro-Regular" w:hAnsi="MinionPro-Regular"/>
          <w:noProof/>
          <w:color w:val="FF0000"/>
          <w:sz w:val="24"/>
          <w:szCs w:val="24"/>
          <w:lang w:eastAsia="es-ES"/>
        </w:rPr>
        <w:drawing>
          <wp:inline distT="0" distB="0" distL="0" distR="0">
            <wp:extent cx="4192270" cy="2613660"/>
            <wp:effectExtent l="0" t="0" r="0" b="0"/>
            <wp:docPr id="200" name="Chart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626FE1" w:rsidRDefault="00626FE1" w:rsidP="00626FE1">
      <w:pPr>
        <w:pBdr>
          <w:bottom w:val="single" w:sz="4" w:space="1" w:color="auto"/>
        </w:pBdr>
        <w:autoSpaceDE w:val="0"/>
        <w:autoSpaceDN w:val="0"/>
        <w:spacing w:line="360" w:lineRule="auto"/>
        <w:jc w:val="both"/>
        <w:rPr>
          <w:rFonts w:ascii="MinionPro-Regular" w:hAnsi="MinionPro-Regular"/>
          <w:sz w:val="20"/>
          <w:szCs w:val="24"/>
        </w:rPr>
      </w:pPr>
      <w:r>
        <w:rPr>
          <w:noProof/>
          <w:lang w:val="es-ES_tradnl"/>
        </w:rPr>
        <w:t>F</w:t>
      </w:r>
      <w:r w:rsidRPr="008E154B">
        <w:rPr>
          <w:rFonts w:ascii="MinionPro-Regular" w:hAnsi="MinionPro-Regular"/>
          <w:sz w:val="20"/>
          <w:szCs w:val="24"/>
        </w:rPr>
        <w:t xml:space="preserve">uente: Elaboración propia a partir de los datos de la  </w:t>
      </w:r>
      <w:r>
        <w:rPr>
          <w:rFonts w:ascii="MinionPro-Regular" w:hAnsi="MinionPro-Regular"/>
          <w:sz w:val="20"/>
          <w:szCs w:val="24"/>
        </w:rPr>
        <w:t>Encuesta de Población Activa (EPA), 2011.</w:t>
      </w:r>
    </w:p>
    <w:p w:rsidR="00626FE1" w:rsidRDefault="00626FE1" w:rsidP="00626FE1">
      <w:pPr>
        <w:pBdr>
          <w:bottom w:val="single" w:sz="4" w:space="1" w:color="auto"/>
        </w:pBdr>
        <w:autoSpaceDE w:val="0"/>
        <w:autoSpaceDN w:val="0"/>
        <w:spacing w:line="360" w:lineRule="auto"/>
        <w:jc w:val="both"/>
        <w:rPr>
          <w:rFonts w:ascii="MinionPro-Regular" w:hAnsi="MinionPro-Regular"/>
          <w:sz w:val="20"/>
          <w:szCs w:val="24"/>
        </w:rPr>
      </w:pPr>
      <w:r>
        <w:rPr>
          <w:rFonts w:ascii="MinionPro-Regular" w:hAnsi="MinionPro-Regular"/>
          <w:sz w:val="20"/>
          <w:szCs w:val="24"/>
        </w:rPr>
        <w:t>Nota explicativa de la gráfica: Eje vertical, tasa de empleo en porcentaje (con discapacidad y sin discapacidad). Eje horizontal, años 2009, 2010 y 2011. Los datos son: en el año 2009, 28,3% personas con discapacidad con empleo, 61,8% personas sin discapacidad con empleo; en el año 2010, 27,7% personas con discapacidad con empleo, 60,6% de personas sin discapacidad con empleo; en el año 2011, 26,7% de personas con discapacidad con empleo, 59,8% de personas sin discapacidad con empleo.</w:t>
      </w:r>
    </w:p>
    <w:p w:rsidR="00CE4384" w:rsidRDefault="00CE4384" w:rsidP="004D03DD">
      <w:pPr>
        <w:autoSpaceDE w:val="0"/>
        <w:autoSpaceDN w:val="0"/>
        <w:spacing w:line="360" w:lineRule="auto"/>
        <w:jc w:val="both"/>
        <w:rPr>
          <w:rFonts w:ascii="MinionPro-Regular" w:hAnsi="MinionPro-Regular"/>
          <w:sz w:val="24"/>
          <w:szCs w:val="24"/>
        </w:rPr>
      </w:pPr>
    </w:p>
    <w:p w:rsidR="00E2336B" w:rsidRDefault="00E2336B" w:rsidP="004D03DD">
      <w:pPr>
        <w:autoSpaceDE w:val="0"/>
        <w:autoSpaceDN w:val="0"/>
        <w:spacing w:line="360" w:lineRule="auto"/>
        <w:jc w:val="both"/>
        <w:rPr>
          <w:rFonts w:ascii="MinionPro-Regular" w:hAnsi="MinionPro-Regular"/>
          <w:sz w:val="24"/>
          <w:szCs w:val="24"/>
        </w:rPr>
      </w:pPr>
      <w:r>
        <w:rPr>
          <w:rFonts w:ascii="MinionPro-Regular" w:hAnsi="MinionPro-Regular"/>
          <w:sz w:val="24"/>
          <w:szCs w:val="24"/>
        </w:rPr>
        <w:t>A pesar de las bajas tasas de empleo, cabe destacar que según datos del SPEE</w:t>
      </w:r>
      <w:r>
        <w:rPr>
          <w:rStyle w:val="Refdenotaalpie"/>
          <w:rFonts w:ascii="MinionPro-Regular" w:hAnsi="MinionPro-Regular"/>
          <w:sz w:val="24"/>
          <w:szCs w:val="24"/>
        </w:rPr>
        <w:footnoteReference w:id="7"/>
      </w:r>
      <w:r>
        <w:rPr>
          <w:rFonts w:ascii="MinionPro-Regular" w:hAnsi="MinionPro-Regular"/>
          <w:sz w:val="24"/>
          <w:szCs w:val="24"/>
        </w:rPr>
        <w:t xml:space="preserve">, la contratación de las personas con discapacidad en España ha experimentado un cambio de tendencia en relación a años anteriores. Se observa, asimismo, que la temporalidad </w:t>
      </w:r>
      <w:r>
        <w:rPr>
          <w:rFonts w:ascii="MinionPro-Regular" w:hAnsi="MinionPro-Regular"/>
          <w:sz w:val="24"/>
          <w:szCs w:val="24"/>
        </w:rPr>
        <w:lastRenderedPageBreak/>
        <w:t>alcanza valores de contratación muy superiores a los de la contratación indefinida</w:t>
      </w:r>
      <w:r w:rsidR="00074DD2">
        <w:rPr>
          <w:rFonts w:ascii="MinionPro-Regular" w:hAnsi="MinionPro-Regular"/>
          <w:sz w:val="24"/>
          <w:szCs w:val="24"/>
        </w:rPr>
        <w:t>, coincidiendo con la realidad de nuestro mercado de trabajo en términos generales.</w:t>
      </w:r>
      <w:r>
        <w:rPr>
          <w:rFonts w:ascii="MinionPro-Regular" w:hAnsi="MinionPro-Regular"/>
          <w:color w:val="FF0000"/>
          <w:sz w:val="24"/>
          <w:szCs w:val="24"/>
        </w:rPr>
        <w:t xml:space="preserve"> </w:t>
      </w:r>
    </w:p>
    <w:p w:rsidR="00E2336B" w:rsidRDefault="00E2336B" w:rsidP="004D03DD">
      <w:pPr>
        <w:autoSpaceDE w:val="0"/>
        <w:autoSpaceDN w:val="0"/>
        <w:spacing w:line="360" w:lineRule="auto"/>
        <w:jc w:val="both"/>
        <w:rPr>
          <w:rFonts w:ascii="MinionPro-Regular" w:hAnsi="MinionPro-Regular"/>
          <w:sz w:val="24"/>
          <w:szCs w:val="24"/>
        </w:rPr>
      </w:pPr>
    </w:p>
    <w:p w:rsidR="0007541A" w:rsidRDefault="0007541A" w:rsidP="004D03DD">
      <w:pPr>
        <w:autoSpaceDE w:val="0"/>
        <w:autoSpaceDN w:val="0"/>
        <w:spacing w:line="360" w:lineRule="auto"/>
        <w:jc w:val="both"/>
        <w:rPr>
          <w:rFonts w:ascii="MinionPro-Regular" w:hAnsi="MinionPro-Regular"/>
          <w:sz w:val="24"/>
          <w:szCs w:val="24"/>
        </w:rPr>
      </w:pPr>
    </w:p>
    <w:p w:rsidR="0007541A" w:rsidRDefault="0007541A" w:rsidP="004D03DD">
      <w:pPr>
        <w:autoSpaceDE w:val="0"/>
        <w:autoSpaceDN w:val="0"/>
        <w:spacing w:line="360" w:lineRule="auto"/>
        <w:jc w:val="both"/>
        <w:rPr>
          <w:rFonts w:ascii="MinionPro-Regular" w:hAnsi="MinionPro-Regular"/>
          <w:sz w:val="24"/>
          <w:szCs w:val="24"/>
        </w:rPr>
      </w:pPr>
    </w:p>
    <w:p w:rsidR="0007541A" w:rsidRDefault="0007541A" w:rsidP="004D03DD">
      <w:pPr>
        <w:autoSpaceDE w:val="0"/>
        <w:autoSpaceDN w:val="0"/>
        <w:spacing w:line="360" w:lineRule="auto"/>
        <w:jc w:val="both"/>
        <w:rPr>
          <w:rFonts w:ascii="MinionPro-Regular" w:hAnsi="MinionPro-Regular"/>
          <w:sz w:val="24"/>
          <w:szCs w:val="24"/>
        </w:rPr>
      </w:pPr>
    </w:p>
    <w:p w:rsidR="0007541A" w:rsidRDefault="0007541A" w:rsidP="004D03DD">
      <w:pPr>
        <w:autoSpaceDE w:val="0"/>
        <w:autoSpaceDN w:val="0"/>
        <w:spacing w:line="360" w:lineRule="auto"/>
        <w:jc w:val="both"/>
        <w:rPr>
          <w:rFonts w:ascii="MinionPro-Regular" w:hAnsi="MinionPro-Regular"/>
          <w:sz w:val="24"/>
          <w:szCs w:val="24"/>
        </w:rPr>
      </w:pPr>
    </w:p>
    <w:p w:rsidR="0007541A" w:rsidRDefault="0007541A" w:rsidP="004D03DD">
      <w:pPr>
        <w:autoSpaceDE w:val="0"/>
        <w:autoSpaceDN w:val="0"/>
        <w:spacing w:line="360" w:lineRule="auto"/>
        <w:jc w:val="both"/>
        <w:rPr>
          <w:rFonts w:ascii="MinionPro-Regular" w:hAnsi="MinionPro-Regular"/>
          <w:sz w:val="24"/>
          <w:szCs w:val="24"/>
        </w:rPr>
      </w:pPr>
    </w:p>
    <w:p w:rsidR="00E2336B" w:rsidRPr="00C008C4" w:rsidRDefault="00E2336B">
      <w:pPr>
        <w:pBdr>
          <w:top w:val="single" w:sz="4" w:space="1" w:color="auto"/>
        </w:pBdr>
        <w:autoSpaceDE w:val="0"/>
        <w:autoSpaceDN w:val="0"/>
        <w:spacing w:line="360" w:lineRule="auto"/>
        <w:jc w:val="both"/>
        <w:rPr>
          <w:rFonts w:ascii="MinionPro-Regular" w:hAnsi="MinionPro-Regular"/>
          <w:sz w:val="20"/>
          <w:szCs w:val="24"/>
        </w:rPr>
      </w:pPr>
      <w:r w:rsidRPr="00C008C4">
        <w:rPr>
          <w:rFonts w:ascii="MinionPro-Regular" w:hAnsi="MinionPro-Regular"/>
          <w:sz w:val="20"/>
          <w:szCs w:val="24"/>
        </w:rPr>
        <w:t>Evolución del número de contratos a pers</w:t>
      </w:r>
      <w:r w:rsidR="00840326" w:rsidRPr="00C008C4">
        <w:rPr>
          <w:rFonts w:ascii="MinionPro-Regular" w:hAnsi="MinionPro-Regular"/>
          <w:sz w:val="20"/>
          <w:szCs w:val="24"/>
        </w:rPr>
        <w:t>onas con discapacidad (2006-2011</w:t>
      </w:r>
      <w:r w:rsidRPr="00C008C4">
        <w:rPr>
          <w:rFonts w:ascii="MinionPro-Regular" w:hAnsi="MinionPro-Regular"/>
          <w:sz w:val="20"/>
          <w:szCs w:val="24"/>
        </w:rPr>
        <w:t>)</w:t>
      </w:r>
      <w:r w:rsidR="00074DD2" w:rsidRPr="00C008C4">
        <w:rPr>
          <w:rFonts w:ascii="MinionPro-Regular" w:hAnsi="MinionPro-Regular"/>
          <w:sz w:val="20"/>
          <w:szCs w:val="24"/>
        </w:rPr>
        <w:t>. (En miles).</w:t>
      </w:r>
    </w:p>
    <w:p w:rsidR="00E2336B" w:rsidRDefault="00E1516B" w:rsidP="004D03DD">
      <w:pPr>
        <w:autoSpaceDE w:val="0"/>
        <w:autoSpaceDN w:val="0"/>
        <w:spacing w:line="360" w:lineRule="auto"/>
        <w:jc w:val="both"/>
        <w:rPr>
          <w:rFonts w:ascii="MinionPro-Regular" w:hAnsi="MinionPro-Regular"/>
          <w:sz w:val="24"/>
          <w:szCs w:val="24"/>
        </w:rPr>
      </w:pPr>
      <w:r>
        <w:rPr>
          <w:rFonts w:ascii="MinionPro-Regular" w:hAnsi="MinionPro-Regular"/>
          <w:noProof/>
          <w:sz w:val="24"/>
          <w:szCs w:val="24"/>
          <w:lang w:eastAsia="es-ES"/>
        </w:rPr>
        <w:drawing>
          <wp:inline distT="0" distB="0" distL="0" distR="0">
            <wp:extent cx="4278630" cy="2268855"/>
            <wp:effectExtent l="0" t="0" r="0" b="0"/>
            <wp:docPr id="18" name="Char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E2336B" w:rsidRDefault="00E2336B" w:rsidP="007F19A7">
      <w:pPr>
        <w:pBdr>
          <w:bottom w:val="single" w:sz="4" w:space="1" w:color="auto"/>
        </w:pBdr>
        <w:autoSpaceDE w:val="0"/>
        <w:autoSpaceDN w:val="0"/>
        <w:spacing w:line="360" w:lineRule="auto"/>
        <w:jc w:val="both"/>
        <w:rPr>
          <w:rFonts w:ascii="MinionPro-Regular" w:hAnsi="MinionPro-Regular"/>
          <w:sz w:val="20"/>
          <w:szCs w:val="24"/>
        </w:rPr>
      </w:pPr>
      <w:r w:rsidRPr="0081432A">
        <w:rPr>
          <w:rFonts w:ascii="MinionPro-Regular" w:hAnsi="MinionPro-Regular"/>
          <w:sz w:val="20"/>
          <w:szCs w:val="24"/>
        </w:rPr>
        <w:t>Fuente: Elaboración propia a partir de datos del SPEE</w:t>
      </w:r>
      <w:r>
        <w:rPr>
          <w:rFonts w:ascii="MinionPro-Regular" w:hAnsi="MinionPro-Regular"/>
          <w:sz w:val="20"/>
          <w:szCs w:val="24"/>
        </w:rPr>
        <w:t>.</w:t>
      </w:r>
    </w:p>
    <w:p w:rsidR="00840326" w:rsidRDefault="00E2336B">
      <w:pPr>
        <w:pBdr>
          <w:bottom w:val="single" w:sz="4" w:space="1" w:color="auto"/>
        </w:pBdr>
        <w:autoSpaceDE w:val="0"/>
        <w:autoSpaceDN w:val="0"/>
        <w:spacing w:line="360" w:lineRule="auto"/>
        <w:jc w:val="both"/>
        <w:rPr>
          <w:rFonts w:ascii="MinionPro-Regular" w:hAnsi="MinionPro-Regular"/>
          <w:sz w:val="20"/>
          <w:szCs w:val="24"/>
        </w:rPr>
      </w:pPr>
      <w:r>
        <w:rPr>
          <w:rFonts w:ascii="MinionPro-Regular" w:hAnsi="MinionPro-Regular"/>
          <w:sz w:val="20"/>
          <w:szCs w:val="24"/>
        </w:rPr>
        <w:t xml:space="preserve">Nota explicativa de la gráfica: Eje vertical, número de contratos a personas con discapacidad (en miles). Eje horizontal, años 2006,  2007,  2008, 2009 y 2010. Los datos son: en el año 2006: 25,66 contratación indefinida, 125,17 contratación temporal. Total contratación: 150,82; en el año 2007: 27,90 contratación indefinida, 136,14 contratación temporal. Total contratación: 164,04; en el año 2008: 24,59 contratación indefinida, 128,69 contratación temporal. Total contratación: 153,28;  en el año 2009: 18,78 contratación indefinida, 119,31 contratación temporal. Total contratación: 138,09; en </w:t>
      </w:r>
      <w:r w:rsidR="00840326">
        <w:rPr>
          <w:rFonts w:ascii="MinionPro-Regular" w:hAnsi="MinionPro-Regular"/>
          <w:sz w:val="20"/>
          <w:szCs w:val="24"/>
        </w:rPr>
        <w:t>el año 2010: 20,23 contratación</w:t>
      </w:r>
    </w:p>
    <w:p w:rsidR="00E2336B" w:rsidRDefault="00E2336B">
      <w:pPr>
        <w:pBdr>
          <w:bottom w:val="single" w:sz="4" w:space="1" w:color="auto"/>
        </w:pBdr>
        <w:autoSpaceDE w:val="0"/>
        <w:autoSpaceDN w:val="0"/>
        <w:spacing w:line="360" w:lineRule="auto"/>
        <w:jc w:val="both"/>
        <w:rPr>
          <w:rFonts w:ascii="MinionPro-Regular" w:hAnsi="MinionPro-Regular"/>
          <w:sz w:val="20"/>
          <w:szCs w:val="24"/>
          <w:lang w:val="es-ES_tradnl"/>
        </w:rPr>
      </w:pPr>
      <w:r>
        <w:rPr>
          <w:rFonts w:ascii="MinionPro-Regular" w:hAnsi="MinionPro-Regular"/>
          <w:sz w:val="20"/>
          <w:szCs w:val="24"/>
        </w:rPr>
        <w:t>indefinida</w:t>
      </w:r>
      <w:r w:rsidR="00840326">
        <w:rPr>
          <w:rFonts w:ascii="MinionPro-Regular" w:hAnsi="MinionPro-Regular"/>
          <w:sz w:val="20"/>
          <w:szCs w:val="24"/>
        </w:rPr>
        <w:t>, 131,17 contratación temporal, Total contratación: 151,40; en el año 2011: 7,166 contratación indefinida, 148,334 contratación temporal. Total contratación: 155,50.</w:t>
      </w:r>
    </w:p>
    <w:p w:rsidR="00C008C4" w:rsidRDefault="00E2336B">
      <w:pPr>
        <w:autoSpaceDE w:val="0"/>
        <w:autoSpaceDN w:val="0"/>
        <w:spacing w:line="360" w:lineRule="auto"/>
        <w:jc w:val="both"/>
        <w:rPr>
          <w:rFonts w:ascii="MinionPro-Regular" w:hAnsi="MinionPro-Regular"/>
          <w:sz w:val="20"/>
          <w:szCs w:val="24"/>
        </w:rPr>
      </w:pPr>
      <w:r>
        <w:rPr>
          <w:rFonts w:ascii="MinionPro-Regular" w:hAnsi="MinionPro-Regular"/>
          <w:sz w:val="20"/>
          <w:szCs w:val="24"/>
        </w:rPr>
        <w:t xml:space="preserve"> </w:t>
      </w:r>
      <w:bookmarkStart w:id="29" w:name="_Toc340732420"/>
      <w:bookmarkStart w:id="30" w:name="_Toc340745344"/>
      <w:bookmarkStart w:id="31" w:name="_Toc340745505"/>
      <w:bookmarkStart w:id="32" w:name="_Toc340340544"/>
      <w:bookmarkEnd w:id="29"/>
      <w:bookmarkEnd w:id="30"/>
      <w:bookmarkEnd w:id="31"/>
    </w:p>
    <w:p w:rsidR="00B221D8" w:rsidRPr="005F517D" w:rsidRDefault="00742DB3">
      <w:pPr>
        <w:autoSpaceDE w:val="0"/>
        <w:autoSpaceDN w:val="0"/>
        <w:spacing w:line="360" w:lineRule="auto"/>
        <w:jc w:val="both"/>
        <w:rPr>
          <w:rFonts w:ascii="MinionPro-Regular" w:hAnsi="MinionPro-Regular"/>
          <w:sz w:val="24"/>
          <w:szCs w:val="24"/>
        </w:rPr>
      </w:pPr>
      <w:r w:rsidRPr="005F517D">
        <w:rPr>
          <w:rFonts w:ascii="MinionPro-Regular" w:hAnsi="MinionPro-Regular"/>
          <w:sz w:val="24"/>
          <w:szCs w:val="24"/>
        </w:rPr>
        <w:lastRenderedPageBreak/>
        <w:t>Según el Informe de Mercado de Trabajo Estatal,</w:t>
      </w:r>
      <w:r w:rsidR="005F517D" w:rsidRPr="005F517D">
        <w:rPr>
          <w:rFonts w:ascii="MinionPro-Regular" w:hAnsi="MinionPro-Regular"/>
          <w:sz w:val="24"/>
          <w:szCs w:val="24"/>
        </w:rPr>
        <w:t xml:space="preserve"> en el último trimestre de 2011</w:t>
      </w:r>
      <w:r w:rsidRPr="005F517D">
        <w:rPr>
          <w:rFonts w:ascii="MinionPro-Regular" w:hAnsi="MinionPro-Regular"/>
          <w:sz w:val="24"/>
          <w:szCs w:val="24"/>
        </w:rPr>
        <w:t xml:space="preserve"> la contratación de personas con discapacidad se situó en el 1,08% respecto del total de contrataciones.</w:t>
      </w:r>
      <w:r w:rsidR="005F517D" w:rsidRPr="005F517D">
        <w:rPr>
          <w:rFonts w:ascii="MinionPro-Regular" w:hAnsi="MinionPro-Regular"/>
          <w:sz w:val="24"/>
          <w:szCs w:val="24"/>
        </w:rPr>
        <w:t xml:space="preserve"> </w:t>
      </w:r>
      <w:r w:rsidR="00B221D8" w:rsidRPr="005F517D">
        <w:rPr>
          <w:rFonts w:ascii="MinionPro-Regular" w:hAnsi="MinionPro-Regular"/>
          <w:sz w:val="24"/>
          <w:szCs w:val="24"/>
        </w:rPr>
        <w:t xml:space="preserve">El mismo informe aporta datos parciales en cuanto a las profesiones o sectores de actividad asociados a los contratos de personas con discapacidad. Sobre un total de 31.669 contratos, la distribución sería </w:t>
      </w:r>
      <w:r w:rsidR="005F517D" w:rsidRPr="005F517D">
        <w:rPr>
          <w:rFonts w:ascii="MinionPro-Regular" w:hAnsi="MinionPro-Regular"/>
          <w:sz w:val="24"/>
          <w:szCs w:val="24"/>
        </w:rPr>
        <w:t>la que se expone en el siguiente gráfico</w:t>
      </w:r>
      <w:r w:rsidR="00B221D8" w:rsidRPr="005F517D">
        <w:rPr>
          <w:rFonts w:ascii="MinionPro-Regular" w:hAnsi="MinionPro-Regular"/>
          <w:sz w:val="24"/>
          <w:szCs w:val="24"/>
        </w:rPr>
        <w:t>:</w:t>
      </w:r>
    </w:p>
    <w:p w:rsidR="00B221D8" w:rsidRDefault="00B221D8">
      <w:pPr>
        <w:autoSpaceDE w:val="0"/>
        <w:autoSpaceDN w:val="0"/>
        <w:spacing w:line="360" w:lineRule="auto"/>
        <w:jc w:val="both"/>
        <w:rPr>
          <w:rFonts w:ascii="MinionPro-Regular" w:hAnsi="MinionPro-Regular"/>
          <w:color w:val="4F81BD" w:themeColor="accent1"/>
          <w:sz w:val="24"/>
          <w:szCs w:val="24"/>
        </w:rPr>
      </w:pPr>
    </w:p>
    <w:p w:rsidR="0007541A" w:rsidRDefault="0007541A">
      <w:pPr>
        <w:autoSpaceDE w:val="0"/>
        <w:autoSpaceDN w:val="0"/>
        <w:spacing w:line="360" w:lineRule="auto"/>
        <w:jc w:val="both"/>
        <w:rPr>
          <w:rFonts w:ascii="MinionPro-Regular" w:hAnsi="MinionPro-Regular"/>
          <w:color w:val="4F81BD" w:themeColor="accent1"/>
          <w:sz w:val="24"/>
          <w:szCs w:val="24"/>
        </w:rPr>
      </w:pPr>
    </w:p>
    <w:p w:rsidR="0007541A" w:rsidRDefault="0007541A">
      <w:pPr>
        <w:autoSpaceDE w:val="0"/>
        <w:autoSpaceDN w:val="0"/>
        <w:spacing w:line="360" w:lineRule="auto"/>
        <w:jc w:val="both"/>
        <w:rPr>
          <w:rFonts w:ascii="MinionPro-Regular" w:hAnsi="MinionPro-Regular"/>
          <w:color w:val="4F81BD" w:themeColor="accent1"/>
          <w:sz w:val="24"/>
          <w:szCs w:val="24"/>
        </w:rPr>
      </w:pPr>
    </w:p>
    <w:p w:rsidR="0007541A" w:rsidRDefault="0007541A">
      <w:pPr>
        <w:autoSpaceDE w:val="0"/>
        <w:autoSpaceDN w:val="0"/>
        <w:spacing w:line="360" w:lineRule="auto"/>
        <w:jc w:val="both"/>
        <w:rPr>
          <w:rFonts w:ascii="MinionPro-Regular" w:hAnsi="MinionPro-Regular"/>
          <w:color w:val="4F81BD" w:themeColor="accent1"/>
          <w:sz w:val="24"/>
          <w:szCs w:val="24"/>
        </w:rPr>
      </w:pPr>
    </w:p>
    <w:p w:rsidR="0007541A" w:rsidRDefault="0007541A">
      <w:pPr>
        <w:autoSpaceDE w:val="0"/>
        <w:autoSpaceDN w:val="0"/>
        <w:spacing w:line="360" w:lineRule="auto"/>
        <w:jc w:val="both"/>
        <w:rPr>
          <w:rFonts w:ascii="MinionPro-Regular" w:hAnsi="MinionPro-Regular"/>
          <w:color w:val="4F81BD" w:themeColor="accent1"/>
          <w:sz w:val="24"/>
          <w:szCs w:val="24"/>
        </w:rPr>
      </w:pPr>
    </w:p>
    <w:p w:rsidR="0007541A" w:rsidRDefault="0007541A">
      <w:pPr>
        <w:autoSpaceDE w:val="0"/>
        <w:autoSpaceDN w:val="0"/>
        <w:spacing w:line="360" w:lineRule="auto"/>
        <w:jc w:val="both"/>
        <w:rPr>
          <w:rFonts w:ascii="MinionPro-Regular" w:hAnsi="MinionPro-Regular"/>
          <w:color w:val="4F81BD" w:themeColor="accent1"/>
          <w:sz w:val="24"/>
          <w:szCs w:val="24"/>
        </w:rPr>
      </w:pPr>
    </w:p>
    <w:p w:rsidR="0007541A" w:rsidRDefault="0007541A">
      <w:pPr>
        <w:autoSpaceDE w:val="0"/>
        <w:autoSpaceDN w:val="0"/>
        <w:spacing w:line="360" w:lineRule="auto"/>
        <w:jc w:val="both"/>
        <w:rPr>
          <w:rFonts w:ascii="MinionPro-Regular" w:hAnsi="MinionPro-Regular"/>
          <w:color w:val="4F81BD" w:themeColor="accent1"/>
          <w:sz w:val="24"/>
          <w:szCs w:val="24"/>
        </w:rPr>
      </w:pPr>
    </w:p>
    <w:p w:rsidR="00B221D8" w:rsidRPr="00C008C4" w:rsidRDefault="00B221D8" w:rsidP="00B221D8">
      <w:pPr>
        <w:pBdr>
          <w:top w:val="single" w:sz="4" w:space="1" w:color="auto"/>
        </w:pBdr>
        <w:autoSpaceDE w:val="0"/>
        <w:autoSpaceDN w:val="0"/>
        <w:spacing w:line="360" w:lineRule="auto"/>
        <w:jc w:val="both"/>
        <w:rPr>
          <w:rFonts w:ascii="MinionPro-Regular" w:hAnsi="MinionPro-Regular"/>
          <w:sz w:val="20"/>
          <w:szCs w:val="24"/>
        </w:rPr>
      </w:pPr>
      <w:r>
        <w:rPr>
          <w:rFonts w:ascii="MinionPro-Regular" w:hAnsi="MinionPro-Regular"/>
          <w:sz w:val="20"/>
          <w:szCs w:val="24"/>
        </w:rPr>
        <w:t>N</w:t>
      </w:r>
      <w:r w:rsidRPr="00C008C4">
        <w:rPr>
          <w:rFonts w:ascii="MinionPro-Regular" w:hAnsi="MinionPro-Regular"/>
          <w:sz w:val="20"/>
          <w:szCs w:val="24"/>
        </w:rPr>
        <w:t>úmero de contratos a pers</w:t>
      </w:r>
      <w:r>
        <w:rPr>
          <w:rFonts w:ascii="MinionPro-Regular" w:hAnsi="MinionPro-Regular"/>
          <w:sz w:val="20"/>
          <w:szCs w:val="24"/>
        </w:rPr>
        <w:t>onas con discapacidad según algunos sectores de actividad (</w:t>
      </w:r>
      <w:r w:rsidRPr="00C008C4">
        <w:rPr>
          <w:rFonts w:ascii="MinionPro-Regular" w:hAnsi="MinionPro-Regular"/>
          <w:sz w:val="20"/>
          <w:szCs w:val="24"/>
        </w:rPr>
        <w:t>2011)</w:t>
      </w:r>
      <w:r>
        <w:rPr>
          <w:rFonts w:ascii="MinionPro-Regular" w:hAnsi="MinionPro-Regular"/>
          <w:sz w:val="20"/>
          <w:szCs w:val="24"/>
        </w:rPr>
        <w:t>.</w:t>
      </w:r>
    </w:p>
    <w:p w:rsidR="00B221D8" w:rsidRDefault="00E1516B" w:rsidP="00B221D8">
      <w:pPr>
        <w:autoSpaceDE w:val="0"/>
        <w:autoSpaceDN w:val="0"/>
        <w:spacing w:line="360" w:lineRule="auto"/>
        <w:rPr>
          <w:rFonts w:ascii="MinionPro-Regular" w:hAnsi="MinionPro-Regular"/>
          <w:sz w:val="24"/>
          <w:szCs w:val="24"/>
        </w:rPr>
      </w:pPr>
      <w:r>
        <w:rPr>
          <w:rFonts w:ascii="MinionPro-Regular" w:hAnsi="MinionPro-Regular"/>
          <w:noProof/>
          <w:sz w:val="24"/>
          <w:szCs w:val="24"/>
          <w:lang w:eastAsia="es-ES"/>
        </w:rPr>
        <w:drawing>
          <wp:inline distT="0" distB="0" distL="0" distR="0">
            <wp:extent cx="5158740" cy="3769995"/>
            <wp:effectExtent l="0" t="0" r="0" b="0"/>
            <wp:docPr id="19" name="Picture 1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B221D8" w:rsidRDefault="00B221D8" w:rsidP="00B221D8">
      <w:pPr>
        <w:pBdr>
          <w:bottom w:val="single" w:sz="4" w:space="1" w:color="auto"/>
        </w:pBdr>
        <w:autoSpaceDE w:val="0"/>
        <w:autoSpaceDN w:val="0"/>
        <w:spacing w:line="360" w:lineRule="auto"/>
        <w:jc w:val="both"/>
        <w:rPr>
          <w:rFonts w:ascii="MinionPro-Regular" w:hAnsi="MinionPro-Regular"/>
          <w:sz w:val="20"/>
          <w:szCs w:val="24"/>
        </w:rPr>
      </w:pPr>
      <w:r w:rsidRPr="0081432A">
        <w:rPr>
          <w:rFonts w:ascii="MinionPro-Regular" w:hAnsi="MinionPro-Regular"/>
          <w:sz w:val="20"/>
          <w:szCs w:val="24"/>
        </w:rPr>
        <w:lastRenderedPageBreak/>
        <w:t>Fuente: Elaboración propia a partir de datos del SPEE</w:t>
      </w:r>
      <w:r>
        <w:rPr>
          <w:rFonts w:ascii="MinionPro-Regular" w:hAnsi="MinionPro-Regular"/>
          <w:sz w:val="20"/>
          <w:szCs w:val="24"/>
        </w:rPr>
        <w:t>.</w:t>
      </w:r>
    </w:p>
    <w:p w:rsidR="00B221D8" w:rsidRDefault="00B221D8" w:rsidP="00E945F7">
      <w:pPr>
        <w:pBdr>
          <w:bottom w:val="single" w:sz="4" w:space="1" w:color="auto"/>
        </w:pBdr>
        <w:autoSpaceDE w:val="0"/>
        <w:autoSpaceDN w:val="0"/>
        <w:spacing w:line="360" w:lineRule="auto"/>
        <w:jc w:val="both"/>
        <w:rPr>
          <w:rFonts w:ascii="MinionPro-Regular" w:hAnsi="MinionPro-Regular"/>
          <w:sz w:val="20"/>
          <w:szCs w:val="24"/>
          <w:lang w:val="es-ES_tradnl"/>
        </w:rPr>
      </w:pPr>
      <w:r>
        <w:rPr>
          <w:rFonts w:ascii="MinionPro-Regular" w:hAnsi="MinionPro-Regular"/>
          <w:sz w:val="20"/>
          <w:szCs w:val="24"/>
        </w:rPr>
        <w:t xml:space="preserve">Nota explicativa de la gráfica: Eje vertical, número de contratos a personas con discapacidad (2011). Eje horizontal, </w:t>
      </w:r>
      <w:r w:rsidR="00E945F7">
        <w:rPr>
          <w:rFonts w:ascii="MinionPro-Regular" w:hAnsi="MinionPro-Regular"/>
          <w:sz w:val="20"/>
          <w:szCs w:val="24"/>
        </w:rPr>
        <w:t xml:space="preserve">Actividades y/o perfiles profesionales de las personas contratadas. Los datos son: </w:t>
      </w:r>
      <w:r w:rsidR="00E945F7" w:rsidRPr="00E945F7">
        <w:rPr>
          <w:rFonts w:ascii="MinionPro-Regular" w:hAnsi="MinionPro-Regular"/>
          <w:sz w:val="20"/>
          <w:szCs w:val="24"/>
        </w:rPr>
        <w:t>Directores comerciales y de investigación y desarrollo</w:t>
      </w:r>
      <w:r w:rsidR="00E945F7">
        <w:rPr>
          <w:rFonts w:ascii="MinionPro-Regular" w:hAnsi="MinionPro-Regular"/>
          <w:sz w:val="20"/>
          <w:szCs w:val="24"/>
        </w:rPr>
        <w:t xml:space="preserve">: 55; </w:t>
      </w:r>
      <w:r w:rsidR="00E945F7" w:rsidRPr="00E945F7">
        <w:rPr>
          <w:rFonts w:ascii="MinionPro-Regular" w:hAnsi="MinionPro-Regular"/>
          <w:sz w:val="20"/>
          <w:szCs w:val="24"/>
        </w:rPr>
        <w:t>Médicos de familia y especialistas</w:t>
      </w:r>
      <w:r w:rsidR="00E945F7">
        <w:rPr>
          <w:rFonts w:ascii="MinionPro-Regular" w:hAnsi="MinionPro-Regular"/>
          <w:sz w:val="20"/>
          <w:szCs w:val="24"/>
        </w:rPr>
        <w:t xml:space="preserve">: 63; </w:t>
      </w:r>
      <w:r w:rsidR="00E945F7" w:rsidRPr="00E945F7">
        <w:rPr>
          <w:rFonts w:ascii="MinionPro-Regular" w:hAnsi="MinionPro-Regular"/>
          <w:sz w:val="20"/>
          <w:szCs w:val="24"/>
        </w:rPr>
        <w:t>Otros profesionales de la formación</w:t>
      </w:r>
      <w:r w:rsidR="00E945F7">
        <w:rPr>
          <w:rFonts w:ascii="MinionPro-Regular" w:hAnsi="MinionPro-Regular"/>
          <w:sz w:val="20"/>
          <w:szCs w:val="24"/>
        </w:rPr>
        <w:t xml:space="preserve">: 1.562; </w:t>
      </w:r>
      <w:r w:rsidR="00E945F7" w:rsidRPr="00E945F7">
        <w:rPr>
          <w:rFonts w:ascii="MinionPro-Regular" w:hAnsi="MinionPro-Regular"/>
          <w:sz w:val="20"/>
          <w:szCs w:val="24"/>
        </w:rPr>
        <w:t>Ingenieros industriales y de producción</w:t>
      </w:r>
      <w:r w:rsidR="00E945F7">
        <w:rPr>
          <w:rFonts w:ascii="MinionPro-Regular" w:hAnsi="MinionPro-Regular"/>
          <w:sz w:val="20"/>
          <w:szCs w:val="24"/>
        </w:rPr>
        <w:t xml:space="preserve">: 24; </w:t>
      </w:r>
      <w:r w:rsidR="00E945F7" w:rsidRPr="00E945F7">
        <w:rPr>
          <w:rFonts w:ascii="MinionPro-Regular" w:hAnsi="MinionPro-Regular"/>
          <w:sz w:val="20"/>
          <w:szCs w:val="24"/>
        </w:rPr>
        <w:t>Profesionales de las tecnologías de la información</w:t>
      </w:r>
      <w:r w:rsidR="00E945F7">
        <w:rPr>
          <w:rFonts w:ascii="MinionPro-Regular" w:hAnsi="MinionPro-Regular"/>
          <w:sz w:val="20"/>
          <w:szCs w:val="24"/>
        </w:rPr>
        <w:t xml:space="preserve">: 150; </w:t>
      </w:r>
      <w:r w:rsidR="00E945F7" w:rsidRPr="00E945F7">
        <w:rPr>
          <w:rFonts w:ascii="MinionPro-Regular" w:hAnsi="MinionPro-Regular"/>
          <w:sz w:val="20"/>
          <w:szCs w:val="24"/>
        </w:rPr>
        <w:t>Representantes, agentes comerciales y afines</w:t>
      </w:r>
      <w:r w:rsidR="00E945F7">
        <w:rPr>
          <w:rFonts w:ascii="MinionPro-Regular" w:hAnsi="MinionPro-Regular"/>
          <w:sz w:val="20"/>
          <w:szCs w:val="24"/>
        </w:rPr>
        <w:t xml:space="preserve">: 1.263; </w:t>
      </w:r>
      <w:r w:rsidR="00E945F7" w:rsidRPr="00E945F7">
        <w:rPr>
          <w:rFonts w:ascii="MinionPro-Regular" w:hAnsi="MinionPro-Regular"/>
          <w:sz w:val="20"/>
          <w:szCs w:val="24"/>
        </w:rPr>
        <w:t>Profesionales del área de apoyo en la empresa</w:t>
      </w:r>
      <w:r w:rsidR="00E945F7">
        <w:rPr>
          <w:rFonts w:ascii="MinionPro-Regular" w:hAnsi="MinionPro-Regular"/>
          <w:sz w:val="20"/>
          <w:szCs w:val="24"/>
        </w:rPr>
        <w:t xml:space="preserve">: 101; </w:t>
      </w:r>
      <w:r w:rsidR="00E945F7" w:rsidRPr="00E945F7">
        <w:rPr>
          <w:rFonts w:ascii="MinionPro-Regular" w:hAnsi="MinionPro-Regular"/>
          <w:sz w:val="20"/>
          <w:szCs w:val="24"/>
        </w:rPr>
        <w:t>Cocineros</w:t>
      </w:r>
      <w:r w:rsidR="00E945F7">
        <w:rPr>
          <w:rFonts w:ascii="MinionPro-Regular" w:hAnsi="MinionPro-Regular"/>
          <w:sz w:val="20"/>
          <w:szCs w:val="24"/>
        </w:rPr>
        <w:t xml:space="preserve">: 1.846; Camareros: 5.952; </w:t>
      </w:r>
      <w:r w:rsidR="00E945F7" w:rsidRPr="00E945F7">
        <w:rPr>
          <w:rFonts w:ascii="MinionPro-Regular" w:hAnsi="MinionPro-Regular"/>
          <w:sz w:val="20"/>
          <w:szCs w:val="24"/>
        </w:rPr>
        <w:t>Vendedores en tiendas y almacenes</w:t>
      </w:r>
      <w:r w:rsidR="00E945F7">
        <w:rPr>
          <w:rFonts w:ascii="MinionPro-Regular" w:hAnsi="MinionPro-Regular"/>
          <w:sz w:val="20"/>
          <w:szCs w:val="24"/>
        </w:rPr>
        <w:t xml:space="preserve">: 4.885; </w:t>
      </w:r>
      <w:r w:rsidR="00E945F7" w:rsidRPr="00E945F7">
        <w:rPr>
          <w:rFonts w:ascii="MinionPro-Regular" w:hAnsi="MinionPro-Regular"/>
          <w:sz w:val="20"/>
          <w:szCs w:val="24"/>
        </w:rPr>
        <w:t>Auxiliares de enfermería</w:t>
      </w:r>
      <w:r w:rsidR="00E945F7">
        <w:rPr>
          <w:rFonts w:ascii="MinionPro-Regular" w:hAnsi="MinionPro-Regular"/>
          <w:sz w:val="20"/>
          <w:szCs w:val="24"/>
        </w:rPr>
        <w:t xml:space="preserve">: 2.361; </w:t>
      </w:r>
      <w:r w:rsidR="00E945F7" w:rsidRPr="00E945F7">
        <w:rPr>
          <w:rFonts w:ascii="MinionPro-Regular" w:hAnsi="MinionPro-Regular"/>
          <w:sz w:val="20"/>
          <w:szCs w:val="24"/>
        </w:rPr>
        <w:t>Trabajadores de los cuidados a personas</w:t>
      </w:r>
      <w:r w:rsidR="00E945F7">
        <w:rPr>
          <w:rFonts w:ascii="MinionPro-Regular" w:hAnsi="MinionPro-Regular"/>
          <w:sz w:val="20"/>
          <w:szCs w:val="24"/>
        </w:rPr>
        <w:t xml:space="preserve">: 1.159; </w:t>
      </w:r>
      <w:r w:rsidR="00E945F7" w:rsidRPr="00E945F7">
        <w:rPr>
          <w:rFonts w:ascii="MinionPro-Regular" w:hAnsi="MinionPro-Regular"/>
          <w:sz w:val="20"/>
          <w:szCs w:val="24"/>
        </w:rPr>
        <w:t>Peluqueros y especialistas en tratamiento de estética</w:t>
      </w:r>
      <w:r w:rsidR="00E945F7">
        <w:rPr>
          <w:rFonts w:ascii="MinionPro-Regular" w:hAnsi="MinionPro-Regular"/>
          <w:sz w:val="20"/>
          <w:szCs w:val="24"/>
        </w:rPr>
        <w:t xml:space="preserve">: 344; </w:t>
      </w:r>
      <w:r w:rsidR="00E945F7" w:rsidRPr="00E945F7">
        <w:rPr>
          <w:rFonts w:ascii="MinionPro-Regular" w:hAnsi="MinionPro-Regular"/>
          <w:sz w:val="20"/>
          <w:szCs w:val="24"/>
        </w:rPr>
        <w:t>Personal de seguridad privada</w:t>
      </w:r>
      <w:r w:rsidR="00E945F7">
        <w:rPr>
          <w:rFonts w:ascii="MinionPro-Regular" w:hAnsi="MinionPro-Regular"/>
          <w:sz w:val="20"/>
          <w:szCs w:val="24"/>
        </w:rPr>
        <w:t xml:space="preserve">: 3.905; </w:t>
      </w:r>
      <w:r w:rsidR="00E945F7" w:rsidRPr="00E945F7">
        <w:rPr>
          <w:rFonts w:ascii="MinionPro-Regular" w:hAnsi="MinionPro-Regular"/>
          <w:sz w:val="20"/>
          <w:szCs w:val="24"/>
        </w:rPr>
        <w:t>Trabajadores cualificados en actividades agrícolas</w:t>
      </w:r>
      <w:r w:rsidR="00E945F7">
        <w:rPr>
          <w:rFonts w:ascii="MinionPro-Regular" w:hAnsi="MinionPro-Regular"/>
          <w:sz w:val="20"/>
          <w:szCs w:val="24"/>
        </w:rPr>
        <w:t xml:space="preserve">: 1.621; Soldadores: 1.156; </w:t>
      </w:r>
      <w:r w:rsidR="00E945F7" w:rsidRPr="00E945F7">
        <w:rPr>
          <w:rFonts w:ascii="MinionPro-Regular" w:hAnsi="MinionPro-Regular"/>
          <w:sz w:val="20"/>
          <w:szCs w:val="24"/>
        </w:rPr>
        <w:t>Mecánicos y reparadores de equipos electrónicos</w:t>
      </w:r>
      <w:r w:rsidR="00E945F7">
        <w:rPr>
          <w:rFonts w:ascii="MinionPro-Regular" w:hAnsi="MinionPro-Regular"/>
          <w:sz w:val="20"/>
          <w:szCs w:val="24"/>
        </w:rPr>
        <w:t xml:space="preserve">: 62; </w:t>
      </w:r>
      <w:r w:rsidR="00E945F7" w:rsidRPr="00E945F7">
        <w:rPr>
          <w:rFonts w:ascii="MinionPro-Regular" w:hAnsi="MinionPro-Regular"/>
          <w:sz w:val="20"/>
          <w:szCs w:val="24"/>
        </w:rPr>
        <w:t>Conductores de vehículos para el transporte urbano o por carretera</w:t>
      </w:r>
      <w:r w:rsidR="00E945F7">
        <w:rPr>
          <w:rFonts w:ascii="MinionPro-Regular" w:hAnsi="MinionPro-Regular"/>
          <w:sz w:val="20"/>
          <w:szCs w:val="24"/>
        </w:rPr>
        <w:t>: 5.160.</w:t>
      </w:r>
    </w:p>
    <w:p w:rsidR="00742DB3" w:rsidRDefault="00742DB3">
      <w:pPr>
        <w:autoSpaceDE w:val="0"/>
        <w:autoSpaceDN w:val="0"/>
        <w:spacing w:line="360" w:lineRule="auto"/>
        <w:jc w:val="both"/>
        <w:rPr>
          <w:rFonts w:ascii="MinionPro-Regular" w:hAnsi="MinionPro-Regular"/>
          <w:color w:val="4F81BD" w:themeColor="accent1"/>
          <w:sz w:val="24"/>
          <w:szCs w:val="24"/>
        </w:rPr>
      </w:pPr>
    </w:p>
    <w:p w:rsidR="00742DB3" w:rsidRDefault="00742DB3">
      <w:pPr>
        <w:autoSpaceDE w:val="0"/>
        <w:autoSpaceDN w:val="0"/>
        <w:spacing w:line="360" w:lineRule="auto"/>
        <w:jc w:val="both"/>
        <w:rPr>
          <w:rFonts w:ascii="MinionPro-Regular" w:hAnsi="MinionPro-Regular"/>
          <w:color w:val="4F81BD" w:themeColor="accent1"/>
          <w:sz w:val="24"/>
          <w:szCs w:val="24"/>
        </w:rPr>
      </w:pPr>
    </w:p>
    <w:p w:rsidR="0007541A" w:rsidRDefault="0007541A">
      <w:pPr>
        <w:autoSpaceDE w:val="0"/>
        <w:autoSpaceDN w:val="0"/>
        <w:spacing w:line="360" w:lineRule="auto"/>
        <w:jc w:val="both"/>
        <w:rPr>
          <w:rFonts w:ascii="MinionPro-Regular" w:hAnsi="MinionPro-Regular"/>
          <w:color w:val="4F81BD" w:themeColor="accent1"/>
          <w:sz w:val="24"/>
          <w:szCs w:val="24"/>
        </w:rPr>
      </w:pPr>
    </w:p>
    <w:p w:rsidR="0007541A" w:rsidRPr="00E945F7" w:rsidRDefault="0007541A">
      <w:pPr>
        <w:autoSpaceDE w:val="0"/>
        <w:autoSpaceDN w:val="0"/>
        <w:spacing w:line="360" w:lineRule="auto"/>
        <w:jc w:val="both"/>
        <w:rPr>
          <w:rFonts w:ascii="MinionPro-Regular" w:hAnsi="MinionPro-Regular"/>
          <w:color w:val="4F81BD" w:themeColor="accent1"/>
          <w:sz w:val="24"/>
          <w:szCs w:val="24"/>
        </w:rPr>
      </w:pPr>
    </w:p>
    <w:p w:rsidR="00C008C4" w:rsidRDefault="00C008C4">
      <w:pPr>
        <w:autoSpaceDE w:val="0"/>
        <w:autoSpaceDN w:val="0"/>
        <w:spacing w:line="360" w:lineRule="auto"/>
        <w:jc w:val="both"/>
        <w:rPr>
          <w:rFonts w:ascii="MinionPro-Regular" w:hAnsi="MinionPro-Regular"/>
          <w:sz w:val="20"/>
          <w:szCs w:val="24"/>
          <w:lang w:val="es-ES_tradnl"/>
        </w:rPr>
      </w:pPr>
    </w:p>
    <w:p w:rsidR="00E2336B" w:rsidRPr="007F7879" w:rsidRDefault="00E2336B" w:rsidP="007F7879">
      <w:pPr>
        <w:pBdr>
          <w:top w:val="single" w:sz="4" w:space="1" w:color="auto"/>
          <w:left w:val="single" w:sz="4" w:space="4" w:color="auto"/>
          <w:bottom w:val="single" w:sz="4" w:space="1" w:color="auto"/>
          <w:right w:val="single" w:sz="4" w:space="4" w:color="auto"/>
        </w:pBdr>
        <w:autoSpaceDE w:val="0"/>
        <w:autoSpaceDN w:val="0"/>
        <w:spacing w:line="360" w:lineRule="auto"/>
        <w:jc w:val="both"/>
        <w:rPr>
          <w:rFonts w:ascii="MinionPro-Regular" w:hAnsi="MinionPro-Regular"/>
          <w:sz w:val="20"/>
          <w:szCs w:val="24"/>
          <w:u w:val="single"/>
        </w:rPr>
      </w:pPr>
      <w:r w:rsidRPr="007F7879">
        <w:rPr>
          <w:rFonts w:ascii="MinionPro-Regular" w:hAnsi="MinionPro-Regular"/>
          <w:sz w:val="20"/>
          <w:szCs w:val="24"/>
          <w:u w:val="single"/>
          <w:lang w:val="es-ES_tradnl"/>
        </w:rPr>
        <w:t>Los datos de empleo de las personas con discapacidad siguen siendo muy bajos</w:t>
      </w:r>
      <w:r>
        <w:rPr>
          <w:rFonts w:ascii="MinionPro-Regular" w:hAnsi="MinionPro-Regular"/>
          <w:sz w:val="20"/>
          <w:szCs w:val="24"/>
          <w:u w:val="single"/>
          <w:lang w:val="es-ES_tradnl"/>
        </w:rPr>
        <w:t>. Puntos principales</w:t>
      </w:r>
    </w:p>
    <w:p w:rsidR="00E2336B" w:rsidRPr="00B13AAC" w:rsidRDefault="00E2336B" w:rsidP="0007541A">
      <w:pPr>
        <w:pStyle w:val="Prrafodelista"/>
        <w:numPr>
          <w:ilvl w:val="0"/>
          <w:numId w:val="22"/>
        </w:numPr>
        <w:pBdr>
          <w:top w:val="single" w:sz="4" w:space="1" w:color="auto"/>
          <w:left w:val="single" w:sz="4" w:space="4" w:color="auto"/>
          <w:bottom w:val="single" w:sz="4" w:space="1" w:color="auto"/>
          <w:right w:val="single" w:sz="4" w:space="4" w:color="auto"/>
        </w:pBdr>
        <w:autoSpaceDE w:val="0"/>
        <w:autoSpaceDN w:val="0"/>
        <w:spacing w:line="360" w:lineRule="auto"/>
        <w:jc w:val="both"/>
        <w:rPr>
          <w:rFonts w:ascii="MinionPro-Regular" w:hAnsi="MinionPro-Regular"/>
          <w:sz w:val="20"/>
          <w:lang w:val="es-ES_tradnl"/>
        </w:rPr>
      </w:pPr>
      <w:r w:rsidRPr="00455028">
        <w:rPr>
          <w:rFonts w:ascii="MinionPro-Regular" w:hAnsi="MinionPro-Regular"/>
          <w:sz w:val="20"/>
        </w:rPr>
        <w:t>La tasa de empleo de personas con discapacidad en países avanzados como Suecia, Alemania o Reino Unido es sustancialmente superior a la de España.</w:t>
      </w:r>
    </w:p>
    <w:p w:rsidR="00E2336B" w:rsidRPr="009151DA" w:rsidRDefault="00E2336B" w:rsidP="0007541A">
      <w:pPr>
        <w:pStyle w:val="Prrafodelista"/>
        <w:numPr>
          <w:ilvl w:val="0"/>
          <w:numId w:val="22"/>
        </w:numPr>
        <w:pBdr>
          <w:top w:val="single" w:sz="4" w:space="1" w:color="auto"/>
          <w:left w:val="single" w:sz="4" w:space="4" w:color="auto"/>
          <w:bottom w:val="single" w:sz="4" w:space="1" w:color="auto"/>
          <w:right w:val="single" w:sz="4" w:space="4" w:color="auto"/>
        </w:pBdr>
        <w:autoSpaceDE w:val="0"/>
        <w:autoSpaceDN w:val="0"/>
        <w:spacing w:line="360" w:lineRule="auto"/>
        <w:jc w:val="both"/>
        <w:rPr>
          <w:rFonts w:ascii="MinionPro-Regular" w:hAnsi="MinionPro-Regular"/>
          <w:sz w:val="20"/>
          <w:lang w:val="es-ES_tradnl"/>
        </w:rPr>
      </w:pPr>
      <w:r w:rsidRPr="00455028">
        <w:rPr>
          <w:rFonts w:ascii="MinionPro-Regular" w:hAnsi="MinionPro-Regular"/>
          <w:sz w:val="20"/>
        </w:rPr>
        <w:t xml:space="preserve">Por otra parte, los años de prosperidad económica en España tuvieron un impacto reducido sobre la </w:t>
      </w:r>
      <w:r>
        <w:rPr>
          <w:rFonts w:ascii="MinionPro-Regular" w:hAnsi="MinionPro-Regular"/>
          <w:sz w:val="20"/>
        </w:rPr>
        <w:t xml:space="preserve">convergencia de la </w:t>
      </w:r>
      <w:r w:rsidRPr="00455028">
        <w:rPr>
          <w:rFonts w:ascii="MinionPro-Regular" w:hAnsi="MinionPro-Regular"/>
          <w:sz w:val="20"/>
        </w:rPr>
        <w:t>tasa de empleo de las personas con discapacidad</w:t>
      </w:r>
      <w:r>
        <w:rPr>
          <w:rFonts w:ascii="MinionPro-Regular" w:hAnsi="MinionPro-Regular"/>
          <w:sz w:val="20"/>
        </w:rPr>
        <w:t xml:space="preserve"> con respecto a la de la población general</w:t>
      </w:r>
      <w:r w:rsidRPr="00455028">
        <w:rPr>
          <w:rFonts w:ascii="MinionPro-Regular" w:hAnsi="MinionPro-Regular"/>
          <w:sz w:val="20"/>
        </w:rPr>
        <w:t>.</w:t>
      </w:r>
    </w:p>
    <w:p w:rsidR="00E2336B" w:rsidRPr="009A79D3" w:rsidRDefault="009151DA" w:rsidP="0007541A">
      <w:pPr>
        <w:pStyle w:val="Prrafodelista"/>
        <w:numPr>
          <w:ilvl w:val="0"/>
          <w:numId w:val="22"/>
        </w:numPr>
        <w:pBdr>
          <w:top w:val="single" w:sz="4" w:space="1" w:color="auto"/>
          <w:left w:val="single" w:sz="4" w:space="4" w:color="auto"/>
          <w:bottom w:val="single" w:sz="4" w:space="1" w:color="auto"/>
          <w:right w:val="single" w:sz="4" w:space="4" w:color="auto"/>
        </w:pBdr>
        <w:autoSpaceDE w:val="0"/>
        <w:autoSpaceDN w:val="0"/>
        <w:spacing w:line="360" w:lineRule="auto"/>
        <w:jc w:val="both"/>
        <w:rPr>
          <w:rFonts w:ascii="MinionPro-Regular" w:hAnsi="MinionPro-Regular"/>
          <w:sz w:val="20"/>
          <w:lang w:val="es-ES_tradnl"/>
        </w:rPr>
      </w:pPr>
      <w:r w:rsidRPr="009A79D3">
        <w:rPr>
          <w:rFonts w:ascii="MinionPro-Regular" w:hAnsi="MinionPro-Regular"/>
          <w:sz w:val="20"/>
        </w:rPr>
        <w:t xml:space="preserve">El número de contratos de personas con discapacidad se ha incrementado en un 2,71% respecto de los datos de 2010. En total, se han registrado 155.500 nuevos contratos, un 1,08% respecto de la contratación total registrada en España a finales de 2011. </w:t>
      </w:r>
    </w:p>
    <w:p w:rsidR="003737D2" w:rsidRDefault="003737D2">
      <w:pPr>
        <w:rPr>
          <w:rFonts w:ascii="MinionPro-Regular" w:hAnsi="MinionPro-Regular"/>
          <w:b/>
          <w:sz w:val="32"/>
        </w:rPr>
      </w:pPr>
      <w:r>
        <w:rPr>
          <w:rFonts w:ascii="MinionPro-Regular" w:hAnsi="MinionPro-Regular"/>
        </w:rPr>
        <w:br w:type="page"/>
      </w:r>
    </w:p>
    <w:p w:rsidR="00E2336B" w:rsidRPr="00794594" w:rsidRDefault="00E2336B" w:rsidP="0007541A">
      <w:pPr>
        <w:pStyle w:val="Ttulo1"/>
        <w:numPr>
          <w:ilvl w:val="0"/>
          <w:numId w:val="3"/>
        </w:numPr>
        <w:rPr>
          <w:rFonts w:ascii="MinionPro-Regular" w:hAnsi="MinionPro-Regular"/>
        </w:rPr>
      </w:pPr>
      <w:bookmarkStart w:id="33" w:name="_Toc352773547"/>
      <w:r w:rsidRPr="00794594">
        <w:rPr>
          <w:rFonts w:ascii="MinionPro-Regular" w:hAnsi="MinionPro-Regular"/>
        </w:rPr>
        <w:lastRenderedPageBreak/>
        <w:t>La discriminación todavía no ha desaparecido, especialmente en algunos colectivos</w:t>
      </w:r>
      <w:bookmarkEnd w:id="32"/>
      <w:bookmarkEnd w:id="33"/>
    </w:p>
    <w:p w:rsidR="00E2336B" w:rsidRDefault="00E2336B" w:rsidP="004D03DD">
      <w:pPr>
        <w:pStyle w:val="Textoindependiente"/>
      </w:pPr>
    </w:p>
    <w:p w:rsidR="00E2336B" w:rsidRDefault="00E2336B" w:rsidP="00F01761">
      <w:pPr>
        <w:autoSpaceDE w:val="0"/>
        <w:autoSpaceDN w:val="0"/>
        <w:spacing w:line="360" w:lineRule="auto"/>
        <w:jc w:val="both"/>
        <w:rPr>
          <w:rFonts w:ascii="MinionPro-Regular" w:hAnsi="MinionPro-Regular"/>
          <w:sz w:val="24"/>
          <w:szCs w:val="24"/>
        </w:rPr>
      </w:pPr>
      <w:r>
        <w:rPr>
          <w:rFonts w:ascii="MinionPro-Regular" w:hAnsi="MinionPro-Regular"/>
          <w:sz w:val="24"/>
          <w:szCs w:val="24"/>
        </w:rPr>
        <w:t>A pesar de que la Carta de los Derechos Fundamentales de la Unión Europea proclamada por el Parlamento Europeo, el Consejo y la Comisión, en diciembre del año 2000, realiza una mención expresa a la prohibición de todo tipo de discriminación debido a condiciones personales de cada individuo, los datos disponibles parecen indicar que todavía sigue existiendo un trato desigual o discriminatorio hacia las personas con discapacidad.</w:t>
      </w:r>
    </w:p>
    <w:p w:rsidR="00E2336B" w:rsidRPr="004D03DD" w:rsidRDefault="00E2336B" w:rsidP="004D03DD">
      <w:pPr>
        <w:pStyle w:val="Textoindependiente"/>
      </w:pPr>
    </w:p>
    <w:p w:rsidR="00E2336B" w:rsidRDefault="00E2336B" w:rsidP="00F845E5">
      <w:pPr>
        <w:autoSpaceDE w:val="0"/>
        <w:autoSpaceDN w:val="0"/>
        <w:spacing w:line="360" w:lineRule="auto"/>
        <w:jc w:val="both"/>
        <w:rPr>
          <w:rFonts w:ascii="MinionPro-Regular" w:hAnsi="MinionPro-Regular"/>
          <w:sz w:val="24"/>
          <w:szCs w:val="24"/>
        </w:rPr>
      </w:pPr>
      <w:r w:rsidRPr="00981369">
        <w:rPr>
          <w:rFonts w:ascii="MinionPro-Regular" w:hAnsi="MinionPro-Regular"/>
          <w:sz w:val="24"/>
          <w:szCs w:val="24"/>
        </w:rPr>
        <w:t>De acuerdo a los resultados del Eurobarómetro</w:t>
      </w:r>
      <w:r>
        <w:rPr>
          <w:rStyle w:val="Refdenotaalpie"/>
          <w:rFonts w:ascii="MinionPro-Regular" w:hAnsi="MinionPro-Regular"/>
          <w:sz w:val="24"/>
          <w:szCs w:val="24"/>
        </w:rPr>
        <w:footnoteReference w:id="8"/>
      </w:r>
      <w:r w:rsidRPr="00981369">
        <w:rPr>
          <w:rFonts w:ascii="MinionPro-Regular" w:hAnsi="MinionPro-Regular"/>
          <w:sz w:val="24"/>
          <w:szCs w:val="24"/>
        </w:rPr>
        <w:t xml:space="preserve"> sobre discriminación </w:t>
      </w:r>
      <w:r>
        <w:rPr>
          <w:rFonts w:ascii="MinionPro-Regular" w:hAnsi="MinionPro-Regular"/>
          <w:sz w:val="24"/>
          <w:szCs w:val="24"/>
        </w:rPr>
        <w:t xml:space="preserve">del </w:t>
      </w:r>
      <w:r w:rsidRPr="00981369">
        <w:rPr>
          <w:rFonts w:ascii="MinionPro-Regular" w:hAnsi="MinionPro-Regular"/>
          <w:sz w:val="24"/>
          <w:szCs w:val="24"/>
        </w:rPr>
        <w:t xml:space="preserve">año 2009, la mayoría de los españoles considera que la discriminación hacia las personas con discapacidad está extendida en nuestra sociedad. Esta percepción es más acusada que la que puede encontrarse en el resto de países de la Unión Europea. Sin embargo, paradójicamente, las tornas cambian cuando la pregunta del Eurobarómetro se refiere a en qué medida las personas con discapacidad pueden sufrir discriminación a la hora de acceder a un empleo. </w:t>
      </w:r>
      <w:r>
        <w:rPr>
          <w:rFonts w:ascii="MinionPro-Regular" w:hAnsi="MinionPro-Regular"/>
          <w:sz w:val="24"/>
          <w:szCs w:val="24"/>
        </w:rPr>
        <w:t>S</w:t>
      </w:r>
      <w:r w:rsidRPr="00981369">
        <w:rPr>
          <w:rFonts w:ascii="MinionPro-Regular" w:hAnsi="MinionPro-Regular"/>
          <w:sz w:val="24"/>
          <w:szCs w:val="24"/>
        </w:rPr>
        <w:t xml:space="preserve">ólo un 28% de los españoles consultados en la elaboración del Eurobarómetro considera que una persona con discapacidad es </w:t>
      </w:r>
      <w:r w:rsidRPr="008B461D">
        <w:rPr>
          <w:rFonts w:ascii="MinionPro-Regular" w:hAnsi="MinionPro-Regular"/>
          <w:sz w:val="24"/>
          <w:szCs w:val="24"/>
        </w:rPr>
        <w:t xml:space="preserve">discriminada </w:t>
      </w:r>
      <w:r>
        <w:rPr>
          <w:rFonts w:ascii="MinionPro-Regular" w:hAnsi="MinionPro-Regular"/>
          <w:sz w:val="24"/>
          <w:szCs w:val="24"/>
        </w:rPr>
        <w:t>en este ámbito</w:t>
      </w:r>
      <w:r w:rsidRPr="008B461D">
        <w:rPr>
          <w:rFonts w:ascii="MinionPro-Regular" w:hAnsi="MinionPro-Regular"/>
          <w:sz w:val="24"/>
          <w:szCs w:val="24"/>
        </w:rPr>
        <w:t>. Este dato es sustancialmente inferior al correspondiente a la media de los países de la Unión Europea, donde la percepción de discriminación laboral se eleva a un 37%.</w:t>
      </w:r>
    </w:p>
    <w:p w:rsidR="00E2336B" w:rsidRDefault="00E2336B" w:rsidP="00F845E5">
      <w:pPr>
        <w:autoSpaceDE w:val="0"/>
        <w:autoSpaceDN w:val="0"/>
        <w:spacing w:line="360" w:lineRule="auto"/>
        <w:jc w:val="both"/>
        <w:rPr>
          <w:rFonts w:ascii="MinionPro-Regular" w:hAnsi="MinionPro-Regular"/>
          <w:sz w:val="24"/>
          <w:szCs w:val="24"/>
        </w:rPr>
      </w:pPr>
      <w:r w:rsidRPr="008B461D">
        <w:rPr>
          <w:rFonts w:ascii="MinionPro-Regular" w:hAnsi="MinionPro-Regular"/>
          <w:sz w:val="24"/>
          <w:szCs w:val="24"/>
        </w:rPr>
        <w:t>Comparando los datos de discriminación por motivo de discapacidad con otras características de la persona, por ejemplo, la edad o el género, se observa que los esfuerzos por lograr la igualdad de oportunidades al acceder a un empleo son</w:t>
      </w:r>
      <w:r>
        <w:rPr>
          <w:rFonts w:ascii="MinionPro-Regular" w:hAnsi="MinionPro-Regular"/>
          <w:sz w:val="24"/>
          <w:szCs w:val="24"/>
        </w:rPr>
        <w:t>, a día de hoy,</w:t>
      </w:r>
      <w:r w:rsidRPr="008B461D">
        <w:rPr>
          <w:rFonts w:ascii="MinionPro-Regular" w:hAnsi="MinionPro-Regular"/>
          <w:sz w:val="24"/>
          <w:szCs w:val="24"/>
        </w:rPr>
        <w:t xml:space="preserve"> insuficientes.</w:t>
      </w:r>
    </w:p>
    <w:p w:rsidR="00E2336B" w:rsidRDefault="00E2336B">
      <w:pPr>
        <w:pBdr>
          <w:bottom w:val="single" w:sz="4" w:space="1" w:color="auto"/>
        </w:pBdr>
        <w:autoSpaceDE w:val="0"/>
        <w:autoSpaceDN w:val="0"/>
        <w:spacing w:line="360" w:lineRule="auto"/>
        <w:jc w:val="both"/>
        <w:rPr>
          <w:rFonts w:ascii="MinionPro-Regular" w:hAnsi="MinionPro-Regular"/>
          <w:sz w:val="24"/>
          <w:szCs w:val="24"/>
        </w:rPr>
      </w:pPr>
    </w:p>
    <w:p w:rsidR="00F574A6" w:rsidRDefault="00F574A6">
      <w:pPr>
        <w:pBdr>
          <w:bottom w:val="single" w:sz="4" w:space="1" w:color="auto"/>
        </w:pBdr>
        <w:autoSpaceDE w:val="0"/>
        <w:autoSpaceDN w:val="0"/>
        <w:spacing w:line="360" w:lineRule="auto"/>
        <w:jc w:val="both"/>
        <w:rPr>
          <w:rFonts w:ascii="MinionPro-Regular" w:hAnsi="MinionPro-Regular"/>
          <w:sz w:val="24"/>
          <w:szCs w:val="24"/>
        </w:rPr>
      </w:pPr>
    </w:p>
    <w:p w:rsidR="00F574A6" w:rsidRDefault="00F574A6">
      <w:pPr>
        <w:pBdr>
          <w:bottom w:val="single" w:sz="4" w:space="1" w:color="auto"/>
        </w:pBdr>
        <w:autoSpaceDE w:val="0"/>
        <w:autoSpaceDN w:val="0"/>
        <w:spacing w:line="360" w:lineRule="auto"/>
        <w:jc w:val="both"/>
        <w:rPr>
          <w:rFonts w:ascii="MinionPro-Regular" w:hAnsi="MinionPro-Regular"/>
          <w:sz w:val="24"/>
          <w:szCs w:val="24"/>
        </w:rPr>
      </w:pPr>
    </w:p>
    <w:p w:rsidR="00F574A6" w:rsidRDefault="00F574A6">
      <w:pPr>
        <w:pBdr>
          <w:bottom w:val="single" w:sz="4" w:space="1" w:color="auto"/>
        </w:pBdr>
        <w:autoSpaceDE w:val="0"/>
        <w:autoSpaceDN w:val="0"/>
        <w:spacing w:line="360" w:lineRule="auto"/>
        <w:jc w:val="both"/>
        <w:rPr>
          <w:rFonts w:ascii="MinionPro-Regular" w:hAnsi="MinionPro-Regular"/>
          <w:sz w:val="24"/>
          <w:szCs w:val="24"/>
        </w:rPr>
      </w:pPr>
    </w:p>
    <w:p w:rsidR="00E2336B" w:rsidRDefault="00E2336B">
      <w:pPr>
        <w:pBdr>
          <w:bottom w:val="single" w:sz="4" w:space="1" w:color="auto"/>
        </w:pBdr>
        <w:autoSpaceDE w:val="0"/>
        <w:autoSpaceDN w:val="0"/>
        <w:spacing w:line="360" w:lineRule="auto"/>
        <w:jc w:val="both"/>
        <w:rPr>
          <w:rFonts w:ascii="MinionPro-Regular" w:hAnsi="MinionPro-Regular"/>
          <w:sz w:val="24"/>
          <w:szCs w:val="24"/>
        </w:rPr>
      </w:pPr>
    </w:p>
    <w:p w:rsidR="00E2336B" w:rsidRPr="003B3CDD" w:rsidRDefault="00E2336B" w:rsidP="004D03DD">
      <w:pPr>
        <w:autoSpaceDE w:val="0"/>
        <w:autoSpaceDN w:val="0"/>
        <w:spacing w:line="360" w:lineRule="auto"/>
        <w:jc w:val="both"/>
        <w:rPr>
          <w:rFonts w:ascii="MinionPro-Regular" w:hAnsi="MinionPro-Regular"/>
          <w:sz w:val="20"/>
          <w:szCs w:val="24"/>
        </w:rPr>
      </w:pPr>
      <w:r w:rsidRPr="0081432A">
        <w:rPr>
          <w:rFonts w:ascii="MinionPro-Regular" w:hAnsi="MinionPro-Regular"/>
          <w:sz w:val="20"/>
          <w:szCs w:val="24"/>
        </w:rPr>
        <w:t>Percepción de la discriminación en el trabajo</w:t>
      </w:r>
    </w:p>
    <w:p w:rsidR="00E2336B" w:rsidRDefault="00E1516B" w:rsidP="004D03DD">
      <w:pPr>
        <w:autoSpaceDE w:val="0"/>
        <w:autoSpaceDN w:val="0"/>
        <w:spacing w:line="360" w:lineRule="auto"/>
        <w:jc w:val="both"/>
        <w:rPr>
          <w:rFonts w:ascii="MinionPro-Regular" w:hAnsi="MinionPro-Regular"/>
          <w:sz w:val="24"/>
          <w:szCs w:val="24"/>
        </w:rPr>
      </w:pPr>
      <w:r>
        <w:rPr>
          <w:rFonts w:ascii="MinionPro-Regular" w:hAnsi="MinionPro-Regular"/>
          <w:noProof/>
          <w:sz w:val="24"/>
          <w:szCs w:val="24"/>
          <w:lang w:eastAsia="es-ES"/>
        </w:rPr>
        <w:drawing>
          <wp:inline distT="0" distB="0" distL="0" distR="0">
            <wp:extent cx="4416425" cy="2105025"/>
            <wp:effectExtent l="0" t="0" r="0" b="0"/>
            <wp:docPr id="20" name="Picture 2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E2336B" w:rsidRDefault="00E2336B">
      <w:pPr>
        <w:pBdr>
          <w:bottom w:val="single" w:sz="4" w:space="1" w:color="auto"/>
        </w:pBdr>
        <w:autoSpaceDE w:val="0"/>
        <w:autoSpaceDN w:val="0"/>
        <w:spacing w:line="360" w:lineRule="auto"/>
        <w:jc w:val="both"/>
        <w:rPr>
          <w:rFonts w:ascii="MinionPro-Regular" w:hAnsi="MinionPro-Regular"/>
          <w:sz w:val="20"/>
          <w:szCs w:val="24"/>
        </w:rPr>
      </w:pPr>
      <w:r w:rsidRPr="009D6D04">
        <w:rPr>
          <w:rFonts w:ascii="MinionPro-Regular" w:hAnsi="MinionPro-Regular"/>
          <w:sz w:val="20"/>
          <w:szCs w:val="24"/>
        </w:rPr>
        <w:t>Fuente: Discrimination in the EU, Eurobar</w:t>
      </w:r>
      <w:r>
        <w:rPr>
          <w:rFonts w:ascii="MinionPro-Regular" w:hAnsi="MinionPro-Regular"/>
          <w:sz w:val="20"/>
          <w:szCs w:val="24"/>
        </w:rPr>
        <w:t>ómetro 71.2</w:t>
      </w:r>
    </w:p>
    <w:p w:rsidR="00E2336B" w:rsidRPr="00B41D19" w:rsidRDefault="00E2336B">
      <w:pPr>
        <w:pBdr>
          <w:bottom w:val="single" w:sz="4" w:space="1" w:color="auto"/>
        </w:pBdr>
        <w:autoSpaceDE w:val="0"/>
        <w:autoSpaceDN w:val="0"/>
        <w:spacing w:line="360" w:lineRule="auto"/>
        <w:jc w:val="both"/>
        <w:rPr>
          <w:rFonts w:ascii="MinionPro-Regular" w:hAnsi="MinionPro-Regular"/>
          <w:sz w:val="20"/>
          <w:szCs w:val="24"/>
        </w:rPr>
      </w:pPr>
      <w:r w:rsidRPr="00455028">
        <w:rPr>
          <w:rFonts w:ascii="MinionPro-Regular" w:hAnsi="MinionPro-Regular"/>
          <w:sz w:val="20"/>
          <w:szCs w:val="24"/>
        </w:rPr>
        <w:t xml:space="preserve">Nota explicativa de la gráfica: </w:t>
      </w:r>
      <w:r>
        <w:rPr>
          <w:rFonts w:ascii="MinionPro-Regular" w:hAnsi="MinionPro-Regular"/>
          <w:sz w:val="20"/>
          <w:szCs w:val="24"/>
        </w:rPr>
        <w:t>Eje vertical, percepción de la discriminación en el trabajo, en porcentaje. Eje horizontal, datos de EU y España, para edad, discapacidad y género. Los datos son: discriminación de la edad en el trabajo: 48% en EU, 43% en España; discriminación de la discapacidad en el trabajo: 37% en EU, 28% en España; discriminación de género en el trabajo: 19% en EU, 14% en España.</w:t>
      </w:r>
    </w:p>
    <w:p w:rsidR="00E2336B" w:rsidRDefault="00E2336B" w:rsidP="004D03DD">
      <w:pPr>
        <w:autoSpaceDE w:val="0"/>
        <w:autoSpaceDN w:val="0"/>
        <w:spacing w:line="360" w:lineRule="auto"/>
        <w:jc w:val="both"/>
        <w:rPr>
          <w:rFonts w:ascii="MinionPro-Regular" w:hAnsi="MinionPro-Regular"/>
          <w:sz w:val="24"/>
          <w:szCs w:val="24"/>
        </w:rPr>
      </w:pPr>
    </w:p>
    <w:p w:rsidR="00E2336B" w:rsidRDefault="00E2336B" w:rsidP="004D03DD">
      <w:pPr>
        <w:autoSpaceDE w:val="0"/>
        <w:autoSpaceDN w:val="0"/>
        <w:spacing w:line="360" w:lineRule="auto"/>
        <w:jc w:val="both"/>
        <w:rPr>
          <w:rFonts w:ascii="MinionPro-Regular" w:hAnsi="MinionPro-Regular"/>
          <w:sz w:val="24"/>
          <w:szCs w:val="24"/>
        </w:rPr>
      </w:pPr>
      <w:r w:rsidRPr="00981369">
        <w:rPr>
          <w:rFonts w:ascii="MinionPro-Regular" w:hAnsi="MinionPro-Regular"/>
          <w:sz w:val="24"/>
          <w:szCs w:val="24"/>
        </w:rPr>
        <w:t>Los resultados anteriores pueden, en cierta medida</w:t>
      </w:r>
      <w:r>
        <w:rPr>
          <w:rFonts w:ascii="MinionPro-Regular" w:hAnsi="MinionPro-Regular"/>
          <w:sz w:val="24"/>
          <w:szCs w:val="24"/>
        </w:rPr>
        <w:t>,</w:t>
      </w:r>
      <w:r w:rsidRPr="00981369">
        <w:rPr>
          <w:rFonts w:ascii="MinionPro-Regular" w:hAnsi="MinionPro-Regular"/>
          <w:sz w:val="24"/>
          <w:szCs w:val="24"/>
        </w:rPr>
        <w:t xml:space="preserve"> ser excesivamente optimistas cuando se enfrentan a lo que se pone de manifiesto en otras publicaciones de referencia. </w:t>
      </w:r>
      <w:r>
        <w:rPr>
          <w:rFonts w:ascii="MinionPro-Regular" w:hAnsi="MinionPro-Regular"/>
          <w:sz w:val="24"/>
          <w:szCs w:val="24"/>
        </w:rPr>
        <w:t>L</w:t>
      </w:r>
      <w:r w:rsidRPr="00981369">
        <w:rPr>
          <w:rFonts w:ascii="MinionPro-Regular" w:hAnsi="MinionPro-Regular"/>
          <w:sz w:val="24"/>
          <w:szCs w:val="24"/>
        </w:rPr>
        <w:t>a última edición, correspondiente al ejercicio 2011, del Informe Mundial sobre Discapacidad pone de manifiesto la enorme incomprensión todavía existente en lo que se refiere a determinados tipos de discapacidad. Así, el informe se hace eco de un trabajo de investigación desarrollado por la Comisión Europea</w:t>
      </w:r>
      <w:r w:rsidRPr="00981369">
        <w:rPr>
          <w:rStyle w:val="Refdenotaalpie"/>
          <w:rFonts w:ascii="MinionPro-Regular" w:hAnsi="MinionPro-Regular"/>
          <w:sz w:val="24"/>
          <w:szCs w:val="24"/>
        </w:rPr>
        <w:footnoteReference w:id="9"/>
      </w:r>
      <w:r w:rsidRPr="00981369">
        <w:rPr>
          <w:rFonts w:ascii="MinionPro-Regular" w:hAnsi="MinionPro-Regular"/>
          <w:sz w:val="24"/>
          <w:szCs w:val="24"/>
        </w:rPr>
        <w:t xml:space="preserve"> que establece que, entre otros</w:t>
      </w:r>
      <w:r>
        <w:rPr>
          <w:rFonts w:ascii="MinionPro-Regular" w:hAnsi="MinionPro-Regular"/>
          <w:sz w:val="24"/>
          <w:szCs w:val="24"/>
        </w:rPr>
        <w:t xml:space="preserve"> aspectos</w:t>
      </w:r>
      <w:r w:rsidRPr="00981369">
        <w:rPr>
          <w:rFonts w:ascii="MinionPro-Regular" w:hAnsi="MinionPro-Regular"/>
          <w:sz w:val="24"/>
          <w:szCs w:val="24"/>
        </w:rPr>
        <w:t xml:space="preserve">,  el público en general no comprende las capacidades de las personas con </w:t>
      </w:r>
      <w:r w:rsidRPr="00981369">
        <w:rPr>
          <w:rFonts w:ascii="MinionPro-Regular" w:hAnsi="MinionPro-Regular"/>
          <w:sz w:val="24"/>
          <w:szCs w:val="24"/>
        </w:rPr>
        <w:lastRenderedPageBreak/>
        <w:t xml:space="preserve">discapacidad intelectual. Y que las personas con enfermedades mentales son discriminadas incluso en lo que se refiere a la atención sanitaria. </w:t>
      </w:r>
    </w:p>
    <w:p w:rsidR="009A79D3" w:rsidRDefault="009A79D3" w:rsidP="004D03DD">
      <w:pPr>
        <w:autoSpaceDE w:val="0"/>
        <w:autoSpaceDN w:val="0"/>
        <w:spacing w:line="360" w:lineRule="auto"/>
        <w:jc w:val="both"/>
        <w:rPr>
          <w:rFonts w:ascii="MinionPro-Regular" w:hAnsi="MinionPro-Regular"/>
          <w:sz w:val="24"/>
          <w:szCs w:val="24"/>
        </w:rPr>
      </w:pPr>
    </w:p>
    <w:p w:rsidR="00E2336B" w:rsidRDefault="00E2336B" w:rsidP="004D03DD">
      <w:pPr>
        <w:autoSpaceDE w:val="0"/>
        <w:autoSpaceDN w:val="0"/>
        <w:spacing w:line="360" w:lineRule="auto"/>
        <w:jc w:val="both"/>
        <w:rPr>
          <w:rFonts w:ascii="MinionPro-Regular" w:hAnsi="MinionPro-Regular"/>
          <w:sz w:val="24"/>
          <w:szCs w:val="24"/>
        </w:rPr>
      </w:pPr>
      <w:r w:rsidRPr="00981369">
        <w:rPr>
          <w:rFonts w:ascii="MinionPro-Regular" w:hAnsi="MinionPro-Regular"/>
          <w:sz w:val="24"/>
          <w:szCs w:val="24"/>
        </w:rPr>
        <w:t xml:space="preserve">Los datos anteriores coinciden con los publicados por la OCDE en lo que se refiere a las dificultades con las que se enfrentan </w:t>
      </w:r>
      <w:r>
        <w:rPr>
          <w:rFonts w:ascii="MinionPro-Regular" w:hAnsi="MinionPro-Regular"/>
          <w:sz w:val="24"/>
          <w:szCs w:val="24"/>
        </w:rPr>
        <w:t xml:space="preserve">la personas pertenecientes a </w:t>
      </w:r>
      <w:r w:rsidRPr="00981369">
        <w:rPr>
          <w:rFonts w:ascii="MinionPro-Regular" w:hAnsi="MinionPro-Regular"/>
          <w:sz w:val="24"/>
          <w:szCs w:val="24"/>
        </w:rPr>
        <w:t xml:space="preserve">colectivos </w:t>
      </w:r>
      <w:r>
        <w:rPr>
          <w:rFonts w:ascii="MinionPro-Regular" w:hAnsi="MinionPro-Regular"/>
          <w:sz w:val="24"/>
          <w:szCs w:val="24"/>
        </w:rPr>
        <w:t>tales como el de la</w:t>
      </w:r>
      <w:r w:rsidRPr="00981369">
        <w:rPr>
          <w:rFonts w:ascii="MinionPro-Regular" w:hAnsi="MinionPro-Regular"/>
          <w:sz w:val="24"/>
          <w:szCs w:val="24"/>
        </w:rPr>
        <w:t xml:space="preserve"> enfermedad mental. </w:t>
      </w:r>
    </w:p>
    <w:p w:rsidR="00E2336B" w:rsidRDefault="00E2336B">
      <w:pPr>
        <w:pBdr>
          <w:bottom w:val="single" w:sz="4" w:space="1" w:color="auto"/>
        </w:pBdr>
        <w:autoSpaceDE w:val="0"/>
        <w:autoSpaceDN w:val="0"/>
        <w:spacing w:line="360" w:lineRule="auto"/>
        <w:jc w:val="both"/>
        <w:rPr>
          <w:rFonts w:ascii="MinionPro-Regular" w:hAnsi="MinionPro-Regular"/>
          <w:sz w:val="24"/>
          <w:szCs w:val="24"/>
        </w:rPr>
      </w:pPr>
    </w:p>
    <w:p w:rsidR="00E2336B" w:rsidRPr="003B3CDD" w:rsidRDefault="00E2336B" w:rsidP="006D7340">
      <w:pPr>
        <w:autoSpaceDE w:val="0"/>
        <w:autoSpaceDN w:val="0"/>
        <w:spacing w:line="360" w:lineRule="auto"/>
        <w:jc w:val="both"/>
        <w:rPr>
          <w:rFonts w:ascii="MinionPro-Regular" w:hAnsi="MinionPro-Regular"/>
          <w:sz w:val="20"/>
          <w:szCs w:val="24"/>
        </w:rPr>
      </w:pPr>
      <w:r w:rsidRPr="0081432A">
        <w:rPr>
          <w:rFonts w:ascii="MinionPro-Regular" w:hAnsi="MinionPro-Regular"/>
          <w:sz w:val="20"/>
          <w:szCs w:val="24"/>
        </w:rPr>
        <w:t>Tasas de empleo por tipos de discapacidad, 2002</w:t>
      </w:r>
    </w:p>
    <w:p w:rsidR="00E2336B" w:rsidRDefault="00E1516B" w:rsidP="006D7340">
      <w:pPr>
        <w:autoSpaceDE w:val="0"/>
        <w:autoSpaceDN w:val="0"/>
        <w:spacing w:line="360" w:lineRule="auto"/>
        <w:jc w:val="both"/>
        <w:rPr>
          <w:rFonts w:ascii="MinionPro-Regular" w:hAnsi="MinionPro-Regular"/>
          <w:sz w:val="24"/>
          <w:szCs w:val="24"/>
        </w:rPr>
      </w:pPr>
      <w:r>
        <w:rPr>
          <w:rFonts w:ascii="MinionPro-Regular" w:hAnsi="MinionPro-Regular"/>
          <w:noProof/>
          <w:sz w:val="24"/>
          <w:szCs w:val="24"/>
          <w:lang w:eastAsia="es-ES"/>
        </w:rPr>
        <w:drawing>
          <wp:inline distT="0" distB="0" distL="0" distR="0">
            <wp:extent cx="5400040" cy="2786380"/>
            <wp:effectExtent l="0" t="0" r="0" b="0"/>
            <wp:docPr id="21" name="Picture 2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E2336B" w:rsidRDefault="00E2336B">
      <w:pPr>
        <w:pBdr>
          <w:bottom w:val="single" w:sz="4" w:space="1" w:color="auto"/>
        </w:pBdr>
        <w:tabs>
          <w:tab w:val="left" w:pos="2835"/>
        </w:tabs>
        <w:autoSpaceDE w:val="0"/>
        <w:autoSpaceDN w:val="0"/>
        <w:spacing w:line="360" w:lineRule="auto"/>
        <w:jc w:val="both"/>
        <w:rPr>
          <w:rFonts w:ascii="MinionPro-Regular" w:hAnsi="MinionPro-Regular"/>
          <w:sz w:val="20"/>
          <w:szCs w:val="24"/>
        </w:rPr>
      </w:pPr>
      <w:r w:rsidRPr="003E455F">
        <w:rPr>
          <w:rFonts w:ascii="MinionPro-Regular" w:hAnsi="MinionPro-Regular"/>
          <w:sz w:val="20"/>
          <w:szCs w:val="24"/>
        </w:rPr>
        <w:t>Fuente: Elaboración propia a partir de los datos de la  OCDE</w:t>
      </w:r>
    </w:p>
    <w:p w:rsidR="00E2336B" w:rsidRDefault="00E2336B">
      <w:pPr>
        <w:pBdr>
          <w:bottom w:val="single" w:sz="4" w:space="1" w:color="auto"/>
        </w:pBdr>
        <w:tabs>
          <w:tab w:val="left" w:pos="2835"/>
        </w:tabs>
        <w:autoSpaceDE w:val="0"/>
        <w:autoSpaceDN w:val="0"/>
        <w:spacing w:line="360" w:lineRule="auto"/>
        <w:jc w:val="both"/>
        <w:rPr>
          <w:rFonts w:ascii="MinionPro-Regular" w:hAnsi="MinionPro-Regular"/>
          <w:sz w:val="20"/>
          <w:szCs w:val="24"/>
        </w:rPr>
      </w:pPr>
      <w:r>
        <w:rPr>
          <w:rFonts w:ascii="MinionPro-Regular" w:hAnsi="MinionPro-Regular"/>
          <w:sz w:val="20"/>
          <w:szCs w:val="24"/>
        </w:rPr>
        <w:t>Nota explicativa de la gráfica: Eje vertical, tasa de empleo por tipo de discapacidad. Eje horizontal, países: Suecia, España, Italia y Reino Unido. Los datos son: en Suecia: 0,84 tasa de empleo enfermedad mental, 1,01 tasa de empleo discapacidad física y 1,02 otros; en España: 0,51 tasa de empleo enfermedad mental, 1,09, 1,08 otros; en Italia: 0,43 tasa de empleo enfermedad mental, 1,21 discapacidad física, 0,96 otros; en Reino Unido: 0,41 tasa de empleo enfermedad mental, 0,92 discapacidad física, 1,13 otros.</w:t>
      </w:r>
    </w:p>
    <w:p w:rsidR="00E2336B" w:rsidRPr="00B156EB" w:rsidRDefault="00E2336B" w:rsidP="004D03DD">
      <w:pPr>
        <w:autoSpaceDE w:val="0"/>
        <w:autoSpaceDN w:val="0"/>
        <w:spacing w:line="360" w:lineRule="auto"/>
        <w:jc w:val="both"/>
        <w:rPr>
          <w:rFonts w:ascii="MinionPro-Regular" w:hAnsi="MinionPro-Regular"/>
          <w:sz w:val="24"/>
          <w:szCs w:val="24"/>
        </w:rPr>
      </w:pPr>
    </w:p>
    <w:p w:rsidR="00E2336B" w:rsidRDefault="00E2336B" w:rsidP="004D03DD">
      <w:pPr>
        <w:autoSpaceDE w:val="0"/>
        <w:autoSpaceDN w:val="0"/>
        <w:spacing w:line="360" w:lineRule="auto"/>
        <w:jc w:val="both"/>
        <w:rPr>
          <w:rFonts w:ascii="MinionPro-Regular" w:hAnsi="MinionPro-Regular"/>
          <w:sz w:val="24"/>
          <w:szCs w:val="24"/>
        </w:rPr>
      </w:pPr>
      <w:r w:rsidRPr="00981369">
        <w:rPr>
          <w:rFonts w:ascii="MinionPro-Regular" w:hAnsi="MinionPro-Regular"/>
          <w:sz w:val="24"/>
          <w:szCs w:val="24"/>
        </w:rPr>
        <w:t xml:space="preserve">Aunque los datos de la OCDE tienen ya una década, resulta significativo comprobar que en la Unión Europea la probabilidad de que una persona con enfermedad mental </w:t>
      </w:r>
      <w:r w:rsidRPr="00981369">
        <w:rPr>
          <w:rFonts w:ascii="MinionPro-Regular" w:hAnsi="MinionPro-Regular"/>
          <w:sz w:val="24"/>
          <w:szCs w:val="24"/>
        </w:rPr>
        <w:lastRenderedPageBreak/>
        <w:t>estuviera ocupando un empleo era un 40% inferior al de una persona con discapacidad física. Los datos</w:t>
      </w:r>
      <w:r>
        <w:rPr>
          <w:rFonts w:ascii="MinionPro-Regular" w:hAnsi="MinionPro-Regular"/>
          <w:sz w:val="24"/>
          <w:szCs w:val="24"/>
        </w:rPr>
        <w:t xml:space="preserve"> </w:t>
      </w:r>
      <w:r w:rsidRPr="00981369">
        <w:rPr>
          <w:rFonts w:ascii="MinionPro-Regular" w:hAnsi="MinionPro-Regular"/>
          <w:sz w:val="24"/>
          <w:szCs w:val="24"/>
        </w:rPr>
        <w:t xml:space="preserve">permitían ver las significativas diferencias existentes entre los distintos países. Por ejemplo, el diferencial en Suecia era de tan sólo un 15%. En el otro extremo, las diferencias en el Reino Unido o en Eslovaquia se situaban alrededor o por encima del 60%. </w:t>
      </w:r>
    </w:p>
    <w:p w:rsidR="00E2336B" w:rsidRDefault="00E2336B" w:rsidP="004D03DD">
      <w:pPr>
        <w:autoSpaceDE w:val="0"/>
        <w:autoSpaceDN w:val="0"/>
        <w:spacing w:line="360" w:lineRule="auto"/>
        <w:jc w:val="both"/>
        <w:rPr>
          <w:rFonts w:ascii="MinionPro-Regular" w:hAnsi="MinionPro-Regular"/>
          <w:sz w:val="24"/>
          <w:szCs w:val="24"/>
        </w:rPr>
      </w:pPr>
    </w:p>
    <w:p w:rsidR="00E2336B" w:rsidRDefault="00E2336B" w:rsidP="004D03DD">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rPr>
        <w:t>Con r</w:t>
      </w:r>
      <w:r w:rsidRPr="00981369">
        <w:rPr>
          <w:rFonts w:ascii="MinionPro-Regular" w:hAnsi="MinionPro-Regular"/>
          <w:sz w:val="24"/>
          <w:szCs w:val="24"/>
        </w:rPr>
        <w:t xml:space="preserve">especto </w:t>
      </w:r>
      <w:r>
        <w:rPr>
          <w:rFonts w:ascii="MinionPro-Regular" w:hAnsi="MinionPro-Regular"/>
          <w:sz w:val="24"/>
          <w:szCs w:val="24"/>
        </w:rPr>
        <w:t xml:space="preserve">a </w:t>
      </w:r>
      <w:r w:rsidRPr="00981369">
        <w:rPr>
          <w:rFonts w:ascii="MinionPro-Regular" w:hAnsi="MinionPro-Regular"/>
          <w:sz w:val="24"/>
          <w:szCs w:val="24"/>
        </w:rPr>
        <w:t xml:space="preserve">España, los datos ponían de manifiesto que la probabilidad de que una persona con enfermedad mental encontrara un empleo se encontraba entre las más bajas de la OCDE. </w:t>
      </w:r>
      <w:r>
        <w:rPr>
          <w:rFonts w:ascii="MinionPro-Regular" w:hAnsi="MinionPro-Regular"/>
          <w:sz w:val="24"/>
          <w:szCs w:val="24"/>
          <w:lang w:val="es-ES_tradnl"/>
        </w:rPr>
        <w:t>L</w:t>
      </w:r>
      <w:r w:rsidRPr="00981369">
        <w:rPr>
          <w:rFonts w:ascii="MinionPro-Regular" w:hAnsi="MinionPro-Regular"/>
          <w:sz w:val="24"/>
          <w:szCs w:val="24"/>
          <w:lang w:val="es-ES_tradnl"/>
        </w:rPr>
        <w:t>a probabilidad era, para el último año para el que existen datos, la mitad de la de la población general de las personas con discapacidad.  O, por expresarlo en términos más periodísticos, una persona con discapacidad mental en España tiene tres veces más dificultades para encontrar un empleo</w:t>
      </w:r>
      <w:r>
        <w:rPr>
          <w:rFonts w:ascii="MinionPro-Regular" w:hAnsi="MinionPro-Regular"/>
          <w:sz w:val="24"/>
          <w:szCs w:val="24"/>
          <w:lang w:val="es-ES_tradnl"/>
        </w:rPr>
        <w:t xml:space="preserve"> </w:t>
      </w:r>
      <w:r w:rsidRPr="00981369">
        <w:rPr>
          <w:rFonts w:ascii="MinionPro-Regular" w:hAnsi="MinionPro-Regular"/>
          <w:sz w:val="24"/>
          <w:szCs w:val="24"/>
          <w:lang w:val="es-ES_tradnl"/>
        </w:rPr>
        <w:t>que una persona con la misma condición en Suecia. Este es</w:t>
      </w:r>
      <w:r>
        <w:rPr>
          <w:rFonts w:ascii="MinionPro-Regular" w:hAnsi="MinionPro-Regular"/>
          <w:sz w:val="24"/>
          <w:szCs w:val="24"/>
          <w:lang w:val="es-ES_tradnl"/>
        </w:rPr>
        <w:t>, por lo tanto,</w:t>
      </w:r>
      <w:r w:rsidRPr="00981369">
        <w:rPr>
          <w:rFonts w:ascii="MinionPro-Regular" w:hAnsi="MinionPro-Regular"/>
          <w:sz w:val="24"/>
          <w:szCs w:val="24"/>
          <w:lang w:val="es-ES_tradnl"/>
        </w:rPr>
        <w:t xml:space="preserve"> un colectivo especialmente vulnerable</w:t>
      </w:r>
      <w:r>
        <w:rPr>
          <w:rFonts w:ascii="MinionPro-Regular" w:hAnsi="MinionPro-Regular"/>
          <w:sz w:val="24"/>
          <w:szCs w:val="24"/>
          <w:lang w:val="es-ES_tradnl"/>
        </w:rPr>
        <w:t xml:space="preserve"> a la discriminación</w:t>
      </w:r>
      <w:r w:rsidRPr="00981369">
        <w:rPr>
          <w:rFonts w:ascii="MinionPro-Regular" w:hAnsi="MinionPro-Regular"/>
          <w:sz w:val="24"/>
          <w:szCs w:val="24"/>
          <w:lang w:val="es-ES_tradnl"/>
        </w:rPr>
        <w:t>.</w:t>
      </w:r>
    </w:p>
    <w:p w:rsidR="00E2336B" w:rsidRPr="00981369" w:rsidRDefault="00E2336B" w:rsidP="004D03DD">
      <w:pPr>
        <w:autoSpaceDE w:val="0"/>
        <w:autoSpaceDN w:val="0"/>
        <w:spacing w:line="360" w:lineRule="auto"/>
        <w:jc w:val="both"/>
        <w:rPr>
          <w:rFonts w:ascii="MinionPro-Regular" w:hAnsi="MinionPro-Regular"/>
          <w:sz w:val="24"/>
          <w:szCs w:val="24"/>
          <w:lang w:val="es-ES_tradnl"/>
        </w:rPr>
      </w:pPr>
    </w:p>
    <w:p w:rsidR="00E2336B" w:rsidRDefault="00E2336B" w:rsidP="004D03DD">
      <w:pPr>
        <w:autoSpaceDE w:val="0"/>
        <w:autoSpaceDN w:val="0"/>
        <w:spacing w:line="360" w:lineRule="auto"/>
        <w:jc w:val="both"/>
        <w:rPr>
          <w:rFonts w:ascii="MinionPro-Regular" w:hAnsi="MinionPro-Regular"/>
          <w:sz w:val="24"/>
          <w:szCs w:val="24"/>
          <w:lang w:val="es-ES_tradnl"/>
        </w:rPr>
      </w:pPr>
      <w:r w:rsidRPr="00981369">
        <w:rPr>
          <w:rFonts w:ascii="MinionPro-Regular" w:hAnsi="MinionPro-Regular"/>
          <w:sz w:val="24"/>
          <w:szCs w:val="24"/>
          <w:lang w:val="es-ES_tradnl"/>
        </w:rPr>
        <w:t xml:space="preserve">De acuerdo a estudios empíricos desarrollados en algunos países, de los que se hace eco el </w:t>
      </w:r>
      <w:r>
        <w:rPr>
          <w:rFonts w:ascii="MinionPro-Regular" w:hAnsi="MinionPro-Regular"/>
          <w:sz w:val="24"/>
          <w:szCs w:val="24"/>
          <w:lang w:val="es-ES_tradnl"/>
        </w:rPr>
        <w:t xml:space="preserve">mencionado </w:t>
      </w:r>
      <w:r w:rsidRPr="00981369">
        <w:rPr>
          <w:rFonts w:ascii="MinionPro-Regular" w:hAnsi="MinionPro-Regular"/>
          <w:sz w:val="24"/>
          <w:szCs w:val="24"/>
          <w:lang w:val="es-ES_tradnl"/>
        </w:rPr>
        <w:t xml:space="preserve">Informe Mundial sobre Discapacidad del año 2011, las personas con discapacidad </w:t>
      </w:r>
      <w:r>
        <w:rPr>
          <w:rFonts w:ascii="MinionPro-Regular" w:hAnsi="MinionPro-Regular"/>
          <w:sz w:val="24"/>
          <w:szCs w:val="24"/>
          <w:lang w:val="es-ES_tradnl"/>
        </w:rPr>
        <w:t>reciben</w:t>
      </w:r>
      <w:r w:rsidRPr="00981369">
        <w:rPr>
          <w:rFonts w:ascii="MinionPro-Regular" w:hAnsi="MinionPro-Regular"/>
          <w:sz w:val="24"/>
          <w:szCs w:val="24"/>
          <w:lang w:val="es-ES_tradnl"/>
        </w:rPr>
        <w:t xml:space="preserve"> también menores salarios. Las diferencias salariales no son explicables por el diferencial de productividad existente entre las personas con y sin discapacidad, lo que podría indicar </w:t>
      </w:r>
      <w:r>
        <w:rPr>
          <w:rFonts w:ascii="MinionPro-Regular" w:hAnsi="MinionPro-Regular"/>
          <w:sz w:val="24"/>
          <w:szCs w:val="24"/>
          <w:lang w:val="es-ES_tradnl"/>
        </w:rPr>
        <w:t xml:space="preserve">una </w:t>
      </w:r>
      <w:r w:rsidRPr="00981369">
        <w:rPr>
          <w:rFonts w:ascii="MinionPro-Regular" w:hAnsi="MinionPro-Regular"/>
          <w:sz w:val="24"/>
          <w:szCs w:val="24"/>
          <w:lang w:val="es-ES_tradnl"/>
        </w:rPr>
        <w:t xml:space="preserve">persistencia en la discriminación hacia este colectivo. </w:t>
      </w:r>
    </w:p>
    <w:p w:rsidR="00017C59" w:rsidRDefault="00017C59" w:rsidP="004D03DD">
      <w:pPr>
        <w:autoSpaceDE w:val="0"/>
        <w:autoSpaceDN w:val="0"/>
        <w:spacing w:line="360" w:lineRule="auto"/>
        <w:jc w:val="both"/>
        <w:rPr>
          <w:rFonts w:ascii="MinionPro-Regular" w:hAnsi="MinionPro-Regular"/>
          <w:sz w:val="24"/>
          <w:szCs w:val="24"/>
          <w:lang w:val="es-ES_tradnl"/>
        </w:rPr>
      </w:pPr>
    </w:p>
    <w:p w:rsidR="00E2336B" w:rsidRPr="007F7879" w:rsidRDefault="00E2336B" w:rsidP="00B13AAC">
      <w:pPr>
        <w:pBdr>
          <w:top w:val="single" w:sz="4" w:space="1" w:color="auto"/>
          <w:left w:val="single" w:sz="4" w:space="4" w:color="auto"/>
          <w:bottom w:val="single" w:sz="4" w:space="1" w:color="auto"/>
          <w:right w:val="single" w:sz="4" w:space="4" w:color="auto"/>
        </w:pBdr>
        <w:autoSpaceDE w:val="0"/>
        <w:autoSpaceDN w:val="0"/>
        <w:spacing w:line="360" w:lineRule="auto"/>
        <w:jc w:val="both"/>
        <w:rPr>
          <w:rFonts w:ascii="MinionPro-Regular" w:hAnsi="MinionPro-Regular"/>
          <w:sz w:val="20"/>
          <w:szCs w:val="24"/>
          <w:u w:val="single"/>
        </w:rPr>
      </w:pPr>
      <w:r w:rsidRPr="00B13AAC">
        <w:rPr>
          <w:rFonts w:ascii="MinionPro-Regular" w:hAnsi="MinionPro-Regular"/>
          <w:sz w:val="20"/>
          <w:szCs w:val="24"/>
          <w:u w:val="single"/>
          <w:lang w:val="es-ES_tradnl"/>
        </w:rPr>
        <w:t>La discriminación todavía no ha desaparecido, especialmente en algunos colectivos</w:t>
      </w:r>
      <w:r>
        <w:rPr>
          <w:rFonts w:ascii="MinionPro-Regular" w:hAnsi="MinionPro-Regular"/>
          <w:sz w:val="20"/>
          <w:szCs w:val="24"/>
          <w:u w:val="single"/>
          <w:lang w:val="es-ES_tradnl"/>
        </w:rPr>
        <w:t>.</w:t>
      </w:r>
      <w:r w:rsidRPr="00B13AAC">
        <w:rPr>
          <w:rFonts w:ascii="MinionPro-Regular" w:hAnsi="MinionPro-Regular"/>
          <w:sz w:val="20"/>
          <w:szCs w:val="24"/>
          <w:u w:val="single"/>
          <w:lang w:val="es-ES_tradnl"/>
        </w:rPr>
        <w:t xml:space="preserve"> </w:t>
      </w:r>
      <w:r>
        <w:rPr>
          <w:rFonts w:ascii="MinionPro-Regular" w:hAnsi="MinionPro-Regular"/>
          <w:sz w:val="20"/>
          <w:szCs w:val="24"/>
          <w:u w:val="single"/>
          <w:lang w:val="es-ES_tradnl"/>
        </w:rPr>
        <w:t>Puntos principales</w:t>
      </w:r>
    </w:p>
    <w:p w:rsidR="00E2336B" w:rsidRDefault="00E2336B" w:rsidP="0007541A">
      <w:pPr>
        <w:pStyle w:val="Prrafodelista"/>
        <w:numPr>
          <w:ilvl w:val="0"/>
          <w:numId w:val="22"/>
        </w:numPr>
        <w:pBdr>
          <w:top w:val="single" w:sz="4" w:space="1" w:color="auto"/>
          <w:left w:val="single" w:sz="4" w:space="4" w:color="auto"/>
          <w:bottom w:val="single" w:sz="4" w:space="1" w:color="auto"/>
          <w:right w:val="single" w:sz="4" w:space="4" w:color="auto"/>
        </w:pBdr>
        <w:autoSpaceDE w:val="0"/>
        <w:autoSpaceDN w:val="0"/>
        <w:spacing w:line="360" w:lineRule="auto"/>
        <w:jc w:val="both"/>
        <w:rPr>
          <w:rFonts w:ascii="MinionPro-Regular" w:hAnsi="MinionPro-Regular"/>
          <w:sz w:val="20"/>
          <w:lang w:val="es-ES_tradnl"/>
        </w:rPr>
      </w:pPr>
      <w:r w:rsidRPr="00455028">
        <w:rPr>
          <w:rFonts w:ascii="MinionPro-Regular" w:hAnsi="MinionPro-Regular"/>
          <w:sz w:val="20"/>
        </w:rPr>
        <w:t xml:space="preserve">Según muestran diversos estudios, existe </w:t>
      </w:r>
      <w:r>
        <w:rPr>
          <w:rFonts w:ascii="MinionPro-Regular" w:hAnsi="MinionPro-Regular"/>
          <w:sz w:val="20"/>
        </w:rPr>
        <w:t xml:space="preserve">una mayor </w:t>
      </w:r>
      <w:r w:rsidRPr="00455028">
        <w:rPr>
          <w:rFonts w:ascii="MinionPro-Regular" w:hAnsi="MinionPro-Regular"/>
          <w:sz w:val="20"/>
        </w:rPr>
        <w:t xml:space="preserve">discriminación para determinados </w:t>
      </w:r>
      <w:r>
        <w:rPr>
          <w:rFonts w:ascii="MinionPro-Regular" w:hAnsi="MinionPro-Regular"/>
          <w:sz w:val="20"/>
        </w:rPr>
        <w:t>colectivos de la discapacidad. Una</w:t>
      </w:r>
      <w:r w:rsidRPr="00455028">
        <w:rPr>
          <w:rFonts w:ascii="MinionPro-Regular" w:hAnsi="MinionPro-Regular"/>
          <w:sz w:val="20"/>
          <w:lang w:val="es-ES_tradnl"/>
        </w:rPr>
        <w:t xml:space="preserve"> persona con </w:t>
      </w:r>
      <w:r>
        <w:rPr>
          <w:rFonts w:ascii="MinionPro-Regular" w:hAnsi="MinionPro-Regular"/>
          <w:sz w:val="20"/>
          <w:lang w:val="es-ES_tradnl"/>
        </w:rPr>
        <w:t>enfermedad</w:t>
      </w:r>
      <w:r w:rsidRPr="00455028">
        <w:rPr>
          <w:rFonts w:ascii="MinionPro-Regular" w:hAnsi="MinionPro-Regular"/>
          <w:sz w:val="20"/>
          <w:lang w:val="es-ES_tradnl"/>
        </w:rPr>
        <w:t xml:space="preserve"> mental en España tiene tres veces más dificultades para </w:t>
      </w:r>
      <w:r w:rsidRPr="00455028">
        <w:rPr>
          <w:rFonts w:ascii="MinionPro-Regular" w:hAnsi="MinionPro-Regular"/>
          <w:sz w:val="20"/>
          <w:lang w:val="es-ES_tradnl"/>
        </w:rPr>
        <w:lastRenderedPageBreak/>
        <w:t>encontrar un empleo, comparado con el conjunto de personas con discapacidad, que una persona con la misma condición en Suecia</w:t>
      </w:r>
      <w:r>
        <w:rPr>
          <w:rFonts w:ascii="MinionPro-Regular" w:hAnsi="MinionPro-Regular"/>
          <w:sz w:val="20"/>
          <w:lang w:val="es-ES_tradnl"/>
        </w:rPr>
        <w:t>.</w:t>
      </w:r>
    </w:p>
    <w:p w:rsidR="00E2336B" w:rsidRPr="00B13AAC" w:rsidRDefault="00E2336B" w:rsidP="0007541A">
      <w:pPr>
        <w:pStyle w:val="Prrafodelista"/>
        <w:numPr>
          <w:ilvl w:val="0"/>
          <w:numId w:val="22"/>
        </w:numPr>
        <w:pBdr>
          <w:top w:val="single" w:sz="4" w:space="1" w:color="auto"/>
          <w:left w:val="single" w:sz="4" w:space="4" w:color="auto"/>
          <w:bottom w:val="single" w:sz="4" w:space="1" w:color="auto"/>
          <w:right w:val="single" w:sz="4" w:space="4" w:color="auto"/>
        </w:pBdr>
        <w:autoSpaceDE w:val="0"/>
        <w:autoSpaceDN w:val="0"/>
        <w:spacing w:line="360" w:lineRule="auto"/>
        <w:jc w:val="both"/>
        <w:rPr>
          <w:rFonts w:ascii="MinionPro-Regular" w:hAnsi="MinionPro-Regular"/>
          <w:sz w:val="20"/>
          <w:lang w:val="es-ES_tradnl"/>
        </w:rPr>
      </w:pPr>
      <w:r w:rsidRPr="00C0274F">
        <w:rPr>
          <w:rFonts w:ascii="MinionPro-Regular" w:hAnsi="MinionPro-Regular"/>
          <w:sz w:val="20"/>
          <w:lang w:val="es-ES_tradnl"/>
        </w:rPr>
        <w:t>Además, las diferencias salariales</w:t>
      </w:r>
      <w:r>
        <w:rPr>
          <w:rFonts w:ascii="MinionPro-Regular" w:hAnsi="MinionPro-Regular"/>
          <w:sz w:val="20"/>
          <w:lang w:val="es-ES_tradnl"/>
        </w:rPr>
        <w:t xml:space="preserve"> existentes entre las personas con y sin discapacidad</w:t>
      </w:r>
      <w:r w:rsidRPr="00C0274F">
        <w:rPr>
          <w:rFonts w:ascii="MinionPro-Regular" w:hAnsi="MinionPro-Regular"/>
          <w:sz w:val="20"/>
          <w:lang w:val="es-ES_tradnl"/>
        </w:rPr>
        <w:t xml:space="preserve"> no son explicables por el diferencial </w:t>
      </w:r>
      <w:r>
        <w:rPr>
          <w:rFonts w:ascii="MinionPro-Regular" w:hAnsi="MinionPro-Regular"/>
          <w:sz w:val="20"/>
          <w:lang w:val="es-ES_tradnl"/>
        </w:rPr>
        <w:t>educativo</w:t>
      </w:r>
      <w:r w:rsidRPr="00C0274F">
        <w:rPr>
          <w:rFonts w:ascii="MinionPro-Regular" w:hAnsi="MinionPro-Regular"/>
          <w:sz w:val="20"/>
          <w:lang w:val="es-ES_tradnl"/>
        </w:rPr>
        <w:t xml:space="preserve"> entre las personas con y sin discapacidad, lo que </w:t>
      </w:r>
      <w:r>
        <w:rPr>
          <w:rFonts w:ascii="MinionPro-Regular" w:hAnsi="MinionPro-Regular"/>
          <w:sz w:val="20"/>
          <w:lang w:val="es-ES_tradnl"/>
        </w:rPr>
        <w:t xml:space="preserve">podría indicar la presencia de </w:t>
      </w:r>
      <w:r w:rsidRPr="00C0274F">
        <w:rPr>
          <w:rFonts w:ascii="MinionPro-Regular" w:hAnsi="MinionPro-Regular"/>
          <w:sz w:val="20"/>
          <w:lang w:val="es-ES_tradnl"/>
        </w:rPr>
        <w:t>discriminación</w:t>
      </w:r>
      <w:r>
        <w:rPr>
          <w:rFonts w:ascii="MinionPro-Regular" w:hAnsi="MinionPro-Regular"/>
          <w:sz w:val="20"/>
          <w:lang w:val="es-ES_tradnl"/>
        </w:rPr>
        <w:t>.</w:t>
      </w:r>
    </w:p>
    <w:p w:rsidR="00E2336B" w:rsidRDefault="00E2336B" w:rsidP="004D03DD">
      <w:pPr>
        <w:autoSpaceDE w:val="0"/>
        <w:autoSpaceDN w:val="0"/>
        <w:spacing w:line="360" w:lineRule="auto"/>
        <w:jc w:val="both"/>
        <w:rPr>
          <w:rFonts w:ascii="MinionPro-Regular" w:hAnsi="MinionPro-Regular"/>
          <w:sz w:val="24"/>
          <w:szCs w:val="24"/>
          <w:lang w:val="es-ES_tradnl"/>
        </w:rPr>
      </w:pPr>
    </w:p>
    <w:p w:rsidR="00E2336B" w:rsidRDefault="00E2336B" w:rsidP="004D03DD">
      <w:pPr>
        <w:autoSpaceDE w:val="0"/>
        <w:autoSpaceDN w:val="0"/>
        <w:spacing w:line="360" w:lineRule="auto"/>
        <w:jc w:val="both"/>
        <w:rPr>
          <w:rFonts w:ascii="MinionPro-Regular" w:hAnsi="MinionPro-Regular"/>
          <w:sz w:val="24"/>
          <w:szCs w:val="24"/>
          <w:lang w:val="es-ES_tradnl"/>
        </w:rPr>
      </w:pPr>
    </w:p>
    <w:p w:rsidR="00E2336B" w:rsidRDefault="00E2336B">
      <w:pPr>
        <w:rPr>
          <w:rFonts w:ascii="MinionPro-Regular" w:hAnsi="MinionPro-Regular"/>
          <w:b/>
          <w:sz w:val="24"/>
          <w:szCs w:val="24"/>
          <w:lang w:val="es-ES_tradnl"/>
        </w:rPr>
      </w:pPr>
      <w:bookmarkStart w:id="34" w:name="_Toc343587492"/>
      <w:bookmarkStart w:id="35" w:name="_Toc344314312"/>
      <w:bookmarkStart w:id="36" w:name="_Toc344386217"/>
      <w:bookmarkStart w:id="37" w:name="_Toc344402457"/>
      <w:bookmarkEnd w:id="34"/>
      <w:bookmarkEnd w:id="35"/>
      <w:bookmarkEnd w:id="36"/>
      <w:bookmarkEnd w:id="37"/>
      <w:r>
        <w:rPr>
          <w:rFonts w:ascii="MinionPro-Regular" w:hAnsi="MinionPro-Regular"/>
          <w:sz w:val="24"/>
          <w:szCs w:val="24"/>
          <w:lang w:val="es-ES_tradnl"/>
        </w:rPr>
        <w:br w:type="page"/>
      </w:r>
    </w:p>
    <w:p w:rsidR="00E2336B" w:rsidRPr="00794594" w:rsidRDefault="00E2336B" w:rsidP="0007541A">
      <w:pPr>
        <w:pStyle w:val="Ttulo1"/>
        <w:numPr>
          <w:ilvl w:val="0"/>
          <w:numId w:val="3"/>
        </w:numPr>
        <w:rPr>
          <w:rFonts w:ascii="MinionPro-Regular" w:hAnsi="MinionPro-Regular"/>
          <w:lang w:val="es-ES_tradnl"/>
        </w:rPr>
      </w:pPr>
      <w:bookmarkStart w:id="38" w:name="_Toc344964057"/>
      <w:bookmarkStart w:id="39" w:name="_Toc340340545"/>
      <w:bookmarkStart w:id="40" w:name="_Toc352773548"/>
      <w:bookmarkEnd w:id="38"/>
      <w:r w:rsidRPr="00794594">
        <w:rPr>
          <w:rFonts w:ascii="MinionPro-Regular" w:hAnsi="MinionPro-Regular"/>
          <w:lang w:val="es-ES_tradnl"/>
        </w:rPr>
        <w:lastRenderedPageBreak/>
        <w:t>Alinear incentivos para conseguir la integración</w:t>
      </w:r>
      <w:bookmarkEnd w:id="39"/>
      <w:bookmarkEnd w:id="40"/>
    </w:p>
    <w:p w:rsidR="00E2336B" w:rsidRPr="00981369" w:rsidRDefault="00E2336B" w:rsidP="004D03DD">
      <w:pPr>
        <w:autoSpaceDE w:val="0"/>
        <w:autoSpaceDN w:val="0"/>
        <w:spacing w:line="360" w:lineRule="auto"/>
        <w:jc w:val="both"/>
        <w:rPr>
          <w:rFonts w:ascii="MinionPro-Regular" w:hAnsi="MinionPro-Regular"/>
          <w:sz w:val="24"/>
          <w:szCs w:val="24"/>
          <w:lang w:val="es-ES_tradnl"/>
        </w:rPr>
      </w:pPr>
    </w:p>
    <w:p w:rsidR="00E2336B" w:rsidRDefault="00E2336B" w:rsidP="004D03DD">
      <w:pPr>
        <w:autoSpaceDE w:val="0"/>
        <w:autoSpaceDN w:val="0"/>
        <w:spacing w:line="360" w:lineRule="auto"/>
        <w:jc w:val="both"/>
        <w:rPr>
          <w:rFonts w:ascii="MinionPro-Regular" w:hAnsi="MinionPro-Regular"/>
          <w:sz w:val="24"/>
          <w:szCs w:val="24"/>
          <w:lang w:val="es-ES_tradnl"/>
        </w:rPr>
      </w:pPr>
      <w:r w:rsidRPr="00981369">
        <w:rPr>
          <w:rFonts w:ascii="MinionPro-Regular" w:hAnsi="MinionPro-Regular"/>
          <w:sz w:val="24"/>
          <w:szCs w:val="24"/>
          <w:lang w:val="es-ES_tradnl"/>
        </w:rPr>
        <w:t>La integración de las personas con discapacidad es, en último término, es un asunto de equidad o justicia</w:t>
      </w:r>
      <w:r>
        <w:rPr>
          <w:rFonts w:ascii="MinionPro-Regular" w:hAnsi="MinionPro-Regular"/>
          <w:sz w:val="24"/>
          <w:szCs w:val="24"/>
          <w:lang w:val="es-ES_tradnl"/>
        </w:rPr>
        <w:t xml:space="preserve"> social. Y por lo tanto</w:t>
      </w:r>
      <w:r w:rsidRPr="00981369">
        <w:rPr>
          <w:rFonts w:ascii="MinionPro-Regular" w:hAnsi="MinionPro-Regular"/>
          <w:sz w:val="24"/>
          <w:szCs w:val="24"/>
          <w:lang w:val="es-ES_tradnl"/>
        </w:rPr>
        <w:t xml:space="preserve"> una responsabilidad del conjunto de la sociedad. Un asunto que tiene que ver con asegurar que todos los ciudadanos disfrutan de los mismos derechos y oportunidades. Pero la incorporación de las personas con discapacidad al mercado laboral es también un asunto de eficiencia económica, de evitar el de</w:t>
      </w:r>
      <w:r>
        <w:rPr>
          <w:rFonts w:ascii="MinionPro-Regular" w:hAnsi="MinionPro-Regular"/>
          <w:sz w:val="24"/>
          <w:szCs w:val="24"/>
          <w:lang w:val="es-ES_tradnl"/>
        </w:rPr>
        <w:t xml:space="preserve">spilfarro de esfuerzo y de talento </w:t>
      </w:r>
      <w:r w:rsidRPr="00981369">
        <w:rPr>
          <w:rFonts w:ascii="MinionPro-Regular" w:hAnsi="MinionPro-Regular"/>
          <w:sz w:val="24"/>
          <w:szCs w:val="24"/>
          <w:lang w:val="es-ES_tradnl"/>
        </w:rPr>
        <w:t xml:space="preserve">que supone dejar fuera del tejido económico nacional a un colectivo significativo y capaz de aportar a la prosperidad y riqueza nacionales en la misma medida que el resto de la población. Como veíamos, en la medida en la que los problemas asociados a la pirámide poblacional se hagan patentes, la incorporación al mercado laboral de las personas con discapacidad cobrará una especial importancia. </w:t>
      </w:r>
    </w:p>
    <w:p w:rsidR="00E2336B" w:rsidRPr="00981369" w:rsidRDefault="00E2336B" w:rsidP="004D03DD">
      <w:pPr>
        <w:autoSpaceDE w:val="0"/>
        <w:autoSpaceDN w:val="0"/>
        <w:spacing w:line="360" w:lineRule="auto"/>
        <w:jc w:val="both"/>
        <w:rPr>
          <w:rFonts w:ascii="MinionPro-Regular" w:hAnsi="MinionPro-Regular"/>
          <w:sz w:val="24"/>
          <w:szCs w:val="24"/>
          <w:lang w:val="es-ES_tradnl"/>
        </w:rPr>
      </w:pPr>
    </w:p>
    <w:p w:rsidR="00E2336B" w:rsidRDefault="00E2336B" w:rsidP="004D03DD">
      <w:pPr>
        <w:autoSpaceDE w:val="0"/>
        <w:autoSpaceDN w:val="0"/>
        <w:spacing w:line="360" w:lineRule="auto"/>
        <w:jc w:val="both"/>
        <w:rPr>
          <w:rFonts w:ascii="MinionPro-Regular" w:hAnsi="MinionPro-Regular"/>
          <w:sz w:val="24"/>
          <w:szCs w:val="24"/>
          <w:lang w:val="es-ES_tradnl"/>
        </w:rPr>
      </w:pPr>
      <w:r w:rsidRPr="00981369">
        <w:rPr>
          <w:rFonts w:ascii="MinionPro-Regular" w:hAnsi="MinionPro-Regular"/>
          <w:sz w:val="24"/>
          <w:szCs w:val="24"/>
          <w:lang w:val="es-ES_tradnl"/>
        </w:rPr>
        <w:t>Las medidas adoptadas en los países avanzados a lo largo de las últimas décadas tienen como objetivo incidir tanto en el ámbito de la equidad como en el de la eficiencia, poniendo el acento en los distintos ámbi</w:t>
      </w:r>
      <w:r>
        <w:rPr>
          <w:rFonts w:ascii="MinionPro-Regular" w:hAnsi="MinionPro-Regular"/>
          <w:sz w:val="24"/>
          <w:szCs w:val="24"/>
          <w:lang w:val="es-ES_tradnl"/>
        </w:rPr>
        <w:t>tos que pueden dificultar,</w:t>
      </w:r>
      <w:r w:rsidRPr="00981369">
        <w:rPr>
          <w:rFonts w:ascii="MinionPro-Regular" w:hAnsi="MinionPro-Regular"/>
          <w:sz w:val="24"/>
          <w:szCs w:val="24"/>
          <w:lang w:val="es-ES_tradnl"/>
        </w:rPr>
        <w:t xml:space="preserve"> entorpecer </w:t>
      </w:r>
      <w:r>
        <w:rPr>
          <w:rFonts w:ascii="MinionPro-Regular" w:hAnsi="MinionPro-Regular"/>
          <w:sz w:val="24"/>
          <w:szCs w:val="24"/>
          <w:lang w:val="es-ES_tradnl"/>
        </w:rPr>
        <w:t xml:space="preserve">o desincentivar </w:t>
      </w:r>
      <w:r w:rsidRPr="00981369">
        <w:rPr>
          <w:rFonts w:ascii="MinionPro-Regular" w:hAnsi="MinionPro-Regular"/>
          <w:sz w:val="24"/>
          <w:szCs w:val="24"/>
          <w:lang w:val="es-ES_tradnl"/>
        </w:rPr>
        <w:t xml:space="preserve">el acceso al mercado laboral de las personas con discapacidad. Desde instrumentos institucionales a incentivos de mercado, pasando por medidas que faciliten la empleabilidad de este colectivo eliminando ideas preconcebidas y poniendo freno a la discriminación. A este respecto, las medidas establecidas deben </w:t>
      </w:r>
      <w:r>
        <w:rPr>
          <w:rFonts w:ascii="MinionPro-Regular" w:hAnsi="MinionPro-Regular"/>
          <w:sz w:val="24"/>
          <w:szCs w:val="24"/>
          <w:lang w:val="es-ES_tradnl"/>
        </w:rPr>
        <w:t>estimular a</w:t>
      </w:r>
      <w:r w:rsidRPr="00981369">
        <w:rPr>
          <w:rFonts w:ascii="MinionPro-Regular" w:hAnsi="MinionPro-Regular"/>
          <w:sz w:val="24"/>
          <w:szCs w:val="24"/>
          <w:lang w:val="es-ES_tradnl"/>
        </w:rPr>
        <w:t xml:space="preserve"> los actores involucrados en la incorporación al mercado laboral de las personas con discapacidad, incluyendo a este colectivo, a los empleadores y a las autoridades públicas.</w:t>
      </w:r>
    </w:p>
    <w:p w:rsidR="00E2336B" w:rsidRPr="00981369" w:rsidRDefault="00E2336B" w:rsidP="004D03DD">
      <w:pPr>
        <w:autoSpaceDE w:val="0"/>
        <w:autoSpaceDN w:val="0"/>
        <w:spacing w:line="360" w:lineRule="auto"/>
        <w:jc w:val="both"/>
        <w:rPr>
          <w:rFonts w:ascii="MinionPro-Regular" w:hAnsi="MinionPro-Regular"/>
          <w:sz w:val="24"/>
          <w:szCs w:val="24"/>
          <w:lang w:val="es-ES_tradnl"/>
        </w:rPr>
      </w:pPr>
    </w:p>
    <w:p w:rsidR="00E2336B" w:rsidRPr="00981369" w:rsidRDefault="00E2336B" w:rsidP="0007541A">
      <w:pPr>
        <w:pStyle w:val="Prrafodelista"/>
        <w:numPr>
          <w:ilvl w:val="0"/>
          <w:numId w:val="8"/>
        </w:numPr>
        <w:autoSpaceDE w:val="0"/>
        <w:autoSpaceDN w:val="0"/>
        <w:spacing w:after="200" w:line="360" w:lineRule="auto"/>
        <w:jc w:val="both"/>
        <w:rPr>
          <w:rFonts w:ascii="MinionPro-Regular" w:hAnsi="MinionPro-Regular"/>
          <w:sz w:val="24"/>
          <w:szCs w:val="24"/>
          <w:lang w:val="es-ES_tradnl"/>
        </w:rPr>
      </w:pPr>
      <w:r w:rsidRPr="00981369">
        <w:rPr>
          <w:rFonts w:ascii="MinionPro-Regular" w:hAnsi="MinionPro-Regular"/>
          <w:sz w:val="24"/>
          <w:szCs w:val="24"/>
          <w:lang w:val="es-ES_tradnl"/>
        </w:rPr>
        <w:lastRenderedPageBreak/>
        <w:t xml:space="preserve">Para las personas con discapacidad, la arquitectura normativa establecida </w:t>
      </w:r>
      <w:r>
        <w:rPr>
          <w:rFonts w:ascii="MinionPro-Regular" w:hAnsi="MinionPro-Regular"/>
          <w:sz w:val="24"/>
          <w:szCs w:val="24"/>
          <w:lang w:val="es-ES_tradnl"/>
        </w:rPr>
        <w:t xml:space="preserve">debe hacer atractiva </w:t>
      </w:r>
      <w:r w:rsidRPr="00981369">
        <w:rPr>
          <w:rFonts w:ascii="MinionPro-Regular" w:hAnsi="MinionPro-Regular"/>
          <w:sz w:val="24"/>
          <w:szCs w:val="24"/>
          <w:lang w:val="es-ES_tradnl"/>
        </w:rPr>
        <w:t>la búsqueda de un empleo, el mantenimiento del puesto de trabajo</w:t>
      </w:r>
      <w:r>
        <w:rPr>
          <w:rFonts w:ascii="MinionPro-Regular" w:hAnsi="MinionPro-Regular"/>
          <w:sz w:val="24"/>
          <w:szCs w:val="24"/>
          <w:lang w:val="es-ES_tradnl"/>
        </w:rPr>
        <w:t xml:space="preserve">, </w:t>
      </w:r>
      <w:r w:rsidRPr="00AF6645">
        <w:rPr>
          <w:rFonts w:ascii="MinionPro-Regular" w:hAnsi="MinionPro-Regular"/>
          <w:sz w:val="24"/>
          <w:szCs w:val="24"/>
          <w:lang w:val="es-ES_tradnl"/>
        </w:rPr>
        <w:t>el desarrollo profesional</w:t>
      </w:r>
      <w:r w:rsidRPr="00981369">
        <w:rPr>
          <w:rFonts w:ascii="MinionPro-Regular" w:hAnsi="MinionPro-Regular"/>
          <w:sz w:val="24"/>
          <w:szCs w:val="24"/>
          <w:lang w:val="es-ES_tradnl"/>
        </w:rPr>
        <w:t xml:space="preserve"> </w:t>
      </w:r>
      <w:r>
        <w:rPr>
          <w:rFonts w:ascii="MinionPro-Regular" w:hAnsi="MinionPro-Regular"/>
          <w:sz w:val="24"/>
          <w:szCs w:val="24"/>
          <w:lang w:val="es-ES_tradnl"/>
        </w:rPr>
        <w:t>o</w:t>
      </w:r>
      <w:r w:rsidRPr="00981369">
        <w:rPr>
          <w:rFonts w:ascii="MinionPro-Regular" w:hAnsi="MinionPro-Regular"/>
          <w:sz w:val="24"/>
          <w:szCs w:val="24"/>
          <w:lang w:val="es-ES_tradnl"/>
        </w:rPr>
        <w:t xml:space="preserve"> el retorno al mismo.</w:t>
      </w:r>
    </w:p>
    <w:p w:rsidR="00E2336B" w:rsidRPr="00981369" w:rsidRDefault="00E2336B" w:rsidP="004D03DD">
      <w:pPr>
        <w:pStyle w:val="Prrafodelista"/>
        <w:autoSpaceDE w:val="0"/>
        <w:autoSpaceDN w:val="0"/>
        <w:spacing w:line="360" w:lineRule="auto"/>
        <w:ind w:left="340"/>
        <w:jc w:val="both"/>
        <w:rPr>
          <w:rFonts w:ascii="MinionPro-Regular" w:hAnsi="MinionPro-Regular"/>
          <w:sz w:val="24"/>
          <w:szCs w:val="24"/>
          <w:lang w:val="es-ES_tradnl"/>
        </w:rPr>
      </w:pPr>
    </w:p>
    <w:p w:rsidR="00E2336B" w:rsidRPr="00981369" w:rsidRDefault="00E2336B" w:rsidP="0007541A">
      <w:pPr>
        <w:pStyle w:val="Prrafodelista"/>
        <w:numPr>
          <w:ilvl w:val="0"/>
          <w:numId w:val="8"/>
        </w:numPr>
        <w:autoSpaceDE w:val="0"/>
        <w:autoSpaceDN w:val="0"/>
        <w:spacing w:after="200" w:line="360" w:lineRule="auto"/>
        <w:jc w:val="both"/>
        <w:rPr>
          <w:rFonts w:ascii="MinionPro-Regular" w:hAnsi="MinionPro-Regular"/>
          <w:sz w:val="24"/>
          <w:szCs w:val="24"/>
          <w:lang w:val="es-ES_tradnl"/>
        </w:rPr>
      </w:pPr>
      <w:r w:rsidRPr="00981369">
        <w:rPr>
          <w:rFonts w:ascii="MinionPro-Regular" w:hAnsi="MinionPro-Regular"/>
          <w:sz w:val="24"/>
          <w:szCs w:val="24"/>
          <w:lang w:val="es-ES_tradnl"/>
        </w:rPr>
        <w:t xml:space="preserve">Para los empleadores, deben existir incentivos </w:t>
      </w:r>
      <w:r>
        <w:rPr>
          <w:rFonts w:ascii="MinionPro-Regular" w:hAnsi="MinionPro-Regular"/>
          <w:sz w:val="24"/>
          <w:szCs w:val="24"/>
          <w:lang w:val="es-ES_tradnl"/>
        </w:rPr>
        <w:t>para</w:t>
      </w:r>
      <w:r w:rsidRPr="00981369">
        <w:rPr>
          <w:rFonts w:ascii="MinionPro-Regular" w:hAnsi="MinionPro-Regular"/>
          <w:sz w:val="24"/>
          <w:szCs w:val="24"/>
          <w:lang w:val="es-ES_tradnl"/>
        </w:rPr>
        <w:t xml:space="preserve"> </w:t>
      </w:r>
      <w:r>
        <w:rPr>
          <w:rFonts w:ascii="MinionPro-Regular" w:hAnsi="MinionPro-Regular"/>
          <w:sz w:val="24"/>
          <w:szCs w:val="24"/>
          <w:lang w:val="es-ES_tradnl"/>
        </w:rPr>
        <w:t>emplear a</w:t>
      </w:r>
      <w:r w:rsidRPr="00981369">
        <w:rPr>
          <w:rFonts w:ascii="MinionPro-Regular" w:hAnsi="MinionPro-Regular"/>
          <w:sz w:val="24"/>
          <w:szCs w:val="24"/>
          <w:lang w:val="es-ES_tradnl"/>
        </w:rPr>
        <w:t xml:space="preserve"> personas con discapacidad</w:t>
      </w:r>
      <w:r>
        <w:rPr>
          <w:rFonts w:ascii="MinionPro-Regular" w:hAnsi="MinionPro-Regular"/>
          <w:sz w:val="24"/>
          <w:szCs w:val="24"/>
          <w:lang w:val="es-ES_tradnl"/>
        </w:rPr>
        <w:t xml:space="preserve"> que eliminen las barreras de productividad y adaptación reales o percibidas</w:t>
      </w:r>
      <w:r w:rsidRPr="00981369">
        <w:rPr>
          <w:rFonts w:ascii="MinionPro-Regular" w:hAnsi="MinionPro-Regular"/>
          <w:sz w:val="24"/>
          <w:szCs w:val="24"/>
          <w:lang w:val="es-ES_tradnl"/>
        </w:rPr>
        <w:t>.</w:t>
      </w:r>
    </w:p>
    <w:p w:rsidR="00E2336B" w:rsidRPr="00981369" w:rsidRDefault="00E2336B" w:rsidP="004D03DD">
      <w:pPr>
        <w:pStyle w:val="Prrafodelista"/>
        <w:autoSpaceDE w:val="0"/>
        <w:autoSpaceDN w:val="0"/>
        <w:spacing w:line="360" w:lineRule="auto"/>
        <w:ind w:left="340"/>
        <w:jc w:val="both"/>
        <w:rPr>
          <w:rFonts w:ascii="MinionPro-Regular" w:hAnsi="MinionPro-Regular"/>
          <w:sz w:val="24"/>
          <w:szCs w:val="24"/>
          <w:lang w:val="es-ES_tradnl"/>
        </w:rPr>
      </w:pPr>
    </w:p>
    <w:p w:rsidR="00E2336B" w:rsidRPr="004D03DD" w:rsidRDefault="00E2336B" w:rsidP="0007541A">
      <w:pPr>
        <w:pStyle w:val="Prrafodelista"/>
        <w:numPr>
          <w:ilvl w:val="0"/>
          <w:numId w:val="8"/>
        </w:numPr>
        <w:autoSpaceDE w:val="0"/>
        <w:autoSpaceDN w:val="0"/>
        <w:spacing w:after="200" w:line="360" w:lineRule="auto"/>
        <w:jc w:val="both"/>
        <w:rPr>
          <w:rFonts w:ascii="MinionPro-Regular" w:hAnsi="MinionPro-Regular"/>
          <w:sz w:val="24"/>
          <w:szCs w:val="24"/>
          <w:lang w:val="es-ES_tradnl"/>
        </w:rPr>
      </w:pPr>
      <w:r>
        <w:rPr>
          <w:rFonts w:ascii="MinionPro-Regular" w:hAnsi="MinionPro-Regular"/>
          <w:sz w:val="24"/>
          <w:szCs w:val="24"/>
          <w:lang w:val="es-ES_tradnl"/>
        </w:rPr>
        <w:t>Las autoridades públicas deben</w:t>
      </w:r>
      <w:r w:rsidRPr="004D03DD">
        <w:rPr>
          <w:rFonts w:ascii="MinionPro-Regular" w:hAnsi="MinionPro-Regular"/>
          <w:sz w:val="24"/>
          <w:szCs w:val="24"/>
          <w:lang w:val="es-ES_tradnl"/>
        </w:rPr>
        <w:t xml:space="preserve"> ayudar a las personas con discapacidad </w:t>
      </w:r>
      <w:r>
        <w:rPr>
          <w:rFonts w:ascii="MinionPro-Regular" w:hAnsi="MinionPro-Regular"/>
          <w:sz w:val="24"/>
          <w:szCs w:val="24"/>
          <w:lang w:val="es-ES_tradnl"/>
        </w:rPr>
        <w:t xml:space="preserve">a mejorar su empleabilidad, </w:t>
      </w:r>
      <w:r w:rsidRPr="004D03DD">
        <w:rPr>
          <w:rFonts w:ascii="MinionPro-Regular" w:hAnsi="MinionPro-Regular"/>
          <w:sz w:val="24"/>
          <w:szCs w:val="24"/>
          <w:lang w:val="es-ES_tradnl"/>
        </w:rPr>
        <w:t>evaluando</w:t>
      </w:r>
      <w:r>
        <w:rPr>
          <w:rFonts w:ascii="MinionPro-Regular" w:hAnsi="MinionPro-Regular"/>
          <w:sz w:val="24"/>
          <w:szCs w:val="24"/>
          <w:lang w:val="es-ES_tradnl"/>
        </w:rPr>
        <w:t xml:space="preserve"> y mejorando</w:t>
      </w:r>
      <w:r w:rsidRPr="004D03DD">
        <w:rPr>
          <w:rFonts w:ascii="MinionPro-Regular" w:hAnsi="MinionPro-Regular"/>
          <w:sz w:val="24"/>
          <w:szCs w:val="24"/>
          <w:lang w:val="es-ES_tradnl"/>
        </w:rPr>
        <w:t xml:space="preserve"> </w:t>
      </w:r>
      <w:r>
        <w:rPr>
          <w:rFonts w:ascii="MinionPro-Regular" w:hAnsi="MinionPro-Regular"/>
          <w:sz w:val="24"/>
          <w:szCs w:val="24"/>
          <w:lang w:val="es-ES_tradnl"/>
        </w:rPr>
        <w:t>sus capacidades y su empleabilidad</w:t>
      </w:r>
      <w:r w:rsidRPr="004D03DD">
        <w:rPr>
          <w:rFonts w:ascii="MinionPro-Regular" w:hAnsi="MinionPro-Regular"/>
          <w:sz w:val="24"/>
          <w:szCs w:val="24"/>
          <w:lang w:val="es-ES_tradnl"/>
        </w:rPr>
        <w:t xml:space="preserve"> con el objeto de evitar la consolidación de incentivos perversos que pu</w:t>
      </w:r>
      <w:r>
        <w:rPr>
          <w:rFonts w:ascii="MinionPro-Regular" w:hAnsi="MinionPro-Regular"/>
          <w:sz w:val="24"/>
          <w:szCs w:val="24"/>
          <w:lang w:val="es-ES_tradnl"/>
        </w:rPr>
        <w:t>edan</w:t>
      </w:r>
      <w:r w:rsidRPr="004D03DD">
        <w:rPr>
          <w:rFonts w:ascii="MinionPro-Regular" w:hAnsi="MinionPro-Regular"/>
          <w:sz w:val="24"/>
          <w:szCs w:val="24"/>
          <w:lang w:val="es-ES_tradnl"/>
        </w:rPr>
        <w:t xml:space="preserve"> alejarlas del mercado laboral. </w:t>
      </w:r>
    </w:p>
    <w:p w:rsidR="00E2336B" w:rsidRPr="00794594" w:rsidRDefault="00E2336B" w:rsidP="0007541A">
      <w:pPr>
        <w:pStyle w:val="Ttulo2"/>
        <w:numPr>
          <w:ilvl w:val="1"/>
          <w:numId w:val="3"/>
        </w:numPr>
        <w:ind w:left="0"/>
        <w:rPr>
          <w:rFonts w:ascii="MinionPro-Regular" w:hAnsi="MinionPro-Regular"/>
          <w:lang w:val="es-ES_tradnl"/>
        </w:rPr>
      </w:pPr>
      <w:bookmarkStart w:id="41" w:name="_Toc340340546"/>
      <w:bookmarkStart w:id="42" w:name="_Toc352773549"/>
      <w:r w:rsidRPr="00794594">
        <w:rPr>
          <w:rFonts w:ascii="MinionPro-Regular" w:hAnsi="MinionPro-Regular"/>
          <w:lang w:val="es-ES_tradnl"/>
        </w:rPr>
        <w:t>Combatiendo la discriminación</w:t>
      </w:r>
      <w:bookmarkEnd w:id="41"/>
      <w:bookmarkEnd w:id="42"/>
    </w:p>
    <w:p w:rsidR="00E2336B" w:rsidRPr="004D03DD" w:rsidRDefault="00E2336B" w:rsidP="004D03DD">
      <w:pPr>
        <w:pStyle w:val="Textoindependiente"/>
        <w:rPr>
          <w:lang w:val="es-ES_tradnl"/>
        </w:rPr>
      </w:pPr>
    </w:p>
    <w:p w:rsidR="00E2336B" w:rsidRDefault="00E2336B" w:rsidP="004D03DD">
      <w:pPr>
        <w:autoSpaceDE w:val="0"/>
        <w:autoSpaceDN w:val="0"/>
        <w:spacing w:line="360" w:lineRule="auto"/>
        <w:jc w:val="both"/>
        <w:rPr>
          <w:rFonts w:ascii="MinionPro-Regular" w:hAnsi="MinionPro-Regular"/>
          <w:sz w:val="24"/>
          <w:szCs w:val="24"/>
          <w:lang w:val="es-ES_tradnl"/>
        </w:rPr>
      </w:pPr>
      <w:r w:rsidRPr="00981369">
        <w:rPr>
          <w:rFonts w:ascii="MinionPro-Regular" w:hAnsi="MinionPro-Regular"/>
          <w:sz w:val="24"/>
          <w:szCs w:val="24"/>
          <w:lang w:val="es-ES_tradnl"/>
        </w:rPr>
        <w:t xml:space="preserve">En el ámbito institucional, en primer lugar, podemos encontrar las iniciativas adoptadas para erradicar la discriminación. Entre los primeros países </w:t>
      </w:r>
      <w:r>
        <w:rPr>
          <w:rFonts w:ascii="MinionPro-Regular" w:hAnsi="MinionPro-Regular"/>
          <w:sz w:val="24"/>
          <w:szCs w:val="24"/>
          <w:lang w:val="es-ES_tradnl"/>
        </w:rPr>
        <w:t>en avanzar en esta dirección cabe</w:t>
      </w:r>
      <w:r w:rsidRPr="00981369">
        <w:rPr>
          <w:rFonts w:ascii="MinionPro-Regular" w:hAnsi="MinionPro-Regular"/>
          <w:sz w:val="24"/>
          <w:szCs w:val="24"/>
          <w:lang w:val="es-ES_tradnl"/>
        </w:rPr>
        <w:t xml:space="preserve"> destacar a Estados Unidos (1990), Canadá (1992) y el Reino Unido (1995). En España, la Ley de Integración Social de los Minusválidos (1982) sienta las bases de la discriminación positiva a través del establecimiento de cuotas en el empleo de las personas con discapacidad. La Ley</w:t>
      </w:r>
      <w:r>
        <w:rPr>
          <w:rFonts w:ascii="MinionPro-Regular" w:hAnsi="MinionPro-Regular"/>
          <w:sz w:val="24"/>
          <w:szCs w:val="24"/>
          <w:lang w:val="es-ES_tradnl"/>
        </w:rPr>
        <w:t xml:space="preserve"> 51/2003, de 2 de diciembre,</w:t>
      </w:r>
      <w:r w:rsidRPr="00981369">
        <w:rPr>
          <w:rFonts w:ascii="MinionPro-Regular" w:hAnsi="MinionPro-Regular"/>
          <w:sz w:val="24"/>
          <w:szCs w:val="24"/>
          <w:lang w:val="es-ES_tradnl"/>
        </w:rPr>
        <w:t xml:space="preserve"> de igualdad de oportunidades, no discriminación y accesibilidad universal de las personas con discapacidad consagra en nuestro ordenamiento jurídico la igualdad de oportunidades y la no discriminación de las personas con discapacidad. Otros países, como Brasil y Ghana han </w:t>
      </w:r>
      <w:r>
        <w:rPr>
          <w:rFonts w:ascii="MinionPro-Regular" w:hAnsi="MinionPro-Regular"/>
          <w:sz w:val="24"/>
          <w:szCs w:val="24"/>
          <w:lang w:val="es-ES_tradnl"/>
        </w:rPr>
        <w:t>reflejado</w:t>
      </w:r>
      <w:r w:rsidRPr="00981369">
        <w:rPr>
          <w:rFonts w:ascii="MinionPro-Regular" w:hAnsi="MinionPro-Regular"/>
          <w:sz w:val="24"/>
          <w:szCs w:val="24"/>
          <w:lang w:val="es-ES_tradnl"/>
        </w:rPr>
        <w:t xml:space="preserve"> la no discriminación de las personas con discapacidad, de manera expresa, en sus constituciones. </w:t>
      </w:r>
    </w:p>
    <w:p w:rsidR="00E2336B" w:rsidRDefault="00E2336B" w:rsidP="004D03DD">
      <w:pPr>
        <w:autoSpaceDE w:val="0"/>
        <w:autoSpaceDN w:val="0"/>
        <w:spacing w:line="360" w:lineRule="auto"/>
        <w:jc w:val="both"/>
        <w:rPr>
          <w:rFonts w:ascii="MinionPro-Regular" w:hAnsi="MinionPro-Regular"/>
          <w:sz w:val="24"/>
          <w:szCs w:val="24"/>
          <w:lang w:val="es-ES_tradnl"/>
        </w:rPr>
      </w:pPr>
    </w:p>
    <w:p w:rsidR="00E2336B" w:rsidRDefault="00E2336B" w:rsidP="004D03DD">
      <w:pPr>
        <w:autoSpaceDE w:val="0"/>
        <w:autoSpaceDN w:val="0"/>
        <w:spacing w:line="360" w:lineRule="auto"/>
        <w:jc w:val="both"/>
        <w:rPr>
          <w:rFonts w:ascii="MinionPro-Regular" w:hAnsi="MinionPro-Regular"/>
          <w:sz w:val="24"/>
          <w:szCs w:val="24"/>
          <w:lang w:val="es-ES_tradnl"/>
        </w:rPr>
      </w:pPr>
      <w:r w:rsidRPr="00981369">
        <w:rPr>
          <w:rFonts w:ascii="MinionPro-Regular" w:hAnsi="MinionPro-Regular"/>
          <w:sz w:val="24"/>
          <w:szCs w:val="24"/>
          <w:lang w:val="es-ES_tradnl"/>
        </w:rPr>
        <w:t>Cabe resaltar lo reciente, en términos históricos, de las iniciativas destinadas a combatir, desde el ámbito normativo, la discriminación de las personas con discapacidad. En 2009, por ejemplo, Suecia aprobaba su Discrimination Act. La supervisión de su cumplimiento queda en manos del defensor de la igualdad (Equality Ombudsman</w:t>
      </w:r>
      <w:r w:rsidRPr="00981369">
        <w:rPr>
          <w:rStyle w:val="Refdenotaalpie"/>
          <w:rFonts w:ascii="MinionPro-Regular" w:hAnsi="MinionPro-Regular"/>
          <w:sz w:val="24"/>
          <w:szCs w:val="24"/>
          <w:lang w:val="es-ES_tradnl"/>
        </w:rPr>
        <w:footnoteReference w:id="10"/>
      </w:r>
      <w:r w:rsidRPr="00981369">
        <w:rPr>
          <w:rFonts w:ascii="MinionPro-Regular" w:hAnsi="MinionPro-Regular"/>
          <w:sz w:val="24"/>
          <w:szCs w:val="24"/>
          <w:lang w:val="es-ES_tradnl"/>
        </w:rPr>
        <w:t>).</w:t>
      </w:r>
    </w:p>
    <w:p w:rsidR="00E2336B" w:rsidRPr="00981369" w:rsidRDefault="00E2336B" w:rsidP="004D03DD">
      <w:pPr>
        <w:autoSpaceDE w:val="0"/>
        <w:autoSpaceDN w:val="0"/>
        <w:spacing w:line="360" w:lineRule="auto"/>
        <w:jc w:val="both"/>
        <w:rPr>
          <w:rFonts w:ascii="MinionPro-Regular" w:hAnsi="MinionPro-Regular"/>
          <w:sz w:val="24"/>
          <w:szCs w:val="24"/>
          <w:lang w:val="es-ES_tradnl"/>
        </w:rPr>
      </w:pPr>
    </w:p>
    <w:p w:rsidR="00E2336B" w:rsidRDefault="00E2336B" w:rsidP="004D03DD">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En</w:t>
      </w:r>
      <w:r w:rsidRPr="00981369">
        <w:rPr>
          <w:rFonts w:ascii="MinionPro-Regular" w:hAnsi="MinionPro-Regular"/>
          <w:sz w:val="24"/>
          <w:szCs w:val="24"/>
          <w:lang w:val="es-ES_tradnl"/>
        </w:rPr>
        <w:t xml:space="preserve"> 2006 </w:t>
      </w:r>
      <w:r>
        <w:rPr>
          <w:rFonts w:ascii="MinionPro-Regular" w:hAnsi="MinionPro-Regular"/>
          <w:sz w:val="24"/>
          <w:szCs w:val="24"/>
          <w:lang w:val="es-ES_tradnl"/>
        </w:rPr>
        <w:t>vio la luz</w:t>
      </w:r>
      <w:r w:rsidRPr="00981369">
        <w:rPr>
          <w:rFonts w:ascii="MinionPro-Regular" w:hAnsi="MinionPro-Regular"/>
          <w:sz w:val="24"/>
          <w:szCs w:val="24"/>
          <w:lang w:val="es-ES_tradnl"/>
        </w:rPr>
        <w:t xml:space="preserve"> </w:t>
      </w:r>
      <w:r>
        <w:rPr>
          <w:rFonts w:ascii="MinionPro-Regular" w:hAnsi="MinionPro-Regular"/>
          <w:sz w:val="24"/>
          <w:szCs w:val="24"/>
          <w:lang w:val="es-ES_tradnl"/>
        </w:rPr>
        <w:t xml:space="preserve">la </w:t>
      </w:r>
      <w:r w:rsidRPr="00981369">
        <w:rPr>
          <w:rFonts w:ascii="MinionPro-Regular" w:hAnsi="MinionPro-Regular"/>
          <w:sz w:val="24"/>
          <w:szCs w:val="24"/>
          <w:lang w:val="es-ES_tradnl"/>
        </w:rPr>
        <w:t xml:space="preserve">Convención Internacional sobre los Derechos de las Personas con Discapacidad de la Organización de las Naciones Unidas. La convención reconoce el derecho de las personas con discapacidad a trabajar en igualdad de condiciones a las de las personas sin discapacidad. Esto incluye el derecho a ganarse la vida en un trabajo libremente elegido y en un ambiente de trabajo abierto, inclusivo y accesible. La convención prohíbe asimismo cualquier forma de discriminación en el empleo y promueve la formación, las oportunidades de autoempleo y pide que exista una adaptación de los puestos de trabajo a las personas con discapacidad, entre otros. La convención ha sido ratificada, hasta el otoño de 2012, por 154 países. Fue ratificada por España en el año 2007.  </w:t>
      </w:r>
    </w:p>
    <w:p w:rsidR="00E2336B" w:rsidRPr="00794594" w:rsidRDefault="00E2336B" w:rsidP="0007541A">
      <w:pPr>
        <w:pStyle w:val="Ttulo2"/>
        <w:numPr>
          <w:ilvl w:val="1"/>
          <w:numId w:val="3"/>
        </w:numPr>
        <w:ind w:left="0"/>
        <w:rPr>
          <w:rFonts w:ascii="MinionPro-Regular" w:hAnsi="MinionPro-Regular"/>
          <w:lang w:val="es-ES_tradnl"/>
        </w:rPr>
      </w:pPr>
      <w:bookmarkStart w:id="43" w:name="_Toc340340547"/>
      <w:bookmarkStart w:id="44" w:name="_Toc352773550"/>
      <w:r w:rsidRPr="00794594">
        <w:rPr>
          <w:rFonts w:ascii="MinionPro-Regular" w:hAnsi="MinionPro-Regular"/>
          <w:lang w:val="es-ES_tradnl"/>
        </w:rPr>
        <w:t>Eliminando las barreras de entrada</w:t>
      </w:r>
      <w:bookmarkEnd w:id="43"/>
      <w:bookmarkEnd w:id="44"/>
    </w:p>
    <w:p w:rsidR="00E2336B" w:rsidRDefault="00E2336B" w:rsidP="004D03DD">
      <w:pPr>
        <w:pStyle w:val="Textoindependiente"/>
        <w:rPr>
          <w:lang w:val="es-ES_tradnl"/>
        </w:rPr>
      </w:pPr>
    </w:p>
    <w:p w:rsidR="00E2336B" w:rsidRDefault="00E2336B" w:rsidP="004D03DD">
      <w:pPr>
        <w:autoSpaceDE w:val="0"/>
        <w:autoSpaceDN w:val="0"/>
        <w:spacing w:line="360" w:lineRule="auto"/>
        <w:jc w:val="both"/>
        <w:rPr>
          <w:rFonts w:ascii="MinionPro-Regular" w:hAnsi="MinionPro-Regular"/>
          <w:sz w:val="24"/>
          <w:szCs w:val="24"/>
          <w:lang w:val="es-ES_tradnl"/>
        </w:rPr>
      </w:pPr>
      <w:r w:rsidRPr="00981369">
        <w:rPr>
          <w:rFonts w:ascii="MinionPro-Regular" w:hAnsi="MinionPro-Regular"/>
          <w:sz w:val="24"/>
          <w:szCs w:val="24"/>
          <w:lang w:val="es-ES_tradnl"/>
        </w:rPr>
        <w:t xml:space="preserve">En segundo lugar cabría destacar las cuotas que incentivan la contratación de personas con discapacidad, estableciendo los porcentajes que estas personas deben suponer de las plantillas totales de las compañías del sector privado e, incluso, del sector público. </w:t>
      </w:r>
    </w:p>
    <w:p w:rsidR="00E2336B" w:rsidRDefault="00E2336B" w:rsidP="004D03DD">
      <w:pPr>
        <w:autoSpaceDE w:val="0"/>
        <w:autoSpaceDN w:val="0"/>
        <w:spacing w:line="360" w:lineRule="auto"/>
        <w:jc w:val="both"/>
        <w:rPr>
          <w:rFonts w:ascii="MinionPro-Regular" w:hAnsi="MinionPro-Regular"/>
          <w:sz w:val="24"/>
          <w:szCs w:val="24"/>
          <w:lang w:val="es-ES_tradnl"/>
        </w:rPr>
      </w:pPr>
    </w:p>
    <w:p w:rsidR="00E2336B" w:rsidRDefault="00F23441" w:rsidP="004D03DD">
      <w:pPr>
        <w:autoSpaceDE w:val="0"/>
        <w:autoSpaceDN w:val="0"/>
        <w:spacing w:line="360" w:lineRule="auto"/>
        <w:jc w:val="both"/>
        <w:rPr>
          <w:rFonts w:ascii="MinionPro-Regular" w:hAnsi="MinionPro-Regular"/>
          <w:sz w:val="24"/>
          <w:szCs w:val="24"/>
          <w:lang w:val="es-ES_tradnl"/>
        </w:rPr>
      </w:pPr>
      <w:r w:rsidRPr="009A79D3">
        <w:rPr>
          <w:rFonts w:ascii="MinionPro-Regular" w:hAnsi="MinionPro-Regular"/>
          <w:sz w:val="24"/>
          <w:szCs w:val="24"/>
          <w:lang w:val="es-ES_tradnl"/>
        </w:rPr>
        <w:t>E</w:t>
      </w:r>
      <w:r w:rsidR="00AF6645" w:rsidRPr="009A79D3">
        <w:rPr>
          <w:rFonts w:ascii="MinionPro-Regular" w:hAnsi="MinionPro-Regular"/>
          <w:sz w:val="24"/>
          <w:szCs w:val="24"/>
          <w:lang w:val="es-ES_tradnl"/>
        </w:rPr>
        <w:t>n el caso de España, e</w:t>
      </w:r>
      <w:r w:rsidRPr="009A79D3">
        <w:rPr>
          <w:rFonts w:ascii="MinionPro-Regular" w:hAnsi="MinionPro-Regular"/>
          <w:sz w:val="24"/>
          <w:szCs w:val="24"/>
          <w:lang w:val="es-ES_tradnl"/>
        </w:rPr>
        <w:t xml:space="preserve">ste tipo de medidas también tienen como objetivo, </w:t>
      </w:r>
      <w:r w:rsidR="00AF6645" w:rsidRPr="009A79D3">
        <w:rPr>
          <w:rFonts w:ascii="MinionPro-Regular" w:hAnsi="MinionPro-Regular"/>
          <w:sz w:val="24"/>
          <w:szCs w:val="24"/>
          <w:lang w:val="es-ES_tradnl"/>
        </w:rPr>
        <w:t>aunque a modo de alternativa excepcional,</w:t>
      </w:r>
      <w:r w:rsidRPr="009A79D3">
        <w:rPr>
          <w:rFonts w:ascii="MinionPro-Regular" w:hAnsi="MinionPro-Regular"/>
          <w:sz w:val="24"/>
          <w:szCs w:val="24"/>
          <w:lang w:val="es-ES_tradnl"/>
        </w:rPr>
        <w:t xml:space="preserve"> incentivar la contratación de bienes o servicios con </w:t>
      </w:r>
      <w:r w:rsidRPr="009A79D3">
        <w:rPr>
          <w:rFonts w:ascii="MinionPro-Regular" w:hAnsi="MinionPro-Regular"/>
          <w:sz w:val="24"/>
          <w:szCs w:val="24"/>
          <w:lang w:val="es-ES_tradnl"/>
        </w:rPr>
        <w:lastRenderedPageBreak/>
        <w:t>empresas que cuenten con un porcentaje significativo de personas con discapacidad en sus plantillas</w:t>
      </w:r>
      <w:r w:rsidR="002C4CA9" w:rsidRPr="009A79D3">
        <w:rPr>
          <w:rFonts w:ascii="MinionPro-Regular" w:hAnsi="MinionPro-Regular"/>
          <w:sz w:val="24"/>
          <w:szCs w:val="24"/>
          <w:lang w:val="es-ES_tradnl"/>
        </w:rPr>
        <w:t>.</w:t>
      </w:r>
      <w:r w:rsidR="009A79D3">
        <w:rPr>
          <w:rFonts w:ascii="MinionPro-Regular" w:hAnsi="MinionPro-Regular"/>
          <w:strike/>
          <w:color w:val="FF0000"/>
          <w:sz w:val="24"/>
          <w:szCs w:val="24"/>
          <w:lang w:val="es-ES_tradnl"/>
        </w:rPr>
        <w:t xml:space="preserve"> </w:t>
      </w:r>
      <w:r w:rsidR="00E2336B" w:rsidRPr="00981369">
        <w:rPr>
          <w:rFonts w:ascii="MinionPro-Regular" w:hAnsi="MinionPro-Regular"/>
          <w:sz w:val="24"/>
          <w:szCs w:val="24"/>
          <w:lang w:val="es-ES_tradnl"/>
        </w:rPr>
        <w:t xml:space="preserve">Los avances más recientes en este ámbito incluyen el establecimiento de medidas más rigurosas en casos de incumplimiento, la extensión de las cuotas a las compañías de menor tamaño o la ampliación de los colectivos a los que las cuotas obligatorias pueden dar cabida. </w:t>
      </w:r>
    </w:p>
    <w:p w:rsidR="00E2336B" w:rsidRDefault="00E2336B" w:rsidP="004D03DD">
      <w:pPr>
        <w:autoSpaceDE w:val="0"/>
        <w:autoSpaceDN w:val="0"/>
        <w:spacing w:line="360" w:lineRule="auto"/>
        <w:jc w:val="both"/>
        <w:rPr>
          <w:rFonts w:ascii="MinionPro-Regular" w:hAnsi="MinionPro-Regular"/>
          <w:sz w:val="24"/>
          <w:szCs w:val="24"/>
          <w:lang w:val="es-ES_tradnl"/>
        </w:rPr>
      </w:pPr>
    </w:p>
    <w:p w:rsidR="00E2336B" w:rsidRDefault="00E2336B" w:rsidP="004D03DD">
      <w:pPr>
        <w:autoSpaceDE w:val="0"/>
        <w:autoSpaceDN w:val="0"/>
        <w:spacing w:line="360" w:lineRule="auto"/>
        <w:jc w:val="both"/>
        <w:rPr>
          <w:rFonts w:ascii="MinionPro-Regular" w:hAnsi="MinionPro-Regular"/>
          <w:sz w:val="24"/>
          <w:szCs w:val="24"/>
          <w:lang w:val="es-ES_tradnl"/>
        </w:rPr>
      </w:pPr>
      <w:r w:rsidRPr="00981369">
        <w:rPr>
          <w:rFonts w:ascii="MinionPro-Regular" w:hAnsi="MinionPro-Regular"/>
          <w:sz w:val="24"/>
          <w:szCs w:val="24"/>
          <w:lang w:val="es-ES_tradnl"/>
        </w:rPr>
        <w:t>Entre los países que, además de España, han implantado cuotas aplicables tanto al sector público como al sector privado</w:t>
      </w:r>
      <w:r w:rsidRPr="00981369">
        <w:rPr>
          <w:rStyle w:val="Refdenotaalpie"/>
          <w:rFonts w:ascii="MinionPro-Regular" w:hAnsi="MinionPro-Regular"/>
          <w:sz w:val="24"/>
          <w:szCs w:val="24"/>
          <w:lang w:val="es-ES_tradnl"/>
        </w:rPr>
        <w:footnoteReference w:id="11"/>
      </w:r>
      <w:r w:rsidRPr="00981369">
        <w:rPr>
          <w:rFonts w:ascii="MinionPro-Regular" w:hAnsi="MinionPro-Regular"/>
          <w:sz w:val="24"/>
          <w:szCs w:val="24"/>
          <w:lang w:val="es-ES_tradnl"/>
        </w:rPr>
        <w:t xml:space="preserve"> se encuentran Francia, Alemania, Italia, Holanda, Portugal e Italia. La cuota alemana, por ejemplo, alcanza al 5% de los empleados en compañías de más de 20 trabajadores. En el caso de España el tamaño de las compañías a las que aplica la cuota es de 50 empleados. Teniendo en cuenta que el tamaño medio de las compañías españolas es, en términos de empleados, la mitad del de las alemanas, puede afirmarse que el potencial número de puestos de trabajo que podrían ser ocupados por personas con discapacidad en España está muy lejos del equivalente alemán. Esto es, el límite de tamaño de las compañías que establece la legislación española en lo que se refiere a las personas con discapacidad no tiene en cuenta las particularidades de la demografía empresarial española.</w:t>
      </w:r>
      <w:r>
        <w:rPr>
          <w:rFonts w:ascii="MinionPro-Regular" w:hAnsi="MinionPro-Regular"/>
          <w:sz w:val="24"/>
          <w:szCs w:val="24"/>
          <w:lang w:val="es-ES_tradnl"/>
        </w:rPr>
        <w:t xml:space="preserve"> (LISMI 13/1982, artículo 38)</w:t>
      </w:r>
      <w:r w:rsidR="002C4CA9">
        <w:rPr>
          <w:rFonts w:ascii="MinionPro-Regular" w:hAnsi="MinionPro-Regular"/>
          <w:sz w:val="24"/>
          <w:szCs w:val="24"/>
          <w:lang w:val="es-ES_tradnl"/>
        </w:rPr>
        <w:t>.</w:t>
      </w:r>
    </w:p>
    <w:p w:rsidR="00E2336B" w:rsidRPr="00981369" w:rsidRDefault="00E2336B" w:rsidP="004D03DD">
      <w:pPr>
        <w:autoSpaceDE w:val="0"/>
        <w:autoSpaceDN w:val="0"/>
        <w:spacing w:line="360" w:lineRule="auto"/>
        <w:jc w:val="both"/>
        <w:rPr>
          <w:rFonts w:ascii="MinionPro-Regular" w:hAnsi="MinionPro-Regular"/>
          <w:sz w:val="24"/>
          <w:szCs w:val="24"/>
          <w:lang w:val="es-ES_tradnl"/>
        </w:rPr>
      </w:pPr>
    </w:p>
    <w:p w:rsidR="00E2336B" w:rsidRDefault="00E2336B" w:rsidP="004D03DD">
      <w:pPr>
        <w:autoSpaceDE w:val="0"/>
        <w:autoSpaceDN w:val="0"/>
        <w:spacing w:line="360" w:lineRule="auto"/>
        <w:jc w:val="both"/>
        <w:rPr>
          <w:rFonts w:ascii="MinionPro-Regular" w:hAnsi="MinionPro-Regular"/>
          <w:sz w:val="24"/>
          <w:szCs w:val="24"/>
          <w:lang w:val="es-ES_tradnl"/>
        </w:rPr>
      </w:pPr>
      <w:r w:rsidRPr="00981369">
        <w:rPr>
          <w:rFonts w:ascii="MinionPro-Regular" w:hAnsi="MinionPro-Regular"/>
          <w:sz w:val="24"/>
          <w:szCs w:val="24"/>
          <w:lang w:val="es-ES_tradnl"/>
        </w:rPr>
        <w:t>Ni Suecia ni el Reino Unido</w:t>
      </w:r>
      <w:r>
        <w:rPr>
          <w:rStyle w:val="Refdenotaalpie"/>
          <w:rFonts w:ascii="MinionPro-Regular" w:hAnsi="MinionPro-Regular"/>
          <w:sz w:val="24"/>
          <w:szCs w:val="24"/>
          <w:lang w:val="es-ES_tradnl"/>
        </w:rPr>
        <w:footnoteReference w:id="12"/>
      </w:r>
      <w:r w:rsidRPr="00981369">
        <w:rPr>
          <w:rFonts w:ascii="MinionPro-Regular" w:hAnsi="MinionPro-Regular"/>
          <w:sz w:val="24"/>
          <w:szCs w:val="24"/>
          <w:lang w:val="es-ES_tradnl"/>
        </w:rPr>
        <w:t>, países relevantes desde el punto de vista del</w:t>
      </w:r>
      <w:r w:rsidR="00B90438">
        <w:rPr>
          <w:rFonts w:ascii="MinionPro-Regular" w:hAnsi="MinionPro-Regular"/>
          <w:sz w:val="24"/>
          <w:szCs w:val="24"/>
          <w:lang w:val="es-ES_tradnl"/>
        </w:rPr>
        <w:t xml:space="preserve"> estudio de la discapacidad, ha</w:t>
      </w:r>
      <w:r w:rsidRPr="00981369">
        <w:rPr>
          <w:rFonts w:ascii="MinionPro-Regular" w:hAnsi="MinionPro-Regular"/>
          <w:sz w:val="24"/>
          <w:szCs w:val="24"/>
          <w:lang w:val="es-ES_tradnl"/>
        </w:rPr>
        <w:t xml:space="preserve"> aplicado cuotas, ni en el sector público ni en el privado. </w:t>
      </w:r>
    </w:p>
    <w:p w:rsidR="00E2336B" w:rsidRDefault="00E2336B" w:rsidP="004D03DD">
      <w:pPr>
        <w:autoSpaceDE w:val="0"/>
        <w:autoSpaceDN w:val="0"/>
        <w:spacing w:line="360" w:lineRule="auto"/>
        <w:jc w:val="both"/>
        <w:rPr>
          <w:rFonts w:ascii="MinionPro-Regular" w:hAnsi="MinionPro-Regular"/>
          <w:sz w:val="24"/>
          <w:szCs w:val="24"/>
          <w:lang w:val="es-ES_tradnl"/>
        </w:rPr>
      </w:pPr>
    </w:p>
    <w:p w:rsidR="00E2336B" w:rsidRDefault="00E2336B">
      <w:pPr>
        <w:pBdr>
          <w:top w:val="single" w:sz="4" w:space="1" w:color="auto"/>
        </w:pBdr>
        <w:autoSpaceDE w:val="0"/>
        <w:autoSpaceDN w:val="0"/>
        <w:spacing w:line="360" w:lineRule="auto"/>
        <w:jc w:val="both"/>
        <w:rPr>
          <w:rFonts w:ascii="MinionPro-Regular" w:hAnsi="MinionPro-Regular"/>
          <w:sz w:val="24"/>
          <w:szCs w:val="24"/>
          <w:lang w:val="es-ES_tradnl"/>
        </w:rPr>
      </w:pPr>
    </w:p>
    <w:tbl>
      <w:tblPr>
        <w:tblStyle w:val="KPMGtable"/>
        <w:tblW w:w="0" w:type="auto"/>
        <w:tblLook w:val="00A0"/>
      </w:tblPr>
      <w:tblGrid>
        <w:gridCol w:w="1871"/>
        <w:gridCol w:w="3402"/>
        <w:gridCol w:w="3288"/>
      </w:tblGrid>
      <w:tr w:rsidR="00E2336B" w:rsidRPr="00CE1B4D" w:rsidTr="00420E31">
        <w:trPr>
          <w:cnfStyle w:val="100000000000"/>
        </w:trPr>
        <w:tc>
          <w:tcPr>
            <w:tcW w:w="1871" w:type="dxa"/>
          </w:tcPr>
          <w:p w:rsidR="00E2336B" w:rsidRPr="00420E31" w:rsidRDefault="00E2336B" w:rsidP="00380608">
            <w:pPr>
              <w:rPr>
                <w:lang w:val="es-ES_tradnl"/>
              </w:rPr>
            </w:pPr>
          </w:p>
        </w:tc>
        <w:tc>
          <w:tcPr>
            <w:tcW w:w="3402" w:type="dxa"/>
          </w:tcPr>
          <w:p w:rsidR="002959F0" w:rsidRPr="00B90438" w:rsidRDefault="00E2336B">
            <w:pPr>
              <w:autoSpaceDE w:val="0"/>
              <w:autoSpaceDN w:val="0"/>
              <w:spacing w:line="360" w:lineRule="auto"/>
              <w:jc w:val="center"/>
              <w:rPr>
                <w:rFonts w:ascii="MinionPro-Regular" w:hAnsi="MinionPro-Regular"/>
                <w:i/>
                <w:szCs w:val="24"/>
                <w:lang w:val="es-ES_tradnl"/>
              </w:rPr>
            </w:pPr>
            <w:r w:rsidRPr="00B90438">
              <w:rPr>
                <w:rFonts w:ascii="MinionPro-Regular" w:hAnsi="MinionPro-Regular"/>
                <w:szCs w:val="24"/>
                <w:lang w:val="es-ES_tradnl"/>
              </w:rPr>
              <w:t>Cuota de reserva de personas con discapacidad en administraciones públicas</w:t>
            </w:r>
          </w:p>
        </w:tc>
        <w:tc>
          <w:tcPr>
            <w:tcW w:w="3288" w:type="dxa"/>
          </w:tcPr>
          <w:p w:rsidR="002959F0" w:rsidRPr="00B90438" w:rsidRDefault="00E2336B">
            <w:pPr>
              <w:autoSpaceDE w:val="0"/>
              <w:autoSpaceDN w:val="0"/>
              <w:spacing w:line="360" w:lineRule="auto"/>
              <w:jc w:val="center"/>
              <w:rPr>
                <w:rFonts w:ascii="MinionPro-Regular" w:hAnsi="MinionPro-Regular"/>
                <w:i/>
                <w:szCs w:val="24"/>
                <w:lang w:val="es-ES_tradnl"/>
              </w:rPr>
            </w:pPr>
            <w:r w:rsidRPr="00B90438">
              <w:rPr>
                <w:rFonts w:ascii="MinionPro-Regular" w:hAnsi="MinionPro-Regular"/>
                <w:szCs w:val="24"/>
                <w:lang w:val="es-ES_tradnl"/>
              </w:rPr>
              <w:t>Cuota de reserva de personas con discapacidad en empresas privadas</w:t>
            </w:r>
          </w:p>
        </w:tc>
      </w:tr>
      <w:tr w:rsidR="00E2336B" w:rsidRPr="00CE1B4D" w:rsidTr="00420E31">
        <w:tc>
          <w:tcPr>
            <w:tcW w:w="1871" w:type="dxa"/>
          </w:tcPr>
          <w:p w:rsidR="00E2336B" w:rsidRPr="00B90438" w:rsidRDefault="00F23441">
            <w:pPr>
              <w:autoSpaceDE w:val="0"/>
              <w:autoSpaceDN w:val="0"/>
              <w:spacing w:line="360" w:lineRule="auto"/>
              <w:rPr>
                <w:rFonts w:ascii="MinionPro-Regular" w:hAnsi="MinionPro-Regular"/>
                <w:szCs w:val="24"/>
                <w:lang w:val="es-ES_tradnl"/>
              </w:rPr>
            </w:pPr>
            <w:r w:rsidRPr="00B90438">
              <w:rPr>
                <w:rFonts w:ascii="MinionPro-Regular" w:hAnsi="MinionPro-Regular"/>
                <w:szCs w:val="24"/>
                <w:lang w:val="es-ES_tradnl"/>
              </w:rPr>
              <w:lastRenderedPageBreak/>
              <w:t>España</w:t>
            </w:r>
          </w:p>
        </w:tc>
        <w:tc>
          <w:tcPr>
            <w:tcW w:w="3402" w:type="dxa"/>
          </w:tcPr>
          <w:p w:rsidR="00E2336B" w:rsidRPr="001642E7" w:rsidRDefault="00E2336B" w:rsidP="001642E7">
            <w:pPr>
              <w:autoSpaceDE w:val="0"/>
              <w:autoSpaceDN w:val="0"/>
              <w:spacing w:line="360" w:lineRule="auto"/>
              <w:jc w:val="center"/>
              <w:rPr>
                <w:rFonts w:ascii="MinionPro-Regular" w:hAnsi="MinionPro-Regular"/>
                <w:szCs w:val="24"/>
                <w:lang w:val="es-ES_tradnl"/>
              </w:rPr>
            </w:pPr>
            <w:r w:rsidRPr="001642E7">
              <w:rPr>
                <w:rFonts w:ascii="MinionPro-Regular" w:hAnsi="MinionPro-Regular"/>
                <w:szCs w:val="24"/>
                <w:lang w:val="es-ES_tradnl"/>
              </w:rPr>
              <w:t>7%</w:t>
            </w:r>
            <w:r w:rsidR="00F23441" w:rsidRPr="00F23441">
              <w:rPr>
                <w:rFonts w:ascii="MinionPro-Regular" w:hAnsi="MinionPro-Regular"/>
                <w:szCs w:val="24"/>
                <w:lang w:val="es-ES_tradnl"/>
              </w:rPr>
              <w:t xml:space="preserve"> </w:t>
            </w:r>
          </w:p>
        </w:tc>
        <w:tc>
          <w:tcPr>
            <w:tcW w:w="3288" w:type="dxa"/>
          </w:tcPr>
          <w:p w:rsidR="00E2336B" w:rsidRDefault="00E2336B">
            <w:pPr>
              <w:autoSpaceDE w:val="0"/>
              <w:autoSpaceDN w:val="0"/>
              <w:spacing w:line="360" w:lineRule="auto"/>
              <w:jc w:val="center"/>
              <w:rPr>
                <w:rFonts w:ascii="MinionPro-Regular" w:hAnsi="MinionPro-Regular"/>
                <w:szCs w:val="24"/>
                <w:lang w:val="es-ES_tradnl"/>
              </w:rPr>
            </w:pPr>
            <w:r w:rsidRPr="0081432A">
              <w:rPr>
                <w:rFonts w:ascii="MinionPro-Regular" w:hAnsi="MinionPro-Regular"/>
                <w:szCs w:val="24"/>
                <w:lang w:val="es-ES_tradnl"/>
              </w:rPr>
              <w:t>2% (en empresas con 50 o más empleados)</w:t>
            </w:r>
          </w:p>
        </w:tc>
      </w:tr>
      <w:tr w:rsidR="00E2336B" w:rsidRPr="00CE1B4D" w:rsidTr="00420E31">
        <w:tc>
          <w:tcPr>
            <w:tcW w:w="1871" w:type="dxa"/>
          </w:tcPr>
          <w:p w:rsidR="00E2336B" w:rsidRPr="00B90438" w:rsidRDefault="00F23441">
            <w:pPr>
              <w:autoSpaceDE w:val="0"/>
              <w:autoSpaceDN w:val="0"/>
              <w:spacing w:line="360" w:lineRule="auto"/>
              <w:rPr>
                <w:rFonts w:ascii="MinionPro-Regular" w:hAnsi="MinionPro-Regular"/>
                <w:szCs w:val="24"/>
                <w:lang w:val="es-ES_tradnl"/>
              </w:rPr>
            </w:pPr>
            <w:r w:rsidRPr="00B90438">
              <w:rPr>
                <w:rFonts w:ascii="MinionPro-Regular" w:hAnsi="MinionPro-Regular"/>
                <w:szCs w:val="24"/>
                <w:lang w:val="es-ES_tradnl"/>
              </w:rPr>
              <w:t>Alemania</w:t>
            </w:r>
          </w:p>
        </w:tc>
        <w:tc>
          <w:tcPr>
            <w:tcW w:w="3402" w:type="dxa"/>
          </w:tcPr>
          <w:p w:rsidR="00E2336B" w:rsidRDefault="00E2336B">
            <w:pPr>
              <w:autoSpaceDE w:val="0"/>
              <w:autoSpaceDN w:val="0"/>
              <w:spacing w:line="360" w:lineRule="auto"/>
              <w:jc w:val="center"/>
              <w:rPr>
                <w:rFonts w:ascii="MinionPro-Regular" w:hAnsi="MinionPro-Regular"/>
                <w:szCs w:val="24"/>
                <w:lang w:val="es-ES_tradnl"/>
              </w:rPr>
            </w:pPr>
            <w:r w:rsidRPr="0081432A">
              <w:rPr>
                <w:rFonts w:ascii="MinionPro-Regular" w:hAnsi="MinionPro-Regular"/>
                <w:szCs w:val="24"/>
                <w:lang w:val="es-ES_tradnl"/>
              </w:rPr>
              <w:t>5%</w:t>
            </w:r>
          </w:p>
        </w:tc>
        <w:tc>
          <w:tcPr>
            <w:tcW w:w="3288" w:type="dxa"/>
          </w:tcPr>
          <w:p w:rsidR="00E2336B" w:rsidRDefault="00E2336B">
            <w:pPr>
              <w:autoSpaceDE w:val="0"/>
              <w:autoSpaceDN w:val="0"/>
              <w:spacing w:line="360" w:lineRule="auto"/>
              <w:jc w:val="center"/>
              <w:rPr>
                <w:rFonts w:ascii="MinionPro-Regular" w:hAnsi="MinionPro-Regular"/>
                <w:szCs w:val="24"/>
                <w:lang w:val="es-ES_tradnl"/>
              </w:rPr>
            </w:pPr>
            <w:r w:rsidRPr="0081432A">
              <w:rPr>
                <w:rFonts w:ascii="MinionPro-Regular" w:hAnsi="MinionPro-Regular"/>
                <w:szCs w:val="24"/>
                <w:lang w:val="es-ES_tradnl"/>
              </w:rPr>
              <w:t>5%</w:t>
            </w:r>
          </w:p>
        </w:tc>
      </w:tr>
      <w:tr w:rsidR="00E2336B" w:rsidRPr="00CE1B4D" w:rsidTr="00420E31">
        <w:tc>
          <w:tcPr>
            <w:tcW w:w="1871" w:type="dxa"/>
          </w:tcPr>
          <w:p w:rsidR="00E2336B" w:rsidRPr="00B90438" w:rsidRDefault="00F23441">
            <w:pPr>
              <w:autoSpaceDE w:val="0"/>
              <w:autoSpaceDN w:val="0"/>
              <w:spacing w:line="360" w:lineRule="auto"/>
              <w:rPr>
                <w:rFonts w:ascii="MinionPro-Regular" w:hAnsi="MinionPro-Regular"/>
                <w:szCs w:val="24"/>
                <w:lang w:val="es-ES_tradnl"/>
              </w:rPr>
            </w:pPr>
            <w:r w:rsidRPr="00B90438">
              <w:rPr>
                <w:rFonts w:ascii="MinionPro-Regular" w:hAnsi="MinionPro-Regular"/>
                <w:szCs w:val="24"/>
                <w:lang w:val="es-ES_tradnl"/>
              </w:rPr>
              <w:t>Holanda</w:t>
            </w:r>
          </w:p>
        </w:tc>
        <w:tc>
          <w:tcPr>
            <w:tcW w:w="3402" w:type="dxa"/>
          </w:tcPr>
          <w:p w:rsidR="00E2336B" w:rsidRDefault="00E2336B">
            <w:pPr>
              <w:autoSpaceDE w:val="0"/>
              <w:autoSpaceDN w:val="0"/>
              <w:spacing w:line="360" w:lineRule="auto"/>
              <w:jc w:val="center"/>
              <w:rPr>
                <w:rFonts w:ascii="MinionPro-Regular" w:hAnsi="MinionPro-Regular"/>
                <w:szCs w:val="24"/>
                <w:lang w:val="es-ES_tradnl"/>
              </w:rPr>
            </w:pPr>
            <w:r w:rsidRPr="0081432A">
              <w:rPr>
                <w:rFonts w:ascii="MinionPro-Regular" w:hAnsi="MinionPro-Regular"/>
                <w:szCs w:val="24"/>
                <w:lang w:val="es-ES_tradnl"/>
              </w:rPr>
              <w:t>2-5% (no es obligatoria)</w:t>
            </w:r>
          </w:p>
        </w:tc>
        <w:tc>
          <w:tcPr>
            <w:tcW w:w="3288" w:type="dxa"/>
          </w:tcPr>
          <w:p w:rsidR="00E2336B" w:rsidRDefault="00E2336B">
            <w:pPr>
              <w:autoSpaceDE w:val="0"/>
              <w:autoSpaceDN w:val="0"/>
              <w:spacing w:line="360" w:lineRule="auto"/>
              <w:jc w:val="center"/>
              <w:rPr>
                <w:rFonts w:ascii="MinionPro-Regular" w:hAnsi="MinionPro-Regular"/>
                <w:szCs w:val="24"/>
                <w:lang w:val="es-ES_tradnl"/>
              </w:rPr>
            </w:pPr>
            <w:r w:rsidRPr="0081432A">
              <w:rPr>
                <w:rFonts w:ascii="MinionPro-Regular" w:hAnsi="MinionPro-Regular"/>
                <w:szCs w:val="24"/>
                <w:lang w:val="es-ES_tradnl"/>
              </w:rPr>
              <w:t>2-5% (no es obligatoria)</w:t>
            </w:r>
          </w:p>
        </w:tc>
      </w:tr>
      <w:tr w:rsidR="00E2336B" w:rsidRPr="00CE1B4D" w:rsidTr="00420E31">
        <w:tc>
          <w:tcPr>
            <w:tcW w:w="1871" w:type="dxa"/>
          </w:tcPr>
          <w:p w:rsidR="00E2336B" w:rsidRPr="00B90438" w:rsidRDefault="00F23441">
            <w:pPr>
              <w:autoSpaceDE w:val="0"/>
              <w:autoSpaceDN w:val="0"/>
              <w:spacing w:line="360" w:lineRule="auto"/>
              <w:rPr>
                <w:rFonts w:ascii="MinionPro-Regular" w:hAnsi="MinionPro-Regular"/>
                <w:szCs w:val="24"/>
                <w:lang w:val="es-ES_tradnl"/>
              </w:rPr>
            </w:pPr>
            <w:r w:rsidRPr="00B90438">
              <w:rPr>
                <w:rFonts w:ascii="MinionPro-Regular" w:hAnsi="MinionPro-Regular"/>
                <w:szCs w:val="24"/>
                <w:lang w:val="es-ES_tradnl"/>
              </w:rPr>
              <w:t>Italia</w:t>
            </w:r>
          </w:p>
        </w:tc>
        <w:tc>
          <w:tcPr>
            <w:tcW w:w="3402" w:type="dxa"/>
          </w:tcPr>
          <w:p w:rsidR="00E2336B" w:rsidRDefault="00E2336B">
            <w:pPr>
              <w:autoSpaceDE w:val="0"/>
              <w:autoSpaceDN w:val="0"/>
              <w:spacing w:line="360" w:lineRule="auto"/>
              <w:jc w:val="center"/>
              <w:rPr>
                <w:rFonts w:ascii="MinionPro-Regular" w:hAnsi="MinionPro-Regular"/>
                <w:szCs w:val="24"/>
                <w:lang w:val="es-ES_tradnl"/>
              </w:rPr>
            </w:pPr>
            <w:r w:rsidRPr="0081432A">
              <w:rPr>
                <w:rFonts w:ascii="MinionPro-Regular" w:hAnsi="MinionPro-Regular"/>
                <w:szCs w:val="24"/>
                <w:lang w:val="es-ES_tradnl"/>
              </w:rPr>
              <w:t>-</w:t>
            </w:r>
          </w:p>
        </w:tc>
        <w:tc>
          <w:tcPr>
            <w:tcW w:w="3288" w:type="dxa"/>
          </w:tcPr>
          <w:p w:rsidR="00E2336B" w:rsidRDefault="00E2336B">
            <w:pPr>
              <w:autoSpaceDE w:val="0"/>
              <w:autoSpaceDN w:val="0"/>
              <w:spacing w:line="360" w:lineRule="auto"/>
              <w:jc w:val="center"/>
              <w:rPr>
                <w:rFonts w:ascii="MinionPro-Regular" w:hAnsi="MinionPro-Regular"/>
                <w:szCs w:val="24"/>
                <w:lang w:val="es-ES_tradnl"/>
              </w:rPr>
            </w:pPr>
            <w:r w:rsidRPr="0081432A">
              <w:rPr>
                <w:rFonts w:ascii="MinionPro-Regular" w:hAnsi="MinionPro-Regular"/>
                <w:szCs w:val="24"/>
                <w:lang w:val="es-ES_tradnl"/>
              </w:rPr>
              <w:t>7% (en empresas con 50 o más empleados)</w:t>
            </w:r>
          </w:p>
        </w:tc>
      </w:tr>
      <w:tr w:rsidR="00E2336B" w:rsidRPr="00CE1B4D" w:rsidTr="00420E31">
        <w:tc>
          <w:tcPr>
            <w:tcW w:w="1871" w:type="dxa"/>
          </w:tcPr>
          <w:p w:rsidR="00E2336B" w:rsidRPr="00B90438" w:rsidRDefault="00F23441">
            <w:pPr>
              <w:autoSpaceDE w:val="0"/>
              <w:autoSpaceDN w:val="0"/>
              <w:spacing w:line="360" w:lineRule="auto"/>
              <w:rPr>
                <w:rFonts w:ascii="MinionPro-Regular" w:hAnsi="MinionPro-Regular"/>
                <w:szCs w:val="24"/>
                <w:lang w:val="es-ES_tradnl"/>
              </w:rPr>
            </w:pPr>
            <w:r w:rsidRPr="00B90438">
              <w:rPr>
                <w:rFonts w:ascii="MinionPro-Regular" w:hAnsi="MinionPro-Regular"/>
                <w:szCs w:val="24"/>
                <w:lang w:val="es-ES_tradnl"/>
              </w:rPr>
              <w:t>Francia</w:t>
            </w:r>
          </w:p>
        </w:tc>
        <w:tc>
          <w:tcPr>
            <w:tcW w:w="3402" w:type="dxa"/>
          </w:tcPr>
          <w:p w:rsidR="00E2336B" w:rsidRDefault="00E2336B">
            <w:pPr>
              <w:autoSpaceDE w:val="0"/>
              <w:autoSpaceDN w:val="0"/>
              <w:spacing w:line="360" w:lineRule="auto"/>
              <w:jc w:val="center"/>
              <w:rPr>
                <w:rFonts w:ascii="MinionPro-Regular" w:hAnsi="MinionPro-Regular"/>
                <w:szCs w:val="24"/>
                <w:lang w:val="es-ES_tradnl"/>
              </w:rPr>
            </w:pPr>
            <w:r w:rsidRPr="0081432A">
              <w:rPr>
                <w:rFonts w:ascii="MinionPro-Regular" w:hAnsi="MinionPro-Regular"/>
                <w:szCs w:val="24"/>
                <w:lang w:val="es-ES_tradnl"/>
              </w:rPr>
              <w:t>-</w:t>
            </w:r>
          </w:p>
        </w:tc>
        <w:tc>
          <w:tcPr>
            <w:tcW w:w="3288" w:type="dxa"/>
          </w:tcPr>
          <w:p w:rsidR="00E2336B" w:rsidRDefault="00E2336B">
            <w:pPr>
              <w:tabs>
                <w:tab w:val="right" w:pos="8505"/>
              </w:tabs>
              <w:autoSpaceDE w:val="0"/>
              <w:autoSpaceDN w:val="0"/>
              <w:spacing w:line="360" w:lineRule="auto"/>
              <w:ind w:left="850" w:right="567" w:hanging="850"/>
              <w:jc w:val="center"/>
              <w:rPr>
                <w:rFonts w:ascii="MinionPro-Regular" w:hAnsi="MinionPro-Regular"/>
                <w:szCs w:val="24"/>
                <w:lang w:val="es-ES_tradnl"/>
              </w:rPr>
            </w:pPr>
            <w:r w:rsidRPr="0081432A">
              <w:rPr>
                <w:rFonts w:ascii="MinionPro-Regular" w:hAnsi="MinionPro-Regular"/>
                <w:szCs w:val="24"/>
                <w:lang w:val="es-ES_tradnl"/>
              </w:rPr>
              <w:t>6% (en empresas con 20 o más empleados)</w:t>
            </w:r>
          </w:p>
        </w:tc>
      </w:tr>
      <w:tr w:rsidR="00E2336B" w:rsidRPr="00CE1B4D" w:rsidTr="00420E31">
        <w:tc>
          <w:tcPr>
            <w:tcW w:w="1871" w:type="dxa"/>
          </w:tcPr>
          <w:p w:rsidR="00E2336B" w:rsidRPr="00B90438" w:rsidRDefault="00F23441">
            <w:pPr>
              <w:autoSpaceDE w:val="0"/>
              <w:autoSpaceDN w:val="0"/>
              <w:spacing w:line="360" w:lineRule="auto"/>
              <w:rPr>
                <w:rFonts w:ascii="MinionPro-Regular" w:hAnsi="MinionPro-Regular"/>
                <w:szCs w:val="24"/>
                <w:lang w:val="es-ES_tradnl"/>
              </w:rPr>
            </w:pPr>
            <w:r w:rsidRPr="00B90438">
              <w:rPr>
                <w:rFonts w:ascii="MinionPro-Regular" w:hAnsi="MinionPro-Regular"/>
                <w:szCs w:val="24"/>
                <w:lang w:val="es-ES_tradnl"/>
              </w:rPr>
              <w:t>Austria</w:t>
            </w:r>
          </w:p>
        </w:tc>
        <w:tc>
          <w:tcPr>
            <w:tcW w:w="3402" w:type="dxa"/>
          </w:tcPr>
          <w:p w:rsidR="00E2336B" w:rsidRDefault="00E2336B">
            <w:pPr>
              <w:autoSpaceDE w:val="0"/>
              <w:autoSpaceDN w:val="0"/>
              <w:spacing w:line="360" w:lineRule="auto"/>
              <w:jc w:val="center"/>
              <w:rPr>
                <w:rFonts w:ascii="MinionPro-Regular" w:hAnsi="MinionPro-Regular"/>
                <w:szCs w:val="24"/>
                <w:lang w:val="es-ES_tradnl"/>
              </w:rPr>
            </w:pPr>
            <w:r w:rsidRPr="0081432A">
              <w:rPr>
                <w:rFonts w:ascii="MinionPro-Regular" w:hAnsi="MinionPro-Regular"/>
                <w:szCs w:val="24"/>
                <w:lang w:val="es-ES_tradnl"/>
              </w:rPr>
              <w:t>4%</w:t>
            </w:r>
          </w:p>
        </w:tc>
        <w:tc>
          <w:tcPr>
            <w:tcW w:w="3288" w:type="dxa"/>
          </w:tcPr>
          <w:p w:rsidR="00E2336B" w:rsidRDefault="00E2336B">
            <w:pPr>
              <w:autoSpaceDE w:val="0"/>
              <w:autoSpaceDN w:val="0"/>
              <w:spacing w:line="360" w:lineRule="auto"/>
              <w:jc w:val="center"/>
              <w:rPr>
                <w:rFonts w:ascii="MinionPro-Regular" w:hAnsi="MinionPro-Regular"/>
                <w:szCs w:val="24"/>
                <w:lang w:val="es-ES_tradnl"/>
              </w:rPr>
            </w:pPr>
            <w:r w:rsidRPr="0081432A">
              <w:rPr>
                <w:rFonts w:ascii="MinionPro-Regular" w:hAnsi="MinionPro-Regular"/>
                <w:szCs w:val="24"/>
                <w:lang w:val="es-ES_tradnl"/>
              </w:rPr>
              <w:t>4%</w:t>
            </w:r>
          </w:p>
        </w:tc>
      </w:tr>
      <w:tr w:rsidR="00E2336B" w:rsidRPr="00CE1B4D" w:rsidTr="00420E31">
        <w:tc>
          <w:tcPr>
            <w:tcW w:w="1871" w:type="dxa"/>
          </w:tcPr>
          <w:p w:rsidR="00E2336B" w:rsidRPr="00B90438" w:rsidRDefault="00F23441">
            <w:pPr>
              <w:autoSpaceDE w:val="0"/>
              <w:autoSpaceDN w:val="0"/>
              <w:spacing w:line="360" w:lineRule="auto"/>
              <w:rPr>
                <w:rFonts w:ascii="MinionPro-Regular" w:hAnsi="MinionPro-Regular"/>
                <w:szCs w:val="24"/>
                <w:lang w:val="es-ES_tradnl"/>
              </w:rPr>
            </w:pPr>
            <w:r w:rsidRPr="00B90438">
              <w:rPr>
                <w:rFonts w:ascii="MinionPro-Regular" w:hAnsi="MinionPro-Regular"/>
                <w:szCs w:val="24"/>
                <w:lang w:val="es-ES_tradnl"/>
              </w:rPr>
              <w:t>Polonia</w:t>
            </w:r>
          </w:p>
        </w:tc>
        <w:tc>
          <w:tcPr>
            <w:tcW w:w="3402" w:type="dxa"/>
          </w:tcPr>
          <w:p w:rsidR="00E2336B" w:rsidRDefault="00E2336B">
            <w:pPr>
              <w:autoSpaceDE w:val="0"/>
              <w:autoSpaceDN w:val="0"/>
              <w:spacing w:line="360" w:lineRule="auto"/>
              <w:jc w:val="center"/>
              <w:rPr>
                <w:rFonts w:ascii="MinionPro-Regular" w:hAnsi="MinionPro-Regular"/>
                <w:szCs w:val="24"/>
                <w:lang w:val="es-ES_tradnl"/>
              </w:rPr>
            </w:pPr>
            <w:r w:rsidRPr="0081432A">
              <w:rPr>
                <w:rFonts w:ascii="MinionPro-Regular" w:hAnsi="MinionPro-Regular"/>
                <w:szCs w:val="24"/>
                <w:lang w:val="es-ES_tradnl"/>
              </w:rPr>
              <w:t>2%</w:t>
            </w:r>
          </w:p>
        </w:tc>
        <w:tc>
          <w:tcPr>
            <w:tcW w:w="3288" w:type="dxa"/>
          </w:tcPr>
          <w:p w:rsidR="00E2336B" w:rsidRDefault="00E2336B">
            <w:pPr>
              <w:autoSpaceDE w:val="0"/>
              <w:autoSpaceDN w:val="0"/>
              <w:spacing w:line="360" w:lineRule="auto"/>
              <w:jc w:val="center"/>
              <w:rPr>
                <w:rFonts w:ascii="MinionPro-Regular" w:hAnsi="MinionPro-Regular"/>
                <w:szCs w:val="24"/>
                <w:lang w:val="es-ES_tradnl"/>
              </w:rPr>
            </w:pPr>
            <w:r w:rsidRPr="0081432A">
              <w:rPr>
                <w:rFonts w:ascii="MinionPro-Regular" w:hAnsi="MinionPro-Regular"/>
                <w:szCs w:val="24"/>
                <w:lang w:val="es-ES_tradnl"/>
              </w:rPr>
              <w:t>6% (empresas con más de 25 empleados)</w:t>
            </w:r>
          </w:p>
        </w:tc>
      </w:tr>
    </w:tbl>
    <w:p w:rsidR="00E2336B" w:rsidRDefault="00E2336B" w:rsidP="00D1115C">
      <w:pPr>
        <w:autoSpaceDE w:val="0"/>
        <w:autoSpaceDN w:val="0"/>
        <w:spacing w:line="360" w:lineRule="auto"/>
        <w:rPr>
          <w:rFonts w:ascii="MinionPro-Regular" w:hAnsi="MinionPro-Regular"/>
          <w:i/>
          <w:sz w:val="16"/>
          <w:szCs w:val="24"/>
          <w:lang w:val="es-ES_tradnl"/>
        </w:rPr>
      </w:pPr>
    </w:p>
    <w:p w:rsidR="00E2336B" w:rsidRDefault="00E2336B">
      <w:pPr>
        <w:pBdr>
          <w:bottom w:val="single" w:sz="4" w:space="1" w:color="auto"/>
        </w:pBdr>
        <w:autoSpaceDE w:val="0"/>
        <w:autoSpaceDN w:val="0"/>
        <w:spacing w:line="360" w:lineRule="auto"/>
        <w:rPr>
          <w:rFonts w:ascii="MinionPro-Regular" w:hAnsi="MinionPro-Regular"/>
          <w:sz w:val="20"/>
          <w:szCs w:val="24"/>
          <w:lang w:val="es-ES_tradnl"/>
        </w:rPr>
      </w:pPr>
      <w:r w:rsidRPr="0081432A">
        <w:rPr>
          <w:rFonts w:ascii="MinionPro-Regular" w:hAnsi="MinionPro-Regular"/>
          <w:sz w:val="20"/>
          <w:szCs w:val="24"/>
          <w:lang w:val="es-ES_tradnl"/>
        </w:rPr>
        <w:t>Fuente: National Disability Authority, Irlanda</w:t>
      </w:r>
    </w:p>
    <w:p w:rsidR="00E2336B" w:rsidRPr="00B82741" w:rsidRDefault="00E2336B" w:rsidP="00D1115C">
      <w:pPr>
        <w:autoSpaceDE w:val="0"/>
        <w:autoSpaceDN w:val="0"/>
        <w:spacing w:line="360" w:lineRule="auto"/>
        <w:jc w:val="both"/>
        <w:rPr>
          <w:rFonts w:ascii="MinionPro-Regular" w:hAnsi="MinionPro-Regular"/>
          <w:sz w:val="24"/>
          <w:szCs w:val="24"/>
          <w:lang w:val="es-ES_tradnl"/>
        </w:rPr>
      </w:pPr>
    </w:p>
    <w:p w:rsidR="00E2336B" w:rsidRDefault="00E2336B" w:rsidP="004D03DD">
      <w:pPr>
        <w:autoSpaceDE w:val="0"/>
        <w:autoSpaceDN w:val="0"/>
        <w:spacing w:line="360" w:lineRule="auto"/>
        <w:jc w:val="both"/>
        <w:rPr>
          <w:rFonts w:ascii="MinionPro-Regular" w:hAnsi="MinionPro-Regular"/>
          <w:sz w:val="24"/>
          <w:szCs w:val="24"/>
          <w:lang w:val="es-ES_tradnl"/>
        </w:rPr>
      </w:pPr>
      <w:r w:rsidRPr="008B461D">
        <w:rPr>
          <w:rFonts w:ascii="MinionPro-Regular" w:hAnsi="MinionPro-Regular"/>
          <w:sz w:val="24"/>
          <w:szCs w:val="24"/>
          <w:lang w:val="es-ES_tradnl"/>
        </w:rPr>
        <w:t xml:space="preserve">Las medidas antidiscriminación y las cuotas establecen obligaciones universales a los empleadores, aunque no </w:t>
      </w:r>
      <w:r>
        <w:rPr>
          <w:rFonts w:ascii="MinionPro-Regular" w:hAnsi="MinionPro-Regular"/>
          <w:sz w:val="24"/>
          <w:szCs w:val="24"/>
          <w:lang w:val="es-ES_tradnl"/>
        </w:rPr>
        <w:t>siempre adecuadamente implementadas</w:t>
      </w:r>
      <w:r w:rsidRPr="008B461D">
        <w:rPr>
          <w:rFonts w:ascii="MinionPro-Regular" w:hAnsi="MinionPro-Regular"/>
          <w:sz w:val="24"/>
          <w:szCs w:val="24"/>
          <w:lang w:val="es-ES_tradnl"/>
        </w:rPr>
        <w:t>. En este sentido cabe destacar que aunque los resultados son mejores en el ámbito público que en el privado, los objetivos establecidos</w:t>
      </w:r>
      <w:r w:rsidRPr="00981369">
        <w:rPr>
          <w:rFonts w:ascii="MinionPro-Regular" w:hAnsi="MinionPro-Regular"/>
          <w:sz w:val="24"/>
          <w:szCs w:val="24"/>
          <w:lang w:val="es-ES_tradnl"/>
        </w:rPr>
        <w:t xml:space="preserve"> en la LISMI continúan sin cu</w:t>
      </w:r>
      <w:r>
        <w:rPr>
          <w:rFonts w:ascii="MinionPro-Regular" w:hAnsi="MinionPro-Regular"/>
          <w:sz w:val="24"/>
          <w:szCs w:val="24"/>
          <w:lang w:val="es-ES_tradnl"/>
        </w:rPr>
        <w:t>mplirse en España décadas después de ser fijados.</w:t>
      </w:r>
    </w:p>
    <w:p w:rsidR="00E2336B" w:rsidRDefault="00E2336B" w:rsidP="004D03DD">
      <w:pPr>
        <w:autoSpaceDE w:val="0"/>
        <w:autoSpaceDN w:val="0"/>
        <w:spacing w:line="360" w:lineRule="auto"/>
        <w:jc w:val="both"/>
        <w:rPr>
          <w:rFonts w:ascii="MinionPro-Regular" w:hAnsi="MinionPro-Regular"/>
          <w:sz w:val="24"/>
          <w:szCs w:val="24"/>
          <w:lang w:val="es-ES_tradnl"/>
        </w:rPr>
      </w:pPr>
    </w:p>
    <w:p w:rsidR="00E2336B" w:rsidRPr="005B4A90" w:rsidRDefault="00E2336B" w:rsidP="00F01761">
      <w:pPr>
        <w:autoSpaceDE w:val="0"/>
        <w:autoSpaceDN w:val="0"/>
        <w:spacing w:line="360" w:lineRule="auto"/>
        <w:jc w:val="both"/>
        <w:rPr>
          <w:rFonts w:ascii="MinionPro-Regular" w:hAnsi="MinionPro-Regular"/>
          <w:color w:val="000000"/>
          <w:sz w:val="24"/>
          <w:szCs w:val="24"/>
        </w:rPr>
      </w:pPr>
      <w:r w:rsidRPr="005B4A90">
        <w:rPr>
          <w:rFonts w:ascii="MinionPro-Regular" w:hAnsi="MinionPro-Regular"/>
          <w:sz w:val="24"/>
          <w:szCs w:val="24"/>
          <w:lang w:val="es-ES_tradnl"/>
        </w:rPr>
        <w:t xml:space="preserve">Es por ello que el gobierno español se vio en la necesidad de establecer una serie de medidas alternativas a través del Real Decreto 27/2000 y la Orden de 24 de julio en la que se regula el procedimiento administrativo de aplicación. </w:t>
      </w:r>
      <w:r w:rsidRPr="005B4A90">
        <w:rPr>
          <w:rFonts w:ascii="MinionPro-Regular" w:hAnsi="MinionPro-Regular"/>
          <w:color w:val="000000"/>
          <w:sz w:val="24"/>
          <w:szCs w:val="24"/>
        </w:rPr>
        <w:t>Estas disposiciones fueron derogadas por el Real Decreto 364/2005, de 8 de abril, que contiene una nueva regulación del cumplimiento alternativo con carácter excepcional de la cuota de reserva en favor de los trabajadores con discapacidad.</w:t>
      </w:r>
    </w:p>
    <w:p w:rsidR="00E2336B" w:rsidRPr="005B4A90" w:rsidRDefault="00E2336B" w:rsidP="00F01761">
      <w:pPr>
        <w:autoSpaceDE w:val="0"/>
        <w:autoSpaceDN w:val="0"/>
        <w:spacing w:line="360" w:lineRule="auto"/>
        <w:jc w:val="both"/>
        <w:rPr>
          <w:rFonts w:ascii="MinionPro-Regular" w:hAnsi="MinionPro-Regular"/>
          <w:color w:val="000000"/>
          <w:sz w:val="24"/>
          <w:szCs w:val="24"/>
        </w:rPr>
      </w:pPr>
    </w:p>
    <w:p w:rsidR="00E2336B" w:rsidRPr="005B4A90" w:rsidRDefault="00E2336B" w:rsidP="00F01761">
      <w:pPr>
        <w:autoSpaceDE w:val="0"/>
        <w:autoSpaceDN w:val="0"/>
        <w:spacing w:line="360" w:lineRule="auto"/>
        <w:jc w:val="both"/>
        <w:rPr>
          <w:rFonts w:ascii="MinionPro-Regular" w:hAnsi="MinionPro-Regular"/>
          <w:color w:val="000000"/>
          <w:sz w:val="24"/>
          <w:szCs w:val="24"/>
        </w:rPr>
      </w:pPr>
      <w:r w:rsidRPr="005B4A90">
        <w:rPr>
          <w:rFonts w:ascii="MinionPro-Regular" w:hAnsi="MinionPro-Regular"/>
          <w:color w:val="000000"/>
          <w:sz w:val="24"/>
          <w:szCs w:val="24"/>
        </w:rPr>
        <w:t>Las medidas alternativas que las empresas podrán aplicar para cumplir la obligación de reserva de empleo en favor de las personas con discapacidad son las siguientes:</w:t>
      </w:r>
    </w:p>
    <w:p w:rsidR="00E2336B" w:rsidRPr="005B4A90" w:rsidRDefault="00E2336B" w:rsidP="00F01761">
      <w:pPr>
        <w:autoSpaceDE w:val="0"/>
        <w:autoSpaceDN w:val="0"/>
        <w:spacing w:line="360" w:lineRule="auto"/>
        <w:jc w:val="both"/>
        <w:rPr>
          <w:rFonts w:ascii="MinionPro-Regular" w:hAnsi="MinionPro-Regular"/>
          <w:color w:val="000000"/>
          <w:sz w:val="24"/>
          <w:szCs w:val="24"/>
        </w:rPr>
      </w:pPr>
    </w:p>
    <w:p w:rsidR="00E2336B" w:rsidRPr="005B4A90" w:rsidRDefault="00E2336B" w:rsidP="00F01761">
      <w:pPr>
        <w:autoSpaceDE w:val="0"/>
        <w:autoSpaceDN w:val="0"/>
        <w:spacing w:line="360" w:lineRule="auto"/>
        <w:jc w:val="both"/>
        <w:rPr>
          <w:rFonts w:ascii="MinionPro-Regular" w:hAnsi="MinionPro-Regular"/>
          <w:color w:val="000000"/>
          <w:sz w:val="24"/>
          <w:szCs w:val="24"/>
        </w:rPr>
      </w:pPr>
      <w:r w:rsidRPr="005B4A90">
        <w:rPr>
          <w:rFonts w:ascii="MinionPro-Regular" w:hAnsi="MinionPro-Regular"/>
          <w:color w:val="000000"/>
          <w:sz w:val="24"/>
          <w:szCs w:val="24"/>
        </w:rPr>
        <w:lastRenderedPageBreak/>
        <w:t xml:space="preserve">a) La celebración de un contrato mercantil o civil con un centro especial de empleo, o con un trabajador autónomo con discapacidad, para el suministro de materias primas, maquinaria, bienes de equipo o cualquier otro tipo de bienes necesarios para el normal desarrollo de la actividad de la empresa que opta por esta medida. </w:t>
      </w:r>
    </w:p>
    <w:p w:rsidR="00E2336B" w:rsidRPr="005B4A90" w:rsidRDefault="00E2336B" w:rsidP="00F01761">
      <w:pPr>
        <w:autoSpaceDE w:val="0"/>
        <w:autoSpaceDN w:val="0"/>
        <w:spacing w:line="360" w:lineRule="auto"/>
        <w:jc w:val="both"/>
        <w:rPr>
          <w:rFonts w:ascii="MinionPro-Regular" w:hAnsi="MinionPro-Regular"/>
          <w:color w:val="000000"/>
          <w:sz w:val="24"/>
          <w:szCs w:val="24"/>
        </w:rPr>
      </w:pPr>
    </w:p>
    <w:p w:rsidR="00E2336B" w:rsidRPr="005B4A90" w:rsidRDefault="00E2336B" w:rsidP="00F01761">
      <w:pPr>
        <w:autoSpaceDE w:val="0"/>
        <w:autoSpaceDN w:val="0"/>
        <w:spacing w:line="360" w:lineRule="auto"/>
        <w:jc w:val="both"/>
        <w:rPr>
          <w:rFonts w:ascii="MinionPro-Regular" w:hAnsi="MinionPro-Regular"/>
          <w:color w:val="000000"/>
          <w:sz w:val="24"/>
          <w:szCs w:val="24"/>
        </w:rPr>
      </w:pPr>
      <w:r w:rsidRPr="005B4A90">
        <w:rPr>
          <w:rFonts w:ascii="MinionPro-Regular" w:hAnsi="MinionPro-Regular"/>
          <w:color w:val="000000"/>
          <w:sz w:val="24"/>
          <w:szCs w:val="24"/>
        </w:rPr>
        <w:t xml:space="preserve">b) La celebración de un contrato mercantil o civil con un centro especial de empleo, o con un trabajador autónomo con discapacidad, para la prestación de servicios ajenos y accesorios a la actividad normal de la empresa. </w:t>
      </w:r>
    </w:p>
    <w:p w:rsidR="00E2336B" w:rsidRPr="005B4A90" w:rsidRDefault="00E2336B" w:rsidP="00F01761">
      <w:pPr>
        <w:autoSpaceDE w:val="0"/>
        <w:autoSpaceDN w:val="0"/>
        <w:spacing w:line="360" w:lineRule="auto"/>
        <w:jc w:val="both"/>
        <w:rPr>
          <w:rFonts w:ascii="MinionPro-Regular" w:hAnsi="MinionPro-Regular"/>
          <w:color w:val="000000"/>
          <w:sz w:val="24"/>
          <w:szCs w:val="24"/>
        </w:rPr>
      </w:pPr>
    </w:p>
    <w:p w:rsidR="00E2336B" w:rsidRDefault="00E2336B" w:rsidP="00F01761">
      <w:pPr>
        <w:autoSpaceDE w:val="0"/>
        <w:autoSpaceDN w:val="0"/>
        <w:spacing w:line="360" w:lineRule="auto"/>
        <w:jc w:val="both"/>
        <w:rPr>
          <w:rFonts w:ascii="MinionPro-Regular" w:hAnsi="MinionPro-Regular"/>
          <w:color w:val="000000"/>
          <w:sz w:val="24"/>
          <w:szCs w:val="24"/>
        </w:rPr>
      </w:pPr>
      <w:r w:rsidRPr="005B4A90">
        <w:rPr>
          <w:rFonts w:ascii="MinionPro-Regular" w:hAnsi="MinionPro-Regular"/>
          <w:color w:val="000000"/>
          <w:sz w:val="24"/>
          <w:szCs w:val="24"/>
        </w:rPr>
        <w:t>c) Realización de donaciones y de acciones de patrocinio, siempre de carácter monetario, para el desarrollo de actividades de inserción laboral y de creación de empleo de personas con discapacidad</w:t>
      </w:r>
      <w:r>
        <w:rPr>
          <w:rFonts w:ascii="MinionPro-Regular" w:hAnsi="MinionPro-Regular"/>
          <w:color w:val="000000"/>
          <w:sz w:val="24"/>
          <w:szCs w:val="24"/>
        </w:rPr>
        <w:t>. L</w:t>
      </w:r>
      <w:r w:rsidRPr="005B4A90">
        <w:rPr>
          <w:rFonts w:ascii="MinionPro-Regular" w:hAnsi="MinionPro-Regular"/>
          <w:color w:val="000000"/>
          <w:sz w:val="24"/>
          <w:szCs w:val="24"/>
        </w:rPr>
        <w:t>a entidad beneficiaria de dichas acciones de</w:t>
      </w:r>
      <w:r>
        <w:rPr>
          <w:rFonts w:ascii="MinionPro-Regular" w:hAnsi="MinionPro-Regular"/>
          <w:color w:val="000000"/>
          <w:sz w:val="24"/>
          <w:szCs w:val="24"/>
        </w:rPr>
        <w:t>be</w:t>
      </w:r>
      <w:r w:rsidRPr="005B4A90">
        <w:rPr>
          <w:rFonts w:ascii="MinionPro-Regular" w:hAnsi="MinionPro-Regular"/>
          <w:color w:val="000000"/>
          <w:sz w:val="24"/>
          <w:szCs w:val="24"/>
        </w:rPr>
        <w:t xml:space="preserve"> </w:t>
      </w:r>
      <w:r>
        <w:rPr>
          <w:rFonts w:ascii="MinionPro-Regular" w:hAnsi="MinionPro-Regular"/>
          <w:color w:val="000000"/>
          <w:sz w:val="24"/>
          <w:szCs w:val="24"/>
        </w:rPr>
        <w:t>ser</w:t>
      </w:r>
      <w:r w:rsidRPr="005B4A90">
        <w:rPr>
          <w:rFonts w:ascii="MinionPro-Regular" w:hAnsi="MinionPro-Regular"/>
          <w:color w:val="000000"/>
          <w:sz w:val="24"/>
          <w:szCs w:val="24"/>
        </w:rPr>
        <w:t xml:space="preserve"> una fundación o una asociación de utilidad pública cuyo objeto social sea, entre otros, la formación profesional, la inserción laboral o la creación de empleo en favor de las personas con discapacidad.</w:t>
      </w:r>
    </w:p>
    <w:p w:rsidR="00E2336B" w:rsidRDefault="00E2336B" w:rsidP="00F01761">
      <w:pPr>
        <w:autoSpaceDE w:val="0"/>
        <w:autoSpaceDN w:val="0"/>
        <w:spacing w:line="360" w:lineRule="auto"/>
        <w:jc w:val="both"/>
        <w:rPr>
          <w:rFonts w:ascii="MinionPro-Regular" w:hAnsi="MinionPro-Regular"/>
          <w:color w:val="000000"/>
          <w:sz w:val="24"/>
          <w:szCs w:val="24"/>
        </w:rPr>
      </w:pPr>
    </w:p>
    <w:p w:rsidR="00E2336B" w:rsidRDefault="00E2336B" w:rsidP="004D03DD">
      <w:pPr>
        <w:autoSpaceDE w:val="0"/>
        <w:autoSpaceDN w:val="0"/>
        <w:spacing w:line="360" w:lineRule="auto"/>
        <w:jc w:val="both"/>
        <w:rPr>
          <w:rFonts w:ascii="MinionPro-Regular" w:hAnsi="MinionPro-Regular"/>
          <w:color w:val="000000"/>
          <w:sz w:val="24"/>
          <w:szCs w:val="24"/>
        </w:rPr>
      </w:pPr>
      <w:r w:rsidRPr="005B4A90">
        <w:rPr>
          <w:rFonts w:ascii="MinionPro-Regular" w:hAnsi="MinionPro-Regular"/>
          <w:color w:val="000000"/>
          <w:sz w:val="24"/>
          <w:szCs w:val="24"/>
        </w:rPr>
        <w:t xml:space="preserve">d) La constitución de un enclave laboral, previa suscripción del correspondiente contrato con un centro especial de empleo, de acuerdo con lo establecido en el </w:t>
      </w:r>
      <w:hyperlink r:id="rId44" w:tooltip="enlace" w:history="1">
        <w:r w:rsidRPr="005B4A90">
          <w:rPr>
            <w:rFonts w:ascii="MinionPro-Regular" w:hAnsi="MinionPro-Regular"/>
            <w:color w:val="000000"/>
            <w:sz w:val="24"/>
            <w:szCs w:val="24"/>
          </w:rPr>
          <w:t>Real Decreto 290/2004, de 20 de febrero</w:t>
        </w:r>
      </w:hyperlink>
      <w:r w:rsidRPr="005B4A90">
        <w:rPr>
          <w:rFonts w:ascii="MinionPro-Regular" w:hAnsi="MinionPro-Regular"/>
          <w:color w:val="000000"/>
          <w:sz w:val="24"/>
          <w:szCs w:val="24"/>
        </w:rPr>
        <w:t>, por el que se regulan los enclaves laborales como medida de fomento del empleo de las personas con discapacidad.</w:t>
      </w:r>
    </w:p>
    <w:p w:rsidR="00E2336B" w:rsidRPr="00BF365F" w:rsidRDefault="00E2336B" w:rsidP="0007541A">
      <w:pPr>
        <w:pStyle w:val="Ttulo2"/>
        <w:numPr>
          <w:ilvl w:val="1"/>
          <w:numId w:val="3"/>
        </w:numPr>
        <w:ind w:left="0"/>
        <w:rPr>
          <w:rFonts w:ascii="MinionPro-Regular" w:hAnsi="MinionPro-Regular"/>
          <w:lang w:val="es-ES_tradnl"/>
        </w:rPr>
      </w:pPr>
      <w:bookmarkStart w:id="45" w:name="_Toc340340548"/>
      <w:bookmarkStart w:id="46" w:name="_Toc352773551"/>
      <w:r w:rsidRPr="00BF365F">
        <w:rPr>
          <w:rFonts w:ascii="MinionPro-Regular" w:hAnsi="MinionPro-Regular"/>
          <w:lang w:val="es-ES_tradnl"/>
        </w:rPr>
        <w:t>Ofreciendo incentivos a empleadores y empleados</w:t>
      </w:r>
      <w:bookmarkEnd w:id="45"/>
      <w:bookmarkEnd w:id="46"/>
    </w:p>
    <w:p w:rsidR="00E2336B" w:rsidRDefault="00E2336B" w:rsidP="006F3A94">
      <w:pPr>
        <w:pStyle w:val="Textoindependiente"/>
        <w:rPr>
          <w:lang w:val="es-ES_tradnl"/>
        </w:rPr>
      </w:pPr>
    </w:p>
    <w:p w:rsidR="00E2336B" w:rsidRDefault="00E2336B" w:rsidP="006F3A94">
      <w:pPr>
        <w:autoSpaceDE w:val="0"/>
        <w:autoSpaceDN w:val="0"/>
        <w:spacing w:line="360" w:lineRule="auto"/>
        <w:jc w:val="both"/>
        <w:rPr>
          <w:rFonts w:ascii="MinionPro-Regular" w:hAnsi="MinionPro-Regular"/>
          <w:sz w:val="24"/>
          <w:szCs w:val="24"/>
          <w:lang w:val="es-ES_tradnl"/>
        </w:rPr>
      </w:pPr>
      <w:r w:rsidRPr="00981369">
        <w:rPr>
          <w:rFonts w:ascii="MinionPro-Regular" w:hAnsi="MinionPro-Regular"/>
          <w:sz w:val="24"/>
          <w:szCs w:val="24"/>
          <w:lang w:val="es-ES_tradnl"/>
        </w:rPr>
        <w:t xml:space="preserve">En tercer lugar, cabe destacar los incentivos establecidos para aumentar la propensión de los empleadores a contratar personas con discapacidad. Su objetivo es </w:t>
      </w:r>
      <w:r>
        <w:rPr>
          <w:rFonts w:ascii="MinionPro-Regular" w:hAnsi="MinionPro-Regular"/>
          <w:sz w:val="24"/>
          <w:szCs w:val="24"/>
          <w:lang w:val="es-ES_tradnl"/>
        </w:rPr>
        <w:t xml:space="preserve">erradicar el aparente diferencial de costes entre personas con y sin discapacidad, </w:t>
      </w:r>
      <w:r w:rsidRPr="00981369">
        <w:rPr>
          <w:rFonts w:ascii="MinionPro-Regular" w:hAnsi="MinionPro-Regular"/>
          <w:sz w:val="24"/>
          <w:szCs w:val="24"/>
          <w:lang w:val="es-ES_tradnl"/>
        </w:rPr>
        <w:t xml:space="preserve">reforzando de esta </w:t>
      </w:r>
      <w:r w:rsidRPr="00981369">
        <w:rPr>
          <w:rFonts w:ascii="MinionPro-Regular" w:hAnsi="MinionPro-Regular"/>
          <w:sz w:val="24"/>
          <w:szCs w:val="24"/>
          <w:lang w:val="es-ES_tradnl"/>
        </w:rPr>
        <w:lastRenderedPageBreak/>
        <w:t xml:space="preserve">manera el incentivo a su contratación. Los incentivos pueden ser fiscales, laborales o </w:t>
      </w:r>
      <w:r>
        <w:rPr>
          <w:rFonts w:ascii="MinionPro-Regular" w:hAnsi="MinionPro-Regular"/>
          <w:sz w:val="24"/>
          <w:szCs w:val="24"/>
          <w:lang w:val="es-ES_tradnl"/>
        </w:rPr>
        <w:t xml:space="preserve">pueden </w:t>
      </w:r>
      <w:r w:rsidRPr="00981369">
        <w:rPr>
          <w:rFonts w:ascii="MinionPro-Regular" w:hAnsi="MinionPro-Regular"/>
          <w:sz w:val="24"/>
          <w:szCs w:val="24"/>
          <w:lang w:val="es-ES_tradnl"/>
        </w:rPr>
        <w:t xml:space="preserve">tener que ver con </w:t>
      </w:r>
      <w:r>
        <w:rPr>
          <w:rFonts w:ascii="MinionPro-Regular" w:hAnsi="MinionPro-Regular"/>
          <w:sz w:val="24"/>
          <w:szCs w:val="24"/>
          <w:lang w:val="es-ES_tradnl"/>
        </w:rPr>
        <w:t>el</w:t>
      </w:r>
      <w:r w:rsidRPr="00981369">
        <w:rPr>
          <w:rFonts w:ascii="MinionPro-Regular" w:hAnsi="MinionPro-Regular"/>
          <w:sz w:val="24"/>
          <w:szCs w:val="24"/>
          <w:lang w:val="es-ES_tradnl"/>
        </w:rPr>
        <w:t xml:space="preserve"> apoyo para la adaptación de los puestos de trabajo. </w:t>
      </w:r>
    </w:p>
    <w:p w:rsidR="00E2336B" w:rsidRDefault="00E2336B" w:rsidP="006F3A94">
      <w:pPr>
        <w:autoSpaceDE w:val="0"/>
        <w:autoSpaceDN w:val="0"/>
        <w:spacing w:line="360" w:lineRule="auto"/>
        <w:jc w:val="both"/>
        <w:rPr>
          <w:rFonts w:ascii="MinionPro-Regular" w:hAnsi="MinionPro-Regular"/>
          <w:sz w:val="24"/>
          <w:szCs w:val="24"/>
          <w:lang w:val="es-ES_tradnl"/>
        </w:rPr>
      </w:pPr>
    </w:p>
    <w:p w:rsidR="00E2336B" w:rsidRDefault="00E2336B" w:rsidP="006F3A94">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Los incentivos ofrecidos a los empleadores tienen que ver con compensar la aparente menor productividad de las personas con discapacidad. Incluyen ventajas fiscales a las que pueden acogerse al emplear a personas con discapacidad o ayudas directas. Pero los incentivos ofrecidos a los empleadores también pueden ser negativos y tener que ver con prevenir la posible aparición de casos de discriminación hacia las personas con discapacidad. Es en este ámbito en el que se encuadran las cuotas de reserva o las medidas contra la discriminación. Los incentivos pueden tener que ver también con eliminar el riesgo moral de los empleadores, entendido como la falta de estímulos que les animen a incorporar o reincorporar a trabajadores enfermos o con discapacidad. En este sentido se englobarían asimismo las medidas orientadas a asegurar la existencia de un sistema sancionador eficiente en el caso de incumplimiento de las cuotas de reserva por parte de las compañías.</w:t>
      </w:r>
    </w:p>
    <w:p w:rsidR="00E2336B" w:rsidRDefault="00E2336B" w:rsidP="006F3A94">
      <w:pPr>
        <w:autoSpaceDE w:val="0"/>
        <w:autoSpaceDN w:val="0"/>
        <w:spacing w:line="360" w:lineRule="auto"/>
        <w:jc w:val="both"/>
        <w:rPr>
          <w:rFonts w:ascii="MinionPro-Regular" w:hAnsi="MinionPro-Regular"/>
          <w:sz w:val="24"/>
          <w:szCs w:val="24"/>
          <w:lang w:val="es-ES_tradnl"/>
        </w:rPr>
      </w:pPr>
    </w:p>
    <w:p w:rsidR="00E2336B" w:rsidRDefault="00E2336B" w:rsidP="006F3A94">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 xml:space="preserve">En lo que se refiere a las personas con discapacidad, también son necesarios incentivos que animen a buscar un empleo o a conservarlo si ya lo tienen. El incentivo principal consiste en asegurar que el empleo sea atractivo económicamente y que no ocasione, como sucede en algunos casos, la pérdida de ayudas o ingresos. Los principales podrían ser la posibilidad de poder combinar ingresos por prestaciones públicas con un salario o los complementos económicos o en especie al estar empleado. Adicionalmente, los incentivos pueden estar enfocados a la rehabilitación en lugar de a la discapacidad, a la graduación de las prestaciones según la discapacidad o a la posibilidad de tener prestaciones independientes de la condición laboral ligándolas, por ejemplo, a la </w:t>
      </w:r>
      <w:r>
        <w:rPr>
          <w:rFonts w:ascii="MinionPro-Regular" w:hAnsi="MinionPro-Regular"/>
          <w:sz w:val="24"/>
          <w:szCs w:val="24"/>
          <w:lang w:val="es-ES_tradnl"/>
        </w:rPr>
        <w:lastRenderedPageBreak/>
        <w:t xml:space="preserve">evidencia empírica que indica que las personas con discapacidad se enfrentan a un mayor nivel de gasto para la obtención de un nivel de bienestar similar al de las personas sin discapacidad. </w:t>
      </w:r>
    </w:p>
    <w:p w:rsidR="00E2336B" w:rsidRPr="00BF365F" w:rsidRDefault="00E2336B" w:rsidP="0007541A">
      <w:pPr>
        <w:pStyle w:val="Ttulo2"/>
        <w:numPr>
          <w:ilvl w:val="1"/>
          <w:numId w:val="3"/>
        </w:numPr>
        <w:ind w:left="0"/>
        <w:rPr>
          <w:rFonts w:ascii="MinionPro-Regular" w:hAnsi="MinionPro-Regular"/>
          <w:lang w:val="es-ES_tradnl"/>
        </w:rPr>
      </w:pPr>
      <w:bookmarkStart w:id="47" w:name="_Toc340340549"/>
      <w:bookmarkStart w:id="48" w:name="_Toc352773552"/>
      <w:r w:rsidRPr="00BF365F">
        <w:rPr>
          <w:rFonts w:ascii="MinionPro-Regular" w:hAnsi="MinionPro-Regular"/>
          <w:lang w:val="es-ES_tradnl"/>
        </w:rPr>
        <w:t>Desde el empleo protegido</w:t>
      </w:r>
      <w:bookmarkEnd w:id="47"/>
      <w:bookmarkEnd w:id="48"/>
    </w:p>
    <w:p w:rsidR="00E2336B" w:rsidRPr="006F3A94" w:rsidRDefault="00E2336B" w:rsidP="006F3A94">
      <w:pPr>
        <w:pStyle w:val="Textoindependiente"/>
        <w:rPr>
          <w:lang w:val="es-ES_tradnl"/>
        </w:rPr>
      </w:pPr>
    </w:p>
    <w:p w:rsidR="00E2336B" w:rsidRDefault="00E2336B" w:rsidP="006F3A94">
      <w:pPr>
        <w:autoSpaceDE w:val="0"/>
        <w:autoSpaceDN w:val="0"/>
        <w:spacing w:line="360" w:lineRule="auto"/>
        <w:jc w:val="both"/>
        <w:rPr>
          <w:rFonts w:ascii="MinionPro-Regular" w:hAnsi="MinionPro-Regular"/>
          <w:sz w:val="24"/>
          <w:szCs w:val="24"/>
          <w:lang w:val="es-ES_tradnl"/>
        </w:rPr>
      </w:pPr>
      <w:r w:rsidRPr="00981369">
        <w:rPr>
          <w:rFonts w:ascii="MinionPro-Regular" w:hAnsi="MinionPro-Regular"/>
          <w:sz w:val="24"/>
          <w:szCs w:val="24"/>
          <w:lang w:val="es-ES_tradnl"/>
        </w:rPr>
        <w:t>El empleo protegido constituye otra de las medidas comúnmente adoptadas a lo largo de las últimas décadas para integrar en el mercado laboral a las personas con discapacidad. La percepción institucional del empleo protegido no siempre es positiva, dado que se entiende que puede conducir a la generación de “ghettos”</w:t>
      </w:r>
      <w:r>
        <w:rPr>
          <w:rFonts w:ascii="MinionPro-Regular" w:hAnsi="MinionPro-Regular"/>
          <w:sz w:val="24"/>
          <w:szCs w:val="24"/>
          <w:lang w:val="es-ES_tradnl"/>
        </w:rPr>
        <w:t xml:space="preserve"> </w:t>
      </w:r>
      <w:r w:rsidRPr="00981369">
        <w:rPr>
          <w:rFonts w:ascii="MinionPro-Regular" w:hAnsi="MinionPro-Regular"/>
          <w:sz w:val="24"/>
          <w:szCs w:val="24"/>
          <w:lang w:val="es-ES_tradnl"/>
        </w:rPr>
        <w:t xml:space="preserve">laborales. De ahí que en los últimos años </w:t>
      </w:r>
      <w:r>
        <w:rPr>
          <w:rFonts w:ascii="MinionPro-Regular" w:hAnsi="MinionPro-Regular"/>
          <w:sz w:val="24"/>
          <w:szCs w:val="24"/>
          <w:lang w:val="es-ES_tradnl"/>
        </w:rPr>
        <w:t xml:space="preserve">se </w:t>
      </w:r>
      <w:r w:rsidRPr="00040F9A">
        <w:rPr>
          <w:rFonts w:ascii="MinionPro-Regular" w:hAnsi="MinionPro-Regular"/>
          <w:sz w:val="24"/>
          <w:szCs w:val="24"/>
          <w:lang w:val="es-ES_tradnl"/>
        </w:rPr>
        <w:t xml:space="preserve">hayan dado pasos para asegurar que las condiciones del empleo protegido son las adecuadas. </w:t>
      </w:r>
      <w:r w:rsidRPr="00455028">
        <w:rPr>
          <w:rFonts w:ascii="MinionPro-Regular" w:hAnsi="MinionPro-Regular"/>
          <w:sz w:val="24"/>
          <w:szCs w:val="24"/>
          <w:lang w:val="es-ES_tradnl"/>
        </w:rPr>
        <w:t xml:space="preserve">En algunos países </w:t>
      </w:r>
      <w:r w:rsidRPr="00040F9A">
        <w:rPr>
          <w:rFonts w:ascii="MinionPro-Regular" w:hAnsi="MinionPro-Regular"/>
          <w:sz w:val="24"/>
          <w:szCs w:val="24"/>
          <w:lang w:val="es-ES_tradnl"/>
        </w:rPr>
        <w:t>han</w:t>
      </w:r>
      <w:r w:rsidRPr="00981369">
        <w:rPr>
          <w:rFonts w:ascii="MinionPro-Regular" w:hAnsi="MinionPro-Regular"/>
          <w:sz w:val="24"/>
          <w:szCs w:val="24"/>
          <w:lang w:val="es-ES_tradnl"/>
        </w:rPr>
        <w:t xml:space="preserve"> sido introducidas acreditaciones, para garantizar que los centros de empleo protegido reúnen las condiciones necesarias para las personas con discapacidad.</w:t>
      </w:r>
      <w:r>
        <w:rPr>
          <w:rFonts w:ascii="MinionPro-Regular" w:hAnsi="MinionPro-Regular"/>
          <w:sz w:val="24"/>
          <w:szCs w:val="24"/>
          <w:lang w:val="es-ES_tradnl"/>
        </w:rPr>
        <w:t xml:space="preserve"> Este sería el caso, por ejemplo, del </w:t>
      </w:r>
      <w:r w:rsidRPr="00EF739C">
        <w:rPr>
          <w:rFonts w:ascii="MinionPro-Regular" w:hAnsi="MinionPro-Regular"/>
          <w:sz w:val="24"/>
          <w:szCs w:val="24"/>
          <w:lang w:val="es-ES_tradnl"/>
        </w:rPr>
        <w:t>Disability Employment Services Scheme</w:t>
      </w:r>
      <w:r>
        <w:rPr>
          <w:rFonts w:ascii="MinionPro-Regular" w:hAnsi="MinionPro-Regular"/>
          <w:sz w:val="24"/>
          <w:szCs w:val="24"/>
          <w:lang w:val="es-ES_tradnl"/>
        </w:rPr>
        <w:t xml:space="preserve"> australiano.</w:t>
      </w:r>
      <w:r w:rsidRPr="00981369">
        <w:rPr>
          <w:rFonts w:ascii="MinionPro-Regular" w:hAnsi="MinionPro-Regular"/>
          <w:sz w:val="24"/>
          <w:szCs w:val="24"/>
          <w:lang w:val="es-ES_tradnl"/>
        </w:rPr>
        <w:t xml:space="preserve"> Otras </w:t>
      </w:r>
      <w:r w:rsidRPr="00B90438">
        <w:rPr>
          <w:rFonts w:ascii="MinionPro-Regular" w:hAnsi="MinionPro-Regular"/>
          <w:sz w:val="24"/>
          <w:szCs w:val="24"/>
          <w:lang w:val="es-ES_tradnl"/>
        </w:rPr>
        <w:t xml:space="preserve">legislaciones </w:t>
      </w:r>
      <w:r w:rsidRPr="00981369">
        <w:rPr>
          <w:rFonts w:ascii="MinionPro-Regular" w:hAnsi="MinionPro-Regular"/>
          <w:sz w:val="24"/>
          <w:szCs w:val="24"/>
          <w:lang w:val="es-ES_tradnl"/>
        </w:rPr>
        <w:t>han establecido medidas para acercar el empleo protegido al ordinario, como las empresas sociales en Finlandia</w:t>
      </w:r>
      <w:r w:rsidRPr="00981369">
        <w:rPr>
          <w:rStyle w:val="Refdenotaalpie"/>
          <w:rFonts w:ascii="MinionPro-Regular" w:hAnsi="MinionPro-Regular"/>
          <w:sz w:val="24"/>
          <w:szCs w:val="24"/>
          <w:lang w:val="es-ES_tradnl"/>
        </w:rPr>
        <w:footnoteReference w:id="13"/>
      </w:r>
      <w:r w:rsidRPr="00981369">
        <w:rPr>
          <w:rFonts w:ascii="MinionPro-Regular" w:hAnsi="MinionPro-Regular"/>
          <w:sz w:val="24"/>
          <w:szCs w:val="24"/>
          <w:lang w:val="es-ES_tradnl"/>
        </w:rPr>
        <w:t>.</w:t>
      </w:r>
    </w:p>
    <w:p w:rsidR="00E2336B" w:rsidRPr="00981369" w:rsidRDefault="00E2336B" w:rsidP="006F3A94">
      <w:pPr>
        <w:autoSpaceDE w:val="0"/>
        <w:autoSpaceDN w:val="0"/>
        <w:spacing w:line="360" w:lineRule="auto"/>
        <w:jc w:val="both"/>
        <w:rPr>
          <w:rFonts w:ascii="MinionPro-Regular" w:hAnsi="MinionPro-Regular"/>
          <w:sz w:val="24"/>
          <w:szCs w:val="24"/>
          <w:lang w:val="es-ES_tradnl"/>
        </w:rPr>
      </w:pPr>
    </w:p>
    <w:p w:rsidR="00E2336B" w:rsidRDefault="00E2336B" w:rsidP="006F3A94">
      <w:pPr>
        <w:autoSpaceDE w:val="0"/>
        <w:autoSpaceDN w:val="0"/>
        <w:spacing w:line="360" w:lineRule="auto"/>
        <w:jc w:val="both"/>
        <w:rPr>
          <w:rFonts w:ascii="MinionPro-Regular" w:hAnsi="MinionPro-Regular"/>
          <w:sz w:val="24"/>
          <w:szCs w:val="24"/>
          <w:lang w:val="es-ES_tradnl"/>
        </w:rPr>
      </w:pPr>
      <w:r w:rsidRPr="00981369">
        <w:rPr>
          <w:rFonts w:ascii="MinionPro-Regular" w:hAnsi="MinionPro-Regular"/>
          <w:sz w:val="24"/>
          <w:szCs w:val="24"/>
          <w:lang w:val="es-ES_tradnl"/>
        </w:rPr>
        <w:t>Las empresas sociales finlandesas combinan el apoyo a las personas con discapacidad y al colectivo de desempleados de larga duración. Tienen el objetivo de ser un paso previo a la transición al mercado laboral ordinario y deben estar registradas en el Ministerio de Economía y Empleo de</w:t>
      </w:r>
      <w:r>
        <w:rPr>
          <w:rFonts w:ascii="MinionPro-Regular" w:hAnsi="MinionPro-Regular"/>
          <w:sz w:val="24"/>
          <w:szCs w:val="24"/>
          <w:lang w:val="es-ES_tradnl"/>
        </w:rPr>
        <w:t xml:space="preserve">l </w:t>
      </w:r>
      <w:r w:rsidRPr="00981369">
        <w:rPr>
          <w:rFonts w:ascii="MinionPro-Regular" w:hAnsi="MinionPro-Regular"/>
          <w:sz w:val="24"/>
          <w:szCs w:val="24"/>
          <w:lang w:val="es-ES_tradnl"/>
        </w:rPr>
        <w:t xml:space="preserve">país. Los empleados perciben salarios de mercado, de acuerdo a lo establecido en los convenios colectivos correspondientes, y el empleador percibe una bonificación salarial. Un 30% de los empleados deben ser personas con discapacidad o una combinación de estas con desempleados de larga duración. Por el momento, el </w:t>
      </w:r>
      <w:r w:rsidRPr="00981369">
        <w:rPr>
          <w:rFonts w:ascii="MinionPro-Regular" w:hAnsi="MinionPro-Regular"/>
          <w:sz w:val="24"/>
          <w:szCs w:val="24"/>
          <w:lang w:val="es-ES_tradnl"/>
        </w:rPr>
        <w:lastRenderedPageBreak/>
        <w:t>número y el impacto en términos de empleados de las empresas sociales finlandesas son reducidos.</w:t>
      </w:r>
    </w:p>
    <w:p w:rsidR="00E2336B" w:rsidRDefault="00E2336B" w:rsidP="006F3A94">
      <w:pPr>
        <w:autoSpaceDE w:val="0"/>
        <w:autoSpaceDN w:val="0"/>
        <w:spacing w:line="360" w:lineRule="auto"/>
        <w:jc w:val="both"/>
        <w:rPr>
          <w:rFonts w:ascii="MinionPro-Regular" w:hAnsi="MinionPro-Regular"/>
          <w:sz w:val="24"/>
          <w:szCs w:val="24"/>
          <w:lang w:val="es-ES_tradnl"/>
        </w:rPr>
      </w:pPr>
    </w:p>
    <w:p w:rsidR="00E2336B" w:rsidRDefault="00E2336B" w:rsidP="00C05F57">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 xml:space="preserve">En otros países de la Unión Europea, en general, los requisitos en cuanto al porcentaje de personas con discapacidad que deben encontrarse en el empleo protegido son menores al 70% que </w:t>
      </w:r>
      <w:r w:rsidRPr="00B90438">
        <w:rPr>
          <w:rFonts w:ascii="MinionPro-Regular" w:hAnsi="MinionPro-Regular"/>
          <w:sz w:val="24"/>
          <w:szCs w:val="24"/>
          <w:lang w:val="es-ES_tradnl"/>
        </w:rPr>
        <w:t xml:space="preserve">se </w:t>
      </w:r>
      <w:r w:rsidR="00F23441" w:rsidRPr="00B90438">
        <w:rPr>
          <w:rFonts w:ascii="MinionPro-Regular" w:hAnsi="MinionPro-Regular"/>
          <w:sz w:val="24"/>
          <w:szCs w:val="24"/>
          <w:lang w:val="es-ES_tradnl"/>
        </w:rPr>
        <w:t>exige en España según artículo 42.2 de la Ley 13/1982 (LISMI) (según redacción dada por  la Ley 66/1997, de 30 de diciembre, de medidas fiscales, administrativas y del orden social</w:t>
      </w:r>
      <w:r w:rsidRPr="00B90438">
        <w:rPr>
          <w:rFonts w:ascii="MinionPro-Regular" w:hAnsi="MinionPro-Regular"/>
          <w:sz w:val="24"/>
          <w:szCs w:val="24"/>
          <w:lang w:val="es-ES_tradnl"/>
        </w:rPr>
        <w:t>).</w:t>
      </w:r>
      <w:r w:rsidRPr="008B461D">
        <w:rPr>
          <w:rFonts w:ascii="MinionPro-Regular" w:hAnsi="MinionPro-Regular"/>
          <w:sz w:val="24"/>
          <w:szCs w:val="24"/>
          <w:lang w:val="es-ES_tradnl"/>
        </w:rPr>
        <w:t xml:space="preserve"> En </w:t>
      </w:r>
      <w:r>
        <w:rPr>
          <w:rFonts w:ascii="MinionPro-Regular" w:hAnsi="MinionPro-Regular"/>
          <w:sz w:val="24"/>
          <w:szCs w:val="24"/>
          <w:lang w:val="es-ES_tradnl"/>
        </w:rPr>
        <w:t>el Reino Unido</w:t>
      </w:r>
      <w:r w:rsidRPr="008B461D">
        <w:rPr>
          <w:rFonts w:ascii="MinionPro-Regular" w:hAnsi="MinionPro-Regular"/>
          <w:sz w:val="24"/>
          <w:szCs w:val="24"/>
          <w:lang w:val="es-ES_tradnl"/>
        </w:rPr>
        <w:t>, por</w:t>
      </w:r>
      <w:r>
        <w:rPr>
          <w:rFonts w:ascii="MinionPro-Regular" w:hAnsi="MinionPro-Regular"/>
          <w:sz w:val="24"/>
          <w:szCs w:val="24"/>
          <w:lang w:val="es-ES_tradnl"/>
        </w:rPr>
        <w:t xml:space="preserve"> ejemplo, a</w:t>
      </w:r>
      <w:r w:rsidRPr="00A45AC2">
        <w:rPr>
          <w:rFonts w:ascii="MinionPro-Regular" w:hAnsi="MinionPro-Regular"/>
          <w:sz w:val="24"/>
          <w:szCs w:val="24"/>
          <w:lang w:val="es-ES_tradnl"/>
        </w:rPr>
        <w:t xml:space="preserve">l menos el 50% </w:t>
      </w:r>
      <w:r>
        <w:rPr>
          <w:rFonts w:ascii="MinionPro-Regular" w:hAnsi="MinionPro-Regular"/>
          <w:sz w:val="24"/>
          <w:szCs w:val="24"/>
          <w:lang w:val="es-ES_tradnl"/>
        </w:rPr>
        <w:t xml:space="preserve">de los empleados deben presentar un </w:t>
      </w:r>
      <w:r w:rsidRPr="00A45AC2">
        <w:rPr>
          <w:rFonts w:ascii="MinionPro-Regular" w:hAnsi="MinionPro-Regular"/>
          <w:sz w:val="24"/>
          <w:szCs w:val="24"/>
          <w:lang w:val="es-ES_tradnl"/>
        </w:rPr>
        <w:t>grado de discapacidad de entre un 30% y un 80%</w:t>
      </w:r>
      <w:r>
        <w:rPr>
          <w:rFonts w:ascii="MinionPro-Regular" w:hAnsi="MinionPro-Regular"/>
          <w:sz w:val="24"/>
          <w:szCs w:val="24"/>
          <w:lang w:val="es-ES_tradnl"/>
        </w:rPr>
        <w:t>. En S</w:t>
      </w:r>
      <w:r w:rsidRPr="00A45AC2">
        <w:rPr>
          <w:rFonts w:ascii="MinionPro-Regular" w:hAnsi="MinionPro-Regular"/>
          <w:sz w:val="24"/>
          <w:szCs w:val="24"/>
          <w:lang w:val="es-ES_tradnl"/>
        </w:rPr>
        <w:t xml:space="preserve">uecia </w:t>
      </w:r>
      <w:r>
        <w:rPr>
          <w:rFonts w:ascii="MinionPro-Regular" w:hAnsi="MinionPro-Regular"/>
          <w:sz w:val="24"/>
          <w:szCs w:val="24"/>
          <w:lang w:val="es-ES_tradnl"/>
        </w:rPr>
        <w:t xml:space="preserve">este valor se reduce al </w:t>
      </w:r>
      <w:r w:rsidRPr="00A45AC2">
        <w:rPr>
          <w:rFonts w:ascii="MinionPro-Regular" w:hAnsi="MinionPro-Regular"/>
          <w:sz w:val="24"/>
          <w:szCs w:val="24"/>
          <w:lang w:val="es-ES_tradnl"/>
        </w:rPr>
        <w:t xml:space="preserve">40% de los trabajadores empleados en los talleres protegidos (Samhall) </w:t>
      </w:r>
      <w:r>
        <w:rPr>
          <w:rFonts w:ascii="MinionPro-Regular" w:hAnsi="MinionPro-Regular"/>
          <w:sz w:val="24"/>
          <w:szCs w:val="24"/>
          <w:lang w:val="es-ES_tradnl"/>
        </w:rPr>
        <w:t xml:space="preserve">que </w:t>
      </w:r>
      <w:r w:rsidRPr="00A45AC2">
        <w:rPr>
          <w:rFonts w:ascii="MinionPro-Regular" w:hAnsi="MinionPro-Regular"/>
          <w:sz w:val="24"/>
          <w:szCs w:val="24"/>
          <w:lang w:val="es-ES_tradnl"/>
        </w:rPr>
        <w:t xml:space="preserve">deben ser personas con discapacidades </w:t>
      </w:r>
      <w:r>
        <w:rPr>
          <w:rFonts w:ascii="MinionPro-Regular" w:hAnsi="MinionPro-Regular"/>
          <w:sz w:val="24"/>
          <w:szCs w:val="24"/>
          <w:lang w:val="es-ES_tradnl"/>
        </w:rPr>
        <w:t>más severas</w:t>
      </w:r>
      <w:r w:rsidRPr="00A45AC2">
        <w:rPr>
          <w:rFonts w:ascii="MinionPro-Regular" w:hAnsi="MinionPro-Regular"/>
          <w:sz w:val="24"/>
          <w:szCs w:val="24"/>
          <w:lang w:val="es-ES_tradnl"/>
        </w:rPr>
        <w:t xml:space="preserve"> (más del 50%).</w:t>
      </w:r>
      <w:r>
        <w:rPr>
          <w:rFonts w:ascii="MinionPro-Regular" w:hAnsi="MinionPro-Regular"/>
          <w:sz w:val="24"/>
          <w:szCs w:val="24"/>
          <w:lang w:val="es-ES_tradnl"/>
        </w:rPr>
        <w:t xml:space="preserve"> Se sigue reduciendo en  </w:t>
      </w:r>
      <w:r w:rsidRPr="00A45AC2">
        <w:rPr>
          <w:rFonts w:ascii="MinionPro-Regular" w:hAnsi="MinionPro-Regular"/>
          <w:sz w:val="24"/>
          <w:szCs w:val="24"/>
          <w:lang w:val="es-ES_tradnl"/>
        </w:rPr>
        <w:t>Italia</w:t>
      </w:r>
      <w:r>
        <w:rPr>
          <w:rFonts w:ascii="MinionPro-Regular" w:hAnsi="MinionPro-Regular"/>
          <w:sz w:val="24"/>
          <w:szCs w:val="24"/>
          <w:lang w:val="es-ES_tradnl"/>
        </w:rPr>
        <w:t xml:space="preserve">, donde  las cooperativas sociales </w:t>
      </w:r>
      <w:r w:rsidRPr="00A45AC2">
        <w:rPr>
          <w:rFonts w:ascii="MinionPro-Regular" w:hAnsi="MinionPro-Regular"/>
          <w:sz w:val="24"/>
          <w:szCs w:val="24"/>
          <w:lang w:val="es-ES_tradnl"/>
        </w:rPr>
        <w:t>deben contratar como mínimo a un 30% de personas pe</w:t>
      </w:r>
      <w:r>
        <w:rPr>
          <w:rFonts w:ascii="MinionPro-Regular" w:hAnsi="MinionPro-Regular"/>
          <w:sz w:val="24"/>
          <w:szCs w:val="24"/>
          <w:lang w:val="es-ES_tradnl"/>
        </w:rPr>
        <w:t xml:space="preserve">rtenecientes al grupo objetivo, </w:t>
      </w:r>
      <w:r w:rsidRPr="00A45AC2">
        <w:rPr>
          <w:rFonts w:ascii="MinionPro-Regular" w:hAnsi="MinionPro-Regular"/>
          <w:sz w:val="24"/>
          <w:szCs w:val="24"/>
          <w:lang w:val="es-ES_tradnl"/>
        </w:rPr>
        <w:t xml:space="preserve">que no sólo incluye a las personas con discapacidad sino también a </w:t>
      </w:r>
      <w:r>
        <w:rPr>
          <w:rFonts w:ascii="MinionPro-Regular" w:hAnsi="MinionPro-Regular"/>
          <w:sz w:val="24"/>
          <w:szCs w:val="24"/>
          <w:lang w:val="es-ES_tradnl"/>
        </w:rPr>
        <w:t>colectivos con especiales dificultades de inserción social hasta llegar a Alemania, donde la exigencia es del 20% del personal contratado</w:t>
      </w:r>
      <w:r w:rsidRPr="00A45AC2">
        <w:rPr>
          <w:rFonts w:ascii="MinionPro-Regular" w:hAnsi="MinionPro-Regular"/>
          <w:sz w:val="24"/>
          <w:szCs w:val="24"/>
          <w:lang w:val="es-ES_tradnl"/>
        </w:rPr>
        <w:t>.</w:t>
      </w:r>
    </w:p>
    <w:p w:rsidR="00E2336B" w:rsidRPr="00981369" w:rsidRDefault="00E2336B" w:rsidP="006F3A94">
      <w:pPr>
        <w:autoSpaceDE w:val="0"/>
        <w:autoSpaceDN w:val="0"/>
        <w:spacing w:line="360" w:lineRule="auto"/>
        <w:jc w:val="both"/>
        <w:rPr>
          <w:rFonts w:ascii="MinionPro-Regular" w:hAnsi="MinionPro-Regular"/>
          <w:sz w:val="24"/>
          <w:szCs w:val="24"/>
          <w:lang w:val="es-ES_tradnl"/>
        </w:rPr>
      </w:pPr>
    </w:p>
    <w:p w:rsidR="00E2336B" w:rsidRPr="00E2336B" w:rsidRDefault="00E2336B" w:rsidP="006F3A94">
      <w:pPr>
        <w:autoSpaceDE w:val="0"/>
        <w:autoSpaceDN w:val="0"/>
        <w:spacing w:line="360" w:lineRule="auto"/>
        <w:jc w:val="both"/>
        <w:rPr>
          <w:rFonts w:ascii="MinionPro-Regular" w:hAnsi="MinionPro-Regular"/>
          <w:color w:val="FF0000"/>
          <w:sz w:val="24"/>
          <w:szCs w:val="24"/>
          <w:lang w:val="es-ES_tradnl"/>
        </w:rPr>
      </w:pPr>
      <w:r w:rsidRPr="00981369">
        <w:rPr>
          <w:rFonts w:ascii="MinionPro-Regular" w:hAnsi="MinionPro-Regular"/>
          <w:sz w:val="24"/>
          <w:szCs w:val="24"/>
          <w:lang w:val="es-ES_tradnl"/>
        </w:rPr>
        <w:t xml:space="preserve">Otros países, como Noruega, limitan el porcentaje de personas que pueden permanecer permanentemente en empleo protegido poniendo el acento en el aprendizaje necesario para acometer la transición. En Holanda, por otra parte, el acento se pone en la individualización del empleo protegido, que puede ser ofrecido también por compañías </w:t>
      </w:r>
      <w:r>
        <w:rPr>
          <w:rFonts w:ascii="MinionPro-Regular" w:hAnsi="MinionPro-Regular"/>
          <w:sz w:val="24"/>
          <w:szCs w:val="24"/>
          <w:lang w:val="es-ES_tradnl"/>
        </w:rPr>
        <w:t>convencionales</w:t>
      </w:r>
      <w:r w:rsidRPr="00981369">
        <w:rPr>
          <w:rFonts w:ascii="MinionPro-Regular" w:hAnsi="MinionPro-Regular"/>
          <w:sz w:val="24"/>
          <w:szCs w:val="24"/>
          <w:lang w:val="es-ES_tradnl"/>
        </w:rPr>
        <w:t>.</w:t>
      </w:r>
    </w:p>
    <w:p w:rsidR="00E2336B" w:rsidRPr="00981369" w:rsidRDefault="00E2336B" w:rsidP="006F3A94">
      <w:pPr>
        <w:autoSpaceDE w:val="0"/>
        <w:autoSpaceDN w:val="0"/>
        <w:spacing w:line="360" w:lineRule="auto"/>
        <w:jc w:val="both"/>
        <w:rPr>
          <w:rFonts w:ascii="MinionPro-Regular" w:hAnsi="MinionPro-Regular"/>
          <w:sz w:val="24"/>
          <w:szCs w:val="24"/>
          <w:lang w:val="es-ES_tradnl"/>
        </w:rPr>
      </w:pPr>
    </w:p>
    <w:p w:rsidR="00E2336B" w:rsidRDefault="00E2336B" w:rsidP="006F3A94">
      <w:pPr>
        <w:autoSpaceDE w:val="0"/>
        <w:autoSpaceDN w:val="0"/>
        <w:spacing w:line="360" w:lineRule="auto"/>
        <w:jc w:val="both"/>
        <w:rPr>
          <w:rFonts w:ascii="MinionPro-Regular" w:hAnsi="MinionPro-Regular"/>
          <w:sz w:val="24"/>
          <w:szCs w:val="24"/>
          <w:lang w:val="es-ES_tradnl"/>
        </w:rPr>
      </w:pPr>
      <w:r w:rsidRPr="00981369">
        <w:rPr>
          <w:rFonts w:ascii="MinionPro-Regular" w:hAnsi="MinionPro-Regular"/>
          <w:sz w:val="24"/>
          <w:szCs w:val="24"/>
          <w:lang w:val="es-ES_tradnl"/>
        </w:rPr>
        <w:t xml:space="preserve">Como en tantos otros ámbitos relacionados con la discapacidad, existen sustanciales carencias </w:t>
      </w:r>
      <w:r>
        <w:rPr>
          <w:rFonts w:ascii="MinionPro-Regular" w:hAnsi="MinionPro-Regular"/>
          <w:sz w:val="24"/>
          <w:szCs w:val="24"/>
          <w:lang w:val="es-ES_tradnl"/>
        </w:rPr>
        <w:t xml:space="preserve">informativas </w:t>
      </w:r>
      <w:r w:rsidRPr="00981369">
        <w:rPr>
          <w:rFonts w:ascii="MinionPro-Regular" w:hAnsi="MinionPro-Regular"/>
          <w:sz w:val="24"/>
          <w:szCs w:val="24"/>
          <w:lang w:val="es-ES_tradnl"/>
        </w:rPr>
        <w:t xml:space="preserve">en lo que se refiere </w:t>
      </w:r>
      <w:r>
        <w:rPr>
          <w:rFonts w:ascii="MinionPro-Regular" w:hAnsi="MinionPro-Regular"/>
          <w:sz w:val="24"/>
          <w:szCs w:val="24"/>
          <w:lang w:val="es-ES_tradnl"/>
        </w:rPr>
        <w:t>a la evaluación del</w:t>
      </w:r>
      <w:r w:rsidRPr="00981369">
        <w:rPr>
          <w:rFonts w:ascii="MinionPro-Regular" w:hAnsi="MinionPro-Regular"/>
          <w:sz w:val="24"/>
          <w:szCs w:val="24"/>
          <w:lang w:val="es-ES_tradnl"/>
        </w:rPr>
        <w:t xml:space="preserve"> impacto del empleo </w:t>
      </w:r>
      <w:r w:rsidRPr="00981369">
        <w:rPr>
          <w:rFonts w:ascii="MinionPro-Regular" w:hAnsi="MinionPro-Regular"/>
          <w:sz w:val="24"/>
          <w:szCs w:val="24"/>
          <w:lang w:val="es-ES_tradnl"/>
        </w:rPr>
        <w:lastRenderedPageBreak/>
        <w:t xml:space="preserve">protegido, también en el ámbito de la Unión Europea. De acuerdo a los datos disponibles existen notables diferencias entre los países de la Unión Europea en lo que se refiere a la </w:t>
      </w:r>
      <w:r>
        <w:rPr>
          <w:rFonts w:ascii="MinionPro-Regular" w:hAnsi="MinionPro-Regular"/>
          <w:sz w:val="24"/>
          <w:szCs w:val="24"/>
          <w:lang w:val="es-ES_tradnl"/>
        </w:rPr>
        <w:t>población con discapacidad en la modalidad de empleo protegido</w:t>
      </w:r>
      <w:r w:rsidRPr="00981369">
        <w:rPr>
          <w:rFonts w:ascii="MinionPro-Regular" w:hAnsi="MinionPro-Regular"/>
          <w:sz w:val="24"/>
          <w:szCs w:val="24"/>
          <w:lang w:val="es-ES_tradnl"/>
        </w:rPr>
        <w:t>. De este modo, y aunque los datos no son recientes</w:t>
      </w:r>
      <w:r>
        <w:rPr>
          <w:rFonts w:ascii="MinionPro-Regular" w:hAnsi="MinionPro-Regular"/>
          <w:sz w:val="24"/>
          <w:szCs w:val="24"/>
          <w:lang w:val="es-ES_tradnl"/>
        </w:rPr>
        <w:t xml:space="preserve"> y cabría cuestionar su fiabilidad</w:t>
      </w:r>
      <w:r w:rsidRPr="00981369">
        <w:rPr>
          <w:rFonts w:ascii="MinionPro-Regular" w:hAnsi="MinionPro-Regular"/>
          <w:sz w:val="24"/>
          <w:szCs w:val="24"/>
          <w:lang w:val="es-ES_tradnl"/>
        </w:rPr>
        <w:t>, más del 90% de las personas con discapacidad ocupadas en Suecia, y más del 70% en Alemania, están en empleo protegido</w:t>
      </w:r>
      <w:r w:rsidRPr="00981369">
        <w:rPr>
          <w:rStyle w:val="Refdenotaalpie"/>
          <w:rFonts w:ascii="MinionPro-Regular" w:hAnsi="MinionPro-Regular"/>
          <w:sz w:val="24"/>
          <w:szCs w:val="24"/>
          <w:lang w:val="es-ES_tradnl"/>
        </w:rPr>
        <w:footnoteReference w:id="14"/>
      </w:r>
      <w:r w:rsidRPr="00981369">
        <w:rPr>
          <w:rFonts w:ascii="MinionPro-Regular" w:hAnsi="MinionPro-Regular"/>
          <w:sz w:val="24"/>
          <w:szCs w:val="24"/>
          <w:lang w:val="es-ES_tradnl"/>
        </w:rPr>
        <w:t xml:space="preserve">, las cifras quedan alrededor del 20% para países como Italia o Bélgica. </w:t>
      </w:r>
    </w:p>
    <w:p w:rsidR="00E2336B" w:rsidRDefault="00E2336B" w:rsidP="006F3A94">
      <w:pPr>
        <w:autoSpaceDE w:val="0"/>
        <w:autoSpaceDN w:val="0"/>
        <w:spacing w:line="360" w:lineRule="auto"/>
        <w:jc w:val="both"/>
        <w:rPr>
          <w:rFonts w:ascii="MinionPro-Regular" w:hAnsi="MinionPro-Regular"/>
          <w:sz w:val="24"/>
          <w:szCs w:val="24"/>
          <w:lang w:val="es-ES_tradnl"/>
        </w:rPr>
      </w:pPr>
    </w:p>
    <w:p w:rsidR="00E2336B" w:rsidRDefault="00E2336B" w:rsidP="006F3A94">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E</w:t>
      </w:r>
      <w:r w:rsidRPr="00981369">
        <w:rPr>
          <w:rFonts w:ascii="MinionPro-Regular" w:hAnsi="MinionPro-Regular"/>
          <w:sz w:val="24"/>
          <w:szCs w:val="24"/>
          <w:lang w:val="es-ES_tradnl"/>
        </w:rPr>
        <w:t>l éxito de este modelo en algunos lugares es incuestionable. Por ejemplo, una mayoría de las personas con discapacidad en Suiza, uno de los países con una tasa de ocupación más alta para este colectivo, desempeñan sus funciones en el empleo protegido. No hay que olvidar tampoco que el modelo español de empleo protegido atiende, en mayor medida</w:t>
      </w:r>
      <w:r>
        <w:rPr>
          <w:rFonts w:ascii="MinionPro-Regular" w:hAnsi="MinionPro-Regular"/>
          <w:sz w:val="24"/>
          <w:szCs w:val="24"/>
          <w:lang w:val="es-ES_tradnl"/>
        </w:rPr>
        <w:t xml:space="preserve"> </w:t>
      </w:r>
      <w:r w:rsidR="00991A4A" w:rsidRPr="00981369">
        <w:rPr>
          <w:rFonts w:ascii="MinionPro-Regular" w:hAnsi="MinionPro-Regular"/>
          <w:sz w:val="24"/>
          <w:szCs w:val="24"/>
          <w:lang w:val="es-ES_tradnl"/>
        </w:rPr>
        <w:t>a personas con un mayor grado de discapacidad y de colectivos más vulnerables</w:t>
      </w:r>
      <w:r w:rsidR="00991A4A">
        <w:rPr>
          <w:rFonts w:ascii="MinionPro-Regular" w:hAnsi="MinionPro-Regular"/>
          <w:sz w:val="24"/>
          <w:szCs w:val="24"/>
          <w:lang w:val="es-ES_tradnl"/>
        </w:rPr>
        <w:t xml:space="preserve"> </w:t>
      </w:r>
      <w:r>
        <w:rPr>
          <w:rFonts w:ascii="MinionPro-Regular" w:hAnsi="MinionPro-Regular"/>
          <w:sz w:val="24"/>
          <w:szCs w:val="24"/>
          <w:lang w:val="es-ES_tradnl"/>
        </w:rPr>
        <w:t>que el empleo ordinario</w:t>
      </w:r>
      <w:r w:rsidRPr="00981369">
        <w:rPr>
          <w:rFonts w:ascii="MinionPro-Regular" w:hAnsi="MinionPro-Regular"/>
          <w:sz w:val="24"/>
          <w:szCs w:val="24"/>
          <w:lang w:val="es-ES_tradnl"/>
        </w:rPr>
        <w:t>.  También existen</w:t>
      </w:r>
      <w:r>
        <w:rPr>
          <w:rFonts w:ascii="MinionPro-Regular" w:hAnsi="MinionPro-Regular"/>
          <w:sz w:val="24"/>
          <w:szCs w:val="24"/>
          <w:lang w:val="es-ES_tradnl"/>
        </w:rPr>
        <w:t xml:space="preserve"> notables diferencias</w:t>
      </w:r>
      <w:r w:rsidRPr="00981369">
        <w:rPr>
          <w:rFonts w:ascii="MinionPro-Regular" w:hAnsi="MinionPro-Regular"/>
          <w:sz w:val="24"/>
          <w:szCs w:val="24"/>
          <w:lang w:val="es-ES_tradnl"/>
        </w:rPr>
        <w:t xml:space="preserve"> en lo que se refiere al grado de discapacidad de las personas que pueden trabajar en el marco del empleo protegido. </w:t>
      </w:r>
    </w:p>
    <w:p w:rsidR="002C4CA9" w:rsidRDefault="002C4CA9" w:rsidP="006F3A94">
      <w:pPr>
        <w:autoSpaceDE w:val="0"/>
        <w:autoSpaceDN w:val="0"/>
        <w:spacing w:line="360" w:lineRule="auto"/>
        <w:jc w:val="both"/>
        <w:rPr>
          <w:rFonts w:ascii="MinionPro-Regular" w:hAnsi="MinionPro-Regular"/>
          <w:sz w:val="24"/>
          <w:szCs w:val="24"/>
          <w:lang w:val="es-ES_tradnl"/>
        </w:rPr>
      </w:pPr>
    </w:p>
    <w:p w:rsidR="00E2336B" w:rsidRDefault="00E2336B">
      <w:pPr>
        <w:autoSpaceDE w:val="0"/>
        <w:autoSpaceDN w:val="0"/>
        <w:spacing w:line="360" w:lineRule="auto"/>
        <w:jc w:val="both"/>
        <w:rPr>
          <w:rFonts w:ascii="MinionPro-Regular" w:hAnsi="MinionPro-Regular"/>
          <w:sz w:val="24"/>
          <w:szCs w:val="24"/>
          <w:lang w:val="es-ES_tradnl"/>
        </w:rPr>
      </w:pPr>
      <w:r w:rsidRPr="00C702FA">
        <w:rPr>
          <w:rFonts w:ascii="MinionPro-Regular" w:hAnsi="MinionPro-Regular"/>
          <w:sz w:val="24"/>
          <w:szCs w:val="24"/>
          <w:lang w:val="es-ES_tradnl"/>
        </w:rPr>
        <w:t>Cabe</w:t>
      </w:r>
      <w:r>
        <w:rPr>
          <w:rFonts w:ascii="MinionPro-Regular" w:hAnsi="MinionPro-Regular"/>
          <w:sz w:val="24"/>
          <w:szCs w:val="24"/>
          <w:lang w:val="es-ES_tradnl"/>
        </w:rPr>
        <w:t xml:space="preserve"> desatacar en España, asimismo, que la capacidad de generar empleo de los centros especiales de empleo se ha mostrado, en estos últimos años de destrucción masiva de puestos de trabajo en nuestro país, más resiliente que otras modalidades. </w:t>
      </w:r>
    </w:p>
    <w:p w:rsidR="00E2336B" w:rsidRPr="00BF365F" w:rsidRDefault="00E2336B" w:rsidP="0007541A">
      <w:pPr>
        <w:pStyle w:val="Ttulo2"/>
        <w:numPr>
          <w:ilvl w:val="1"/>
          <w:numId w:val="3"/>
        </w:numPr>
        <w:ind w:left="0"/>
        <w:rPr>
          <w:rFonts w:ascii="MinionPro-Regular" w:hAnsi="MinionPro-Regular"/>
          <w:lang w:val="es-ES_tradnl"/>
        </w:rPr>
      </w:pPr>
      <w:bookmarkStart w:id="49" w:name="_Toc340732427"/>
      <w:bookmarkStart w:id="50" w:name="_Toc340745351"/>
      <w:bookmarkStart w:id="51" w:name="_Toc340745512"/>
      <w:bookmarkStart w:id="52" w:name="_Toc340340550"/>
      <w:bookmarkStart w:id="53" w:name="_Toc352773553"/>
      <w:bookmarkEnd w:id="49"/>
      <w:bookmarkEnd w:id="50"/>
      <w:bookmarkEnd w:id="51"/>
      <w:r w:rsidRPr="00BF365F">
        <w:rPr>
          <w:rFonts w:ascii="MinionPro-Regular" w:hAnsi="MinionPro-Regular"/>
          <w:lang w:val="es-ES_tradnl"/>
        </w:rPr>
        <w:t>Desde las agencias públicas de empleo</w:t>
      </w:r>
      <w:bookmarkEnd w:id="52"/>
      <w:bookmarkEnd w:id="53"/>
    </w:p>
    <w:p w:rsidR="00E2336B" w:rsidRPr="006F3A94" w:rsidRDefault="00E2336B" w:rsidP="006F3A94">
      <w:pPr>
        <w:pStyle w:val="Textoindependiente"/>
        <w:rPr>
          <w:lang w:val="es-ES_tradnl"/>
        </w:rPr>
      </w:pPr>
    </w:p>
    <w:p w:rsidR="00017C59" w:rsidRPr="004028BC" w:rsidRDefault="00E2336B" w:rsidP="006F3A94">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 xml:space="preserve">Otra iniciativa que lleva algunos años abriéndose camino entre los países más avanzados </w:t>
      </w:r>
      <w:r w:rsidRPr="00981369">
        <w:rPr>
          <w:rFonts w:ascii="MinionPro-Regular" w:hAnsi="MinionPro-Regular"/>
          <w:sz w:val="24"/>
          <w:szCs w:val="24"/>
          <w:lang w:val="es-ES_tradnl"/>
        </w:rPr>
        <w:t xml:space="preserve">consiste en apalancar los recursos de las agencias públicas de empleo para facilitar la </w:t>
      </w:r>
      <w:r w:rsidRPr="00981369">
        <w:rPr>
          <w:rFonts w:ascii="MinionPro-Regular" w:hAnsi="MinionPro-Regular"/>
          <w:sz w:val="24"/>
          <w:szCs w:val="24"/>
          <w:lang w:val="es-ES_tradnl"/>
        </w:rPr>
        <w:lastRenderedPageBreak/>
        <w:t>incorporación al mercado laboral de las personas con discapacidad</w:t>
      </w:r>
      <w:r>
        <w:rPr>
          <w:rFonts w:ascii="MinionPro-Regular" w:hAnsi="MinionPro-Regular"/>
          <w:sz w:val="24"/>
          <w:szCs w:val="24"/>
          <w:lang w:val="es-ES_tradnl"/>
        </w:rPr>
        <w:t>,</w:t>
      </w:r>
      <w:r w:rsidRPr="00981369">
        <w:rPr>
          <w:rFonts w:ascii="MinionPro-Regular" w:hAnsi="MinionPro-Regular"/>
          <w:sz w:val="24"/>
          <w:szCs w:val="24"/>
          <w:lang w:val="es-ES_tradnl"/>
        </w:rPr>
        <w:t xml:space="preserve"> prestándoles los mismos servicios que </w:t>
      </w:r>
      <w:r>
        <w:rPr>
          <w:rFonts w:ascii="MinionPro-Regular" w:hAnsi="MinionPro-Regular"/>
          <w:sz w:val="24"/>
          <w:szCs w:val="24"/>
          <w:lang w:val="es-ES_tradnl"/>
        </w:rPr>
        <w:t>ofrecen</w:t>
      </w:r>
      <w:r w:rsidRPr="00981369">
        <w:rPr>
          <w:rFonts w:ascii="MinionPro-Regular" w:hAnsi="MinionPro-Regular"/>
          <w:sz w:val="24"/>
          <w:szCs w:val="24"/>
          <w:lang w:val="es-ES_tradnl"/>
        </w:rPr>
        <w:t xml:space="preserve"> </w:t>
      </w:r>
      <w:r>
        <w:rPr>
          <w:rFonts w:ascii="MinionPro-Regular" w:hAnsi="MinionPro-Regular"/>
          <w:sz w:val="24"/>
          <w:szCs w:val="24"/>
          <w:lang w:val="es-ES_tradnl"/>
        </w:rPr>
        <w:t>al conjunto de la población</w:t>
      </w:r>
      <w:r w:rsidRPr="00981369">
        <w:rPr>
          <w:rFonts w:ascii="MinionPro-Regular" w:hAnsi="MinionPro-Regular"/>
          <w:sz w:val="24"/>
          <w:szCs w:val="24"/>
          <w:lang w:val="es-ES_tradnl"/>
        </w:rPr>
        <w:t xml:space="preserve"> en lugar de referirlas a organismos especiales</w:t>
      </w:r>
      <w:r w:rsidR="00017C59" w:rsidRPr="004028BC">
        <w:rPr>
          <w:rFonts w:ascii="MinionPro-Regular" w:hAnsi="MinionPro-Regular"/>
          <w:sz w:val="24"/>
          <w:szCs w:val="24"/>
          <w:lang w:val="es-ES_tradnl"/>
        </w:rPr>
        <w:t>.</w:t>
      </w:r>
      <w:r w:rsidR="004028BC">
        <w:rPr>
          <w:rFonts w:ascii="MinionPro-Regular" w:hAnsi="MinionPro-Regular"/>
          <w:sz w:val="24"/>
          <w:szCs w:val="24"/>
          <w:lang w:val="es-ES_tradnl"/>
        </w:rPr>
        <w:t xml:space="preserve"> </w:t>
      </w:r>
      <w:r w:rsidR="009A79D3" w:rsidRPr="009A79D3">
        <w:rPr>
          <w:rFonts w:ascii="MinionPro-Regular" w:hAnsi="MinionPro-Regular"/>
          <w:sz w:val="24"/>
          <w:szCs w:val="24"/>
          <w:lang w:val="es-ES_tradnl"/>
        </w:rPr>
        <w:t>Durante las</w:t>
      </w:r>
      <w:r w:rsidR="00017C59" w:rsidRPr="009A79D3">
        <w:rPr>
          <w:rFonts w:ascii="MinionPro-Regular" w:hAnsi="MinionPro-Regular"/>
          <w:sz w:val="24"/>
          <w:szCs w:val="24"/>
          <w:lang w:val="es-ES_tradnl"/>
        </w:rPr>
        <w:t xml:space="preserve"> entrevistas a trabajadores con discapacidad durante las visitas a centros especiales de empleo</w:t>
      </w:r>
      <w:r w:rsidR="009A79D3" w:rsidRPr="009A79D3">
        <w:rPr>
          <w:rFonts w:ascii="MinionPro-Regular" w:hAnsi="MinionPro-Regular"/>
          <w:sz w:val="24"/>
          <w:szCs w:val="24"/>
          <w:lang w:val="es-ES_tradnl"/>
        </w:rPr>
        <w:t xml:space="preserve">, </w:t>
      </w:r>
      <w:r w:rsidR="00017C59" w:rsidRPr="009A79D3">
        <w:rPr>
          <w:rFonts w:ascii="MinionPro-Regular" w:hAnsi="MinionPro-Regular"/>
          <w:sz w:val="24"/>
          <w:szCs w:val="24"/>
          <w:lang w:val="es-ES_tradnl"/>
        </w:rPr>
        <w:t xml:space="preserve">el 34% de los </w:t>
      </w:r>
      <w:r w:rsidR="009A79D3" w:rsidRPr="009A79D3">
        <w:rPr>
          <w:rFonts w:ascii="MinionPro-Regular" w:hAnsi="MinionPro-Regular"/>
          <w:sz w:val="24"/>
          <w:szCs w:val="24"/>
          <w:lang w:val="es-ES_tradnl"/>
        </w:rPr>
        <w:t xml:space="preserve">consultados </w:t>
      </w:r>
      <w:r w:rsidR="00017C59" w:rsidRPr="009A79D3">
        <w:rPr>
          <w:rFonts w:ascii="MinionPro-Regular" w:hAnsi="MinionPro-Regular"/>
          <w:sz w:val="24"/>
          <w:szCs w:val="24"/>
          <w:lang w:val="es-ES_tradnl"/>
        </w:rPr>
        <w:t xml:space="preserve">respondió que </w:t>
      </w:r>
      <w:r w:rsidR="009A79D3" w:rsidRPr="009A79D3">
        <w:rPr>
          <w:rFonts w:ascii="MinionPro-Regular" w:hAnsi="MinionPro-Regular"/>
          <w:sz w:val="24"/>
          <w:szCs w:val="24"/>
          <w:lang w:val="es-ES_tradnl"/>
        </w:rPr>
        <w:t>encontró el empleo a</w:t>
      </w:r>
      <w:r w:rsidR="00017C59" w:rsidRPr="009A79D3">
        <w:rPr>
          <w:rFonts w:ascii="MinionPro-Regular" w:hAnsi="MinionPro-Regular"/>
          <w:sz w:val="24"/>
          <w:szCs w:val="24"/>
          <w:lang w:val="es-ES_tradnl"/>
        </w:rPr>
        <w:t xml:space="preserve"> través de la asociación de discapacidad a la que pertenecen.</w:t>
      </w:r>
      <w:r w:rsidR="009A79D3" w:rsidRPr="009A79D3">
        <w:rPr>
          <w:rFonts w:ascii="MinionPro-Regular" w:hAnsi="MinionPro-Regular"/>
          <w:sz w:val="24"/>
          <w:szCs w:val="24"/>
          <w:lang w:val="es-ES_tradnl"/>
        </w:rPr>
        <w:t xml:space="preserve"> Esta vía parece ser la más efectiva, de acuerdo a los datos que proporciona la consulta desarrollada, para que las personas con discapacidad encuentren un empleo. </w:t>
      </w:r>
    </w:p>
    <w:p w:rsidR="004028BC" w:rsidRDefault="004028BC" w:rsidP="006F3A94">
      <w:pPr>
        <w:autoSpaceDE w:val="0"/>
        <w:autoSpaceDN w:val="0"/>
        <w:spacing w:line="360" w:lineRule="auto"/>
        <w:jc w:val="both"/>
        <w:rPr>
          <w:rFonts w:ascii="MinionPro-Regular" w:hAnsi="MinionPro-Regular"/>
          <w:sz w:val="24"/>
          <w:szCs w:val="24"/>
          <w:lang w:val="es-ES_tradnl"/>
        </w:rPr>
      </w:pPr>
    </w:p>
    <w:p w:rsidR="009A79D3" w:rsidRDefault="00E2336B" w:rsidP="006F3A94">
      <w:pPr>
        <w:autoSpaceDE w:val="0"/>
        <w:autoSpaceDN w:val="0"/>
        <w:spacing w:line="360" w:lineRule="auto"/>
        <w:jc w:val="both"/>
        <w:rPr>
          <w:rFonts w:ascii="MinionPro-Regular" w:hAnsi="MinionPro-Regular"/>
          <w:color w:val="FF0000"/>
          <w:sz w:val="24"/>
          <w:szCs w:val="24"/>
          <w:lang w:val="es-ES_tradnl"/>
        </w:rPr>
      </w:pPr>
      <w:r w:rsidRPr="00981369">
        <w:rPr>
          <w:rFonts w:ascii="MinionPro-Regular" w:hAnsi="MinionPro-Regular"/>
          <w:sz w:val="24"/>
          <w:szCs w:val="24"/>
          <w:lang w:val="es-ES_tradnl"/>
        </w:rPr>
        <w:t xml:space="preserve"> </w:t>
      </w:r>
      <w:r w:rsidR="00F23441" w:rsidRPr="004028BC">
        <w:rPr>
          <w:rFonts w:ascii="MinionPro-Regular" w:hAnsi="MinionPro-Regular"/>
          <w:sz w:val="24"/>
          <w:szCs w:val="24"/>
          <w:lang w:val="es-ES_tradnl"/>
        </w:rPr>
        <w:t>En algunos países se observa un cambio de modelo en el que el objetivo ya no es sólo encontrar un puesto de trabajo sino que, partiendo de las habilidades y conocimientos de la persona con discapacidad, se trata de encontrar un acomodo que se ajuste a la persona, con el objetivo de dar lugar a una mayor satisfacción en el empleo y al desarrollo de carreras extendidas en el tiempo</w:t>
      </w:r>
      <w:r w:rsidR="00CD0211">
        <w:rPr>
          <w:rFonts w:ascii="MinionPro-Regular" w:hAnsi="MinionPro-Regular"/>
          <w:sz w:val="24"/>
          <w:szCs w:val="24"/>
          <w:lang w:val="es-ES_tradnl"/>
        </w:rPr>
        <w:t>.</w:t>
      </w:r>
      <w:r>
        <w:rPr>
          <w:rFonts w:ascii="MinionPro-Regular" w:hAnsi="MinionPro-Regular"/>
          <w:color w:val="FF0000"/>
          <w:sz w:val="24"/>
          <w:szCs w:val="24"/>
          <w:lang w:val="es-ES_tradnl"/>
        </w:rPr>
        <w:t xml:space="preserve"> </w:t>
      </w:r>
    </w:p>
    <w:p w:rsidR="009A79D3" w:rsidRDefault="009A79D3" w:rsidP="006F3A94">
      <w:pPr>
        <w:autoSpaceDE w:val="0"/>
        <w:autoSpaceDN w:val="0"/>
        <w:spacing w:line="360" w:lineRule="auto"/>
        <w:jc w:val="both"/>
        <w:rPr>
          <w:rFonts w:ascii="MinionPro-Regular" w:hAnsi="MinionPro-Regular"/>
          <w:color w:val="FF0000"/>
          <w:sz w:val="24"/>
          <w:szCs w:val="24"/>
          <w:lang w:val="es-ES_tradnl"/>
        </w:rPr>
      </w:pPr>
    </w:p>
    <w:p w:rsidR="00E2336B" w:rsidRPr="009A79D3" w:rsidRDefault="00E2336B" w:rsidP="006F3A94">
      <w:pPr>
        <w:autoSpaceDE w:val="0"/>
        <w:autoSpaceDN w:val="0"/>
        <w:spacing w:line="360" w:lineRule="auto"/>
        <w:jc w:val="both"/>
        <w:rPr>
          <w:rFonts w:ascii="MinionPro-Regular" w:hAnsi="MinionPro-Regular"/>
          <w:strike/>
          <w:sz w:val="24"/>
          <w:szCs w:val="24"/>
          <w:lang w:val="es-ES_tradnl"/>
        </w:rPr>
      </w:pPr>
      <w:r w:rsidRPr="009A79D3">
        <w:rPr>
          <w:rFonts w:ascii="MinionPro-Regular" w:hAnsi="MinionPro-Regular"/>
          <w:sz w:val="24"/>
          <w:szCs w:val="24"/>
          <w:lang w:val="es-ES_tradnl"/>
        </w:rPr>
        <w:t>Esto sugiere que, tanto los servicios públicos de empleo como las organizaciones ocupadas de la defensa de los derechos de las personas con discapacidad, podrían ampliar el rango de servicios que prestan en materia de acceso al empleo.</w:t>
      </w:r>
    </w:p>
    <w:p w:rsidR="00E2336B" w:rsidRPr="00981369" w:rsidRDefault="00E2336B" w:rsidP="006F3A94">
      <w:pPr>
        <w:autoSpaceDE w:val="0"/>
        <w:autoSpaceDN w:val="0"/>
        <w:spacing w:line="360" w:lineRule="auto"/>
        <w:jc w:val="both"/>
        <w:rPr>
          <w:rFonts w:ascii="MinionPro-Regular" w:hAnsi="MinionPro-Regular"/>
          <w:sz w:val="24"/>
          <w:szCs w:val="24"/>
          <w:lang w:val="es-ES_tradnl"/>
        </w:rPr>
      </w:pPr>
    </w:p>
    <w:p w:rsidR="00E2336B" w:rsidRDefault="00E2336B" w:rsidP="006F3A94">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En este ámbito, e</w:t>
      </w:r>
      <w:r w:rsidRPr="00981369">
        <w:rPr>
          <w:rFonts w:ascii="MinionPro-Regular" w:hAnsi="MinionPro-Regular"/>
          <w:sz w:val="24"/>
          <w:szCs w:val="24"/>
          <w:lang w:val="es-ES_tradnl"/>
        </w:rPr>
        <w:t>n el Reino Unido destaca la iniciativa</w:t>
      </w:r>
      <w:r>
        <w:rPr>
          <w:rFonts w:ascii="MinionPro-Regular" w:hAnsi="MinionPro-Regular"/>
          <w:sz w:val="24"/>
          <w:szCs w:val="24"/>
          <w:lang w:val="es-ES_tradnl"/>
        </w:rPr>
        <w:t xml:space="preserve"> </w:t>
      </w:r>
      <w:r w:rsidRPr="00981369">
        <w:rPr>
          <w:rFonts w:ascii="MinionPro-Regular" w:hAnsi="MinionPro-Regular"/>
          <w:sz w:val="24"/>
          <w:szCs w:val="24"/>
          <w:lang w:val="es-ES_tradnl"/>
        </w:rPr>
        <w:t>“Pathways to Work</w:t>
      </w:r>
      <w:r>
        <w:rPr>
          <w:rFonts w:ascii="MinionPro-Regular" w:hAnsi="MinionPro-Regular"/>
          <w:sz w:val="24"/>
          <w:szCs w:val="24"/>
          <w:lang w:val="es-ES_tradnl"/>
        </w:rPr>
        <w:t xml:space="preserve">”, impulsada en 2003, </w:t>
      </w:r>
      <w:r w:rsidRPr="00981369">
        <w:rPr>
          <w:rFonts w:ascii="MinionPro-Regular" w:hAnsi="MinionPro-Regular"/>
          <w:sz w:val="24"/>
          <w:szCs w:val="24"/>
          <w:lang w:val="es-ES_tradnl"/>
        </w:rPr>
        <w:t xml:space="preserve"> que proporciona apoyo en cuestiones relacionadas con la salud y el empleo a las personas con discapacidad.</w:t>
      </w:r>
      <w:r>
        <w:rPr>
          <w:rFonts w:ascii="MinionPro-Regular" w:hAnsi="MinionPro-Regular"/>
          <w:sz w:val="24"/>
          <w:szCs w:val="24"/>
          <w:lang w:val="es-ES_tradnl"/>
        </w:rPr>
        <w:t xml:space="preserve"> </w:t>
      </w:r>
      <w:r w:rsidRPr="00523850">
        <w:rPr>
          <w:rFonts w:ascii="MinionPro-Regular" w:hAnsi="MinionPro-Regular"/>
          <w:sz w:val="24"/>
          <w:szCs w:val="24"/>
          <w:lang w:val="es-ES_tradnl"/>
        </w:rPr>
        <w:t xml:space="preserve">Incluye </w:t>
      </w:r>
      <w:r>
        <w:rPr>
          <w:rFonts w:ascii="MinionPro-Regular" w:hAnsi="MinionPro-Regular"/>
          <w:sz w:val="24"/>
          <w:szCs w:val="24"/>
          <w:lang w:val="es-ES_tradnl"/>
        </w:rPr>
        <w:t>entrevistas de trabajo, que se celebran mensualmente durante un periodo de seis meses,</w:t>
      </w:r>
      <w:r w:rsidRPr="00523850">
        <w:rPr>
          <w:rFonts w:ascii="MinionPro-Regular" w:hAnsi="MinionPro-Regular"/>
          <w:sz w:val="24"/>
          <w:szCs w:val="24"/>
          <w:lang w:val="es-ES_tradnl"/>
        </w:rPr>
        <w:t xml:space="preserve"> así como otros servicios para ayudar a </w:t>
      </w:r>
      <w:r>
        <w:rPr>
          <w:rFonts w:ascii="MinionPro-Regular" w:hAnsi="MinionPro-Regular"/>
          <w:sz w:val="24"/>
          <w:szCs w:val="24"/>
          <w:lang w:val="es-ES_tradnl"/>
        </w:rPr>
        <w:t xml:space="preserve">incorporar al mercado de trabajo </w:t>
      </w:r>
      <w:r w:rsidRPr="00523850">
        <w:rPr>
          <w:rFonts w:ascii="MinionPro-Regular" w:hAnsi="MinionPro-Regular"/>
          <w:sz w:val="24"/>
          <w:szCs w:val="24"/>
          <w:lang w:val="es-ES_tradnl"/>
        </w:rPr>
        <w:t>a las personas con discapacidad.</w:t>
      </w:r>
      <w:r>
        <w:rPr>
          <w:rFonts w:ascii="MinionPro-Regular" w:hAnsi="MinionPro-Regular"/>
          <w:sz w:val="24"/>
          <w:szCs w:val="24"/>
          <w:lang w:val="es-ES_tradnl"/>
        </w:rPr>
        <w:t xml:space="preserve"> El</w:t>
      </w:r>
      <w:r w:rsidRPr="00523850">
        <w:rPr>
          <w:rFonts w:ascii="MinionPro-Regular" w:hAnsi="MinionPro-Regular"/>
          <w:sz w:val="24"/>
          <w:szCs w:val="24"/>
          <w:lang w:val="es-ES_tradnl"/>
        </w:rPr>
        <w:t xml:space="preserve"> </w:t>
      </w:r>
      <w:r>
        <w:rPr>
          <w:rFonts w:ascii="MinionPro-Regular" w:hAnsi="MinionPro-Regular"/>
          <w:sz w:val="24"/>
          <w:szCs w:val="24"/>
          <w:lang w:val="es-ES_tradnl"/>
        </w:rPr>
        <w:t xml:space="preserve">objetivo de las entrevistas es desarrollar un plan de acción personal que ayude a adquirir o recuperar las competencias que permitan la incorporación. Asesores personales ayudan a la </w:t>
      </w:r>
      <w:r>
        <w:rPr>
          <w:rFonts w:ascii="MinionPro-Regular" w:hAnsi="MinionPro-Regular"/>
          <w:sz w:val="24"/>
          <w:szCs w:val="24"/>
          <w:lang w:val="es-ES_tradnl"/>
        </w:rPr>
        <w:lastRenderedPageBreak/>
        <w:t xml:space="preserve">persona con discapacidad a buscar empleo, a encontrar formación relacionada ajustada a sus necesidades y le asisten a gestionar asuntos relacionados con la salud y la discapacidad. </w:t>
      </w:r>
    </w:p>
    <w:p w:rsidR="00E2336B" w:rsidRDefault="00E2336B" w:rsidP="006F3A94">
      <w:pPr>
        <w:autoSpaceDE w:val="0"/>
        <w:autoSpaceDN w:val="0"/>
        <w:spacing w:line="360" w:lineRule="auto"/>
        <w:jc w:val="both"/>
        <w:rPr>
          <w:rFonts w:ascii="MinionPro-Regular" w:hAnsi="MinionPro-Regular"/>
          <w:sz w:val="24"/>
          <w:szCs w:val="24"/>
          <w:lang w:val="es-ES_tradnl"/>
        </w:rPr>
      </w:pPr>
    </w:p>
    <w:p w:rsidR="00E2336B" w:rsidRDefault="00E2336B" w:rsidP="006F3A94">
      <w:pPr>
        <w:autoSpaceDE w:val="0"/>
        <w:autoSpaceDN w:val="0"/>
        <w:spacing w:line="360" w:lineRule="auto"/>
        <w:jc w:val="both"/>
        <w:rPr>
          <w:rFonts w:ascii="MinionPro-Regular" w:hAnsi="MinionPro-Regular"/>
          <w:sz w:val="24"/>
          <w:szCs w:val="24"/>
          <w:lang w:val="es-ES_tradnl"/>
        </w:rPr>
      </w:pPr>
      <w:r w:rsidRPr="00040F9A">
        <w:rPr>
          <w:rFonts w:ascii="MinionPro-Regular" w:hAnsi="MinionPro-Regular"/>
          <w:sz w:val="24"/>
          <w:szCs w:val="24"/>
          <w:lang w:val="es-ES_tradnl"/>
        </w:rPr>
        <w:t>Los programas de formación o rehabilitación tienen</w:t>
      </w:r>
      <w:r>
        <w:rPr>
          <w:rFonts w:ascii="MinionPro-Regular" w:hAnsi="MinionPro-Regular"/>
          <w:sz w:val="24"/>
          <w:szCs w:val="24"/>
          <w:lang w:val="es-ES_tradnl"/>
        </w:rPr>
        <w:t xml:space="preserve"> como objetivo desarrollar o restaurar las capacidades y competencias de las personas con discapacidad para que puedan participar en el mercado de empleo competitivo. Los servicios suelen consistir en la formación, asesoramiento y búsqueda. A este respecto cabe destacar que los programas de formación tradicionales suelen mostrar, en ocasiones, poca sintonía con las necesidades competenciales del sector privado y han tenido sólo un éxito relativo en la incorporación al empleo de las personas con discapacidad. En algunos países, como Suiza, las legislaciones han puesto el foco en la rehabilitación como sustituto de los subsidios, en lugar de considerar la rehabilitación como un paso previo a la percepción de prestaciones por discapacidad.</w:t>
      </w:r>
    </w:p>
    <w:p w:rsidR="00E2336B" w:rsidRDefault="00E2336B" w:rsidP="006F3A94">
      <w:pPr>
        <w:autoSpaceDE w:val="0"/>
        <w:autoSpaceDN w:val="0"/>
        <w:spacing w:line="360" w:lineRule="auto"/>
        <w:jc w:val="both"/>
        <w:rPr>
          <w:rFonts w:ascii="MinionPro-Regular" w:hAnsi="MinionPro-Regular"/>
          <w:sz w:val="24"/>
          <w:szCs w:val="24"/>
          <w:lang w:val="es-ES_tradnl"/>
        </w:rPr>
      </w:pPr>
    </w:p>
    <w:p w:rsidR="00E2336B" w:rsidRDefault="00E2336B" w:rsidP="006F3A94">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Este asunto está, asimismo, relacionado con la modificación de la naturaleza de los subsidios para generar mejores incentivos a la incorporación o al retorno al mercado de trabajo de las personas con discapacidad. Países como el Reino Unido y Holanda distinguen claramente, a la hora de otorgar ayudas, a las personas cuya discapacidad les impide desarrollar un empleo. La reforma que tuvo lugar en el Reino Unido en 2008 equiparó las prestaciones por discapacidad a las recibidas por desempleo, aunque el nivel económico de la prestación es más elevado. La percepción de la prestación lleva aparejada la obligación de mantener entrevistas de trabajo para encontrar un empleo.</w:t>
      </w:r>
    </w:p>
    <w:p w:rsidR="00E2336B" w:rsidRPr="00BF365F" w:rsidRDefault="00E2336B" w:rsidP="0007541A">
      <w:pPr>
        <w:pStyle w:val="Ttulo2"/>
        <w:numPr>
          <w:ilvl w:val="1"/>
          <w:numId w:val="3"/>
        </w:numPr>
        <w:ind w:left="0"/>
        <w:rPr>
          <w:rFonts w:ascii="MinionPro-Regular" w:hAnsi="MinionPro-Regular"/>
          <w:lang w:val="es-ES_tradnl"/>
        </w:rPr>
      </w:pPr>
      <w:bookmarkStart w:id="54" w:name="_Toc340340551"/>
      <w:bookmarkStart w:id="55" w:name="_Toc352773554"/>
      <w:r w:rsidRPr="00BF365F">
        <w:rPr>
          <w:rFonts w:ascii="MinionPro-Regular" w:hAnsi="MinionPro-Regular"/>
          <w:lang w:val="es-ES_tradnl"/>
        </w:rPr>
        <w:t>Ofreciendo una ventanilla única e incentivos públicos</w:t>
      </w:r>
      <w:bookmarkEnd w:id="54"/>
      <w:bookmarkEnd w:id="55"/>
    </w:p>
    <w:p w:rsidR="00E2336B" w:rsidRDefault="00E2336B" w:rsidP="006F3A94">
      <w:pPr>
        <w:autoSpaceDE w:val="0"/>
        <w:autoSpaceDN w:val="0"/>
        <w:spacing w:line="360" w:lineRule="auto"/>
        <w:jc w:val="both"/>
        <w:rPr>
          <w:rFonts w:ascii="MinionPro-Regular" w:hAnsi="MinionPro-Regular"/>
          <w:sz w:val="24"/>
          <w:szCs w:val="24"/>
          <w:lang w:val="es-ES_tradnl"/>
        </w:rPr>
      </w:pPr>
    </w:p>
    <w:p w:rsidR="00E2336B" w:rsidRDefault="00E2336B" w:rsidP="006F3A94">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lastRenderedPageBreak/>
        <w:t xml:space="preserve">Diferentes iniciativas nacionales tienen también como objetivo facilitar los trámites administrativos y burocráticos de las personas con discapacidad, aglutinando bajo un único organismo el conjunto de servicios y prestaciones a los que pueden acceder las personas con discapacidad. En el Reino Unido, “Job Centre Plus”, iniciativa constituida en 2001, aglutina los servicios de búsqueda de empleo, asesoramiento en materia de prestaciones y resto de servicios a la población en edad de trabajar. </w:t>
      </w:r>
    </w:p>
    <w:p w:rsidR="00E2336B" w:rsidRDefault="00E2336B" w:rsidP="006F3A94">
      <w:pPr>
        <w:autoSpaceDE w:val="0"/>
        <w:autoSpaceDN w:val="0"/>
        <w:spacing w:line="360" w:lineRule="auto"/>
        <w:jc w:val="both"/>
        <w:rPr>
          <w:rFonts w:ascii="MinionPro-Regular" w:hAnsi="MinionPro-Regular"/>
          <w:sz w:val="24"/>
          <w:szCs w:val="24"/>
          <w:lang w:val="es-ES_tradnl"/>
        </w:rPr>
      </w:pPr>
    </w:p>
    <w:p w:rsidR="00E2336B" w:rsidRDefault="00E2336B" w:rsidP="006F3A94">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También destacan las iniciativas orientadas a alinear de mejor modo los intereses de los poderes públicos ocupados en cuestiones relacionadas con la discapacidad. En Dinamarca, por ejemplo, las competencias en materia de apoyo a la discapacidad están transferidas desde el gobierno central a las autoridades locales. Sin embargo, las tasas de reembolso del gobierno central son más elevadas cuando los programas y gastos incurridos por las autoridades locales  tienen como objetivo la incorporación al mercado de trabajo de las personas con discapacidad que cuando se trata de otorgar meras prestaciones por discapacidad. Las autoridades locales tienen, por lo tanto y desde 1998, un incentivo a la promoción de las políticas activas de empleo frente a las prestaciones no contributivas.</w:t>
      </w:r>
    </w:p>
    <w:p w:rsidR="00E2336B" w:rsidRDefault="00E2336B" w:rsidP="006F3A94">
      <w:pPr>
        <w:autoSpaceDE w:val="0"/>
        <w:autoSpaceDN w:val="0"/>
        <w:spacing w:line="360" w:lineRule="auto"/>
        <w:jc w:val="both"/>
        <w:rPr>
          <w:rFonts w:ascii="MinionPro-Regular" w:hAnsi="MinionPro-Regular"/>
          <w:sz w:val="24"/>
          <w:szCs w:val="24"/>
          <w:lang w:val="es-ES_tradnl"/>
        </w:rPr>
      </w:pPr>
    </w:p>
    <w:p w:rsidR="00E2336B" w:rsidRDefault="00E2336B" w:rsidP="006F3A94">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En este ámbito pueden encontrarse las políticas de prestaciones finalistas, donde el monto de los incentivos está relacionado con la consecución de determinados objetivos.</w:t>
      </w:r>
    </w:p>
    <w:p w:rsidR="00E2336B" w:rsidRPr="00BF365F" w:rsidRDefault="00E2336B" w:rsidP="0007541A">
      <w:pPr>
        <w:pStyle w:val="Ttulo2"/>
        <w:numPr>
          <w:ilvl w:val="1"/>
          <w:numId w:val="3"/>
        </w:numPr>
        <w:ind w:left="0"/>
        <w:rPr>
          <w:rFonts w:ascii="MinionPro-Regular" w:hAnsi="MinionPro-Regular"/>
          <w:lang w:val="es-ES_tradnl"/>
        </w:rPr>
      </w:pPr>
      <w:bookmarkStart w:id="56" w:name="_Toc343587500"/>
      <w:bookmarkStart w:id="57" w:name="_Toc344314320"/>
      <w:bookmarkStart w:id="58" w:name="_Toc344386225"/>
      <w:bookmarkStart w:id="59" w:name="_Toc344402465"/>
      <w:bookmarkStart w:id="60" w:name="_Toc344964065"/>
      <w:bookmarkStart w:id="61" w:name="_Toc343587501"/>
      <w:bookmarkStart w:id="62" w:name="_Toc344314321"/>
      <w:bookmarkStart w:id="63" w:name="_Toc344386226"/>
      <w:bookmarkStart w:id="64" w:name="_Toc344402466"/>
      <w:bookmarkStart w:id="65" w:name="_Toc344964066"/>
      <w:bookmarkStart w:id="66" w:name="_Toc340340552"/>
      <w:bookmarkStart w:id="67" w:name="_Toc352773555"/>
      <w:bookmarkEnd w:id="56"/>
      <w:bookmarkEnd w:id="57"/>
      <w:bookmarkEnd w:id="58"/>
      <w:bookmarkEnd w:id="59"/>
      <w:bookmarkEnd w:id="60"/>
      <w:bookmarkEnd w:id="61"/>
      <w:bookmarkEnd w:id="62"/>
      <w:bookmarkEnd w:id="63"/>
      <w:bookmarkEnd w:id="64"/>
      <w:bookmarkEnd w:id="65"/>
      <w:r w:rsidRPr="00BF365F">
        <w:rPr>
          <w:rFonts w:ascii="MinionPro-Regular" w:hAnsi="MinionPro-Regular"/>
          <w:lang w:val="es-ES_tradnl"/>
        </w:rPr>
        <w:t>Desde el emprendimiento con discapacidad</w:t>
      </w:r>
      <w:bookmarkEnd w:id="66"/>
      <w:bookmarkEnd w:id="67"/>
    </w:p>
    <w:p w:rsidR="00E2336B" w:rsidRDefault="00E2336B" w:rsidP="006F3A94">
      <w:pPr>
        <w:autoSpaceDE w:val="0"/>
        <w:autoSpaceDN w:val="0"/>
        <w:spacing w:line="360" w:lineRule="auto"/>
        <w:jc w:val="both"/>
        <w:rPr>
          <w:rFonts w:ascii="MinionPro-Regular" w:hAnsi="MinionPro-Regular"/>
          <w:sz w:val="24"/>
          <w:szCs w:val="24"/>
          <w:lang w:val="es-ES_tradnl"/>
        </w:rPr>
      </w:pPr>
    </w:p>
    <w:p w:rsidR="00E2336B" w:rsidRDefault="00E2336B" w:rsidP="00313E49">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 xml:space="preserve">Las personas con discapacidad pueden construir sus propias oportunidades convirtiéndose en emprendedores. Sin embargo, la viabilidad de este tipo de enfoques es muy dependiente del contexto institucional y de la cultura del emprendimiento </w:t>
      </w:r>
      <w:r>
        <w:rPr>
          <w:rFonts w:ascii="MinionPro-Regular" w:hAnsi="MinionPro-Regular"/>
          <w:sz w:val="24"/>
          <w:szCs w:val="24"/>
          <w:lang w:val="es-ES_tradnl"/>
        </w:rPr>
        <w:lastRenderedPageBreak/>
        <w:t>existente en los distintos países. No sólo tiene que haber ideas, tiene que haber personas dispuestas a asumir el riesgo de llevarlas adelante. Pero también hace falta una administración que facilite el proceso y unas fuentes de financiación dispuestas a compartir el riesgo. En definitiva, tal y como ponía de manifiesto la e</w:t>
      </w:r>
      <w:r w:rsidRPr="00313E49">
        <w:rPr>
          <w:rFonts w:ascii="MinionPro-Regular" w:hAnsi="MinionPro-Regular"/>
          <w:sz w:val="24"/>
          <w:szCs w:val="24"/>
          <w:lang w:val="es-ES_tradnl"/>
        </w:rPr>
        <w:t>strategia global</w:t>
      </w:r>
      <w:r>
        <w:rPr>
          <w:rFonts w:ascii="MinionPro-Regular" w:hAnsi="MinionPro-Regular"/>
          <w:sz w:val="24"/>
          <w:szCs w:val="24"/>
          <w:lang w:val="es-ES_tradnl"/>
        </w:rPr>
        <w:t xml:space="preserve"> </w:t>
      </w:r>
      <w:r w:rsidRPr="00313E49">
        <w:rPr>
          <w:rFonts w:ascii="MinionPro-Regular" w:hAnsi="MinionPro-Regular"/>
          <w:sz w:val="24"/>
          <w:szCs w:val="24"/>
          <w:lang w:val="es-ES_tradnl"/>
        </w:rPr>
        <w:t>de acción</w:t>
      </w:r>
      <w:r>
        <w:rPr>
          <w:rFonts w:ascii="MinionPro-Regular" w:hAnsi="MinionPro-Regular"/>
          <w:sz w:val="24"/>
          <w:szCs w:val="24"/>
          <w:lang w:val="es-ES_tradnl"/>
        </w:rPr>
        <w:t xml:space="preserve"> </w:t>
      </w:r>
      <w:r w:rsidRPr="00313E49">
        <w:rPr>
          <w:rFonts w:ascii="MinionPro-Regular" w:hAnsi="MinionPro-Regular"/>
          <w:sz w:val="24"/>
          <w:szCs w:val="24"/>
          <w:lang w:val="es-ES_tradnl"/>
        </w:rPr>
        <w:t>para el empleo</w:t>
      </w:r>
      <w:r>
        <w:rPr>
          <w:rFonts w:ascii="MinionPro-Regular" w:hAnsi="MinionPro-Regular"/>
          <w:sz w:val="24"/>
          <w:szCs w:val="24"/>
          <w:lang w:val="es-ES_tradnl"/>
        </w:rPr>
        <w:t xml:space="preserve"> </w:t>
      </w:r>
      <w:r w:rsidRPr="00313E49">
        <w:rPr>
          <w:rFonts w:ascii="MinionPro-Regular" w:hAnsi="MinionPro-Regular"/>
          <w:sz w:val="24"/>
          <w:szCs w:val="24"/>
          <w:lang w:val="es-ES_tradnl"/>
        </w:rPr>
        <w:t>de personas</w:t>
      </w:r>
      <w:r>
        <w:rPr>
          <w:rFonts w:ascii="MinionPro-Regular" w:hAnsi="MinionPro-Regular"/>
          <w:sz w:val="24"/>
          <w:szCs w:val="24"/>
          <w:lang w:val="es-ES_tradnl"/>
        </w:rPr>
        <w:t xml:space="preserve"> </w:t>
      </w:r>
      <w:r w:rsidRPr="00313E49">
        <w:rPr>
          <w:rFonts w:ascii="MinionPro-Regular" w:hAnsi="MinionPro-Regular"/>
          <w:sz w:val="24"/>
          <w:szCs w:val="24"/>
          <w:lang w:val="es-ES_tradnl"/>
        </w:rPr>
        <w:t>con discapacidad</w:t>
      </w:r>
      <w:r>
        <w:rPr>
          <w:rFonts w:ascii="MinionPro-Regular" w:hAnsi="MinionPro-Regular"/>
          <w:sz w:val="24"/>
          <w:szCs w:val="24"/>
          <w:lang w:val="es-ES_tradnl"/>
        </w:rPr>
        <w:t xml:space="preserve"> </w:t>
      </w:r>
      <w:r w:rsidRPr="00313E49">
        <w:rPr>
          <w:rFonts w:ascii="MinionPro-Regular" w:hAnsi="MinionPro-Regular"/>
          <w:sz w:val="24"/>
          <w:szCs w:val="24"/>
          <w:lang w:val="es-ES_tradnl"/>
        </w:rPr>
        <w:t>2008-2012</w:t>
      </w:r>
      <w:r>
        <w:rPr>
          <w:rStyle w:val="Refdenotaalpie"/>
          <w:rFonts w:ascii="MinionPro-Regular" w:hAnsi="MinionPro-Regular"/>
          <w:sz w:val="24"/>
          <w:szCs w:val="24"/>
          <w:lang w:val="es-ES_tradnl"/>
        </w:rPr>
        <w:footnoteReference w:id="15"/>
      </w:r>
      <w:r>
        <w:rPr>
          <w:rFonts w:ascii="MinionPro-Regular" w:hAnsi="MinionPro-Regular"/>
          <w:sz w:val="24"/>
          <w:szCs w:val="24"/>
          <w:lang w:val="es-ES_tradnl"/>
        </w:rPr>
        <w:t xml:space="preserve">, aprobada en 2008, es necesario un marco institucional que propicie la constitución de nuevas empresas. Este marco institucional no es especialmente favorable en España. No debemos olvidar que, regularmente, informes como el “Doing Business Report” del Banco Mundial denuncian las innumerables trabas administrativas y dificultades burocráticas a las que se enfrentan los potenciales empresarios españoles. Adicionalmente, y en el caso de las personas con discapacidad, se suma la dificultad asociada al menor nivel educativo del que, en media, disfruta este colectivo. </w:t>
      </w:r>
    </w:p>
    <w:p w:rsidR="00E2336B" w:rsidRDefault="00E2336B" w:rsidP="00313E49">
      <w:pPr>
        <w:autoSpaceDE w:val="0"/>
        <w:autoSpaceDN w:val="0"/>
        <w:spacing w:line="360" w:lineRule="auto"/>
        <w:jc w:val="both"/>
        <w:rPr>
          <w:rFonts w:ascii="MinionPro-Regular" w:hAnsi="MinionPro-Regular"/>
          <w:sz w:val="24"/>
          <w:szCs w:val="24"/>
          <w:lang w:val="es-ES_tradnl"/>
        </w:rPr>
      </w:pPr>
    </w:p>
    <w:p w:rsidR="00E2336B" w:rsidRDefault="00E2336B">
      <w:pPr>
        <w:autoSpaceDE w:val="0"/>
        <w:autoSpaceDN w:val="0"/>
        <w:spacing w:line="360" w:lineRule="auto"/>
        <w:jc w:val="both"/>
        <w:rPr>
          <w:lang w:val="es-ES_tradnl"/>
        </w:rPr>
      </w:pPr>
      <w:r>
        <w:rPr>
          <w:rFonts w:ascii="MinionPro-Regular" w:hAnsi="MinionPro-Regular"/>
          <w:sz w:val="24"/>
          <w:szCs w:val="24"/>
          <w:lang w:val="es-ES_tradnl"/>
        </w:rPr>
        <w:t xml:space="preserve">La mencionada estrategia ponía sobre la mesa algunos asuntos que son relevantes para convertir al emprendimiento en una alternativa real para las personas con discapacidad. En primer lugar, es necesario disponer de una formación que permita contar con los conocimientos necesarios para iniciar una aventura empresarial. En segundo, debe existir un cierto apoyo a las iniciativas, especialmente aquellas que puedan desarrollarse en sectores prometedores o de alto valor añadido. En tercero, deben existir fórmulas de financiación que permitan a las personas con discapacidad contar con el capital necesario para poner en marcha sus iniciativas. En el caso de las personas con dispacidad, los elementos anteriores son doblemente importantes. </w:t>
      </w:r>
      <w:r w:rsidRPr="005C7ED7">
        <w:rPr>
          <w:rFonts w:ascii="MinionPro-Regular" w:hAnsi="MinionPro-Regular"/>
          <w:sz w:val="24"/>
          <w:szCs w:val="24"/>
          <w:lang w:val="es-ES_tradnl"/>
        </w:rPr>
        <w:t>“Disabled Entrepreneurship: A viable route of opportunity for the disabled?</w:t>
      </w:r>
      <w:r>
        <w:rPr>
          <w:rStyle w:val="Refdenotaalpie"/>
          <w:rFonts w:ascii="MinionPro-Regular" w:hAnsi="MinionPro-Regular"/>
          <w:sz w:val="24"/>
          <w:szCs w:val="24"/>
          <w:lang w:val="en-US"/>
        </w:rPr>
        <w:footnoteReference w:id="16"/>
      </w:r>
      <w:r w:rsidRPr="005C7ED7">
        <w:rPr>
          <w:rFonts w:ascii="MinionPro-Regular" w:hAnsi="MinionPro-Regular"/>
          <w:sz w:val="24"/>
          <w:szCs w:val="24"/>
          <w:lang w:val="es-ES_tradnl"/>
        </w:rPr>
        <w:t xml:space="preserve">” </w:t>
      </w:r>
      <w:r>
        <w:rPr>
          <w:rFonts w:ascii="MinionPro-Regular" w:hAnsi="MinionPro-Regular"/>
          <w:sz w:val="24"/>
          <w:szCs w:val="24"/>
          <w:lang w:val="es-ES_tradnl"/>
        </w:rPr>
        <w:t xml:space="preserve">pone de manifiesto </w:t>
      </w:r>
      <w:r>
        <w:rPr>
          <w:rFonts w:ascii="MinionPro-Regular" w:hAnsi="MinionPro-Regular"/>
          <w:sz w:val="24"/>
          <w:szCs w:val="24"/>
          <w:lang w:val="es-ES_tradnl"/>
        </w:rPr>
        <w:lastRenderedPageBreak/>
        <w:t xml:space="preserve">que el emprendimiento desde la discapacidad tiene un coste mayor y por lo tanto necesita un apoyo mayor. Esto se debe a que, en términos generales, la población con discapacidad sufre un mayor nivel de exclusión y falta de empoderamiento económico. </w:t>
      </w:r>
    </w:p>
    <w:p w:rsidR="00E2336B" w:rsidRDefault="00E2336B">
      <w:pPr>
        <w:autoSpaceDE w:val="0"/>
        <w:autoSpaceDN w:val="0"/>
        <w:spacing w:line="360" w:lineRule="auto"/>
        <w:jc w:val="both"/>
        <w:rPr>
          <w:lang w:val="es-ES_tradnl"/>
        </w:rPr>
      </w:pPr>
    </w:p>
    <w:p w:rsidR="00E2336B" w:rsidRPr="007F7879" w:rsidRDefault="00E2336B" w:rsidP="00C97E6B">
      <w:pPr>
        <w:pBdr>
          <w:top w:val="single" w:sz="4" w:space="1" w:color="auto"/>
          <w:left w:val="single" w:sz="4" w:space="4" w:color="auto"/>
          <w:bottom w:val="single" w:sz="4" w:space="1" w:color="auto"/>
          <w:right w:val="single" w:sz="4" w:space="4" w:color="auto"/>
        </w:pBdr>
        <w:autoSpaceDE w:val="0"/>
        <w:autoSpaceDN w:val="0"/>
        <w:spacing w:line="360" w:lineRule="auto"/>
        <w:jc w:val="both"/>
        <w:rPr>
          <w:rFonts w:ascii="MinionPro-Regular" w:hAnsi="MinionPro-Regular"/>
          <w:sz w:val="20"/>
          <w:szCs w:val="24"/>
          <w:u w:val="single"/>
        </w:rPr>
      </w:pPr>
      <w:r w:rsidRPr="00FA6637">
        <w:rPr>
          <w:rFonts w:ascii="MinionPro-Regular" w:hAnsi="MinionPro-Regular"/>
          <w:sz w:val="20"/>
          <w:szCs w:val="24"/>
          <w:u w:val="single"/>
          <w:lang w:val="es-ES_tradnl"/>
        </w:rPr>
        <w:t>Alinear incentivos para conseguir la integración</w:t>
      </w:r>
      <w:r>
        <w:rPr>
          <w:rFonts w:ascii="MinionPro-Regular" w:hAnsi="MinionPro-Regular"/>
          <w:sz w:val="20"/>
          <w:szCs w:val="24"/>
          <w:u w:val="single"/>
          <w:lang w:val="es-ES_tradnl"/>
        </w:rPr>
        <w:t>.</w:t>
      </w:r>
      <w:r w:rsidRPr="00B13AAC">
        <w:rPr>
          <w:rFonts w:ascii="MinionPro-Regular" w:hAnsi="MinionPro-Regular"/>
          <w:sz w:val="20"/>
          <w:szCs w:val="24"/>
          <w:u w:val="single"/>
          <w:lang w:val="es-ES_tradnl"/>
        </w:rPr>
        <w:t xml:space="preserve"> </w:t>
      </w:r>
      <w:r>
        <w:rPr>
          <w:rFonts w:ascii="MinionPro-Regular" w:hAnsi="MinionPro-Regular"/>
          <w:sz w:val="20"/>
          <w:szCs w:val="24"/>
          <w:u w:val="single"/>
          <w:lang w:val="es-ES_tradnl"/>
        </w:rPr>
        <w:t>Puntos principales</w:t>
      </w:r>
    </w:p>
    <w:p w:rsidR="00E2336B" w:rsidRDefault="00E2336B">
      <w:pPr>
        <w:pBdr>
          <w:top w:val="single" w:sz="4" w:space="1" w:color="auto"/>
          <w:left w:val="single" w:sz="4" w:space="4" w:color="auto"/>
          <w:bottom w:val="single" w:sz="4" w:space="1" w:color="auto"/>
          <w:right w:val="single" w:sz="4" w:space="4" w:color="auto"/>
        </w:pBdr>
        <w:autoSpaceDE w:val="0"/>
        <w:autoSpaceDN w:val="0"/>
        <w:spacing w:line="360" w:lineRule="auto"/>
        <w:jc w:val="both"/>
        <w:rPr>
          <w:rFonts w:ascii="MinionPro-Regular" w:hAnsi="MinionPro-Regular"/>
          <w:sz w:val="20"/>
          <w:lang w:val="es-ES_tradnl"/>
        </w:rPr>
      </w:pPr>
      <w:r w:rsidRPr="00455028">
        <w:rPr>
          <w:rFonts w:ascii="MinionPro-Regular" w:hAnsi="MinionPro-Regular"/>
          <w:sz w:val="20"/>
          <w:lang w:val="es-ES_tradnl"/>
        </w:rPr>
        <w:t xml:space="preserve">La plena integración </w:t>
      </w:r>
      <w:r>
        <w:rPr>
          <w:rFonts w:ascii="MinionPro-Regular" w:hAnsi="MinionPro-Regular"/>
          <w:sz w:val="20"/>
          <w:lang w:val="es-ES_tradnl"/>
        </w:rPr>
        <w:t>de las personas con discapacidad</w:t>
      </w:r>
      <w:r w:rsidRPr="00455028">
        <w:rPr>
          <w:rFonts w:ascii="MinionPro-Regular" w:hAnsi="MinionPro-Regular"/>
          <w:sz w:val="20"/>
          <w:lang w:val="es-ES_tradnl"/>
        </w:rPr>
        <w:t xml:space="preserve"> pasa por alinear los incentivos </w:t>
      </w:r>
      <w:r>
        <w:rPr>
          <w:rFonts w:ascii="MinionPro-Regular" w:hAnsi="MinionPro-Regular"/>
          <w:sz w:val="20"/>
          <w:lang w:val="es-ES_tradnl"/>
        </w:rPr>
        <w:t xml:space="preserve">de los actores involucrados </w:t>
      </w:r>
      <w:r w:rsidRPr="00455028">
        <w:rPr>
          <w:rFonts w:ascii="MinionPro-Regular" w:hAnsi="MinionPro-Regular"/>
          <w:sz w:val="20"/>
          <w:lang w:val="es-ES_tradnl"/>
        </w:rPr>
        <w:t xml:space="preserve">para que trabajen en la misma dirección: </w:t>
      </w:r>
    </w:p>
    <w:p w:rsidR="00E2336B" w:rsidRPr="00E03170" w:rsidRDefault="00E2336B" w:rsidP="0007541A">
      <w:pPr>
        <w:pStyle w:val="Prrafodelista"/>
        <w:numPr>
          <w:ilvl w:val="0"/>
          <w:numId w:val="22"/>
        </w:numPr>
        <w:pBdr>
          <w:top w:val="single" w:sz="4" w:space="1" w:color="auto"/>
          <w:left w:val="single" w:sz="4" w:space="4" w:color="auto"/>
          <w:bottom w:val="single" w:sz="4" w:space="1" w:color="auto"/>
          <w:right w:val="single" w:sz="4" w:space="4" w:color="auto"/>
        </w:pBdr>
        <w:autoSpaceDE w:val="0"/>
        <w:autoSpaceDN w:val="0"/>
        <w:spacing w:line="360" w:lineRule="auto"/>
        <w:jc w:val="both"/>
        <w:rPr>
          <w:rFonts w:ascii="MinionPro-Regular" w:hAnsi="MinionPro-Regular"/>
          <w:sz w:val="20"/>
          <w:lang w:val="es-ES_tradnl"/>
        </w:rPr>
      </w:pPr>
      <w:r w:rsidRPr="00E03170">
        <w:rPr>
          <w:rFonts w:ascii="MinionPro-Regular" w:hAnsi="MinionPro-Regular"/>
          <w:sz w:val="20"/>
          <w:lang w:val="es-ES_tradnl"/>
        </w:rPr>
        <w:t>Combatiendo la discriminación, tal y como se establece en la Convención Internacional sobre los Derechos de las Personas con Discapacidad de la Organización de las Naciones Unidas</w:t>
      </w:r>
      <w:r>
        <w:rPr>
          <w:rFonts w:ascii="MinionPro-Regular" w:hAnsi="MinionPro-Regular"/>
          <w:sz w:val="20"/>
          <w:lang w:val="es-ES_tradnl"/>
        </w:rPr>
        <w:t>.</w:t>
      </w:r>
    </w:p>
    <w:p w:rsidR="00E2336B" w:rsidRPr="00E03170" w:rsidRDefault="00E2336B" w:rsidP="0007541A">
      <w:pPr>
        <w:pStyle w:val="Prrafodelista"/>
        <w:numPr>
          <w:ilvl w:val="0"/>
          <w:numId w:val="22"/>
        </w:numPr>
        <w:pBdr>
          <w:top w:val="single" w:sz="4" w:space="1" w:color="auto"/>
          <w:left w:val="single" w:sz="4" w:space="4" w:color="auto"/>
          <w:bottom w:val="single" w:sz="4" w:space="1" w:color="auto"/>
          <w:right w:val="single" w:sz="4" w:space="4" w:color="auto"/>
        </w:pBdr>
        <w:autoSpaceDE w:val="0"/>
        <w:autoSpaceDN w:val="0"/>
        <w:spacing w:line="360" w:lineRule="auto"/>
        <w:jc w:val="both"/>
        <w:rPr>
          <w:rFonts w:ascii="MinionPro-Regular" w:hAnsi="MinionPro-Regular"/>
          <w:sz w:val="20"/>
          <w:lang w:val="es-ES_tradnl"/>
        </w:rPr>
      </w:pPr>
      <w:r w:rsidRPr="00E03170">
        <w:rPr>
          <w:rFonts w:ascii="MinionPro-Regular" w:hAnsi="MinionPro-Regular"/>
          <w:sz w:val="20"/>
          <w:lang w:val="es-ES_tradnl"/>
        </w:rPr>
        <w:t xml:space="preserve">Eliminando las barreras de entrada en el mercado laboral mediante el cumplimiento de las cuotas de reserva establecidas, tanto en el sector público como en el privado. Estas cuotas de reserva, además, podrían hacerse más exigentes mediante establecimiento de medidas más rigurosas en casos de incumplimiento, la extensión de las cuotas a compañías de menor tamaño </w:t>
      </w:r>
      <w:r w:rsidR="00F23441" w:rsidRPr="009A79D3">
        <w:rPr>
          <w:rFonts w:ascii="MinionPro-Regular" w:hAnsi="MinionPro-Regular"/>
          <w:sz w:val="20"/>
          <w:lang w:val="es-ES_tradnl"/>
        </w:rPr>
        <w:t>o la ampliación de los colectivos a los que las cuotas obligatorias pueden dar cabida</w:t>
      </w:r>
      <w:r w:rsidRPr="00E03170">
        <w:rPr>
          <w:rFonts w:ascii="MinionPro-Regular" w:hAnsi="MinionPro-Regular"/>
          <w:sz w:val="20"/>
          <w:lang w:val="es-ES_tradnl"/>
        </w:rPr>
        <w:t>, tal y como ocurre en otros países europeos.</w:t>
      </w:r>
    </w:p>
    <w:p w:rsidR="00E2336B" w:rsidRPr="00E03170" w:rsidRDefault="00E2336B" w:rsidP="0007541A">
      <w:pPr>
        <w:pStyle w:val="Prrafodelista"/>
        <w:numPr>
          <w:ilvl w:val="0"/>
          <w:numId w:val="22"/>
        </w:numPr>
        <w:pBdr>
          <w:top w:val="single" w:sz="4" w:space="1" w:color="auto"/>
          <w:left w:val="single" w:sz="4" w:space="4" w:color="auto"/>
          <w:bottom w:val="single" w:sz="4" w:space="1" w:color="auto"/>
          <w:right w:val="single" w:sz="4" w:space="4" w:color="auto"/>
        </w:pBdr>
        <w:autoSpaceDE w:val="0"/>
        <w:autoSpaceDN w:val="0"/>
        <w:spacing w:line="360" w:lineRule="auto"/>
        <w:jc w:val="both"/>
        <w:rPr>
          <w:rFonts w:ascii="MinionPro-Regular" w:hAnsi="MinionPro-Regular"/>
          <w:sz w:val="20"/>
          <w:lang w:val="es-ES_tradnl"/>
        </w:rPr>
      </w:pPr>
      <w:r w:rsidRPr="00E03170">
        <w:rPr>
          <w:rFonts w:ascii="MinionPro-Regular" w:hAnsi="MinionPro-Regular"/>
          <w:sz w:val="20"/>
          <w:lang w:val="es-ES_tradnl"/>
        </w:rPr>
        <w:t>Incentivando a empleados (asegurando empleos atractivos económicamente) y empleadores, (mediante beneficios fiscales, laborales o que tengan que ver con el apoyo para la adaptación de los puestos de trabajo).</w:t>
      </w:r>
    </w:p>
    <w:p w:rsidR="00E2336B" w:rsidRPr="00E03170" w:rsidRDefault="00E2336B" w:rsidP="0007541A">
      <w:pPr>
        <w:pStyle w:val="Prrafodelista"/>
        <w:numPr>
          <w:ilvl w:val="0"/>
          <w:numId w:val="22"/>
        </w:numPr>
        <w:pBdr>
          <w:top w:val="single" w:sz="4" w:space="1" w:color="auto"/>
          <w:left w:val="single" w:sz="4" w:space="4" w:color="auto"/>
          <w:bottom w:val="single" w:sz="4" w:space="1" w:color="auto"/>
          <w:right w:val="single" w:sz="4" w:space="4" w:color="auto"/>
        </w:pBdr>
        <w:autoSpaceDE w:val="0"/>
        <w:autoSpaceDN w:val="0"/>
        <w:spacing w:line="360" w:lineRule="auto"/>
        <w:jc w:val="both"/>
        <w:rPr>
          <w:rFonts w:ascii="MinionPro-Regular" w:hAnsi="MinionPro-Regular"/>
          <w:sz w:val="20"/>
          <w:lang w:val="es-ES_tradnl"/>
        </w:rPr>
      </w:pPr>
      <w:r w:rsidRPr="00E03170">
        <w:rPr>
          <w:rFonts w:ascii="MinionPro-Regular" w:hAnsi="MinionPro-Regular"/>
          <w:sz w:val="20"/>
          <w:lang w:val="es-ES_tradnl"/>
        </w:rPr>
        <w:t>Favoreciendo el empleo protegido ya que ha demostrado ser un caso de éxito en el empleo de personas con mayores discapacidades.</w:t>
      </w:r>
    </w:p>
    <w:p w:rsidR="00E2336B" w:rsidRPr="00E03170" w:rsidRDefault="00E2336B" w:rsidP="0007541A">
      <w:pPr>
        <w:pStyle w:val="Prrafodelista"/>
        <w:numPr>
          <w:ilvl w:val="0"/>
          <w:numId w:val="22"/>
        </w:numPr>
        <w:pBdr>
          <w:top w:val="single" w:sz="4" w:space="1" w:color="auto"/>
          <w:left w:val="single" w:sz="4" w:space="4" w:color="auto"/>
          <w:bottom w:val="single" w:sz="4" w:space="1" w:color="auto"/>
          <w:right w:val="single" w:sz="4" w:space="4" w:color="auto"/>
        </w:pBdr>
        <w:autoSpaceDE w:val="0"/>
        <w:autoSpaceDN w:val="0"/>
        <w:spacing w:line="360" w:lineRule="auto"/>
        <w:jc w:val="both"/>
        <w:rPr>
          <w:rFonts w:ascii="MinionPro-Regular" w:hAnsi="MinionPro-Regular"/>
          <w:sz w:val="20"/>
          <w:lang w:val="es-ES_tradnl"/>
        </w:rPr>
      </w:pPr>
      <w:r w:rsidRPr="00AB7D16">
        <w:rPr>
          <w:rFonts w:ascii="MinionPro-Regular" w:hAnsi="MinionPro-Regular"/>
          <w:sz w:val="20"/>
          <w:lang w:val="es-ES_tradnl"/>
        </w:rPr>
        <w:t>Potenciando la labor de las agencias públicas de empleo en lo que a discapacidad se refiere</w:t>
      </w:r>
      <w:r w:rsidR="00AB7D16" w:rsidRPr="00AB7D16">
        <w:rPr>
          <w:rFonts w:ascii="MinionPro-Regular" w:hAnsi="MinionPro-Regular"/>
          <w:sz w:val="20"/>
          <w:lang w:val="es-ES_tradnl"/>
        </w:rPr>
        <w:t>,</w:t>
      </w:r>
      <w:r w:rsidRPr="00AB7D16">
        <w:rPr>
          <w:rFonts w:ascii="MinionPro-Regular" w:hAnsi="MinionPro-Regular"/>
          <w:sz w:val="20"/>
          <w:lang w:val="es-ES_tradnl"/>
        </w:rPr>
        <w:t xml:space="preserve"> y a los servicios </w:t>
      </w:r>
      <w:r w:rsidR="00AB7D16" w:rsidRPr="00AB7D16">
        <w:rPr>
          <w:rFonts w:ascii="MinionPro-Regular" w:hAnsi="MinionPro-Regular"/>
          <w:sz w:val="20"/>
          <w:lang w:val="es-ES_tradnl"/>
        </w:rPr>
        <w:t>específicos</w:t>
      </w:r>
      <w:r w:rsidRPr="00AB7D16">
        <w:rPr>
          <w:rFonts w:ascii="MinionPro-Regular" w:hAnsi="MinionPro-Regular"/>
          <w:sz w:val="20"/>
          <w:lang w:val="es-ES_tradnl"/>
        </w:rPr>
        <w:t xml:space="preserve"> de las entidades del movimiento </w:t>
      </w:r>
      <w:r w:rsidR="00AB7D16" w:rsidRPr="00AB7D16">
        <w:rPr>
          <w:rFonts w:ascii="MinionPro-Regular" w:hAnsi="MinionPro-Regular"/>
          <w:sz w:val="20"/>
          <w:lang w:val="es-ES_tradnl"/>
        </w:rPr>
        <w:t>asociativo</w:t>
      </w:r>
      <w:r w:rsidRPr="00AB7D16">
        <w:rPr>
          <w:rFonts w:ascii="MinionPro-Regular" w:hAnsi="MinionPro-Regular"/>
          <w:sz w:val="20"/>
          <w:lang w:val="es-ES_tradnl"/>
        </w:rPr>
        <w:t xml:space="preserve"> de la discapacidad</w:t>
      </w:r>
      <w:r>
        <w:rPr>
          <w:rFonts w:ascii="MinionPro-Regular" w:hAnsi="MinionPro-Regular"/>
          <w:color w:val="FF0000"/>
          <w:sz w:val="20"/>
          <w:lang w:val="es-ES_tradnl"/>
        </w:rPr>
        <w:t xml:space="preserve"> </w:t>
      </w:r>
      <w:r w:rsidRPr="00E03170">
        <w:rPr>
          <w:rFonts w:ascii="MinionPro-Regular" w:hAnsi="MinionPro-Regular"/>
          <w:sz w:val="20"/>
          <w:lang w:val="es-ES_tradnl"/>
        </w:rPr>
        <w:t>para que, partiendo de las habilidades y conocimientos de la persona con discapacidad, puedan encontrar un empleo que se ajuste a la persona.</w:t>
      </w:r>
    </w:p>
    <w:p w:rsidR="00E2336B" w:rsidRPr="00B13AAC" w:rsidRDefault="00E2336B" w:rsidP="0007541A">
      <w:pPr>
        <w:pStyle w:val="Prrafodelista"/>
        <w:numPr>
          <w:ilvl w:val="0"/>
          <w:numId w:val="22"/>
        </w:numPr>
        <w:pBdr>
          <w:top w:val="single" w:sz="4" w:space="1" w:color="auto"/>
          <w:left w:val="single" w:sz="4" w:space="4" w:color="auto"/>
          <w:bottom w:val="single" w:sz="4" w:space="1" w:color="auto"/>
          <w:right w:val="single" w:sz="4" w:space="4" w:color="auto"/>
        </w:pBdr>
        <w:autoSpaceDE w:val="0"/>
        <w:autoSpaceDN w:val="0"/>
        <w:spacing w:line="360" w:lineRule="auto"/>
        <w:jc w:val="both"/>
        <w:rPr>
          <w:rFonts w:ascii="MinionPro-Regular" w:hAnsi="MinionPro-Regular"/>
          <w:sz w:val="20"/>
          <w:lang w:val="es-ES_tradnl"/>
        </w:rPr>
      </w:pPr>
      <w:r w:rsidRPr="00E03170">
        <w:rPr>
          <w:rFonts w:ascii="MinionPro-Regular" w:hAnsi="MinionPro-Regular"/>
          <w:sz w:val="20"/>
          <w:lang w:val="es-ES_tradnl"/>
        </w:rPr>
        <w:t>Facilitando los trámites administrativos que existen y apoyando a los emprendedores facilitando la constitución de nuevas empresas, favoreciendo la financiación, dando apoyo a la formación y a las iniciativas de alto valor añadido</w:t>
      </w:r>
      <w:r>
        <w:rPr>
          <w:rFonts w:ascii="MinionPro-Regular" w:hAnsi="MinionPro-Regular"/>
          <w:sz w:val="20"/>
          <w:lang w:val="es-ES_tradnl"/>
        </w:rPr>
        <w:t>.</w:t>
      </w:r>
    </w:p>
    <w:p w:rsidR="00E2336B" w:rsidRPr="00347B59" w:rsidRDefault="00E2336B" w:rsidP="0007541A">
      <w:pPr>
        <w:pStyle w:val="Ttulo1"/>
        <w:numPr>
          <w:ilvl w:val="0"/>
          <w:numId w:val="3"/>
        </w:numPr>
        <w:rPr>
          <w:rFonts w:ascii="MinionPro-Regular" w:hAnsi="MinionPro-Regular"/>
          <w:lang w:val="es-ES_tradnl"/>
        </w:rPr>
      </w:pPr>
      <w:r>
        <w:rPr>
          <w:lang w:val="es-ES_tradnl"/>
        </w:rPr>
        <w:br w:type="page"/>
      </w:r>
      <w:bookmarkStart w:id="68" w:name="_Toc352773556"/>
      <w:r w:rsidRPr="00347B59">
        <w:rPr>
          <w:rFonts w:ascii="MinionPro-Regular" w:hAnsi="MinionPro-Regular"/>
          <w:lang w:val="es-ES_tradnl"/>
        </w:rPr>
        <w:lastRenderedPageBreak/>
        <w:t>Retrato de los centros especiales de empleo en España</w:t>
      </w:r>
      <w:bookmarkEnd w:id="68"/>
    </w:p>
    <w:p w:rsidR="00E2336B" w:rsidRPr="00513D7C" w:rsidRDefault="00E2336B" w:rsidP="00890FE5">
      <w:pPr>
        <w:pStyle w:val="Textoindependiente"/>
        <w:rPr>
          <w:lang w:val="es-ES_tradnl"/>
        </w:rPr>
      </w:pPr>
    </w:p>
    <w:p w:rsidR="00E2336B" w:rsidRDefault="00E2336B" w:rsidP="00890FE5">
      <w:pPr>
        <w:autoSpaceDE w:val="0"/>
        <w:autoSpaceDN w:val="0"/>
        <w:spacing w:line="360" w:lineRule="auto"/>
        <w:jc w:val="both"/>
        <w:rPr>
          <w:rFonts w:ascii="MinionPro-Regular" w:hAnsi="MinionPro-Regular"/>
          <w:sz w:val="24"/>
          <w:szCs w:val="24"/>
          <w:lang w:val="es-ES_tradnl"/>
        </w:rPr>
      </w:pPr>
      <w:r w:rsidRPr="008B461D">
        <w:rPr>
          <w:rFonts w:ascii="MinionPro-Regular" w:hAnsi="MinionPro-Regular"/>
          <w:sz w:val="24"/>
          <w:szCs w:val="24"/>
          <w:lang w:val="es-ES_tradnl"/>
        </w:rPr>
        <w:t xml:space="preserve">Los centros especiales de empleo </w:t>
      </w:r>
      <w:r>
        <w:rPr>
          <w:rFonts w:ascii="MinionPro-Regular" w:hAnsi="MinionPro-Regular"/>
          <w:sz w:val="24"/>
          <w:szCs w:val="24"/>
          <w:lang w:val="es-ES_tradnl"/>
        </w:rPr>
        <w:t>surgen en España a resultas</w:t>
      </w:r>
      <w:r w:rsidRPr="008B461D">
        <w:rPr>
          <w:rFonts w:ascii="MinionPro-Regular" w:hAnsi="MinionPro-Regular"/>
          <w:sz w:val="24"/>
          <w:szCs w:val="24"/>
          <w:lang w:val="es-ES_tradnl"/>
        </w:rPr>
        <w:t xml:space="preserve"> de la Ley de Integración Social de los Minusválidos (LISMI) en el año 1982. Si bien se trata de </w:t>
      </w:r>
      <w:r>
        <w:rPr>
          <w:rFonts w:ascii="MinionPro-Regular" w:hAnsi="MinionPro-Regular"/>
          <w:sz w:val="24"/>
          <w:szCs w:val="24"/>
          <w:lang w:val="es-ES_tradnl"/>
        </w:rPr>
        <w:t xml:space="preserve">una </w:t>
      </w:r>
      <w:r w:rsidRPr="008B461D">
        <w:rPr>
          <w:rFonts w:ascii="MinionPro-Regular" w:hAnsi="MinionPro-Regular"/>
          <w:sz w:val="24"/>
          <w:szCs w:val="24"/>
          <w:lang w:val="es-ES_tradnl"/>
        </w:rPr>
        <w:t xml:space="preserve">normativa estatal, </w:t>
      </w:r>
      <w:r>
        <w:rPr>
          <w:rFonts w:ascii="MinionPro-Regular" w:hAnsi="MinionPro-Regular"/>
          <w:sz w:val="24"/>
          <w:szCs w:val="24"/>
          <w:lang w:val="es-ES_tradnl"/>
        </w:rPr>
        <w:t>las</w:t>
      </w:r>
      <w:r w:rsidRPr="008B461D">
        <w:rPr>
          <w:rFonts w:ascii="MinionPro-Regular" w:hAnsi="MinionPro-Regular"/>
          <w:sz w:val="24"/>
          <w:szCs w:val="24"/>
          <w:lang w:val="es-ES_tradnl"/>
        </w:rPr>
        <w:t xml:space="preserve"> competencias de gestión de los </w:t>
      </w:r>
      <w:r w:rsidRPr="00A75D50">
        <w:rPr>
          <w:rFonts w:ascii="MinionPro-Regular" w:hAnsi="MinionPro-Regular"/>
          <w:sz w:val="24"/>
          <w:szCs w:val="24"/>
          <w:lang w:val="es-ES_tradnl"/>
        </w:rPr>
        <w:t xml:space="preserve">centros especiales de empleo </w:t>
      </w:r>
      <w:r>
        <w:rPr>
          <w:rFonts w:ascii="MinionPro-Regular" w:hAnsi="MinionPro-Regular"/>
          <w:sz w:val="24"/>
          <w:szCs w:val="24"/>
          <w:lang w:val="es-ES_tradnl"/>
        </w:rPr>
        <w:t>fueron paulatinamente traspasadas a las comunidades autónomas</w:t>
      </w:r>
      <w:r w:rsidRPr="008B461D">
        <w:rPr>
          <w:rFonts w:ascii="MinionPro-Regular" w:hAnsi="MinionPro-Regular"/>
          <w:sz w:val="24"/>
          <w:szCs w:val="24"/>
          <w:lang w:val="es-ES_tradnl"/>
        </w:rPr>
        <w:t xml:space="preserve">. </w:t>
      </w:r>
      <w:r>
        <w:rPr>
          <w:rFonts w:ascii="MinionPro-Regular" w:hAnsi="MinionPro-Regular"/>
          <w:sz w:val="24"/>
          <w:szCs w:val="24"/>
          <w:lang w:val="es-ES_tradnl"/>
        </w:rPr>
        <w:t>H</w:t>
      </w:r>
      <w:r w:rsidRPr="008B461D">
        <w:rPr>
          <w:rFonts w:ascii="MinionPro-Regular" w:hAnsi="MinionPro-Regular"/>
          <w:sz w:val="24"/>
          <w:szCs w:val="24"/>
          <w:lang w:val="es-ES_tradnl"/>
        </w:rPr>
        <w:t>oy</w:t>
      </w:r>
      <w:r>
        <w:rPr>
          <w:rFonts w:ascii="MinionPro-Regular" w:hAnsi="MinionPro-Regular"/>
          <w:sz w:val="24"/>
          <w:szCs w:val="24"/>
          <w:lang w:val="es-ES_tradnl"/>
        </w:rPr>
        <w:t>,</w:t>
      </w:r>
      <w:r w:rsidRPr="008B461D">
        <w:rPr>
          <w:rFonts w:ascii="MinionPro-Regular" w:hAnsi="MinionPro-Regular"/>
          <w:sz w:val="24"/>
          <w:szCs w:val="24"/>
          <w:lang w:val="es-ES_tradnl"/>
        </w:rPr>
        <w:t xml:space="preserve"> los </w:t>
      </w:r>
      <w:r w:rsidRPr="00A75D50">
        <w:rPr>
          <w:rFonts w:ascii="MinionPro-Regular" w:hAnsi="MinionPro-Regular"/>
          <w:sz w:val="24"/>
          <w:szCs w:val="24"/>
          <w:lang w:val="es-ES_tradnl"/>
        </w:rPr>
        <w:t xml:space="preserve">centros especiales de empleo </w:t>
      </w:r>
      <w:r w:rsidRPr="008B461D">
        <w:rPr>
          <w:rFonts w:ascii="MinionPro-Regular" w:hAnsi="MinionPro-Regular"/>
          <w:sz w:val="24"/>
          <w:szCs w:val="24"/>
          <w:lang w:val="es-ES_tradnl"/>
        </w:rPr>
        <w:t>están incluidos en las políticas activas de empleo de las comunidades autónomas a excepción de las ciudades autónomas de Ceuta y</w:t>
      </w:r>
      <w:r>
        <w:rPr>
          <w:rFonts w:ascii="MinionPro-Regular" w:hAnsi="MinionPro-Regular"/>
          <w:sz w:val="24"/>
          <w:szCs w:val="24"/>
          <w:lang w:val="es-ES_tradnl"/>
        </w:rPr>
        <w:t xml:space="preserve"> de</w:t>
      </w:r>
      <w:r w:rsidRPr="008B461D">
        <w:rPr>
          <w:rFonts w:ascii="MinionPro-Regular" w:hAnsi="MinionPro-Regular"/>
          <w:sz w:val="24"/>
          <w:szCs w:val="24"/>
          <w:lang w:val="es-ES_tradnl"/>
        </w:rPr>
        <w:t xml:space="preserve"> Melilla, </w:t>
      </w:r>
      <w:r>
        <w:rPr>
          <w:rFonts w:ascii="MinionPro-Regular" w:hAnsi="MinionPro-Regular"/>
          <w:sz w:val="24"/>
          <w:szCs w:val="24"/>
          <w:lang w:val="es-ES_tradnl"/>
        </w:rPr>
        <w:t>donde</w:t>
      </w:r>
      <w:r w:rsidRPr="008B461D">
        <w:rPr>
          <w:rFonts w:ascii="MinionPro-Regular" w:hAnsi="MinionPro-Regular"/>
          <w:sz w:val="24"/>
          <w:szCs w:val="24"/>
          <w:lang w:val="es-ES_tradnl"/>
        </w:rPr>
        <w:t xml:space="preserve"> siguen siendo competencia del Servicio Público de Empleo Estatal (SPEE).</w:t>
      </w:r>
    </w:p>
    <w:p w:rsidR="00E2336B" w:rsidRDefault="00E2336B" w:rsidP="008B461D">
      <w:pPr>
        <w:rPr>
          <w:rFonts w:ascii="MinionPro-Regular" w:hAnsi="MinionPro-Regular"/>
          <w:sz w:val="24"/>
          <w:szCs w:val="24"/>
          <w:lang w:val="es-ES_tradnl"/>
        </w:rPr>
      </w:pPr>
    </w:p>
    <w:p w:rsidR="00E2336B" w:rsidRDefault="00E2336B" w:rsidP="00890FE5">
      <w:pPr>
        <w:autoSpaceDE w:val="0"/>
        <w:autoSpaceDN w:val="0"/>
        <w:spacing w:line="360" w:lineRule="auto"/>
        <w:jc w:val="both"/>
        <w:rPr>
          <w:rFonts w:ascii="MinionPro-Regular" w:hAnsi="MinionPro-Regular"/>
          <w:sz w:val="24"/>
          <w:szCs w:val="24"/>
          <w:lang w:val="es-ES_tradnl"/>
        </w:rPr>
      </w:pPr>
      <w:r w:rsidRPr="008B461D">
        <w:rPr>
          <w:rFonts w:ascii="MinionPro-Regular" w:hAnsi="MinionPro-Regular"/>
          <w:sz w:val="24"/>
          <w:szCs w:val="24"/>
          <w:lang w:val="es-ES_tradnl"/>
        </w:rPr>
        <w:t xml:space="preserve">Para ser constituidos como tales, los </w:t>
      </w:r>
      <w:r w:rsidRPr="00A75D50">
        <w:rPr>
          <w:rFonts w:ascii="MinionPro-Regular" w:hAnsi="MinionPro-Regular"/>
          <w:sz w:val="24"/>
          <w:szCs w:val="24"/>
          <w:lang w:val="es-ES_tradnl"/>
        </w:rPr>
        <w:t xml:space="preserve">centros especiales de empleo </w:t>
      </w:r>
      <w:r w:rsidRPr="008B461D">
        <w:rPr>
          <w:rFonts w:ascii="MinionPro-Regular" w:hAnsi="MinionPro-Regular"/>
          <w:sz w:val="24"/>
          <w:szCs w:val="24"/>
          <w:lang w:val="es-ES_tradnl"/>
        </w:rPr>
        <w:t xml:space="preserve">han de </w:t>
      </w:r>
      <w:r>
        <w:rPr>
          <w:rFonts w:ascii="MinionPro-Regular" w:hAnsi="MinionPro-Regular"/>
          <w:sz w:val="24"/>
          <w:szCs w:val="24"/>
          <w:lang w:val="es-ES_tradnl"/>
        </w:rPr>
        <w:t xml:space="preserve">solicitar a </w:t>
      </w:r>
      <w:r w:rsidRPr="008B461D">
        <w:rPr>
          <w:rFonts w:ascii="MinionPro-Regular" w:hAnsi="MinionPro-Regular"/>
          <w:sz w:val="24"/>
          <w:szCs w:val="24"/>
          <w:lang w:val="es-ES_tradnl"/>
        </w:rPr>
        <w:t>la administración públic</w:t>
      </w:r>
      <w:r>
        <w:rPr>
          <w:rFonts w:ascii="MinionPro-Regular" w:hAnsi="MinionPro-Regular"/>
          <w:sz w:val="24"/>
          <w:szCs w:val="24"/>
          <w:lang w:val="es-ES_tradnl"/>
        </w:rPr>
        <w:t xml:space="preserve">a </w:t>
      </w:r>
      <w:r w:rsidRPr="008B461D">
        <w:rPr>
          <w:rFonts w:ascii="MinionPro-Regular" w:hAnsi="MinionPro-Regular"/>
          <w:sz w:val="24"/>
          <w:szCs w:val="24"/>
          <w:lang w:val="es-ES_tradnl"/>
        </w:rPr>
        <w:t xml:space="preserve"> </w:t>
      </w:r>
      <w:r w:rsidRPr="00AB7D16">
        <w:rPr>
          <w:rFonts w:ascii="MinionPro-Regular" w:hAnsi="MinionPro-Regular"/>
          <w:sz w:val="24"/>
          <w:szCs w:val="24"/>
          <w:lang w:val="es-ES_tradnl"/>
        </w:rPr>
        <w:t xml:space="preserve">su calificación </w:t>
      </w:r>
      <w:r w:rsidRPr="008B461D">
        <w:rPr>
          <w:rFonts w:ascii="MinionPro-Regular" w:hAnsi="MinionPro-Regular"/>
          <w:sz w:val="24"/>
          <w:szCs w:val="24"/>
          <w:lang w:val="es-ES_tradnl"/>
        </w:rPr>
        <w:t xml:space="preserve">que </w:t>
      </w:r>
      <w:r>
        <w:rPr>
          <w:rFonts w:ascii="MinionPro-Regular" w:hAnsi="MinionPro-Regular"/>
          <w:sz w:val="24"/>
          <w:szCs w:val="24"/>
          <w:lang w:val="es-ES_tradnl"/>
        </w:rPr>
        <w:t xml:space="preserve">determine su naturaleza. Esto implica que deben formar parte de un </w:t>
      </w:r>
      <w:r w:rsidRPr="008B461D">
        <w:rPr>
          <w:rFonts w:ascii="MinionPro-Regular" w:hAnsi="MinionPro-Regular"/>
          <w:sz w:val="24"/>
          <w:szCs w:val="24"/>
          <w:lang w:val="es-ES_tradnl"/>
        </w:rPr>
        <w:t xml:space="preserve">registro </w:t>
      </w:r>
      <w:r>
        <w:rPr>
          <w:rFonts w:ascii="MinionPro-Regular" w:hAnsi="MinionPro-Regular"/>
          <w:sz w:val="24"/>
          <w:szCs w:val="24"/>
          <w:lang w:val="es-ES_tradnl"/>
        </w:rPr>
        <w:t>público a</w:t>
      </w:r>
      <w:r w:rsidRPr="008B461D">
        <w:rPr>
          <w:rFonts w:ascii="MinionPro-Regular" w:hAnsi="MinionPro-Regular"/>
          <w:sz w:val="24"/>
          <w:szCs w:val="24"/>
          <w:lang w:val="es-ES_tradnl"/>
        </w:rPr>
        <w:t xml:space="preserve"> efectos de control y de </w:t>
      </w:r>
      <w:r>
        <w:rPr>
          <w:rFonts w:ascii="MinionPro-Regular" w:hAnsi="MinionPro-Regular"/>
          <w:sz w:val="24"/>
          <w:szCs w:val="24"/>
          <w:lang w:val="es-ES_tradnl"/>
        </w:rPr>
        <w:t>poder percibir las</w:t>
      </w:r>
      <w:r w:rsidRPr="008B461D">
        <w:rPr>
          <w:rFonts w:ascii="MinionPro-Regular" w:hAnsi="MinionPro-Regular"/>
          <w:sz w:val="24"/>
          <w:szCs w:val="24"/>
          <w:lang w:val="es-ES_tradnl"/>
        </w:rPr>
        <w:t xml:space="preserve"> distintas ayudas </w:t>
      </w:r>
      <w:r>
        <w:rPr>
          <w:rFonts w:ascii="MinionPro-Regular" w:hAnsi="MinionPro-Regular"/>
          <w:sz w:val="24"/>
          <w:szCs w:val="24"/>
          <w:lang w:val="es-ES_tradnl"/>
        </w:rPr>
        <w:t>públicas</w:t>
      </w:r>
      <w:r w:rsidRPr="008B461D">
        <w:rPr>
          <w:rFonts w:ascii="MinionPro-Regular" w:hAnsi="MinionPro-Regular"/>
          <w:sz w:val="24"/>
          <w:szCs w:val="24"/>
          <w:lang w:val="es-ES_tradnl"/>
        </w:rPr>
        <w:t>.</w:t>
      </w:r>
      <w:r>
        <w:rPr>
          <w:rFonts w:ascii="MinionPro-Regular" w:hAnsi="MinionPro-Regular"/>
          <w:sz w:val="24"/>
          <w:szCs w:val="24"/>
          <w:lang w:val="es-ES_tradnl"/>
        </w:rPr>
        <w:t xml:space="preserve"> Los requisitos normativos establecidos en España establecen que los centros deben estar formados por</w:t>
      </w:r>
      <w:r w:rsidRPr="008B461D">
        <w:rPr>
          <w:rFonts w:ascii="MinionPro-Regular" w:hAnsi="MinionPro-Regular"/>
          <w:sz w:val="24"/>
          <w:szCs w:val="24"/>
          <w:lang w:val="es-ES_tradnl"/>
        </w:rPr>
        <w:t xml:space="preserve"> al menos un 70% de personas con discapacidad </w:t>
      </w:r>
      <w:r>
        <w:rPr>
          <w:rFonts w:ascii="MinionPro-Regular" w:hAnsi="MinionPro-Regular"/>
          <w:sz w:val="24"/>
          <w:szCs w:val="24"/>
          <w:lang w:val="es-ES_tradnl"/>
        </w:rPr>
        <w:t xml:space="preserve">superior al 33%, </w:t>
      </w:r>
      <w:r w:rsidRPr="008B461D">
        <w:rPr>
          <w:rFonts w:ascii="MinionPro-Regular" w:hAnsi="MinionPro-Regular"/>
          <w:sz w:val="24"/>
          <w:szCs w:val="24"/>
          <w:lang w:val="es-ES_tradnl"/>
        </w:rPr>
        <w:t>y estar inscritos en el registro autonómico correspondiente.</w:t>
      </w:r>
    </w:p>
    <w:p w:rsidR="00E2336B" w:rsidRDefault="00E2336B" w:rsidP="00890FE5">
      <w:pPr>
        <w:autoSpaceDE w:val="0"/>
        <w:autoSpaceDN w:val="0"/>
        <w:spacing w:line="360" w:lineRule="auto"/>
        <w:jc w:val="both"/>
        <w:rPr>
          <w:rFonts w:ascii="MinionPro-Regular" w:hAnsi="MinionPro-Regular"/>
          <w:sz w:val="24"/>
          <w:szCs w:val="24"/>
          <w:lang w:val="es-ES_tradnl"/>
        </w:rPr>
      </w:pPr>
    </w:p>
    <w:p w:rsidR="00E2336B" w:rsidRDefault="00E2336B" w:rsidP="00890FE5">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E</w:t>
      </w:r>
      <w:r w:rsidRPr="008B461D">
        <w:rPr>
          <w:rFonts w:ascii="MinionPro-Regular" w:hAnsi="MinionPro-Regular"/>
          <w:sz w:val="24"/>
          <w:szCs w:val="24"/>
          <w:lang w:val="es-ES_tradnl"/>
        </w:rPr>
        <w:t xml:space="preserve">l número de </w:t>
      </w:r>
      <w:r w:rsidRPr="00A75D50">
        <w:rPr>
          <w:rFonts w:ascii="MinionPro-Regular" w:hAnsi="MinionPro-Regular"/>
          <w:sz w:val="24"/>
          <w:szCs w:val="24"/>
          <w:lang w:val="es-ES_tradnl"/>
        </w:rPr>
        <w:t xml:space="preserve">centros especiales de empleo </w:t>
      </w:r>
      <w:r w:rsidRPr="008B461D">
        <w:rPr>
          <w:rFonts w:ascii="MinionPro-Regular" w:hAnsi="MinionPro-Regular"/>
          <w:sz w:val="24"/>
          <w:szCs w:val="24"/>
          <w:lang w:val="es-ES_tradnl"/>
        </w:rPr>
        <w:t>e</w:t>
      </w:r>
      <w:r>
        <w:rPr>
          <w:rFonts w:ascii="MinionPro-Regular" w:hAnsi="MinionPro-Regular"/>
          <w:sz w:val="24"/>
          <w:szCs w:val="24"/>
          <w:lang w:val="es-ES_tradnl"/>
        </w:rPr>
        <w:t>n España experimentó, e</w:t>
      </w:r>
      <w:r w:rsidRPr="008B461D">
        <w:rPr>
          <w:rFonts w:ascii="MinionPro-Regular" w:hAnsi="MinionPro-Regular"/>
          <w:sz w:val="24"/>
          <w:szCs w:val="24"/>
          <w:lang w:val="es-ES_tradnl"/>
        </w:rPr>
        <w:t>n 2011</w:t>
      </w:r>
      <w:r>
        <w:rPr>
          <w:rFonts w:ascii="MinionPro-Regular" w:hAnsi="MinionPro-Regular"/>
          <w:sz w:val="24"/>
          <w:szCs w:val="24"/>
          <w:lang w:val="es-ES_tradnl"/>
        </w:rPr>
        <w:t>,</w:t>
      </w:r>
      <w:r w:rsidRPr="008B461D">
        <w:rPr>
          <w:rFonts w:ascii="MinionPro-Regular" w:hAnsi="MinionPro-Regular"/>
          <w:sz w:val="24"/>
          <w:szCs w:val="24"/>
          <w:lang w:val="es-ES_tradnl"/>
        </w:rPr>
        <w:t xml:space="preserve"> </w:t>
      </w:r>
      <w:r>
        <w:rPr>
          <w:rFonts w:ascii="MinionPro-Regular" w:hAnsi="MinionPro-Regular"/>
          <w:sz w:val="24"/>
          <w:szCs w:val="24"/>
          <w:lang w:val="es-ES_tradnl"/>
        </w:rPr>
        <w:t>un crecimiento</w:t>
      </w:r>
      <w:r w:rsidRPr="008B461D">
        <w:rPr>
          <w:rFonts w:ascii="MinionPro-Regular" w:hAnsi="MinionPro-Regular"/>
          <w:sz w:val="24"/>
          <w:szCs w:val="24"/>
          <w:lang w:val="es-ES_tradnl"/>
        </w:rPr>
        <w:t xml:space="preserve"> del 19% </w:t>
      </w:r>
      <w:r>
        <w:rPr>
          <w:rFonts w:ascii="MinionPro-Regular" w:hAnsi="MinionPro-Regular"/>
          <w:sz w:val="24"/>
          <w:szCs w:val="24"/>
          <w:lang w:val="es-ES_tradnl"/>
        </w:rPr>
        <w:t>con</w:t>
      </w:r>
      <w:r w:rsidRPr="008B461D">
        <w:rPr>
          <w:rFonts w:ascii="MinionPro-Regular" w:hAnsi="MinionPro-Regular"/>
          <w:sz w:val="24"/>
          <w:szCs w:val="24"/>
          <w:lang w:val="es-ES_tradnl"/>
        </w:rPr>
        <w:t xml:space="preserve"> relación al año anterior. </w:t>
      </w:r>
    </w:p>
    <w:p w:rsidR="00E2336B" w:rsidRDefault="00E2336B" w:rsidP="00890FE5">
      <w:pPr>
        <w:rPr>
          <w:rFonts w:ascii="MinionPro-Regular" w:hAnsi="MinionPro-Regular"/>
          <w:sz w:val="24"/>
          <w:szCs w:val="24"/>
          <w:lang w:val="es-ES_tradnl"/>
        </w:rPr>
      </w:pPr>
      <w:r>
        <w:rPr>
          <w:rFonts w:ascii="MinionPro-Regular" w:hAnsi="MinionPro-Regular"/>
          <w:sz w:val="24"/>
          <w:szCs w:val="24"/>
          <w:lang w:val="es-ES_tradnl"/>
        </w:rPr>
        <w:br w:type="page"/>
      </w:r>
    </w:p>
    <w:p w:rsidR="00E2336B" w:rsidRDefault="00E2336B">
      <w:pPr>
        <w:pBdr>
          <w:top w:val="single" w:sz="4" w:space="1" w:color="auto"/>
        </w:pBdr>
        <w:autoSpaceDE w:val="0"/>
        <w:autoSpaceDN w:val="0"/>
        <w:spacing w:line="360" w:lineRule="auto"/>
        <w:jc w:val="both"/>
        <w:rPr>
          <w:rFonts w:ascii="MinionPro-Regular" w:hAnsi="MinionPro-Regular"/>
          <w:sz w:val="20"/>
          <w:szCs w:val="24"/>
          <w:lang w:val="es-ES_tradnl"/>
        </w:rPr>
      </w:pPr>
      <w:r w:rsidRPr="0081432A">
        <w:rPr>
          <w:rFonts w:ascii="MinionPro-Regular" w:hAnsi="MinionPro-Regular"/>
          <w:sz w:val="20"/>
          <w:szCs w:val="24"/>
          <w:lang w:val="es-ES_tradnl"/>
        </w:rPr>
        <w:lastRenderedPageBreak/>
        <w:t>Evolución y distribución del número de centros especiales de empleo en España</w:t>
      </w:r>
    </w:p>
    <w:p w:rsidR="00E2336B" w:rsidRDefault="00E1516B" w:rsidP="00890FE5">
      <w:pPr>
        <w:autoSpaceDE w:val="0"/>
        <w:autoSpaceDN w:val="0"/>
        <w:spacing w:line="360" w:lineRule="auto"/>
        <w:jc w:val="center"/>
        <w:rPr>
          <w:rFonts w:ascii="MinionPro-Regular" w:hAnsi="MinionPro-Regular"/>
          <w:sz w:val="24"/>
          <w:szCs w:val="24"/>
          <w:lang w:val="es-ES_tradnl"/>
        </w:rPr>
      </w:pPr>
      <w:r>
        <w:rPr>
          <w:rFonts w:ascii="MinionPro-Regular" w:hAnsi="MinionPro-Regular"/>
          <w:noProof/>
          <w:sz w:val="24"/>
          <w:szCs w:val="24"/>
          <w:lang w:eastAsia="es-ES"/>
        </w:rPr>
        <w:drawing>
          <wp:inline distT="0" distB="0" distL="0" distR="0">
            <wp:extent cx="5012055" cy="3105785"/>
            <wp:effectExtent l="0" t="0" r="0" b="0"/>
            <wp:docPr id="26" name="Picture 2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E2336B" w:rsidRDefault="00E2336B">
      <w:pPr>
        <w:pBdr>
          <w:bottom w:val="single" w:sz="4" w:space="1" w:color="auto"/>
        </w:pBdr>
        <w:autoSpaceDE w:val="0"/>
        <w:autoSpaceDN w:val="0"/>
        <w:spacing w:line="360" w:lineRule="auto"/>
        <w:jc w:val="both"/>
        <w:rPr>
          <w:rFonts w:ascii="MinionPro-Regular" w:hAnsi="MinionPro-Regular"/>
          <w:sz w:val="20"/>
          <w:szCs w:val="24"/>
          <w:lang w:val="es-ES_tradnl"/>
        </w:rPr>
      </w:pPr>
      <w:r w:rsidRPr="007E647A">
        <w:rPr>
          <w:rFonts w:ascii="MinionPro-Regular" w:hAnsi="MinionPro-Regular"/>
          <w:sz w:val="20"/>
          <w:szCs w:val="24"/>
          <w:lang w:val="es-ES_tradnl"/>
        </w:rPr>
        <w:t xml:space="preserve">Fuente: </w:t>
      </w:r>
      <w:r>
        <w:rPr>
          <w:rFonts w:ascii="MinionPro-Regular" w:hAnsi="MinionPro-Regular"/>
          <w:sz w:val="20"/>
          <w:szCs w:val="24"/>
          <w:lang w:val="es-ES_tradnl"/>
        </w:rPr>
        <w:t xml:space="preserve">Elaboración propia a partir de datos del </w:t>
      </w:r>
      <w:r w:rsidRPr="007E647A">
        <w:rPr>
          <w:rFonts w:ascii="MinionPro-Regular" w:hAnsi="MinionPro-Regular"/>
          <w:sz w:val="20"/>
          <w:szCs w:val="24"/>
          <w:lang w:val="es-ES_tradnl"/>
        </w:rPr>
        <w:t>Servicio Público de Empleo Estatal (SPEE)</w:t>
      </w:r>
    </w:p>
    <w:p w:rsidR="00E2336B" w:rsidRDefault="00E2336B">
      <w:pPr>
        <w:pBdr>
          <w:bottom w:val="single" w:sz="4" w:space="1" w:color="auto"/>
        </w:pBdr>
        <w:autoSpaceDE w:val="0"/>
        <w:autoSpaceDN w:val="0"/>
        <w:spacing w:line="360" w:lineRule="auto"/>
        <w:jc w:val="both"/>
        <w:rPr>
          <w:rFonts w:ascii="MinionPro-Regular" w:hAnsi="MinionPro-Regular"/>
          <w:sz w:val="20"/>
          <w:szCs w:val="24"/>
          <w:lang w:val="es-ES_tradnl"/>
        </w:rPr>
      </w:pPr>
      <w:r>
        <w:rPr>
          <w:rFonts w:ascii="MinionPro-Regular" w:hAnsi="MinionPro-Regular"/>
          <w:sz w:val="20"/>
          <w:szCs w:val="24"/>
          <w:lang w:val="es-ES_tradnl"/>
        </w:rPr>
        <w:t>Nota explicativa de la gráfica: Eje vertical, número de centros especiales de empleo. Eje horizontal, las 17 comunidades autónomas, y los años 2009, 2010 y 2011. Andalucía: en 2009: 434; en 2010: 338; en 2011: 608. Aragón: en 2009: 63; en 2010: 65; en 2011: 64. Asturias: en 2009: 89; en 2010: 101; en 2011: 104. Baleares: en 2009, 2010 y 2011: 30. Canarias: en 2009: 60; en 2010: 59; en 2011: 60. Cantabria: en 2009: 17; en 2010 y 2011: 19. Castilla La Mancha: en 2009: 96; en 2010: 102; en 2011: 106. Castilla y León: en 2009: 185; en 2010: 189; en 2011: 214. Cataluña: en 2009: 207; en 2010; 212; en 2011: 215. Comunidad Valenciana: en 2009: 121; en 2010: 119; en 2011: 125. Extremadura: en 2009: 109; en 2009 y 2010: 117. Galicia: en 2009: 105; en 2010: 111; en 2011: 112. Madrid: en 2009: 200; en 2010: 216; en 2011: 204. Murcia: en 2009: 39; en 2010: 37; en 2011:43. Navarra: en 2009:15; en 2010: 16; en 2011: 17. La Rioja: en 2009: 28; en 2010 y 2011: 30. País Vasco: en 2009: 93; en 2010: 100; en 2011: 94. Ceuta: en 2009, 2010 y 2011: 4 centros especiales de empleo. Melilla: en 2009: 5; en 2010 y 2011: 6 centros especiales de empleo.</w:t>
      </w:r>
    </w:p>
    <w:p w:rsidR="00E2336B" w:rsidRDefault="00E2336B" w:rsidP="00890FE5">
      <w:pPr>
        <w:rPr>
          <w:lang w:val="es-ES_tradnl"/>
        </w:rPr>
      </w:pPr>
    </w:p>
    <w:p w:rsidR="00E2336B" w:rsidRDefault="00E2336B" w:rsidP="00890FE5">
      <w:pPr>
        <w:rPr>
          <w:lang w:val="es-ES_tradnl"/>
        </w:rPr>
      </w:pPr>
    </w:p>
    <w:p w:rsidR="00E2336B" w:rsidRDefault="00E2336B" w:rsidP="00890FE5">
      <w:pPr>
        <w:rPr>
          <w:lang w:val="es-ES_tradnl"/>
        </w:rPr>
      </w:pPr>
    </w:p>
    <w:p w:rsidR="00E2336B" w:rsidRDefault="00E2336B" w:rsidP="00890FE5">
      <w:pPr>
        <w:rPr>
          <w:lang w:val="es-ES_tradnl"/>
        </w:rPr>
      </w:pPr>
    </w:p>
    <w:p w:rsidR="00E2336B" w:rsidRDefault="00E2336B" w:rsidP="00890FE5">
      <w:pPr>
        <w:rPr>
          <w:lang w:val="es-ES_tradnl"/>
        </w:rPr>
      </w:pPr>
    </w:p>
    <w:p w:rsidR="00E2336B" w:rsidRDefault="00E2336B" w:rsidP="00890FE5">
      <w:pPr>
        <w:rPr>
          <w:lang w:val="es-ES_tradnl"/>
        </w:rPr>
      </w:pPr>
    </w:p>
    <w:p w:rsidR="00E2336B" w:rsidRDefault="00E2336B" w:rsidP="00890FE5">
      <w:pPr>
        <w:rPr>
          <w:lang w:val="es-ES_tradnl"/>
        </w:rPr>
      </w:pPr>
    </w:p>
    <w:p w:rsidR="00E2336B" w:rsidRDefault="00E2336B" w:rsidP="00890FE5">
      <w:pPr>
        <w:rPr>
          <w:lang w:val="es-ES_tradnl"/>
        </w:rPr>
      </w:pPr>
    </w:p>
    <w:p w:rsidR="0075670B" w:rsidRDefault="0075670B" w:rsidP="00890FE5">
      <w:pPr>
        <w:rPr>
          <w:lang w:val="es-ES_tradnl"/>
        </w:rPr>
      </w:pPr>
    </w:p>
    <w:p w:rsidR="00E2336B" w:rsidRDefault="00E2336B">
      <w:pPr>
        <w:pStyle w:val="Textoindependiente"/>
        <w:pBdr>
          <w:top w:val="single" w:sz="4" w:space="1" w:color="auto"/>
        </w:pBdr>
        <w:rPr>
          <w:sz w:val="20"/>
          <w:lang w:val="es-ES_tradnl"/>
        </w:rPr>
      </w:pPr>
      <w:r w:rsidRPr="0081432A">
        <w:rPr>
          <w:sz w:val="20"/>
          <w:lang w:val="es-ES_tradnl"/>
        </w:rPr>
        <w:t>Evolución del número de centros especiales de empleo, 2009-2011.</w:t>
      </w:r>
    </w:p>
    <w:p w:rsidR="00E2336B" w:rsidRDefault="00E1516B">
      <w:pPr>
        <w:pStyle w:val="Textoindependiente"/>
        <w:jc w:val="left"/>
        <w:rPr>
          <w:lang w:val="es-ES_tradnl"/>
        </w:rPr>
      </w:pPr>
      <w:r>
        <w:rPr>
          <w:noProof/>
          <w:lang w:eastAsia="es-ES"/>
        </w:rPr>
        <w:drawing>
          <wp:inline distT="0" distB="0" distL="0" distR="0">
            <wp:extent cx="3864610" cy="2458720"/>
            <wp:effectExtent l="0" t="0" r="0" b="0"/>
            <wp:docPr id="27" name="Picture 2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E2336B" w:rsidRDefault="00E2336B">
      <w:pPr>
        <w:pBdr>
          <w:bottom w:val="single" w:sz="4" w:space="1" w:color="auto"/>
        </w:pBdr>
        <w:autoSpaceDE w:val="0"/>
        <w:autoSpaceDN w:val="0"/>
        <w:spacing w:line="360" w:lineRule="auto"/>
        <w:jc w:val="both"/>
        <w:rPr>
          <w:rFonts w:ascii="MinionPro-Regular" w:hAnsi="MinionPro-Regular"/>
          <w:sz w:val="20"/>
          <w:szCs w:val="24"/>
          <w:lang w:val="es-ES_tradnl"/>
        </w:rPr>
      </w:pPr>
      <w:r w:rsidRPr="007E647A">
        <w:rPr>
          <w:rFonts w:ascii="MinionPro-Regular" w:hAnsi="MinionPro-Regular"/>
          <w:sz w:val="20"/>
          <w:szCs w:val="24"/>
          <w:lang w:val="es-ES_tradnl"/>
        </w:rPr>
        <w:t xml:space="preserve">Fuente: </w:t>
      </w:r>
      <w:r>
        <w:rPr>
          <w:rFonts w:ascii="MinionPro-Regular" w:hAnsi="MinionPro-Regular"/>
          <w:sz w:val="20"/>
          <w:szCs w:val="24"/>
          <w:lang w:val="es-ES_tradnl"/>
        </w:rPr>
        <w:t xml:space="preserve">Elaboración propia a partir de datos del </w:t>
      </w:r>
      <w:r w:rsidRPr="007E647A">
        <w:rPr>
          <w:rFonts w:ascii="MinionPro-Regular" w:hAnsi="MinionPro-Regular"/>
          <w:sz w:val="20"/>
          <w:szCs w:val="24"/>
          <w:lang w:val="es-ES_tradnl"/>
        </w:rPr>
        <w:t>Servicio Público de Empleo Estatal (SPEE)</w:t>
      </w:r>
    </w:p>
    <w:p w:rsidR="00E2336B" w:rsidRDefault="00E2336B">
      <w:pPr>
        <w:pBdr>
          <w:bottom w:val="single" w:sz="4" w:space="1" w:color="auto"/>
        </w:pBdr>
        <w:autoSpaceDE w:val="0"/>
        <w:autoSpaceDN w:val="0"/>
        <w:spacing w:line="360" w:lineRule="auto"/>
        <w:jc w:val="both"/>
        <w:rPr>
          <w:rFonts w:ascii="MinionPro-Regular" w:hAnsi="MinionPro-Regular"/>
          <w:sz w:val="20"/>
          <w:szCs w:val="24"/>
          <w:lang w:val="es-ES_tradnl"/>
        </w:rPr>
      </w:pPr>
      <w:r>
        <w:rPr>
          <w:rFonts w:ascii="MinionPro-Regular" w:hAnsi="MinionPro-Regular"/>
          <w:sz w:val="20"/>
          <w:szCs w:val="24"/>
          <w:lang w:val="es-ES_tradnl"/>
        </w:rPr>
        <w:t>Nota explicativa de la gráfica: Eje vertical: número de centros especiales de empleo. Eje horizontal: año 2009, 1.900 centros; año 2010, 1.871 centros y año 2011, 2.215 centros.</w:t>
      </w:r>
    </w:p>
    <w:p w:rsidR="00E2336B" w:rsidRPr="007674B7" w:rsidRDefault="00E2336B" w:rsidP="00890FE5">
      <w:pPr>
        <w:rPr>
          <w:lang w:val="es-ES_tradnl"/>
        </w:rPr>
      </w:pPr>
    </w:p>
    <w:p w:rsidR="0075670B" w:rsidRDefault="0075670B" w:rsidP="0075670B">
      <w:pPr>
        <w:autoSpaceDE w:val="0"/>
        <w:autoSpaceDN w:val="0"/>
        <w:spacing w:line="360" w:lineRule="auto"/>
        <w:jc w:val="both"/>
        <w:rPr>
          <w:rFonts w:ascii="MinionPro-Regular" w:hAnsi="MinionPro-Regular"/>
          <w:sz w:val="24"/>
          <w:szCs w:val="24"/>
          <w:lang w:val="es-ES_tradnl"/>
        </w:rPr>
      </w:pPr>
    </w:p>
    <w:p w:rsidR="00E2336B" w:rsidRDefault="00E2336B" w:rsidP="0075670B">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L</w:t>
      </w:r>
      <w:r w:rsidRPr="008B461D">
        <w:rPr>
          <w:rFonts w:ascii="MinionPro-Regular" w:hAnsi="MinionPro-Regular"/>
          <w:sz w:val="24"/>
          <w:szCs w:val="24"/>
          <w:lang w:val="es-ES_tradnl"/>
        </w:rPr>
        <w:t xml:space="preserve">as comunidades autónomas que presentan mayor número de empleados con discapacidad en sus </w:t>
      </w:r>
      <w:r w:rsidRPr="00A75D50">
        <w:rPr>
          <w:rFonts w:ascii="MinionPro-Regular" w:hAnsi="MinionPro-Regular"/>
          <w:sz w:val="24"/>
          <w:szCs w:val="24"/>
          <w:lang w:val="es-ES_tradnl"/>
        </w:rPr>
        <w:t xml:space="preserve">centros especiales de empleo </w:t>
      </w:r>
      <w:r>
        <w:rPr>
          <w:rFonts w:ascii="MinionPro-Regular" w:hAnsi="MinionPro-Regular"/>
          <w:sz w:val="24"/>
          <w:szCs w:val="24"/>
          <w:lang w:val="es-ES_tradnl"/>
        </w:rPr>
        <w:t xml:space="preserve">son </w:t>
      </w:r>
      <w:r w:rsidRPr="008B461D">
        <w:rPr>
          <w:rFonts w:ascii="MinionPro-Regular" w:hAnsi="MinionPro-Regular"/>
          <w:sz w:val="24"/>
          <w:szCs w:val="24"/>
          <w:lang w:val="es-ES_tradnl"/>
        </w:rPr>
        <w:t>Andalucía, Cataluña, Madrid y País Vasco.</w:t>
      </w:r>
    </w:p>
    <w:p w:rsidR="0075670B" w:rsidRDefault="0075670B" w:rsidP="0075670B">
      <w:pPr>
        <w:autoSpaceDE w:val="0"/>
        <w:autoSpaceDN w:val="0"/>
        <w:spacing w:line="360" w:lineRule="auto"/>
        <w:jc w:val="both"/>
        <w:rPr>
          <w:rFonts w:ascii="MinionPro-Regular" w:hAnsi="MinionPro-Regular"/>
          <w:sz w:val="24"/>
          <w:szCs w:val="24"/>
          <w:lang w:val="es-ES_tradnl"/>
        </w:rPr>
      </w:pPr>
    </w:p>
    <w:p w:rsidR="0075670B" w:rsidRDefault="0075670B" w:rsidP="0075670B">
      <w:pPr>
        <w:autoSpaceDE w:val="0"/>
        <w:autoSpaceDN w:val="0"/>
        <w:spacing w:line="360" w:lineRule="auto"/>
        <w:jc w:val="both"/>
        <w:rPr>
          <w:rFonts w:ascii="MinionPro-Regular" w:hAnsi="MinionPro-Regular"/>
          <w:sz w:val="24"/>
          <w:szCs w:val="24"/>
          <w:lang w:val="es-ES_tradnl"/>
        </w:rPr>
      </w:pPr>
    </w:p>
    <w:p w:rsidR="0075670B" w:rsidRDefault="0075670B" w:rsidP="0075670B">
      <w:pPr>
        <w:autoSpaceDE w:val="0"/>
        <w:autoSpaceDN w:val="0"/>
        <w:spacing w:line="360" w:lineRule="auto"/>
        <w:jc w:val="both"/>
        <w:rPr>
          <w:rFonts w:ascii="MinionPro-Regular" w:hAnsi="MinionPro-Regular"/>
          <w:sz w:val="24"/>
          <w:szCs w:val="24"/>
          <w:lang w:val="es-ES_tradnl"/>
        </w:rPr>
      </w:pPr>
    </w:p>
    <w:p w:rsidR="0075670B" w:rsidRDefault="0075670B" w:rsidP="0075670B">
      <w:pPr>
        <w:autoSpaceDE w:val="0"/>
        <w:autoSpaceDN w:val="0"/>
        <w:spacing w:line="360" w:lineRule="auto"/>
        <w:jc w:val="both"/>
        <w:rPr>
          <w:rFonts w:ascii="MinionPro-Regular" w:hAnsi="MinionPro-Regular"/>
          <w:sz w:val="24"/>
          <w:szCs w:val="24"/>
          <w:lang w:val="es-ES_tradnl"/>
        </w:rPr>
      </w:pPr>
    </w:p>
    <w:p w:rsidR="0075670B" w:rsidRDefault="0075670B" w:rsidP="0075670B">
      <w:pPr>
        <w:autoSpaceDE w:val="0"/>
        <w:autoSpaceDN w:val="0"/>
        <w:spacing w:line="360" w:lineRule="auto"/>
        <w:jc w:val="both"/>
        <w:rPr>
          <w:rFonts w:ascii="MinionPro-Regular" w:hAnsi="MinionPro-Regular"/>
          <w:sz w:val="24"/>
          <w:szCs w:val="24"/>
          <w:lang w:val="es-ES_tradnl"/>
        </w:rPr>
      </w:pPr>
    </w:p>
    <w:p w:rsidR="0075670B" w:rsidRDefault="0075670B" w:rsidP="0075670B">
      <w:pPr>
        <w:autoSpaceDE w:val="0"/>
        <w:autoSpaceDN w:val="0"/>
        <w:spacing w:line="360" w:lineRule="auto"/>
        <w:jc w:val="both"/>
        <w:rPr>
          <w:rFonts w:ascii="MinionPro-Regular" w:hAnsi="MinionPro-Regular"/>
          <w:sz w:val="24"/>
          <w:szCs w:val="24"/>
          <w:lang w:val="es-ES_tradnl"/>
        </w:rPr>
      </w:pPr>
    </w:p>
    <w:p w:rsidR="0075670B" w:rsidRDefault="0075670B" w:rsidP="0075670B">
      <w:pPr>
        <w:autoSpaceDE w:val="0"/>
        <w:autoSpaceDN w:val="0"/>
        <w:spacing w:line="360" w:lineRule="auto"/>
        <w:jc w:val="both"/>
        <w:rPr>
          <w:rFonts w:ascii="MinionPro-Regular" w:hAnsi="MinionPro-Regular"/>
          <w:sz w:val="24"/>
          <w:szCs w:val="24"/>
          <w:lang w:val="es-ES_tradnl"/>
        </w:rPr>
      </w:pPr>
    </w:p>
    <w:p w:rsidR="0075670B" w:rsidRDefault="0075670B" w:rsidP="0075670B">
      <w:pPr>
        <w:autoSpaceDE w:val="0"/>
        <w:autoSpaceDN w:val="0"/>
        <w:spacing w:line="360" w:lineRule="auto"/>
        <w:jc w:val="both"/>
        <w:rPr>
          <w:rFonts w:ascii="MinionPro-Regular" w:hAnsi="MinionPro-Regular"/>
          <w:sz w:val="24"/>
          <w:szCs w:val="24"/>
          <w:lang w:val="es-ES_tradnl"/>
        </w:rPr>
      </w:pPr>
    </w:p>
    <w:p w:rsidR="0075670B" w:rsidRDefault="0075670B" w:rsidP="0075670B">
      <w:pPr>
        <w:autoSpaceDE w:val="0"/>
        <w:autoSpaceDN w:val="0"/>
        <w:spacing w:line="360" w:lineRule="auto"/>
        <w:jc w:val="both"/>
        <w:rPr>
          <w:rFonts w:ascii="MinionPro-Regular" w:hAnsi="MinionPro-Regular"/>
          <w:sz w:val="24"/>
          <w:szCs w:val="24"/>
          <w:lang w:val="es-ES_tradnl"/>
        </w:rPr>
      </w:pPr>
    </w:p>
    <w:p w:rsidR="0075670B" w:rsidRDefault="0075670B" w:rsidP="0075670B">
      <w:pPr>
        <w:autoSpaceDE w:val="0"/>
        <w:autoSpaceDN w:val="0"/>
        <w:spacing w:line="360" w:lineRule="auto"/>
        <w:jc w:val="both"/>
        <w:rPr>
          <w:rFonts w:ascii="MinionPro-Regular" w:hAnsi="MinionPro-Regular"/>
          <w:sz w:val="24"/>
          <w:szCs w:val="24"/>
          <w:lang w:val="es-ES_tradnl"/>
        </w:rPr>
      </w:pPr>
    </w:p>
    <w:p w:rsidR="0075670B" w:rsidRDefault="0075670B" w:rsidP="0075670B">
      <w:pPr>
        <w:autoSpaceDE w:val="0"/>
        <w:autoSpaceDN w:val="0"/>
        <w:spacing w:line="360" w:lineRule="auto"/>
        <w:jc w:val="both"/>
        <w:rPr>
          <w:rFonts w:ascii="MinionPro-Regular" w:hAnsi="MinionPro-Regular"/>
          <w:sz w:val="24"/>
          <w:szCs w:val="24"/>
          <w:lang w:val="es-ES_tradnl"/>
        </w:rPr>
      </w:pPr>
    </w:p>
    <w:p w:rsidR="00420E31" w:rsidRDefault="00420E31">
      <w:pPr>
        <w:rPr>
          <w:rFonts w:ascii="MinionPro-Regular" w:hAnsi="MinionPro-Regular"/>
          <w:sz w:val="24"/>
          <w:szCs w:val="24"/>
          <w:lang w:val="es-ES_tradnl"/>
        </w:rPr>
      </w:pPr>
    </w:p>
    <w:p w:rsidR="00E2336B" w:rsidRDefault="00E2336B">
      <w:pPr>
        <w:pBdr>
          <w:top w:val="single" w:sz="4" w:space="1" w:color="auto"/>
        </w:pBdr>
        <w:rPr>
          <w:rFonts w:ascii="MinionPro-Regular" w:hAnsi="MinionPro-Regular"/>
          <w:sz w:val="20"/>
          <w:szCs w:val="24"/>
          <w:lang w:val="es-ES_tradnl"/>
        </w:rPr>
      </w:pPr>
      <w:r w:rsidRPr="0081432A">
        <w:rPr>
          <w:rFonts w:ascii="MinionPro-Regular" w:hAnsi="MinionPro-Regular"/>
          <w:sz w:val="20"/>
          <w:szCs w:val="24"/>
          <w:lang w:val="es-ES_tradnl"/>
        </w:rPr>
        <w:t>Distribución de las personas con discapacidad en los centros especiales de empleo por comunidades autónomas</w:t>
      </w:r>
      <w:r>
        <w:rPr>
          <w:rFonts w:ascii="MinionPro-Regular" w:hAnsi="MinionPro-Regular"/>
          <w:sz w:val="20"/>
          <w:szCs w:val="24"/>
          <w:lang w:val="es-ES_tradnl"/>
        </w:rPr>
        <w:t>.</w:t>
      </w:r>
    </w:p>
    <w:p w:rsidR="00E2336B" w:rsidRDefault="00E1516B">
      <w:pPr>
        <w:autoSpaceDE w:val="0"/>
        <w:autoSpaceDN w:val="0"/>
        <w:spacing w:line="360" w:lineRule="auto"/>
        <w:rPr>
          <w:rFonts w:ascii="MinionPro-Regular" w:hAnsi="MinionPro-Regular"/>
          <w:sz w:val="24"/>
          <w:szCs w:val="24"/>
          <w:lang w:val="es-ES_tradnl"/>
        </w:rPr>
      </w:pPr>
      <w:r>
        <w:rPr>
          <w:rFonts w:ascii="MinionPro-Regular" w:hAnsi="MinionPro-Regular"/>
          <w:noProof/>
          <w:sz w:val="24"/>
          <w:szCs w:val="24"/>
          <w:lang w:eastAsia="es-ES"/>
        </w:rPr>
        <w:drawing>
          <wp:inline distT="0" distB="0" distL="0" distR="0">
            <wp:extent cx="4839335" cy="3062605"/>
            <wp:effectExtent l="0" t="0" r="0" b="0"/>
            <wp:docPr id="28" name="Picture 2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E2336B" w:rsidRDefault="00E2336B">
      <w:pPr>
        <w:pBdr>
          <w:bottom w:val="single" w:sz="4" w:space="1" w:color="auto"/>
        </w:pBdr>
        <w:autoSpaceDE w:val="0"/>
        <w:autoSpaceDN w:val="0"/>
        <w:spacing w:line="360" w:lineRule="auto"/>
        <w:jc w:val="both"/>
        <w:rPr>
          <w:rFonts w:ascii="MinionPro-Regular" w:hAnsi="MinionPro-Regular"/>
          <w:sz w:val="20"/>
          <w:szCs w:val="24"/>
          <w:lang w:val="es-ES_tradnl"/>
        </w:rPr>
      </w:pPr>
      <w:r w:rsidRPr="007E647A">
        <w:rPr>
          <w:rFonts w:ascii="MinionPro-Regular" w:hAnsi="MinionPro-Regular"/>
          <w:sz w:val="20"/>
          <w:szCs w:val="24"/>
          <w:lang w:val="es-ES_tradnl"/>
        </w:rPr>
        <w:t xml:space="preserve">Fuente: </w:t>
      </w:r>
      <w:r>
        <w:rPr>
          <w:rFonts w:ascii="MinionPro-Regular" w:hAnsi="MinionPro-Regular"/>
          <w:sz w:val="20"/>
          <w:szCs w:val="24"/>
          <w:lang w:val="es-ES_tradnl"/>
        </w:rPr>
        <w:t xml:space="preserve">Elaboración propia a partir de datos del </w:t>
      </w:r>
      <w:r w:rsidRPr="007E647A">
        <w:rPr>
          <w:rFonts w:ascii="MinionPro-Regular" w:hAnsi="MinionPro-Regular"/>
          <w:sz w:val="20"/>
          <w:szCs w:val="24"/>
          <w:lang w:val="es-ES_tradnl"/>
        </w:rPr>
        <w:t>Servicio Público de Empleo Estatal (SPEE)</w:t>
      </w:r>
      <w:r>
        <w:rPr>
          <w:rFonts w:ascii="MinionPro-Regular" w:hAnsi="MinionPro-Regular"/>
          <w:sz w:val="20"/>
          <w:szCs w:val="24"/>
          <w:lang w:val="es-ES_tradnl"/>
        </w:rPr>
        <w:t>.</w:t>
      </w:r>
    </w:p>
    <w:p w:rsidR="00E2336B" w:rsidRDefault="00E2336B" w:rsidP="00AC3827">
      <w:pPr>
        <w:pBdr>
          <w:bottom w:val="single" w:sz="4" w:space="1" w:color="auto"/>
        </w:pBdr>
        <w:autoSpaceDE w:val="0"/>
        <w:autoSpaceDN w:val="0"/>
        <w:spacing w:line="360" w:lineRule="auto"/>
        <w:jc w:val="both"/>
        <w:rPr>
          <w:rFonts w:ascii="MinionPro-Regular" w:hAnsi="MinionPro-Regular"/>
          <w:sz w:val="20"/>
          <w:szCs w:val="24"/>
          <w:lang w:val="es-ES_tradnl"/>
        </w:rPr>
      </w:pPr>
      <w:r>
        <w:rPr>
          <w:rFonts w:ascii="MinionPro-Regular" w:hAnsi="MinionPro-Regular"/>
          <w:sz w:val="20"/>
          <w:szCs w:val="24"/>
          <w:lang w:val="es-ES_tradnl"/>
        </w:rPr>
        <w:t xml:space="preserve">Nota explicativa de la gráfica: Eje vertical, porcentaje de personas con discapacidad en centros especiales de empleo. Eje horizontal, las 17 comunidades autónomas, y los años 2009, 2010 y 2011. Andalucía: en 2009: 20,5%; en 2010: 16,0%; en 2011: 18,9%. Aragón: en 2009 y 2010: 3%; en 2011: 2,9%. Asturias: en 2009: 3,2%; en 2010: 3,4%; en 2011: 3,2%. Baleares: en 2009 y 2010: 1,2%; en 2011: 1,1%. Canarias: en 2009: 2,2%; en 2010: 2,1%; en 2011: 1,8%. Cantabria: en 2009: 1,8%; en 2010 y 2011: 1,6%.  Castilla La Mancha: en 2009:3,3%; en 2010: 3,8%; en 2011: 3,6%. Castilla y León: en 2009: 6,2%; en 2010: 6,6%; en 2011: 6,4%. Cataluña: en 2009: 19,3%; en 2010; 20,1%; en 2011: 18,9%. Comunidad Valenciana: en 2009: 6,8%; en 2010: 7,5%; en 2011: 6,3%. Extremadura: en 2009: 2,3%; en 2009: 2,2%; en 2010: 2,1%. Galicia: en 2009: 2,8%; en 2010: 3,0%; en 2011: 2,9%. Madrid: en 2009: 11,2%; en 2010: 13,1%; en 2011:14,1%. Murcia: en 2009 y 2010: 1,5%; en 2011:1,4%. Navarra: en 2009: 2,2%; en 2010: 2,1%; en 2011:2,0%. La Rioja: en </w:t>
      </w:r>
      <w:r>
        <w:rPr>
          <w:rFonts w:ascii="MinionPro-Regular" w:hAnsi="MinionPro-Regular"/>
          <w:sz w:val="20"/>
          <w:szCs w:val="24"/>
          <w:lang w:val="es-ES_tradnl"/>
        </w:rPr>
        <w:lastRenderedPageBreak/>
        <w:t>2009, 2010 y 2011: 0,8%. País Vasco: en 2009: 11,5%; en 2010: 11,7%; en 2011:11,2%.  Ceuta: en 2009, 2010 y 2011: 0,1%. Melilla: en 2009, 2010 y 2011: 0,1%.</w:t>
      </w:r>
    </w:p>
    <w:p w:rsidR="00E2336B" w:rsidRDefault="00E2336B" w:rsidP="00890FE5">
      <w:pPr>
        <w:autoSpaceDE w:val="0"/>
        <w:autoSpaceDN w:val="0"/>
        <w:spacing w:line="360" w:lineRule="auto"/>
        <w:jc w:val="both"/>
        <w:rPr>
          <w:rFonts w:ascii="MinionPro-Regular" w:hAnsi="MinionPro-Regular"/>
          <w:sz w:val="24"/>
          <w:szCs w:val="24"/>
          <w:highlight w:val="cyan"/>
          <w:lang w:val="es-ES_tradnl"/>
        </w:rPr>
      </w:pPr>
    </w:p>
    <w:p w:rsidR="00E2336B" w:rsidRDefault="00E2336B" w:rsidP="00890FE5">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 xml:space="preserve">En lo que se refiere a la evolución del total de personas empleadas, cabe destacar que la plantilla de las personas con discapacidad en centros especiales de empleo aumentó un 14% entre 2009 y 2011. </w:t>
      </w:r>
    </w:p>
    <w:p w:rsidR="00E2336B" w:rsidRDefault="00E2336B" w:rsidP="00890FE5">
      <w:pPr>
        <w:autoSpaceDE w:val="0"/>
        <w:autoSpaceDN w:val="0"/>
        <w:spacing w:line="360" w:lineRule="auto"/>
        <w:jc w:val="both"/>
        <w:rPr>
          <w:rFonts w:ascii="MinionPro-Regular" w:hAnsi="MinionPro-Regular"/>
          <w:sz w:val="24"/>
          <w:szCs w:val="24"/>
          <w:lang w:val="es-ES_tradnl"/>
        </w:rPr>
      </w:pPr>
    </w:p>
    <w:p w:rsidR="00E2336B" w:rsidRDefault="00E2336B" w:rsidP="00890FE5">
      <w:pPr>
        <w:autoSpaceDE w:val="0"/>
        <w:autoSpaceDN w:val="0"/>
        <w:spacing w:line="360" w:lineRule="auto"/>
        <w:jc w:val="both"/>
        <w:rPr>
          <w:rFonts w:ascii="MinionPro-Regular" w:hAnsi="MinionPro-Regular"/>
          <w:sz w:val="24"/>
          <w:szCs w:val="24"/>
          <w:lang w:val="es-ES_tradnl"/>
        </w:rPr>
      </w:pPr>
    </w:p>
    <w:p w:rsidR="00E2336B" w:rsidRDefault="00E2336B">
      <w:pPr>
        <w:pBdr>
          <w:top w:val="single" w:sz="4" w:space="0" w:color="auto"/>
        </w:pBdr>
        <w:rPr>
          <w:rFonts w:ascii="MinionPro-Regular" w:hAnsi="MinionPro-Regular"/>
          <w:sz w:val="20"/>
          <w:lang w:val="es-ES_tradnl"/>
        </w:rPr>
      </w:pPr>
      <w:r w:rsidRPr="0081432A">
        <w:rPr>
          <w:rFonts w:ascii="MinionPro-Regular" w:hAnsi="MinionPro-Regular"/>
          <w:sz w:val="20"/>
          <w:lang w:val="es-ES_tradnl"/>
        </w:rPr>
        <w:t xml:space="preserve">Evolución de la plantilla de personas con discapacidad en los </w:t>
      </w:r>
      <w:r w:rsidRPr="00347B59">
        <w:rPr>
          <w:rFonts w:ascii="MinionPro-Regular" w:hAnsi="MinionPro-Regular"/>
          <w:sz w:val="20"/>
          <w:lang w:val="es-ES_tradnl"/>
        </w:rPr>
        <w:t xml:space="preserve">centros especiales de empleo </w:t>
      </w:r>
      <w:r w:rsidRPr="0081432A">
        <w:rPr>
          <w:rFonts w:ascii="MinionPro-Regular" w:hAnsi="MinionPro-Regular"/>
          <w:sz w:val="20"/>
          <w:lang w:val="es-ES_tradnl"/>
        </w:rPr>
        <w:t>de España</w:t>
      </w:r>
    </w:p>
    <w:p w:rsidR="00E2336B" w:rsidRDefault="00E1516B">
      <w:pPr>
        <w:autoSpaceDE w:val="0"/>
        <w:autoSpaceDN w:val="0"/>
        <w:spacing w:line="360" w:lineRule="auto"/>
        <w:rPr>
          <w:rFonts w:ascii="MinionPro-Regular" w:hAnsi="MinionPro-Regular"/>
          <w:sz w:val="24"/>
          <w:szCs w:val="24"/>
          <w:lang w:val="es-ES_tradnl"/>
        </w:rPr>
      </w:pPr>
      <w:r>
        <w:rPr>
          <w:rFonts w:ascii="MinionPro-Regular" w:hAnsi="MinionPro-Regular"/>
          <w:noProof/>
          <w:sz w:val="24"/>
          <w:szCs w:val="24"/>
          <w:lang w:eastAsia="es-ES"/>
        </w:rPr>
        <w:drawing>
          <wp:inline distT="0" distB="0" distL="0" distR="0">
            <wp:extent cx="4149090" cy="2475865"/>
            <wp:effectExtent l="0" t="0" r="0" b="0"/>
            <wp:docPr id="29" name="Picture 2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E2336B" w:rsidRDefault="00E2336B">
      <w:pPr>
        <w:pBdr>
          <w:bottom w:val="single" w:sz="4" w:space="1" w:color="auto"/>
        </w:pBdr>
        <w:autoSpaceDE w:val="0"/>
        <w:autoSpaceDN w:val="0"/>
        <w:spacing w:line="360" w:lineRule="auto"/>
        <w:jc w:val="both"/>
        <w:rPr>
          <w:rFonts w:ascii="MinionPro-Regular" w:hAnsi="MinionPro-Regular"/>
          <w:sz w:val="20"/>
          <w:szCs w:val="24"/>
          <w:lang w:val="es-ES_tradnl"/>
        </w:rPr>
      </w:pPr>
      <w:r w:rsidRPr="007E647A">
        <w:rPr>
          <w:rFonts w:ascii="MinionPro-Regular" w:hAnsi="MinionPro-Regular"/>
          <w:sz w:val="20"/>
          <w:szCs w:val="24"/>
          <w:lang w:val="es-ES_tradnl"/>
        </w:rPr>
        <w:t xml:space="preserve">Fuente: </w:t>
      </w:r>
      <w:r>
        <w:rPr>
          <w:rFonts w:ascii="MinionPro-Regular" w:hAnsi="MinionPro-Regular"/>
          <w:sz w:val="20"/>
          <w:szCs w:val="24"/>
          <w:lang w:val="es-ES_tradnl"/>
        </w:rPr>
        <w:t xml:space="preserve">Elaboración propia a partir de datos del </w:t>
      </w:r>
      <w:r w:rsidRPr="007E647A">
        <w:rPr>
          <w:rFonts w:ascii="MinionPro-Regular" w:hAnsi="MinionPro-Regular"/>
          <w:sz w:val="20"/>
          <w:szCs w:val="24"/>
          <w:lang w:val="es-ES_tradnl"/>
        </w:rPr>
        <w:t>Servicio Público de Empleo Estatal (SPEE)</w:t>
      </w:r>
      <w:r>
        <w:rPr>
          <w:rFonts w:ascii="MinionPro-Regular" w:hAnsi="MinionPro-Regular"/>
          <w:sz w:val="20"/>
          <w:szCs w:val="24"/>
          <w:lang w:val="es-ES_tradnl"/>
        </w:rPr>
        <w:t>.</w:t>
      </w:r>
    </w:p>
    <w:p w:rsidR="00E2336B" w:rsidRDefault="00E2336B">
      <w:pPr>
        <w:pBdr>
          <w:bottom w:val="single" w:sz="4" w:space="1" w:color="auto"/>
        </w:pBdr>
        <w:autoSpaceDE w:val="0"/>
        <w:autoSpaceDN w:val="0"/>
        <w:spacing w:line="360" w:lineRule="auto"/>
        <w:jc w:val="both"/>
        <w:rPr>
          <w:rFonts w:ascii="MinionPro-Regular" w:hAnsi="MinionPro-Regular"/>
          <w:sz w:val="20"/>
          <w:szCs w:val="24"/>
          <w:lang w:val="es-ES_tradnl"/>
        </w:rPr>
      </w:pPr>
      <w:r>
        <w:rPr>
          <w:rFonts w:ascii="MinionPro-Regular" w:hAnsi="MinionPro-Regular"/>
          <w:sz w:val="20"/>
          <w:szCs w:val="24"/>
          <w:lang w:val="es-ES_tradnl"/>
        </w:rPr>
        <w:t>Nota explicativa de la gráfica: Eje vertical: plantilla de personas con discapacidad en centro especial de empleo, en número. Eje horizontal: año 2009, 56.332; año 2010, 59.185 y año 2011, 64.391, personas con discapacidad en centros especiales de empleo.</w:t>
      </w:r>
    </w:p>
    <w:p w:rsidR="00E2336B" w:rsidRDefault="00E2336B" w:rsidP="00890FE5">
      <w:pPr>
        <w:autoSpaceDE w:val="0"/>
        <w:autoSpaceDN w:val="0"/>
        <w:spacing w:line="360" w:lineRule="auto"/>
        <w:jc w:val="both"/>
        <w:rPr>
          <w:rFonts w:ascii="MinionPro-Regular" w:hAnsi="MinionPro-Regular"/>
          <w:sz w:val="24"/>
          <w:szCs w:val="24"/>
          <w:highlight w:val="cyan"/>
          <w:lang w:val="es-ES_tradnl"/>
        </w:rPr>
      </w:pPr>
    </w:p>
    <w:p w:rsidR="00505056" w:rsidRDefault="00505056" w:rsidP="00CA73BB">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Algunos datos ponen de manifiesto la relevancia de los centros especiales de empleo:</w:t>
      </w:r>
    </w:p>
    <w:p w:rsidR="00505056" w:rsidRDefault="00505056" w:rsidP="00CA73BB">
      <w:pPr>
        <w:autoSpaceDE w:val="0"/>
        <w:autoSpaceDN w:val="0"/>
        <w:spacing w:line="360" w:lineRule="auto"/>
        <w:jc w:val="both"/>
        <w:rPr>
          <w:rFonts w:ascii="MinionPro-Regular" w:hAnsi="MinionPro-Regular"/>
          <w:sz w:val="24"/>
          <w:szCs w:val="24"/>
          <w:lang w:val="es-ES_tradnl"/>
        </w:rPr>
      </w:pPr>
    </w:p>
    <w:p w:rsidR="00F61DE8" w:rsidRDefault="00E86451" w:rsidP="0007541A">
      <w:pPr>
        <w:pStyle w:val="Prrafodelista"/>
        <w:numPr>
          <w:ilvl w:val="0"/>
          <w:numId w:val="29"/>
        </w:numPr>
        <w:autoSpaceDE w:val="0"/>
        <w:autoSpaceDN w:val="0"/>
        <w:spacing w:line="360" w:lineRule="auto"/>
        <w:jc w:val="both"/>
        <w:rPr>
          <w:rFonts w:ascii="MinionPro-Regular" w:hAnsi="MinionPro-Regular"/>
          <w:sz w:val="24"/>
          <w:szCs w:val="24"/>
          <w:lang w:val="es-ES_tradnl"/>
        </w:rPr>
      </w:pPr>
      <w:r w:rsidRPr="00E86451">
        <w:rPr>
          <w:rFonts w:ascii="MinionPro-Regular" w:hAnsi="MinionPro-Regular"/>
          <w:sz w:val="24"/>
          <w:szCs w:val="24"/>
          <w:lang w:val="es-ES_tradnl"/>
        </w:rPr>
        <w:t xml:space="preserve">Con una plantilla global de más de 70.000 trabajadores, un desembolso anual en salarios a personas con discapacidad de alrededor de 770 millones de euros, si los </w:t>
      </w:r>
      <w:r w:rsidRPr="00E86451">
        <w:rPr>
          <w:rFonts w:ascii="MinionPro-Regular" w:hAnsi="MinionPro-Regular"/>
          <w:sz w:val="24"/>
          <w:szCs w:val="24"/>
          <w:lang w:val="es-ES_tradnl"/>
        </w:rPr>
        <w:lastRenderedPageBreak/>
        <w:t xml:space="preserve">centros especiales de empleo fueran una sóla empresa, estaría situada entre las mayores del país con un impacto en términos de empleo y salarios superior al de algunas compañías del IBEX35. </w:t>
      </w:r>
    </w:p>
    <w:p w:rsidR="00F61DE8" w:rsidRDefault="00F61DE8">
      <w:pPr>
        <w:pStyle w:val="Prrafodelista"/>
        <w:autoSpaceDE w:val="0"/>
        <w:autoSpaceDN w:val="0"/>
        <w:spacing w:line="360" w:lineRule="auto"/>
        <w:ind w:left="340"/>
        <w:jc w:val="both"/>
        <w:rPr>
          <w:rFonts w:ascii="MinionPro-Regular" w:hAnsi="MinionPro-Regular"/>
          <w:sz w:val="24"/>
          <w:szCs w:val="24"/>
          <w:lang w:val="es-ES_tradnl"/>
        </w:rPr>
      </w:pPr>
    </w:p>
    <w:p w:rsidR="00F61DE8" w:rsidRDefault="007B60B8" w:rsidP="0007541A">
      <w:pPr>
        <w:pStyle w:val="Prrafodelista"/>
        <w:numPr>
          <w:ilvl w:val="0"/>
          <w:numId w:val="29"/>
        </w:num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A</w:t>
      </w:r>
      <w:r w:rsidR="00505056" w:rsidRPr="00505056">
        <w:rPr>
          <w:rFonts w:ascii="MinionPro-Regular" w:hAnsi="MinionPro-Regular"/>
          <w:sz w:val="24"/>
          <w:szCs w:val="24"/>
          <w:lang w:val="es-ES_tradnl"/>
        </w:rPr>
        <w:t xml:space="preserve">proximadamente el 20% de </w:t>
      </w:r>
      <w:r>
        <w:rPr>
          <w:rFonts w:ascii="MinionPro-Regular" w:hAnsi="MinionPro-Regular"/>
          <w:sz w:val="24"/>
          <w:szCs w:val="24"/>
          <w:lang w:val="es-ES_tradnl"/>
        </w:rPr>
        <w:t>las personas con discapacidad que están ocupadas</w:t>
      </w:r>
      <w:r w:rsidR="00505056" w:rsidRPr="00505056">
        <w:rPr>
          <w:rFonts w:ascii="MinionPro-Regular" w:hAnsi="MinionPro-Regular"/>
          <w:sz w:val="24"/>
          <w:szCs w:val="24"/>
          <w:lang w:val="es-ES_tradnl"/>
        </w:rPr>
        <w:t xml:space="preserve"> desarrollan su actividad en un centro especial de empleo.</w:t>
      </w:r>
    </w:p>
    <w:p w:rsidR="00505056" w:rsidRDefault="00505056" w:rsidP="00505056">
      <w:pPr>
        <w:autoSpaceDE w:val="0"/>
        <w:autoSpaceDN w:val="0"/>
        <w:spacing w:line="360" w:lineRule="auto"/>
        <w:jc w:val="both"/>
        <w:rPr>
          <w:rFonts w:ascii="MinionPro-Regular" w:hAnsi="MinionPro-Regular"/>
          <w:sz w:val="24"/>
          <w:szCs w:val="24"/>
          <w:lang w:val="es-ES_tradnl"/>
        </w:rPr>
      </w:pPr>
    </w:p>
    <w:p w:rsidR="00F61DE8" w:rsidRDefault="00E86451" w:rsidP="0007541A">
      <w:pPr>
        <w:pStyle w:val="Prrafodelista"/>
        <w:numPr>
          <w:ilvl w:val="0"/>
          <w:numId w:val="30"/>
        </w:numPr>
        <w:autoSpaceDE w:val="0"/>
        <w:autoSpaceDN w:val="0"/>
        <w:spacing w:line="360" w:lineRule="auto"/>
        <w:jc w:val="both"/>
        <w:rPr>
          <w:rFonts w:ascii="MinionPro-Regular" w:hAnsi="MinionPro-Regular"/>
          <w:sz w:val="24"/>
          <w:szCs w:val="24"/>
          <w:lang w:val="es-ES_tradnl"/>
        </w:rPr>
      </w:pPr>
      <w:r w:rsidRPr="00E86451">
        <w:rPr>
          <w:rFonts w:ascii="MinionPro-Regular" w:hAnsi="MinionPro-Regular"/>
          <w:sz w:val="24"/>
          <w:szCs w:val="24"/>
          <w:lang w:val="es-ES_tradnl"/>
        </w:rPr>
        <w:t>Sobre una población activa total en España que se sitúa alrededor de los 22 millones de personas, los centros especiales de empleo suponen un 0,</w:t>
      </w:r>
      <w:r w:rsidR="00505056">
        <w:rPr>
          <w:rFonts w:ascii="MinionPro-Regular" w:hAnsi="MinionPro-Regular"/>
          <w:sz w:val="24"/>
          <w:szCs w:val="24"/>
          <w:lang w:val="es-ES_tradnl"/>
        </w:rPr>
        <w:t>3</w:t>
      </w:r>
      <w:r w:rsidRPr="00E86451">
        <w:rPr>
          <w:rFonts w:ascii="MinionPro-Regular" w:hAnsi="MinionPro-Regular"/>
          <w:sz w:val="24"/>
          <w:szCs w:val="24"/>
          <w:lang w:val="es-ES_tradnl"/>
        </w:rPr>
        <w:t>% del total. Sus 70.000 trabajadores suponen, por dar otra cifra, el 0,4% de la población activa en España.</w:t>
      </w:r>
    </w:p>
    <w:p w:rsidR="00F61DE8" w:rsidRDefault="00F61DE8">
      <w:pPr>
        <w:autoSpaceDE w:val="0"/>
        <w:autoSpaceDN w:val="0"/>
        <w:spacing w:line="360" w:lineRule="auto"/>
        <w:jc w:val="both"/>
        <w:rPr>
          <w:rFonts w:ascii="MinionPro-Regular" w:hAnsi="MinionPro-Regular"/>
          <w:sz w:val="24"/>
          <w:szCs w:val="24"/>
          <w:lang w:val="es-ES_tradnl"/>
        </w:rPr>
      </w:pPr>
    </w:p>
    <w:p w:rsidR="00E2336B" w:rsidRPr="0075670B" w:rsidRDefault="00E86451">
      <w:pPr>
        <w:pBdr>
          <w:top w:val="single" w:sz="4" w:space="0" w:color="auto"/>
        </w:pBdr>
        <w:rPr>
          <w:rFonts w:ascii="MinionPro-Regular" w:hAnsi="MinionPro-Regular"/>
          <w:sz w:val="24"/>
          <w:szCs w:val="24"/>
          <w:lang w:val="es-ES_tradnl"/>
        </w:rPr>
      </w:pPr>
      <w:r w:rsidRPr="0075670B">
        <w:rPr>
          <w:rFonts w:ascii="MinionPro-Regular" w:hAnsi="MinionPro-Regular"/>
          <w:sz w:val="20"/>
          <w:lang w:val="es-ES_tradnl"/>
        </w:rPr>
        <w:t>Número de centros especiales de empleo por 100.000 habitantes</w:t>
      </w:r>
      <w:r w:rsidR="00E2336B" w:rsidRPr="0075670B">
        <w:rPr>
          <w:rFonts w:ascii="MinionPro-Regular" w:hAnsi="MinionPro-Regular"/>
          <w:sz w:val="20"/>
          <w:lang w:val="es-ES_tradnl"/>
        </w:rPr>
        <w:t xml:space="preserve"> </w:t>
      </w:r>
    </w:p>
    <w:p w:rsidR="00E2336B" w:rsidRDefault="00E1516B" w:rsidP="00CA73BB">
      <w:pPr>
        <w:autoSpaceDE w:val="0"/>
        <w:autoSpaceDN w:val="0"/>
        <w:spacing w:line="360" w:lineRule="auto"/>
        <w:jc w:val="both"/>
        <w:rPr>
          <w:rFonts w:ascii="MinionPro-Regular" w:hAnsi="MinionPro-Regular"/>
          <w:sz w:val="24"/>
          <w:szCs w:val="24"/>
          <w:lang w:val="es-ES_tradnl"/>
        </w:rPr>
      </w:pPr>
      <w:r>
        <w:rPr>
          <w:rFonts w:ascii="MinionPro-Regular" w:hAnsi="MinionPro-Regular"/>
          <w:noProof/>
          <w:sz w:val="24"/>
          <w:szCs w:val="24"/>
          <w:lang w:eastAsia="es-ES"/>
        </w:rPr>
        <w:drawing>
          <wp:inline distT="0" distB="0" distL="0" distR="0">
            <wp:extent cx="5400040" cy="3390265"/>
            <wp:effectExtent l="0" t="0" r="0" b="0"/>
            <wp:docPr id="30" name="Picture 3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r w:rsidR="00E2336B" w:rsidRPr="00EB5E14" w:rsidDel="00EB5E14">
        <w:rPr>
          <w:rFonts w:ascii="MinionPro-Regular" w:hAnsi="MinionPro-Regular"/>
          <w:sz w:val="24"/>
          <w:szCs w:val="24"/>
          <w:lang w:val="es-ES_tradnl"/>
        </w:rPr>
        <w:t xml:space="preserve"> </w:t>
      </w:r>
    </w:p>
    <w:p w:rsidR="00E2336B" w:rsidRDefault="00E2336B" w:rsidP="0012301A">
      <w:pPr>
        <w:pBdr>
          <w:bottom w:val="single" w:sz="4" w:space="1" w:color="auto"/>
        </w:pBdr>
        <w:autoSpaceDE w:val="0"/>
        <w:autoSpaceDN w:val="0"/>
        <w:spacing w:line="360" w:lineRule="auto"/>
        <w:jc w:val="both"/>
        <w:rPr>
          <w:rFonts w:ascii="MinionPro-Regular" w:hAnsi="MinionPro-Regular"/>
          <w:sz w:val="20"/>
          <w:szCs w:val="24"/>
          <w:lang w:val="es-ES_tradnl"/>
        </w:rPr>
      </w:pPr>
      <w:r w:rsidRPr="007E647A">
        <w:rPr>
          <w:rFonts w:ascii="MinionPro-Regular" w:hAnsi="MinionPro-Regular"/>
          <w:sz w:val="20"/>
          <w:szCs w:val="24"/>
          <w:lang w:val="es-ES_tradnl"/>
        </w:rPr>
        <w:t xml:space="preserve">Fuente: </w:t>
      </w:r>
      <w:r>
        <w:rPr>
          <w:rFonts w:ascii="MinionPro-Regular" w:hAnsi="MinionPro-Regular"/>
          <w:sz w:val="20"/>
          <w:szCs w:val="24"/>
          <w:lang w:val="es-ES_tradnl"/>
        </w:rPr>
        <w:t xml:space="preserve">Elaboración propia a partir de datos del </w:t>
      </w:r>
      <w:r w:rsidRPr="007E647A">
        <w:rPr>
          <w:rFonts w:ascii="MinionPro-Regular" w:hAnsi="MinionPro-Regular"/>
          <w:sz w:val="20"/>
          <w:szCs w:val="24"/>
          <w:lang w:val="es-ES_tradnl"/>
        </w:rPr>
        <w:t>Servicio Público de Empleo Estatal (SPEE)</w:t>
      </w:r>
      <w:r>
        <w:rPr>
          <w:rFonts w:ascii="MinionPro-Regular" w:hAnsi="MinionPro-Regular"/>
          <w:sz w:val="20"/>
          <w:szCs w:val="24"/>
          <w:lang w:val="es-ES_tradnl"/>
        </w:rPr>
        <w:t>.</w:t>
      </w:r>
    </w:p>
    <w:p w:rsidR="00E2336B" w:rsidRDefault="00E2336B" w:rsidP="0012301A">
      <w:pPr>
        <w:pBdr>
          <w:bottom w:val="single" w:sz="4" w:space="1" w:color="auto"/>
        </w:pBdr>
        <w:autoSpaceDE w:val="0"/>
        <w:autoSpaceDN w:val="0"/>
        <w:spacing w:line="360" w:lineRule="auto"/>
        <w:jc w:val="both"/>
        <w:rPr>
          <w:rFonts w:ascii="MinionPro-Regular" w:hAnsi="MinionPro-Regular"/>
          <w:sz w:val="20"/>
          <w:szCs w:val="24"/>
          <w:lang w:val="es-ES_tradnl"/>
        </w:rPr>
      </w:pPr>
      <w:r>
        <w:rPr>
          <w:rFonts w:ascii="MinionPro-Regular" w:hAnsi="MinionPro-Regular"/>
          <w:sz w:val="20"/>
          <w:szCs w:val="24"/>
          <w:lang w:val="es-ES_tradnl"/>
        </w:rPr>
        <w:t xml:space="preserve">Nota explicativa de la gráfica: Eje vertical, número de centros especiales de empleo por cada 100.000 habitantes. Eje horizontal, las 17 comunidades autónomas. Los datos son: Andalucía: 7,32; Aragón: 4,89; </w:t>
      </w:r>
      <w:r>
        <w:rPr>
          <w:rFonts w:ascii="MinionPro-Regular" w:hAnsi="MinionPro-Regular"/>
          <w:sz w:val="20"/>
          <w:szCs w:val="24"/>
          <w:lang w:val="es-ES_tradnl"/>
        </w:rPr>
        <w:lastRenderedPageBreak/>
        <w:t>Asturias: 9,92; Baleares: 2,72; Canarias: 2,82; Cantabria: 3,29; Castilla y León: 8,69; Castilla La Mancha: 5,19; Cataluña: 2,96; Comunidad Valenciana: 2,49; Extremadura: 10,82; Galicia: 4,12; Madrid: 3,18; Murcia: 2,91; Navarra: 2,73; País Vasco: 4,46; La Rioja: 9,68; Ceuta: 5,17; Melilla: 7,66.</w:t>
      </w:r>
    </w:p>
    <w:p w:rsidR="00E2336B" w:rsidRDefault="00E2336B" w:rsidP="0012301A">
      <w:pPr>
        <w:autoSpaceDE w:val="0"/>
        <w:autoSpaceDN w:val="0"/>
        <w:spacing w:line="360" w:lineRule="auto"/>
        <w:jc w:val="both"/>
        <w:rPr>
          <w:rFonts w:ascii="MinionPro-Regular" w:hAnsi="MinionPro-Regular"/>
          <w:sz w:val="24"/>
          <w:szCs w:val="24"/>
          <w:highlight w:val="cyan"/>
          <w:lang w:val="es-ES_tradnl"/>
        </w:rPr>
      </w:pPr>
    </w:p>
    <w:p w:rsidR="0075670B" w:rsidRDefault="0075670B" w:rsidP="0012301A">
      <w:pPr>
        <w:autoSpaceDE w:val="0"/>
        <w:autoSpaceDN w:val="0"/>
        <w:spacing w:line="360" w:lineRule="auto"/>
        <w:jc w:val="both"/>
        <w:rPr>
          <w:rFonts w:ascii="MinionPro-Regular" w:hAnsi="MinionPro-Regular"/>
          <w:sz w:val="24"/>
          <w:szCs w:val="24"/>
          <w:highlight w:val="cyan"/>
          <w:lang w:val="es-ES_tradnl"/>
        </w:rPr>
      </w:pPr>
    </w:p>
    <w:p w:rsidR="0075670B" w:rsidRDefault="0075670B" w:rsidP="0012301A">
      <w:pPr>
        <w:autoSpaceDE w:val="0"/>
        <w:autoSpaceDN w:val="0"/>
        <w:spacing w:line="360" w:lineRule="auto"/>
        <w:jc w:val="both"/>
        <w:rPr>
          <w:rFonts w:ascii="MinionPro-Regular" w:hAnsi="MinionPro-Regular"/>
          <w:sz w:val="24"/>
          <w:szCs w:val="24"/>
          <w:highlight w:val="cyan"/>
          <w:lang w:val="es-ES_tradnl"/>
        </w:rPr>
      </w:pPr>
    </w:p>
    <w:p w:rsidR="0075670B" w:rsidRDefault="0075670B" w:rsidP="0012301A">
      <w:pPr>
        <w:autoSpaceDE w:val="0"/>
        <w:autoSpaceDN w:val="0"/>
        <w:spacing w:line="360" w:lineRule="auto"/>
        <w:jc w:val="both"/>
        <w:rPr>
          <w:rFonts w:ascii="MinionPro-Regular" w:hAnsi="MinionPro-Regular"/>
          <w:sz w:val="24"/>
          <w:szCs w:val="24"/>
          <w:highlight w:val="cyan"/>
          <w:lang w:val="es-ES_tradnl"/>
        </w:rPr>
      </w:pPr>
    </w:p>
    <w:p w:rsidR="0075670B" w:rsidRDefault="0075670B" w:rsidP="0012301A">
      <w:pPr>
        <w:autoSpaceDE w:val="0"/>
        <w:autoSpaceDN w:val="0"/>
        <w:spacing w:line="360" w:lineRule="auto"/>
        <w:jc w:val="both"/>
        <w:rPr>
          <w:rFonts w:ascii="MinionPro-Regular" w:hAnsi="MinionPro-Regular"/>
          <w:sz w:val="24"/>
          <w:szCs w:val="24"/>
          <w:highlight w:val="cyan"/>
          <w:lang w:val="es-ES_tradnl"/>
        </w:rPr>
      </w:pPr>
    </w:p>
    <w:p w:rsidR="0075670B" w:rsidRDefault="0075670B" w:rsidP="0012301A">
      <w:pPr>
        <w:autoSpaceDE w:val="0"/>
        <w:autoSpaceDN w:val="0"/>
        <w:spacing w:line="360" w:lineRule="auto"/>
        <w:jc w:val="both"/>
        <w:rPr>
          <w:rFonts w:ascii="MinionPro-Regular" w:hAnsi="MinionPro-Regular"/>
          <w:sz w:val="24"/>
          <w:szCs w:val="24"/>
          <w:highlight w:val="cyan"/>
          <w:lang w:val="es-ES_tradnl"/>
        </w:rPr>
      </w:pPr>
    </w:p>
    <w:p w:rsidR="0075670B" w:rsidRDefault="0075670B" w:rsidP="0012301A">
      <w:pPr>
        <w:autoSpaceDE w:val="0"/>
        <w:autoSpaceDN w:val="0"/>
        <w:spacing w:line="360" w:lineRule="auto"/>
        <w:jc w:val="both"/>
        <w:rPr>
          <w:rFonts w:ascii="MinionPro-Regular" w:hAnsi="MinionPro-Regular"/>
          <w:sz w:val="24"/>
          <w:szCs w:val="24"/>
          <w:highlight w:val="cyan"/>
          <w:lang w:val="es-ES_tradnl"/>
        </w:rPr>
      </w:pPr>
    </w:p>
    <w:p w:rsidR="0075670B" w:rsidRDefault="0075670B" w:rsidP="0012301A">
      <w:pPr>
        <w:autoSpaceDE w:val="0"/>
        <w:autoSpaceDN w:val="0"/>
        <w:spacing w:line="360" w:lineRule="auto"/>
        <w:jc w:val="both"/>
        <w:rPr>
          <w:rFonts w:ascii="MinionPro-Regular" w:hAnsi="MinionPro-Regular"/>
          <w:sz w:val="24"/>
          <w:szCs w:val="24"/>
          <w:highlight w:val="cyan"/>
          <w:lang w:val="es-ES_tradnl"/>
        </w:rPr>
      </w:pPr>
    </w:p>
    <w:p w:rsidR="0075670B" w:rsidRDefault="0075670B" w:rsidP="0012301A">
      <w:pPr>
        <w:autoSpaceDE w:val="0"/>
        <w:autoSpaceDN w:val="0"/>
        <w:spacing w:line="360" w:lineRule="auto"/>
        <w:jc w:val="both"/>
        <w:rPr>
          <w:rFonts w:ascii="MinionPro-Regular" w:hAnsi="MinionPro-Regular"/>
          <w:sz w:val="24"/>
          <w:szCs w:val="24"/>
          <w:highlight w:val="cyan"/>
          <w:lang w:val="es-ES_tradnl"/>
        </w:rPr>
      </w:pPr>
    </w:p>
    <w:p w:rsidR="0075670B" w:rsidRDefault="0075670B" w:rsidP="0012301A">
      <w:pPr>
        <w:autoSpaceDE w:val="0"/>
        <w:autoSpaceDN w:val="0"/>
        <w:spacing w:line="360" w:lineRule="auto"/>
        <w:jc w:val="both"/>
        <w:rPr>
          <w:rFonts w:ascii="MinionPro-Regular" w:hAnsi="MinionPro-Regular"/>
          <w:sz w:val="24"/>
          <w:szCs w:val="24"/>
          <w:highlight w:val="cyan"/>
          <w:lang w:val="es-ES_tradnl"/>
        </w:rPr>
      </w:pPr>
    </w:p>
    <w:p w:rsidR="0075670B" w:rsidRDefault="0075670B" w:rsidP="0012301A">
      <w:pPr>
        <w:autoSpaceDE w:val="0"/>
        <w:autoSpaceDN w:val="0"/>
        <w:spacing w:line="360" w:lineRule="auto"/>
        <w:jc w:val="both"/>
        <w:rPr>
          <w:rFonts w:ascii="MinionPro-Regular" w:hAnsi="MinionPro-Regular"/>
          <w:sz w:val="24"/>
          <w:szCs w:val="24"/>
          <w:highlight w:val="cyan"/>
          <w:lang w:val="es-ES_tradnl"/>
        </w:rPr>
      </w:pPr>
    </w:p>
    <w:p w:rsidR="00577269" w:rsidRPr="0075670B" w:rsidRDefault="00E86451" w:rsidP="00577269">
      <w:pPr>
        <w:pBdr>
          <w:top w:val="single" w:sz="4" w:space="0" w:color="auto"/>
        </w:pBdr>
        <w:rPr>
          <w:rFonts w:ascii="MinionPro-Regular" w:hAnsi="MinionPro-Regular"/>
          <w:sz w:val="24"/>
          <w:szCs w:val="24"/>
          <w:lang w:val="es-ES_tradnl"/>
        </w:rPr>
      </w:pPr>
      <w:r w:rsidRPr="0075670B">
        <w:rPr>
          <w:rFonts w:ascii="MinionPro-Regular" w:hAnsi="MinionPro-Regular"/>
          <w:sz w:val="20"/>
          <w:lang w:val="es-ES_tradnl"/>
        </w:rPr>
        <w:t>Número de centros especiales de empleo por persona con discapacidad</w:t>
      </w:r>
      <w:r w:rsidR="00DE3EC2" w:rsidRPr="0075670B">
        <w:rPr>
          <w:rFonts w:ascii="MinionPro-Regular" w:hAnsi="MinionPro-Regular"/>
          <w:sz w:val="20"/>
          <w:lang w:val="es-ES_tradnl"/>
        </w:rPr>
        <w:t xml:space="preserve"> ocupada.</w:t>
      </w:r>
    </w:p>
    <w:p w:rsidR="00577269" w:rsidRPr="0075670B" w:rsidRDefault="00E86451" w:rsidP="00577269">
      <w:pPr>
        <w:autoSpaceDE w:val="0"/>
        <w:autoSpaceDN w:val="0"/>
        <w:spacing w:line="360" w:lineRule="auto"/>
        <w:jc w:val="both"/>
        <w:rPr>
          <w:rFonts w:ascii="MinionPro-Regular" w:hAnsi="MinionPro-Regular"/>
          <w:sz w:val="24"/>
          <w:szCs w:val="24"/>
          <w:lang w:val="es-ES_tradnl"/>
        </w:rPr>
      </w:pPr>
      <w:r w:rsidRPr="0075670B">
        <w:rPr>
          <w:rFonts w:ascii="MinionPro-Regular" w:hAnsi="MinionPro-Regular"/>
          <w:sz w:val="24"/>
          <w:szCs w:val="24"/>
          <w:lang w:val="es-ES_tradnl"/>
        </w:rPr>
        <w:lastRenderedPageBreak/>
        <w:t xml:space="preserve"> </w:t>
      </w:r>
      <w:r w:rsidR="00F61DE8" w:rsidRPr="0075670B">
        <w:rPr>
          <w:rFonts w:ascii="MinionPro-Regular" w:hAnsi="MinionPro-Regular"/>
          <w:noProof/>
          <w:sz w:val="24"/>
          <w:szCs w:val="24"/>
          <w:lang w:eastAsia="es-ES"/>
        </w:rPr>
        <w:drawing>
          <wp:inline distT="0" distB="0" distL="0" distR="0">
            <wp:extent cx="5400675" cy="3690461"/>
            <wp:effectExtent l="0" t="0" r="0" b="0"/>
            <wp:docPr id="20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577269" w:rsidRPr="0075670B" w:rsidRDefault="00E86451" w:rsidP="00577269">
      <w:pPr>
        <w:pBdr>
          <w:bottom w:val="single" w:sz="4" w:space="1" w:color="auto"/>
        </w:pBdr>
        <w:autoSpaceDE w:val="0"/>
        <w:autoSpaceDN w:val="0"/>
        <w:spacing w:line="360" w:lineRule="auto"/>
        <w:jc w:val="both"/>
        <w:rPr>
          <w:rFonts w:ascii="MinionPro-Regular" w:hAnsi="MinionPro-Regular"/>
          <w:sz w:val="20"/>
          <w:szCs w:val="24"/>
          <w:lang w:val="es-ES_tradnl"/>
        </w:rPr>
      </w:pPr>
      <w:r w:rsidRPr="0075670B">
        <w:rPr>
          <w:rFonts w:ascii="MinionPro-Regular" w:hAnsi="MinionPro-Regular"/>
          <w:sz w:val="20"/>
          <w:szCs w:val="24"/>
          <w:lang w:val="es-ES_tradnl"/>
        </w:rPr>
        <w:t>Fuente: Elaboración propia a partir de datos del Servicio Público de Empleo Estatal (SPEE).</w:t>
      </w:r>
    </w:p>
    <w:p w:rsidR="00577269" w:rsidRDefault="00E86451" w:rsidP="00577269">
      <w:pPr>
        <w:pBdr>
          <w:bottom w:val="single" w:sz="4" w:space="1" w:color="auto"/>
        </w:pBdr>
        <w:autoSpaceDE w:val="0"/>
        <w:autoSpaceDN w:val="0"/>
        <w:spacing w:line="360" w:lineRule="auto"/>
        <w:jc w:val="both"/>
        <w:rPr>
          <w:rFonts w:ascii="MinionPro-Regular" w:hAnsi="MinionPro-Regular"/>
          <w:sz w:val="20"/>
          <w:szCs w:val="24"/>
          <w:lang w:val="es-ES_tradnl"/>
        </w:rPr>
      </w:pPr>
      <w:r w:rsidRPr="0075670B">
        <w:rPr>
          <w:rFonts w:ascii="MinionPro-Regular" w:hAnsi="MinionPro-Regular"/>
          <w:sz w:val="20"/>
          <w:szCs w:val="24"/>
          <w:lang w:val="es-ES_tradnl"/>
        </w:rPr>
        <w:t>Nota explicativa de la gráfica: Eje vertical, número de centros especiales de empleo por cada persona con dispacpacidad</w:t>
      </w:r>
      <w:r w:rsidR="00DE3EC2" w:rsidRPr="0075670B">
        <w:rPr>
          <w:rFonts w:ascii="MinionPro-Regular" w:hAnsi="MinionPro-Regular"/>
          <w:sz w:val="20"/>
          <w:szCs w:val="24"/>
          <w:lang w:val="es-ES_tradnl"/>
        </w:rPr>
        <w:t xml:space="preserve"> ocupada</w:t>
      </w:r>
      <w:r w:rsidRPr="0075670B">
        <w:rPr>
          <w:rFonts w:ascii="MinionPro-Regular" w:hAnsi="MinionPro-Regular"/>
          <w:sz w:val="20"/>
          <w:szCs w:val="24"/>
          <w:lang w:val="es-ES_tradnl"/>
        </w:rPr>
        <w:t>. Eje horizontal, las 17 comunidades autónomas. Los datos son:</w:t>
      </w:r>
      <w:r w:rsidRPr="0075670B">
        <w:t xml:space="preserve"> </w:t>
      </w:r>
      <w:r w:rsidRPr="0075670B">
        <w:rPr>
          <w:rFonts w:ascii="MinionPro-Regular" w:hAnsi="MinionPro-Regular"/>
          <w:sz w:val="20"/>
          <w:szCs w:val="24"/>
          <w:lang w:val="es-ES_tradnl"/>
        </w:rPr>
        <w:t>Extremadura</w:t>
      </w:r>
      <w:r w:rsidRPr="0075670B">
        <w:t xml:space="preserve"> </w:t>
      </w:r>
      <w:r w:rsidRPr="0075670B">
        <w:rPr>
          <w:rFonts w:ascii="MinionPro-Regular" w:hAnsi="MinionPro-Regular"/>
          <w:sz w:val="20"/>
          <w:szCs w:val="24"/>
          <w:lang w:val="es-ES_tradnl"/>
        </w:rPr>
        <w:t>0,020; Castilla y León</w:t>
      </w:r>
      <w:r w:rsidRPr="0075670B">
        <w:t xml:space="preserve"> </w:t>
      </w:r>
      <w:r w:rsidRPr="0075670B">
        <w:rPr>
          <w:rFonts w:ascii="MinionPro-Regular" w:hAnsi="MinionPro-Regular"/>
          <w:sz w:val="20"/>
          <w:szCs w:val="24"/>
          <w:lang w:val="es-ES_tradnl"/>
        </w:rPr>
        <w:t>0,014; Andalucía + Ceuta y Melilla</w:t>
      </w:r>
      <w:r w:rsidRPr="0075670B">
        <w:t xml:space="preserve"> </w:t>
      </w:r>
      <w:r w:rsidRPr="0075670B">
        <w:rPr>
          <w:rFonts w:ascii="MinionPro-Regular" w:hAnsi="MinionPro-Regular"/>
          <w:sz w:val="20"/>
          <w:szCs w:val="24"/>
          <w:lang w:val="es-ES_tradnl"/>
        </w:rPr>
        <w:t>0,012; La Rioja</w:t>
      </w:r>
      <w:r w:rsidRPr="0075670B">
        <w:t xml:space="preserve"> </w:t>
      </w:r>
      <w:r w:rsidRPr="0075670B">
        <w:rPr>
          <w:rFonts w:ascii="MinionPro-Regular" w:hAnsi="MinionPro-Regular"/>
          <w:sz w:val="20"/>
          <w:szCs w:val="24"/>
          <w:lang w:val="es-ES_tradnl"/>
        </w:rPr>
        <w:t>0,011; Asturias</w:t>
      </w:r>
      <w:r w:rsidRPr="0075670B">
        <w:t xml:space="preserve"> </w:t>
      </w:r>
      <w:r w:rsidRPr="0075670B">
        <w:rPr>
          <w:rFonts w:ascii="MinionPro-Regular" w:hAnsi="MinionPro-Regular"/>
          <w:sz w:val="20"/>
          <w:szCs w:val="24"/>
          <w:lang w:val="es-ES_tradnl"/>
        </w:rPr>
        <w:t>0,010; Canarias</w:t>
      </w:r>
      <w:r w:rsidRPr="0075670B">
        <w:t xml:space="preserve"> </w:t>
      </w:r>
      <w:r w:rsidRPr="0075670B">
        <w:rPr>
          <w:rFonts w:ascii="MinionPro-Regular" w:hAnsi="MinionPro-Regular"/>
          <w:sz w:val="20"/>
          <w:szCs w:val="24"/>
          <w:lang w:val="es-ES_tradnl"/>
        </w:rPr>
        <w:t>0,006; Aragón</w:t>
      </w:r>
      <w:r w:rsidRPr="0075670B">
        <w:t xml:space="preserve"> </w:t>
      </w:r>
      <w:r w:rsidRPr="0075670B">
        <w:rPr>
          <w:rFonts w:ascii="MinionPro-Regular" w:hAnsi="MinionPro-Regular"/>
          <w:sz w:val="20"/>
          <w:szCs w:val="24"/>
          <w:lang w:val="es-ES_tradnl"/>
        </w:rPr>
        <w:t>0,006; Castilla La Mancha 0,006; Madrid</w:t>
      </w:r>
      <w:r w:rsidRPr="0075670B">
        <w:t xml:space="preserve"> </w:t>
      </w:r>
      <w:r w:rsidRPr="0075670B">
        <w:rPr>
          <w:rFonts w:ascii="MinionPro-Regular" w:hAnsi="MinionPro-Regular"/>
          <w:sz w:val="20"/>
          <w:szCs w:val="24"/>
          <w:lang w:val="es-ES_tradnl"/>
        </w:rPr>
        <w:t>0,006; C.Valenciana 0,005; Galicia 0,005; País Vasco</w:t>
      </w:r>
      <w:r w:rsidRPr="0075670B">
        <w:t xml:space="preserve"> </w:t>
      </w:r>
      <w:r w:rsidRPr="0075670B">
        <w:rPr>
          <w:rFonts w:ascii="MinionPro-Regular" w:hAnsi="MinionPro-Regular"/>
          <w:sz w:val="20"/>
          <w:szCs w:val="24"/>
          <w:lang w:val="es-ES_tradnl"/>
        </w:rPr>
        <w:t>0,004; Cantabria 0,004; Baleares 0,004; Cataluña</w:t>
      </w:r>
      <w:r w:rsidRPr="0075670B">
        <w:t xml:space="preserve"> </w:t>
      </w:r>
      <w:r w:rsidRPr="0075670B">
        <w:rPr>
          <w:rFonts w:ascii="MinionPro-Regular" w:hAnsi="MinionPro-Regular"/>
          <w:sz w:val="20"/>
          <w:szCs w:val="24"/>
          <w:lang w:val="es-ES_tradnl"/>
        </w:rPr>
        <w:t>0,003; Navarra</w:t>
      </w:r>
      <w:r w:rsidRPr="0075670B">
        <w:t xml:space="preserve"> </w:t>
      </w:r>
      <w:r w:rsidRPr="0075670B">
        <w:rPr>
          <w:rFonts w:ascii="MinionPro-Regular" w:hAnsi="MinionPro-Regular"/>
          <w:sz w:val="20"/>
          <w:szCs w:val="24"/>
          <w:lang w:val="es-ES_tradnl"/>
        </w:rPr>
        <w:t>0,003; Murcia 0,002.</w:t>
      </w:r>
    </w:p>
    <w:p w:rsidR="00577269" w:rsidRDefault="00577269" w:rsidP="00890FE5">
      <w:pPr>
        <w:autoSpaceDE w:val="0"/>
        <w:autoSpaceDN w:val="0"/>
        <w:spacing w:line="360" w:lineRule="auto"/>
        <w:jc w:val="both"/>
        <w:rPr>
          <w:rFonts w:ascii="MinionPro-Regular" w:hAnsi="MinionPro-Regular"/>
          <w:sz w:val="24"/>
          <w:szCs w:val="24"/>
          <w:lang w:val="es-ES_tradnl"/>
        </w:rPr>
      </w:pPr>
    </w:p>
    <w:p w:rsidR="00E2336B" w:rsidRPr="00E2336B" w:rsidRDefault="00E2336B" w:rsidP="00890FE5">
      <w:pPr>
        <w:autoSpaceDE w:val="0"/>
        <w:autoSpaceDN w:val="0"/>
        <w:spacing w:line="360" w:lineRule="auto"/>
        <w:jc w:val="both"/>
        <w:rPr>
          <w:rFonts w:ascii="MinionPro-Regular" w:hAnsi="MinionPro-Regular"/>
          <w:color w:val="FF0000"/>
          <w:sz w:val="24"/>
          <w:szCs w:val="24"/>
          <w:lang w:val="es-ES_tradnl"/>
        </w:rPr>
      </w:pPr>
      <w:r w:rsidRPr="008B461D">
        <w:rPr>
          <w:rFonts w:ascii="MinionPro-Regular" w:hAnsi="MinionPro-Regular"/>
          <w:sz w:val="24"/>
          <w:szCs w:val="24"/>
          <w:lang w:val="es-ES_tradnl"/>
        </w:rPr>
        <w:t>Adicionalmente, un</w:t>
      </w:r>
      <w:r>
        <w:rPr>
          <w:rFonts w:ascii="MinionPro-Regular" w:hAnsi="MinionPro-Regular"/>
          <w:sz w:val="24"/>
          <w:szCs w:val="24"/>
          <w:lang w:val="es-ES_tradnl"/>
        </w:rPr>
        <w:t xml:space="preserve"> crecimiento </w:t>
      </w:r>
      <w:r w:rsidR="009A79D3">
        <w:rPr>
          <w:rFonts w:ascii="MinionPro-Regular" w:hAnsi="MinionPro-Regular"/>
          <w:sz w:val="24"/>
          <w:szCs w:val="24"/>
          <w:lang w:val="es-ES_tradnl"/>
        </w:rPr>
        <w:t xml:space="preserve">del 16,42% </w:t>
      </w:r>
      <w:r>
        <w:rPr>
          <w:rFonts w:ascii="MinionPro-Regular" w:hAnsi="MinionPro-Regular"/>
          <w:sz w:val="24"/>
          <w:szCs w:val="24"/>
          <w:lang w:val="es-ES_tradnl"/>
        </w:rPr>
        <w:t>en el empleo de personas con especiales dificultades</w:t>
      </w:r>
      <w:r w:rsidR="00DF3DA5">
        <w:rPr>
          <w:rFonts w:ascii="MinionPro-Regular" w:hAnsi="MinionPro-Regular"/>
          <w:sz w:val="24"/>
          <w:szCs w:val="24"/>
          <w:lang w:val="es-ES_tradnl"/>
        </w:rPr>
        <w:t xml:space="preserve"> </w:t>
      </w:r>
      <w:r w:rsidR="00DF3DA5" w:rsidRPr="009A79D3">
        <w:rPr>
          <w:rFonts w:ascii="MinionPro-Regular" w:hAnsi="MinionPro-Regular"/>
          <w:sz w:val="24"/>
          <w:szCs w:val="24"/>
          <w:lang w:val="es-ES_tradnl"/>
        </w:rPr>
        <w:t>e</w:t>
      </w:r>
      <w:r w:rsidR="009A79D3">
        <w:rPr>
          <w:rFonts w:ascii="MinionPro-Regular" w:hAnsi="MinionPro-Regular"/>
          <w:sz w:val="24"/>
          <w:szCs w:val="24"/>
          <w:lang w:val="es-ES_tradnl"/>
        </w:rPr>
        <w:t>n el período 2009-2011.</w:t>
      </w:r>
      <w:r w:rsidR="008A4D42" w:rsidRPr="009A79D3">
        <w:rPr>
          <w:rFonts w:ascii="MinionPro-Regular" w:hAnsi="MinionPro-Regular"/>
          <w:sz w:val="24"/>
          <w:szCs w:val="24"/>
          <w:lang w:val="es-ES_tradnl"/>
        </w:rPr>
        <w:t xml:space="preserve"> </w:t>
      </w:r>
      <w:r w:rsidR="009A79D3">
        <w:rPr>
          <w:rFonts w:ascii="MinionPro-Regular" w:hAnsi="MinionPro-Regular"/>
          <w:sz w:val="24"/>
          <w:szCs w:val="24"/>
          <w:lang w:val="es-ES_tradnl"/>
        </w:rPr>
        <w:t>Este dato</w:t>
      </w:r>
      <w:r>
        <w:rPr>
          <w:rFonts w:ascii="MinionPro-Regular" w:hAnsi="MinionPro-Regular"/>
          <w:sz w:val="24"/>
          <w:szCs w:val="24"/>
          <w:lang w:val="es-ES_tradnl"/>
        </w:rPr>
        <w:t xml:space="preserve"> pone de manifiesto su creciente valor añadido social para las personas con discapacidad. </w:t>
      </w:r>
    </w:p>
    <w:p w:rsidR="00E2336B" w:rsidRDefault="00E2336B" w:rsidP="00BE6244">
      <w:pPr>
        <w:autoSpaceDE w:val="0"/>
        <w:autoSpaceDN w:val="0"/>
        <w:spacing w:line="360" w:lineRule="auto"/>
        <w:jc w:val="both"/>
        <w:rPr>
          <w:rFonts w:ascii="MinionPro-Regular" w:hAnsi="MinionPro-Regular"/>
          <w:sz w:val="24"/>
          <w:szCs w:val="24"/>
          <w:lang w:val="es-ES_tradnl"/>
        </w:rPr>
      </w:pPr>
    </w:p>
    <w:p w:rsidR="009A79D3" w:rsidRDefault="009A79D3" w:rsidP="00BE6244">
      <w:pPr>
        <w:autoSpaceDE w:val="0"/>
        <w:autoSpaceDN w:val="0"/>
        <w:spacing w:line="360" w:lineRule="auto"/>
        <w:jc w:val="both"/>
        <w:rPr>
          <w:rFonts w:ascii="MinionPro-Regular" w:hAnsi="MinionPro-Regular"/>
          <w:sz w:val="24"/>
          <w:szCs w:val="24"/>
          <w:lang w:val="es-ES_tradnl"/>
        </w:rPr>
      </w:pPr>
    </w:p>
    <w:p w:rsidR="009A79D3" w:rsidRDefault="009A79D3" w:rsidP="00BE6244">
      <w:pPr>
        <w:autoSpaceDE w:val="0"/>
        <w:autoSpaceDN w:val="0"/>
        <w:spacing w:line="360" w:lineRule="auto"/>
        <w:jc w:val="both"/>
        <w:rPr>
          <w:rFonts w:ascii="MinionPro-Regular" w:hAnsi="MinionPro-Regular"/>
          <w:sz w:val="24"/>
          <w:szCs w:val="24"/>
          <w:lang w:val="es-ES_tradnl"/>
        </w:rPr>
      </w:pPr>
    </w:p>
    <w:p w:rsidR="009A79D3" w:rsidRDefault="009A79D3" w:rsidP="00BE6244">
      <w:pPr>
        <w:autoSpaceDE w:val="0"/>
        <w:autoSpaceDN w:val="0"/>
        <w:spacing w:line="360" w:lineRule="auto"/>
        <w:jc w:val="both"/>
        <w:rPr>
          <w:rFonts w:ascii="MinionPro-Regular" w:hAnsi="MinionPro-Regular"/>
          <w:sz w:val="24"/>
          <w:szCs w:val="24"/>
          <w:lang w:val="es-ES_tradnl"/>
        </w:rPr>
      </w:pPr>
    </w:p>
    <w:p w:rsidR="00E2336B" w:rsidRDefault="00E2336B">
      <w:pPr>
        <w:autoSpaceDE w:val="0"/>
        <w:autoSpaceDN w:val="0"/>
        <w:spacing w:line="360" w:lineRule="auto"/>
        <w:jc w:val="both"/>
        <w:rPr>
          <w:rFonts w:ascii="MinionPro-Regular" w:hAnsi="MinionPro-Regular"/>
          <w:sz w:val="24"/>
          <w:szCs w:val="24"/>
          <w:lang w:val="es-ES_tradnl"/>
        </w:rPr>
      </w:pPr>
    </w:p>
    <w:p w:rsidR="00E2336B" w:rsidRDefault="00E2336B">
      <w:pPr>
        <w:pBdr>
          <w:top w:val="single" w:sz="4" w:space="1" w:color="auto"/>
        </w:pBdr>
        <w:rPr>
          <w:rFonts w:ascii="MinionPro-Regular" w:hAnsi="MinionPro-Regular"/>
          <w:sz w:val="20"/>
          <w:szCs w:val="24"/>
          <w:lang w:val="es-ES_tradnl"/>
        </w:rPr>
      </w:pPr>
      <w:r w:rsidRPr="0081432A">
        <w:rPr>
          <w:rFonts w:ascii="MinionPro-Regular" w:hAnsi="MinionPro-Regular"/>
          <w:sz w:val="20"/>
          <w:szCs w:val="24"/>
          <w:lang w:val="es-ES_tradnl"/>
        </w:rPr>
        <w:t>Evolución del porcentaje de personas con especiales dificultades de inserción laboral</w:t>
      </w:r>
      <w:r>
        <w:rPr>
          <w:rFonts w:ascii="MinionPro-Regular" w:hAnsi="MinionPro-Regular"/>
          <w:sz w:val="20"/>
          <w:szCs w:val="24"/>
          <w:lang w:val="es-ES_tradnl"/>
        </w:rPr>
        <w:t xml:space="preserve"> en centros especiales de empleo</w:t>
      </w:r>
    </w:p>
    <w:p w:rsidR="00E2336B" w:rsidRDefault="00E1516B" w:rsidP="00890FE5">
      <w:pPr>
        <w:autoSpaceDE w:val="0"/>
        <w:autoSpaceDN w:val="0"/>
        <w:spacing w:line="360" w:lineRule="auto"/>
        <w:jc w:val="both"/>
        <w:rPr>
          <w:rFonts w:ascii="MinionPro-Regular" w:hAnsi="MinionPro-Regular"/>
          <w:sz w:val="24"/>
          <w:szCs w:val="24"/>
          <w:highlight w:val="cyan"/>
          <w:lang w:val="es-ES_tradnl"/>
        </w:rPr>
      </w:pPr>
      <w:r>
        <w:rPr>
          <w:rFonts w:ascii="MinionPro-Regular" w:hAnsi="MinionPro-Regular"/>
          <w:noProof/>
          <w:sz w:val="24"/>
          <w:szCs w:val="24"/>
          <w:lang w:eastAsia="es-ES"/>
        </w:rPr>
        <w:drawing>
          <wp:inline distT="0" distB="0" distL="0" distR="0">
            <wp:extent cx="3761105" cy="2449830"/>
            <wp:effectExtent l="0" t="0" r="0" b="0"/>
            <wp:docPr id="31" name="Picture 3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E2336B" w:rsidRDefault="00E2336B">
      <w:pPr>
        <w:pBdr>
          <w:bottom w:val="single" w:sz="4" w:space="1" w:color="auto"/>
        </w:pBdr>
        <w:autoSpaceDE w:val="0"/>
        <w:autoSpaceDN w:val="0"/>
        <w:spacing w:line="360" w:lineRule="auto"/>
        <w:jc w:val="both"/>
        <w:rPr>
          <w:rFonts w:ascii="MinionPro-Regular" w:hAnsi="MinionPro-Regular"/>
          <w:sz w:val="20"/>
          <w:szCs w:val="24"/>
          <w:lang w:val="es-ES_tradnl"/>
        </w:rPr>
      </w:pPr>
      <w:r w:rsidRPr="008B461D">
        <w:rPr>
          <w:rFonts w:ascii="MinionPro-Regular" w:hAnsi="MinionPro-Regular"/>
          <w:sz w:val="20"/>
          <w:szCs w:val="24"/>
          <w:lang w:val="es-ES_tradnl"/>
        </w:rPr>
        <w:t>Fuente: Elaboración propia a partir de datos del Servicio Público de Empleo Estatal, 2011</w:t>
      </w:r>
      <w:r>
        <w:rPr>
          <w:rFonts w:ascii="MinionPro-Regular" w:hAnsi="MinionPro-Regular"/>
          <w:sz w:val="20"/>
          <w:szCs w:val="24"/>
          <w:lang w:val="es-ES_tradnl"/>
        </w:rPr>
        <w:t>.</w:t>
      </w:r>
    </w:p>
    <w:p w:rsidR="00E2336B" w:rsidRDefault="00E2336B">
      <w:pPr>
        <w:pBdr>
          <w:bottom w:val="single" w:sz="4" w:space="1" w:color="auto"/>
        </w:pBdr>
        <w:autoSpaceDE w:val="0"/>
        <w:autoSpaceDN w:val="0"/>
        <w:spacing w:line="360" w:lineRule="auto"/>
        <w:jc w:val="both"/>
        <w:rPr>
          <w:rFonts w:ascii="MinionPro-Regular" w:hAnsi="MinionPro-Regular"/>
          <w:sz w:val="20"/>
          <w:szCs w:val="24"/>
          <w:lang w:val="es-ES_tradnl"/>
        </w:rPr>
      </w:pPr>
      <w:r>
        <w:rPr>
          <w:rFonts w:ascii="MinionPro-Regular" w:hAnsi="MinionPro-Regular"/>
          <w:sz w:val="20"/>
          <w:szCs w:val="24"/>
          <w:lang w:val="es-ES_tradnl"/>
        </w:rPr>
        <w:t>Nota explicativa de la gráfica: Eje vertical: porcentaje de personas con especiales dificultades de inserción laboral en centro especial de empleo. Eje horizontal: año 2009, 43,1%; año 2010, 42,9% y año 2011, 43,9%.</w:t>
      </w:r>
    </w:p>
    <w:p w:rsidR="00E2336B" w:rsidRDefault="00E2336B" w:rsidP="00890FE5">
      <w:pPr>
        <w:autoSpaceDE w:val="0"/>
        <w:autoSpaceDN w:val="0"/>
        <w:spacing w:line="360" w:lineRule="auto"/>
        <w:jc w:val="both"/>
        <w:rPr>
          <w:rFonts w:ascii="MinionPro-Regular" w:hAnsi="MinionPro-Regular"/>
          <w:sz w:val="24"/>
          <w:szCs w:val="24"/>
          <w:highlight w:val="cyan"/>
          <w:lang w:val="es-ES_tradnl"/>
        </w:rPr>
      </w:pPr>
    </w:p>
    <w:p w:rsidR="00E2336B" w:rsidRDefault="00E2336B" w:rsidP="00890FE5">
      <w:pPr>
        <w:autoSpaceDE w:val="0"/>
        <w:autoSpaceDN w:val="0"/>
        <w:spacing w:line="360" w:lineRule="auto"/>
        <w:jc w:val="both"/>
        <w:rPr>
          <w:rFonts w:ascii="MinionPro-Regular" w:hAnsi="MinionPro-Regular"/>
          <w:sz w:val="24"/>
          <w:szCs w:val="24"/>
          <w:highlight w:val="cyan"/>
          <w:lang w:val="es-ES_tradnl"/>
        </w:rPr>
      </w:pPr>
    </w:p>
    <w:p w:rsidR="00E2336B" w:rsidRDefault="00E2336B" w:rsidP="00890FE5">
      <w:pPr>
        <w:autoSpaceDE w:val="0"/>
        <w:autoSpaceDN w:val="0"/>
        <w:spacing w:line="360" w:lineRule="auto"/>
        <w:jc w:val="both"/>
        <w:rPr>
          <w:rFonts w:ascii="MinionPro-Regular" w:hAnsi="MinionPro-Regular"/>
          <w:sz w:val="24"/>
          <w:szCs w:val="24"/>
          <w:highlight w:val="cyan"/>
          <w:lang w:val="es-ES_tradnl"/>
        </w:rPr>
      </w:pPr>
    </w:p>
    <w:p w:rsidR="00E2336B" w:rsidRDefault="00E2336B" w:rsidP="00890FE5">
      <w:pPr>
        <w:autoSpaceDE w:val="0"/>
        <w:autoSpaceDN w:val="0"/>
        <w:spacing w:line="360" w:lineRule="auto"/>
        <w:jc w:val="both"/>
        <w:rPr>
          <w:rFonts w:ascii="MinionPro-Regular" w:hAnsi="MinionPro-Regular"/>
          <w:sz w:val="24"/>
          <w:szCs w:val="24"/>
          <w:highlight w:val="cyan"/>
          <w:lang w:val="es-ES_tradnl"/>
        </w:rPr>
      </w:pPr>
    </w:p>
    <w:p w:rsidR="00E2336B" w:rsidRDefault="00E2336B" w:rsidP="00890FE5">
      <w:pPr>
        <w:autoSpaceDE w:val="0"/>
        <w:autoSpaceDN w:val="0"/>
        <w:spacing w:line="360" w:lineRule="auto"/>
        <w:jc w:val="both"/>
        <w:rPr>
          <w:rFonts w:ascii="MinionPro-Regular" w:hAnsi="MinionPro-Regular"/>
          <w:sz w:val="24"/>
          <w:szCs w:val="24"/>
          <w:highlight w:val="cyan"/>
          <w:lang w:val="es-ES_tradnl"/>
        </w:rPr>
      </w:pPr>
    </w:p>
    <w:p w:rsidR="00E2336B" w:rsidRDefault="00E2336B" w:rsidP="00890FE5">
      <w:pPr>
        <w:autoSpaceDE w:val="0"/>
        <w:autoSpaceDN w:val="0"/>
        <w:spacing w:line="360" w:lineRule="auto"/>
        <w:jc w:val="both"/>
        <w:rPr>
          <w:rFonts w:ascii="MinionPro-Regular" w:hAnsi="MinionPro-Regular"/>
          <w:sz w:val="24"/>
          <w:szCs w:val="24"/>
          <w:highlight w:val="cyan"/>
          <w:lang w:val="es-ES_tradnl"/>
        </w:rPr>
      </w:pPr>
    </w:p>
    <w:p w:rsidR="00E2336B" w:rsidRDefault="00E2336B" w:rsidP="00890FE5">
      <w:pPr>
        <w:autoSpaceDE w:val="0"/>
        <w:autoSpaceDN w:val="0"/>
        <w:spacing w:line="360" w:lineRule="auto"/>
        <w:jc w:val="both"/>
        <w:rPr>
          <w:rFonts w:ascii="MinionPro-Regular" w:hAnsi="MinionPro-Regular"/>
          <w:sz w:val="24"/>
          <w:szCs w:val="24"/>
          <w:highlight w:val="cyan"/>
          <w:lang w:val="es-ES_tradnl"/>
        </w:rPr>
      </w:pPr>
    </w:p>
    <w:p w:rsidR="00E2336B" w:rsidRDefault="00E2336B" w:rsidP="00890FE5">
      <w:pPr>
        <w:autoSpaceDE w:val="0"/>
        <w:autoSpaceDN w:val="0"/>
        <w:spacing w:line="360" w:lineRule="auto"/>
        <w:jc w:val="both"/>
        <w:rPr>
          <w:rFonts w:ascii="MinionPro-Regular" w:hAnsi="MinionPro-Regular"/>
          <w:sz w:val="24"/>
          <w:szCs w:val="24"/>
          <w:highlight w:val="cyan"/>
          <w:lang w:val="es-ES_tradnl"/>
        </w:rPr>
      </w:pPr>
    </w:p>
    <w:p w:rsidR="009A79D3" w:rsidRDefault="009A79D3" w:rsidP="00890FE5">
      <w:pPr>
        <w:autoSpaceDE w:val="0"/>
        <w:autoSpaceDN w:val="0"/>
        <w:spacing w:line="360" w:lineRule="auto"/>
        <w:jc w:val="both"/>
        <w:rPr>
          <w:rFonts w:ascii="MinionPro-Regular" w:hAnsi="MinionPro-Regular"/>
          <w:sz w:val="24"/>
          <w:szCs w:val="24"/>
          <w:highlight w:val="cyan"/>
          <w:lang w:val="es-ES_tradnl"/>
        </w:rPr>
      </w:pPr>
    </w:p>
    <w:p w:rsidR="009A79D3" w:rsidRDefault="009A79D3" w:rsidP="00890FE5">
      <w:pPr>
        <w:autoSpaceDE w:val="0"/>
        <w:autoSpaceDN w:val="0"/>
        <w:spacing w:line="360" w:lineRule="auto"/>
        <w:jc w:val="both"/>
        <w:rPr>
          <w:rFonts w:ascii="MinionPro-Regular" w:hAnsi="MinionPro-Regular"/>
          <w:sz w:val="24"/>
          <w:szCs w:val="24"/>
          <w:highlight w:val="cyan"/>
          <w:lang w:val="es-ES_tradnl"/>
        </w:rPr>
      </w:pPr>
    </w:p>
    <w:p w:rsidR="009A79D3" w:rsidRDefault="009A79D3" w:rsidP="00890FE5">
      <w:pPr>
        <w:autoSpaceDE w:val="0"/>
        <w:autoSpaceDN w:val="0"/>
        <w:spacing w:line="360" w:lineRule="auto"/>
        <w:jc w:val="both"/>
        <w:rPr>
          <w:rFonts w:ascii="MinionPro-Regular" w:hAnsi="MinionPro-Regular"/>
          <w:sz w:val="24"/>
          <w:szCs w:val="24"/>
          <w:highlight w:val="cyan"/>
          <w:lang w:val="es-ES_tradnl"/>
        </w:rPr>
      </w:pPr>
    </w:p>
    <w:p w:rsidR="009A79D3" w:rsidRDefault="009A79D3" w:rsidP="00890FE5">
      <w:pPr>
        <w:autoSpaceDE w:val="0"/>
        <w:autoSpaceDN w:val="0"/>
        <w:spacing w:line="360" w:lineRule="auto"/>
        <w:jc w:val="both"/>
        <w:rPr>
          <w:rFonts w:ascii="MinionPro-Regular" w:hAnsi="MinionPro-Regular"/>
          <w:sz w:val="24"/>
          <w:szCs w:val="24"/>
          <w:highlight w:val="cyan"/>
          <w:lang w:val="es-ES_tradnl"/>
        </w:rPr>
      </w:pPr>
    </w:p>
    <w:p w:rsidR="009A79D3" w:rsidRDefault="009A79D3" w:rsidP="00890FE5">
      <w:pPr>
        <w:autoSpaceDE w:val="0"/>
        <w:autoSpaceDN w:val="0"/>
        <w:spacing w:line="360" w:lineRule="auto"/>
        <w:jc w:val="both"/>
        <w:rPr>
          <w:rFonts w:ascii="MinionPro-Regular" w:hAnsi="MinionPro-Regular"/>
          <w:sz w:val="24"/>
          <w:szCs w:val="24"/>
          <w:highlight w:val="cyan"/>
          <w:lang w:val="es-ES_tradnl"/>
        </w:rPr>
      </w:pPr>
    </w:p>
    <w:p w:rsidR="009A79D3" w:rsidRDefault="009A79D3" w:rsidP="00890FE5">
      <w:pPr>
        <w:autoSpaceDE w:val="0"/>
        <w:autoSpaceDN w:val="0"/>
        <w:spacing w:line="360" w:lineRule="auto"/>
        <w:jc w:val="both"/>
        <w:rPr>
          <w:rFonts w:ascii="MinionPro-Regular" w:hAnsi="MinionPro-Regular"/>
          <w:sz w:val="24"/>
          <w:szCs w:val="24"/>
          <w:highlight w:val="cyan"/>
          <w:lang w:val="es-ES_tradnl"/>
        </w:rPr>
      </w:pPr>
    </w:p>
    <w:p w:rsidR="00E2336B" w:rsidRDefault="00E2336B" w:rsidP="00890FE5">
      <w:pPr>
        <w:autoSpaceDE w:val="0"/>
        <w:autoSpaceDN w:val="0"/>
        <w:spacing w:line="360" w:lineRule="auto"/>
        <w:jc w:val="both"/>
        <w:rPr>
          <w:rFonts w:ascii="MinionPro-Regular" w:hAnsi="MinionPro-Regular"/>
          <w:sz w:val="24"/>
          <w:szCs w:val="24"/>
          <w:lang w:val="es-ES_tradnl"/>
        </w:rPr>
      </w:pPr>
    </w:p>
    <w:p w:rsidR="002959F0" w:rsidRPr="0075670B" w:rsidRDefault="00E86451">
      <w:pPr>
        <w:pBdr>
          <w:top w:val="single" w:sz="4" w:space="1" w:color="auto"/>
        </w:pBdr>
        <w:rPr>
          <w:rFonts w:ascii="MinionPro-Regular" w:hAnsi="MinionPro-Regular"/>
          <w:sz w:val="24"/>
          <w:szCs w:val="24"/>
          <w:lang w:val="es-ES_tradnl"/>
        </w:rPr>
      </w:pPr>
      <w:r w:rsidRPr="0075670B">
        <w:rPr>
          <w:rFonts w:ascii="MinionPro-Regular" w:hAnsi="MinionPro-Regular"/>
          <w:sz w:val="20"/>
          <w:szCs w:val="24"/>
          <w:lang w:val="es-ES_tradnl"/>
        </w:rPr>
        <w:t>Personas con especiales dificultades de inserción en centros especiales de empleo, por 100.00 habitantes y comunidad autónoma. Orden descendente.</w:t>
      </w:r>
      <w:r w:rsidR="00E2336B" w:rsidRPr="0075670B">
        <w:rPr>
          <w:rFonts w:ascii="MinionPro-Regular" w:hAnsi="MinionPro-Regular"/>
          <w:sz w:val="20"/>
          <w:szCs w:val="24"/>
          <w:lang w:val="es-ES_tradnl"/>
        </w:rPr>
        <w:t xml:space="preserve"> </w:t>
      </w:r>
    </w:p>
    <w:p w:rsidR="00E2336B" w:rsidRDefault="00E1516B" w:rsidP="00890FE5">
      <w:pPr>
        <w:autoSpaceDE w:val="0"/>
        <w:autoSpaceDN w:val="0"/>
        <w:spacing w:line="360" w:lineRule="auto"/>
        <w:jc w:val="both"/>
        <w:rPr>
          <w:rFonts w:ascii="MinionPro-Regular" w:hAnsi="MinionPro-Regular"/>
          <w:sz w:val="24"/>
          <w:szCs w:val="24"/>
          <w:lang w:val="es-ES_tradnl"/>
        </w:rPr>
      </w:pPr>
      <w:r>
        <w:rPr>
          <w:rFonts w:ascii="MinionPro-Regular" w:hAnsi="MinionPro-Regular"/>
          <w:noProof/>
          <w:sz w:val="24"/>
          <w:szCs w:val="24"/>
          <w:lang w:eastAsia="es-ES"/>
        </w:rPr>
        <w:drawing>
          <wp:inline distT="0" distB="0" distL="0" distR="0">
            <wp:extent cx="5236210" cy="3502025"/>
            <wp:effectExtent l="0" t="0" r="0" b="0"/>
            <wp:docPr id="32" name="Picture 3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E2336B" w:rsidRDefault="00E2336B" w:rsidP="003E1EFA">
      <w:pPr>
        <w:pBdr>
          <w:bottom w:val="single" w:sz="4" w:space="1" w:color="auto"/>
        </w:pBdr>
        <w:autoSpaceDE w:val="0"/>
        <w:autoSpaceDN w:val="0"/>
        <w:spacing w:line="360" w:lineRule="auto"/>
        <w:jc w:val="both"/>
        <w:rPr>
          <w:rFonts w:ascii="MinionPro-Regular" w:hAnsi="MinionPro-Regular"/>
          <w:sz w:val="20"/>
          <w:szCs w:val="24"/>
          <w:lang w:val="es-ES_tradnl"/>
        </w:rPr>
      </w:pPr>
      <w:r w:rsidRPr="00852DE4">
        <w:rPr>
          <w:rFonts w:ascii="MinionPro-Regular" w:hAnsi="MinionPro-Regular"/>
          <w:sz w:val="20"/>
          <w:szCs w:val="24"/>
          <w:lang w:val="es-ES_tradnl"/>
        </w:rPr>
        <w:t>Fuente: Elaboración propia</w:t>
      </w:r>
    </w:p>
    <w:p w:rsidR="00E2336B" w:rsidRPr="00EB5E14" w:rsidRDefault="00E2336B" w:rsidP="003E1EFA">
      <w:pPr>
        <w:pBdr>
          <w:bottom w:val="single" w:sz="4" w:space="1" w:color="auto"/>
        </w:pBdr>
        <w:autoSpaceDE w:val="0"/>
        <w:autoSpaceDN w:val="0"/>
        <w:spacing w:line="360" w:lineRule="auto"/>
        <w:jc w:val="both"/>
        <w:rPr>
          <w:rFonts w:ascii="MinionPro-Regular" w:hAnsi="MinionPro-Regular"/>
          <w:sz w:val="20"/>
          <w:szCs w:val="24"/>
          <w:lang w:val="es-ES_tradnl"/>
        </w:rPr>
      </w:pPr>
      <w:r>
        <w:rPr>
          <w:rFonts w:ascii="MinionPro-Regular" w:hAnsi="MinionPro-Regular"/>
          <w:sz w:val="20"/>
          <w:szCs w:val="24"/>
          <w:lang w:val="es-ES_tradnl"/>
        </w:rPr>
        <w:t xml:space="preserve">Nota explicativa de la gráfica: Eje </w:t>
      </w:r>
      <w:r w:rsidRPr="0075670B">
        <w:rPr>
          <w:rFonts w:ascii="MinionPro-Regular" w:hAnsi="MinionPro-Regular"/>
          <w:sz w:val="20"/>
          <w:szCs w:val="24"/>
          <w:lang w:val="es-ES_tradnl"/>
        </w:rPr>
        <w:t xml:space="preserve">vertical, número de </w:t>
      </w:r>
      <w:r w:rsidR="00E86451" w:rsidRPr="0075670B">
        <w:rPr>
          <w:rFonts w:ascii="MinionPro-Regular" w:hAnsi="MinionPro-Regular"/>
          <w:sz w:val="20"/>
          <w:szCs w:val="24"/>
          <w:lang w:val="es-ES_tradnl"/>
        </w:rPr>
        <w:t>personas con especiales dificultades de inserción en CEE</w:t>
      </w:r>
      <w:r w:rsidRPr="0075670B">
        <w:rPr>
          <w:rFonts w:ascii="MinionPro-Regular" w:hAnsi="MinionPro-Regular"/>
          <w:sz w:val="20"/>
          <w:szCs w:val="24"/>
          <w:lang w:val="es-ES_tradnl"/>
        </w:rPr>
        <w:t xml:space="preserve"> por cada 100.000 habitantes. Eje horizontal, las 17 comunidades autónomas de mayor a menor. Los datos son: País Vasco: 192,1; Cantabria: 126,0;  Cataluña: 120,3; Navarra: 103,8; Asturias: 87,2; Castilla y León: 84,8; Madrid: 78,9; La Rio</w:t>
      </w:r>
      <w:r>
        <w:rPr>
          <w:rFonts w:ascii="MinionPro-Regular" w:hAnsi="MinionPro-Regular"/>
          <w:sz w:val="20"/>
          <w:szCs w:val="24"/>
          <w:lang w:val="es-ES_tradnl"/>
        </w:rPr>
        <w:t>ja: 73,3; Aragón: 70,5; Andalucía: 51,6; Ceuta: 45,2;</w:t>
      </w:r>
      <w:r w:rsidRPr="003E1EFA">
        <w:rPr>
          <w:rFonts w:ascii="MinionPro-Regular" w:hAnsi="MinionPro-Regular"/>
          <w:sz w:val="20"/>
          <w:szCs w:val="24"/>
          <w:lang w:val="es-ES_tradnl"/>
        </w:rPr>
        <w:t xml:space="preserve"> </w:t>
      </w:r>
      <w:r>
        <w:rPr>
          <w:rFonts w:ascii="MinionPro-Regular" w:hAnsi="MinionPro-Regular"/>
          <w:sz w:val="20"/>
          <w:szCs w:val="24"/>
          <w:lang w:val="es-ES_tradnl"/>
        </w:rPr>
        <w:t>Extremadura: 42,6;  Castilla La Mancha: 41,7; Comunidad Valenciana: 37,3; Baleares: 35,9;  Canarias: 30,8;</w:t>
      </w:r>
      <w:r w:rsidRPr="003E1EFA">
        <w:rPr>
          <w:rFonts w:ascii="MinionPro-Regular" w:hAnsi="MinionPro-Regular"/>
          <w:sz w:val="20"/>
          <w:szCs w:val="24"/>
          <w:lang w:val="es-ES_tradnl"/>
        </w:rPr>
        <w:t xml:space="preserve"> </w:t>
      </w:r>
      <w:r>
        <w:rPr>
          <w:rFonts w:ascii="MinionPro-Regular" w:hAnsi="MinionPro-Regular"/>
          <w:sz w:val="20"/>
          <w:szCs w:val="24"/>
          <w:lang w:val="es-ES_tradnl"/>
        </w:rPr>
        <w:t>Galicia: 26,0; Murcia: 22,1; Melilla: 19,1.</w:t>
      </w:r>
      <w:r w:rsidRPr="003E1EFA">
        <w:rPr>
          <w:rFonts w:ascii="MinionPro-Regular" w:hAnsi="MinionPro-Regular"/>
          <w:sz w:val="20"/>
          <w:szCs w:val="24"/>
          <w:lang w:val="es-ES_tradnl"/>
        </w:rPr>
        <w:t xml:space="preserve"> </w:t>
      </w:r>
    </w:p>
    <w:p w:rsidR="00E2336B" w:rsidRDefault="00E2336B" w:rsidP="00890FE5">
      <w:pPr>
        <w:autoSpaceDE w:val="0"/>
        <w:autoSpaceDN w:val="0"/>
        <w:spacing w:line="360" w:lineRule="auto"/>
        <w:jc w:val="both"/>
        <w:rPr>
          <w:rFonts w:ascii="MinionPro-Regular" w:hAnsi="MinionPro-Regular"/>
          <w:sz w:val="24"/>
          <w:szCs w:val="24"/>
          <w:lang w:val="es-ES_tradnl"/>
        </w:rPr>
      </w:pPr>
    </w:p>
    <w:p w:rsidR="0075670B" w:rsidRDefault="0075670B" w:rsidP="00890FE5">
      <w:pPr>
        <w:autoSpaceDE w:val="0"/>
        <w:autoSpaceDN w:val="0"/>
        <w:spacing w:line="360" w:lineRule="auto"/>
        <w:jc w:val="both"/>
        <w:rPr>
          <w:rFonts w:ascii="MinionPro-Regular" w:hAnsi="MinionPro-Regular"/>
          <w:sz w:val="24"/>
          <w:szCs w:val="24"/>
          <w:lang w:val="es-ES_tradnl"/>
        </w:rPr>
      </w:pPr>
    </w:p>
    <w:p w:rsidR="0075670B" w:rsidRDefault="0075670B" w:rsidP="00890FE5">
      <w:pPr>
        <w:autoSpaceDE w:val="0"/>
        <w:autoSpaceDN w:val="0"/>
        <w:spacing w:line="360" w:lineRule="auto"/>
        <w:jc w:val="both"/>
        <w:rPr>
          <w:rFonts w:ascii="MinionPro-Regular" w:hAnsi="MinionPro-Regular"/>
          <w:sz w:val="24"/>
          <w:szCs w:val="24"/>
          <w:lang w:val="es-ES_tradnl"/>
        </w:rPr>
      </w:pPr>
    </w:p>
    <w:p w:rsidR="0075670B" w:rsidRDefault="0075670B" w:rsidP="00890FE5">
      <w:pPr>
        <w:autoSpaceDE w:val="0"/>
        <w:autoSpaceDN w:val="0"/>
        <w:spacing w:line="360" w:lineRule="auto"/>
        <w:jc w:val="both"/>
        <w:rPr>
          <w:rFonts w:ascii="MinionPro-Regular" w:hAnsi="MinionPro-Regular"/>
          <w:sz w:val="24"/>
          <w:szCs w:val="24"/>
          <w:lang w:val="es-ES_tradnl"/>
        </w:rPr>
      </w:pPr>
    </w:p>
    <w:p w:rsidR="0075670B" w:rsidRDefault="0075670B" w:rsidP="00890FE5">
      <w:pPr>
        <w:autoSpaceDE w:val="0"/>
        <w:autoSpaceDN w:val="0"/>
        <w:spacing w:line="360" w:lineRule="auto"/>
        <w:jc w:val="both"/>
        <w:rPr>
          <w:rFonts w:ascii="MinionPro-Regular" w:hAnsi="MinionPro-Regular"/>
          <w:sz w:val="24"/>
          <w:szCs w:val="24"/>
          <w:lang w:val="es-ES_tradnl"/>
        </w:rPr>
      </w:pPr>
    </w:p>
    <w:p w:rsidR="0075670B" w:rsidRDefault="0075670B" w:rsidP="00890FE5">
      <w:pPr>
        <w:autoSpaceDE w:val="0"/>
        <w:autoSpaceDN w:val="0"/>
        <w:spacing w:line="360" w:lineRule="auto"/>
        <w:jc w:val="both"/>
        <w:rPr>
          <w:rFonts w:ascii="MinionPro-Regular" w:hAnsi="MinionPro-Regular"/>
          <w:sz w:val="24"/>
          <w:szCs w:val="24"/>
          <w:lang w:val="es-ES_tradnl"/>
        </w:rPr>
      </w:pPr>
    </w:p>
    <w:p w:rsidR="0075670B" w:rsidRDefault="0075670B" w:rsidP="00890FE5">
      <w:pPr>
        <w:autoSpaceDE w:val="0"/>
        <w:autoSpaceDN w:val="0"/>
        <w:spacing w:line="360" w:lineRule="auto"/>
        <w:jc w:val="both"/>
        <w:rPr>
          <w:rFonts w:ascii="MinionPro-Regular" w:hAnsi="MinionPro-Regular"/>
          <w:sz w:val="24"/>
          <w:szCs w:val="24"/>
          <w:lang w:val="es-ES_tradnl"/>
        </w:rPr>
      </w:pPr>
    </w:p>
    <w:p w:rsidR="0075670B" w:rsidRDefault="0075670B" w:rsidP="00890FE5">
      <w:pPr>
        <w:autoSpaceDE w:val="0"/>
        <w:autoSpaceDN w:val="0"/>
        <w:spacing w:line="360" w:lineRule="auto"/>
        <w:jc w:val="both"/>
        <w:rPr>
          <w:rFonts w:ascii="MinionPro-Regular" w:hAnsi="MinionPro-Regular"/>
          <w:sz w:val="24"/>
          <w:szCs w:val="24"/>
          <w:lang w:val="es-ES_tradnl"/>
        </w:rPr>
      </w:pPr>
    </w:p>
    <w:p w:rsidR="0075670B" w:rsidRPr="0075670B" w:rsidRDefault="0075670B" w:rsidP="00890FE5">
      <w:pPr>
        <w:autoSpaceDE w:val="0"/>
        <w:autoSpaceDN w:val="0"/>
        <w:spacing w:line="360" w:lineRule="auto"/>
        <w:jc w:val="both"/>
        <w:rPr>
          <w:rFonts w:ascii="MinionPro-Regular" w:hAnsi="MinionPro-Regular"/>
          <w:sz w:val="24"/>
          <w:szCs w:val="24"/>
          <w:lang w:val="es-ES_tradnl"/>
        </w:rPr>
      </w:pPr>
    </w:p>
    <w:p w:rsidR="005B044F" w:rsidRPr="0075670B" w:rsidRDefault="00E86451" w:rsidP="005B044F">
      <w:pPr>
        <w:pBdr>
          <w:top w:val="single" w:sz="4" w:space="1" w:color="auto"/>
        </w:pBdr>
        <w:rPr>
          <w:rFonts w:ascii="MinionPro-Regular" w:hAnsi="MinionPro-Regular"/>
          <w:sz w:val="24"/>
          <w:szCs w:val="24"/>
          <w:lang w:val="es-ES_tradnl"/>
        </w:rPr>
      </w:pPr>
      <w:r w:rsidRPr="0075670B">
        <w:rPr>
          <w:rFonts w:ascii="MinionPro-Regular" w:hAnsi="MinionPro-Regular"/>
          <w:sz w:val="20"/>
          <w:szCs w:val="24"/>
          <w:lang w:val="es-ES_tradnl"/>
        </w:rPr>
        <w:t xml:space="preserve">Personas con especiales dificultades de inserción en centros especiales de empleo, por persona con discapacidad </w:t>
      </w:r>
      <w:r w:rsidR="00DE3EC2" w:rsidRPr="0075670B">
        <w:rPr>
          <w:rFonts w:ascii="MinionPro-Regular" w:hAnsi="MinionPro-Regular"/>
          <w:sz w:val="20"/>
          <w:szCs w:val="24"/>
          <w:lang w:val="es-ES_tradnl"/>
        </w:rPr>
        <w:t xml:space="preserve">ocupada </w:t>
      </w:r>
      <w:r w:rsidRPr="0075670B">
        <w:rPr>
          <w:rFonts w:ascii="MinionPro-Regular" w:hAnsi="MinionPro-Regular"/>
          <w:sz w:val="20"/>
          <w:szCs w:val="24"/>
          <w:lang w:val="es-ES_tradnl"/>
        </w:rPr>
        <w:t>y Comunidad Autónoma.</w:t>
      </w:r>
    </w:p>
    <w:p w:rsidR="005B044F" w:rsidRPr="0075670B" w:rsidRDefault="00F61DE8" w:rsidP="005B044F">
      <w:pPr>
        <w:autoSpaceDE w:val="0"/>
        <w:autoSpaceDN w:val="0"/>
        <w:spacing w:line="360" w:lineRule="auto"/>
        <w:jc w:val="both"/>
        <w:rPr>
          <w:rFonts w:ascii="MinionPro-Regular" w:hAnsi="MinionPro-Regular"/>
          <w:sz w:val="24"/>
          <w:szCs w:val="24"/>
          <w:lang w:val="es-ES_tradnl"/>
        </w:rPr>
      </w:pPr>
      <w:r w:rsidRPr="0075670B">
        <w:rPr>
          <w:rFonts w:ascii="MinionPro-Regular" w:hAnsi="MinionPro-Regular"/>
          <w:noProof/>
          <w:sz w:val="24"/>
          <w:szCs w:val="24"/>
          <w:lang w:eastAsia="es-ES"/>
        </w:rPr>
        <w:drawing>
          <wp:inline distT="0" distB="0" distL="0" distR="0">
            <wp:extent cx="5105401" cy="3508375"/>
            <wp:effectExtent l="0" t="0" r="0" b="0"/>
            <wp:docPr id="20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5B044F" w:rsidRPr="0075670B" w:rsidRDefault="00E86451" w:rsidP="005B044F">
      <w:pPr>
        <w:pBdr>
          <w:bottom w:val="single" w:sz="4" w:space="1" w:color="auto"/>
        </w:pBdr>
        <w:autoSpaceDE w:val="0"/>
        <w:autoSpaceDN w:val="0"/>
        <w:spacing w:line="360" w:lineRule="auto"/>
        <w:jc w:val="both"/>
        <w:rPr>
          <w:rFonts w:ascii="MinionPro-Regular" w:hAnsi="MinionPro-Regular"/>
          <w:sz w:val="20"/>
          <w:szCs w:val="24"/>
          <w:lang w:val="es-ES_tradnl"/>
        </w:rPr>
      </w:pPr>
      <w:r w:rsidRPr="0075670B">
        <w:rPr>
          <w:rFonts w:ascii="MinionPro-Regular" w:hAnsi="MinionPro-Regular"/>
          <w:sz w:val="20"/>
          <w:szCs w:val="24"/>
          <w:lang w:val="es-ES_tradnl"/>
        </w:rPr>
        <w:t>Fuente: Elaboración propia</w:t>
      </w:r>
    </w:p>
    <w:p w:rsidR="005B044F" w:rsidRPr="00EB5E14" w:rsidRDefault="00E86451" w:rsidP="005B044F">
      <w:pPr>
        <w:pBdr>
          <w:bottom w:val="single" w:sz="4" w:space="1" w:color="auto"/>
        </w:pBdr>
        <w:autoSpaceDE w:val="0"/>
        <w:autoSpaceDN w:val="0"/>
        <w:spacing w:line="360" w:lineRule="auto"/>
        <w:jc w:val="both"/>
        <w:rPr>
          <w:rFonts w:ascii="MinionPro-Regular" w:hAnsi="MinionPro-Regular"/>
          <w:sz w:val="20"/>
          <w:szCs w:val="24"/>
          <w:lang w:val="es-ES_tradnl"/>
        </w:rPr>
      </w:pPr>
      <w:r w:rsidRPr="0075670B">
        <w:rPr>
          <w:rFonts w:ascii="MinionPro-Regular" w:hAnsi="MinionPro-Regular"/>
          <w:sz w:val="20"/>
          <w:szCs w:val="24"/>
          <w:lang w:val="es-ES_tradnl"/>
        </w:rPr>
        <w:t>Nota explicativa de la gráfica: Eje vertical, número personas con especiales dificultades de inserción en CEE por cada persona con discapacidad</w:t>
      </w:r>
      <w:r w:rsidR="00DE3EC2" w:rsidRPr="0075670B">
        <w:rPr>
          <w:rFonts w:ascii="MinionPro-Regular" w:hAnsi="MinionPro-Regular"/>
          <w:sz w:val="20"/>
          <w:szCs w:val="24"/>
          <w:lang w:val="es-ES_tradnl"/>
        </w:rPr>
        <w:t xml:space="preserve"> ocupada</w:t>
      </w:r>
      <w:r w:rsidRPr="0075670B">
        <w:rPr>
          <w:rFonts w:ascii="MinionPro-Regular" w:hAnsi="MinionPro-Regular"/>
          <w:sz w:val="20"/>
          <w:szCs w:val="24"/>
          <w:lang w:val="es-ES_tradnl"/>
        </w:rPr>
        <w:t>. Los datos son:</w:t>
      </w:r>
      <w:r w:rsidRPr="0075670B">
        <w:t xml:space="preserve"> Galicia</w:t>
      </w:r>
      <w:r w:rsidRPr="0075670B">
        <w:rPr>
          <w:rFonts w:ascii="MinionPro-Regular" w:hAnsi="MinionPro-Regular"/>
          <w:sz w:val="20"/>
          <w:szCs w:val="24"/>
          <w:lang w:val="es-ES_tradnl"/>
        </w:rPr>
        <w:t>0,179; Navarra</w:t>
      </w:r>
      <w:r w:rsidRPr="0075670B">
        <w:t xml:space="preserve"> </w:t>
      </w:r>
      <w:r w:rsidRPr="0075670B">
        <w:rPr>
          <w:rFonts w:ascii="MinionPro-Regular" w:hAnsi="MinionPro-Regular"/>
          <w:sz w:val="20"/>
          <w:szCs w:val="24"/>
          <w:lang w:val="es-ES_tradnl"/>
        </w:rPr>
        <w:t>0,157; Canarias</w:t>
      </w:r>
      <w:r w:rsidRPr="0075670B">
        <w:t xml:space="preserve"> </w:t>
      </w:r>
      <w:r w:rsidRPr="0075670B">
        <w:rPr>
          <w:rFonts w:ascii="MinionPro-Regular" w:hAnsi="MinionPro-Regular"/>
          <w:sz w:val="20"/>
          <w:szCs w:val="24"/>
          <w:lang w:val="es-ES_tradnl"/>
        </w:rPr>
        <w:t>0,137; Aragón</w:t>
      </w:r>
      <w:r w:rsidRPr="0075670B">
        <w:t xml:space="preserve"> </w:t>
      </w:r>
      <w:r w:rsidRPr="0075670B">
        <w:rPr>
          <w:rFonts w:ascii="MinionPro-Regular" w:hAnsi="MinionPro-Regular"/>
          <w:sz w:val="20"/>
          <w:szCs w:val="24"/>
          <w:lang w:val="es-ES_tradnl"/>
        </w:rPr>
        <w:t>0,136; C.Valenciana</w:t>
      </w:r>
      <w:r w:rsidRPr="0075670B">
        <w:t xml:space="preserve"> </w:t>
      </w:r>
      <w:r w:rsidRPr="0075670B">
        <w:rPr>
          <w:rFonts w:ascii="MinionPro-Regular" w:hAnsi="MinionPro-Regular"/>
          <w:sz w:val="20"/>
          <w:szCs w:val="24"/>
          <w:lang w:val="es-ES_tradnl"/>
        </w:rPr>
        <w:t>0,130; Castilla La Mancha</w:t>
      </w:r>
      <w:r w:rsidRPr="0075670B">
        <w:t xml:space="preserve"> </w:t>
      </w:r>
      <w:r w:rsidRPr="0075670B">
        <w:rPr>
          <w:rFonts w:ascii="MinionPro-Regular" w:hAnsi="MinionPro-Regular"/>
          <w:sz w:val="20"/>
          <w:szCs w:val="24"/>
          <w:lang w:val="es-ES_tradnl"/>
        </w:rPr>
        <w:t>0,112; Cantabria 0,088;</w:t>
      </w:r>
      <w:r w:rsidRPr="0075670B">
        <w:t xml:space="preserve"> </w:t>
      </w:r>
      <w:r w:rsidRPr="0075670B">
        <w:rPr>
          <w:rFonts w:ascii="MinionPro-Regular" w:hAnsi="MinionPro-Regular"/>
          <w:sz w:val="20"/>
          <w:szCs w:val="24"/>
          <w:lang w:val="es-ES_tradnl"/>
        </w:rPr>
        <w:t>Madrid</w:t>
      </w:r>
      <w:r w:rsidRPr="0075670B">
        <w:t xml:space="preserve"> </w:t>
      </w:r>
      <w:r w:rsidRPr="0075670B">
        <w:rPr>
          <w:rFonts w:ascii="MinionPro-Regular" w:hAnsi="MinionPro-Regular"/>
          <w:sz w:val="20"/>
          <w:szCs w:val="24"/>
          <w:lang w:val="es-ES_tradnl"/>
        </w:rPr>
        <w:t>0,086; Andalucía</w:t>
      </w:r>
      <w:r w:rsidRPr="0075670B">
        <w:t xml:space="preserve"> </w:t>
      </w:r>
      <w:r w:rsidRPr="0075670B">
        <w:rPr>
          <w:rFonts w:ascii="MinionPro-Regular" w:hAnsi="MinionPro-Regular"/>
          <w:sz w:val="20"/>
          <w:szCs w:val="24"/>
          <w:lang w:val="es-ES_tradnl"/>
        </w:rPr>
        <w:t>0,082; País Vasco</w:t>
      </w:r>
      <w:r w:rsidRPr="0075670B">
        <w:t xml:space="preserve"> </w:t>
      </w:r>
      <w:r w:rsidRPr="0075670B">
        <w:rPr>
          <w:rFonts w:ascii="MinionPro-Regular" w:hAnsi="MinionPro-Regular"/>
          <w:sz w:val="20"/>
          <w:szCs w:val="24"/>
          <w:lang w:val="es-ES_tradnl"/>
        </w:rPr>
        <w:t>0,082; Murcia</w:t>
      </w:r>
      <w:r w:rsidRPr="0075670B">
        <w:t xml:space="preserve"> </w:t>
      </w:r>
      <w:r w:rsidRPr="0075670B">
        <w:rPr>
          <w:rFonts w:ascii="MinionPro-Regular" w:hAnsi="MinionPro-Regular"/>
          <w:sz w:val="20"/>
          <w:szCs w:val="24"/>
          <w:lang w:val="es-ES_tradnl"/>
        </w:rPr>
        <w:t>0,081; La Rioja 0,080; Cataluña</w:t>
      </w:r>
      <w:r w:rsidRPr="0075670B">
        <w:t xml:space="preserve"> </w:t>
      </w:r>
      <w:r w:rsidRPr="0075670B">
        <w:rPr>
          <w:rFonts w:ascii="MinionPro-Regular" w:hAnsi="MinionPro-Regular"/>
          <w:sz w:val="20"/>
          <w:szCs w:val="24"/>
          <w:lang w:val="es-ES_tradnl"/>
        </w:rPr>
        <w:t>0,068; Castilla y León 0,054; Asturias</w:t>
      </w:r>
      <w:r w:rsidRPr="0075670B">
        <w:t xml:space="preserve"> </w:t>
      </w:r>
      <w:r w:rsidRPr="0075670B">
        <w:rPr>
          <w:rFonts w:ascii="MinionPro-Regular" w:hAnsi="MinionPro-Regular"/>
          <w:sz w:val="20"/>
          <w:szCs w:val="24"/>
          <w:lang w:val="es-ES_tradnl"/>
        </w:rPr>
        <w:t>0,047; Extremadura</w:t>
      </w:r>
      <w:r w:rsidRPr="0075670B">
        <w:t xml:space="preserve"> </w:t>
      </w:r>
      <w:r w:rsidRPr="0075670B">
        <w:rPr>
          <w:rFonts w:ascii="MinionPro-Regular" w:hAnsi="MinionPro-Regular"/>
          <w:sz w:val="20"/>
          <w:szCs w:val="24"/>
          <w:lang w:val="es-ES_tradnl"/>
        </w:rPr>
        <w:t>0,033; Baleares 0,014.</w:t>
      </w:r>
      <w:r w:rsidR="005B044F" w:rsidRPr="003E1EFA">
        <w:rPr>
          <w:rFonts w:ascii="MinionPro-Regular" w:hAnsi="MinionPro-Regular"/>
          <w:sz w:val="20"/>
          <w:szCs w:val="24"/>
          <w:lang w:val="es-ES_tradnl"/>
        </w:rPr>
        <w:t xml:space="preserve"> </w:t>
      </w:r>
    </w:p>
    <w:p w:rsidR="00E2336B" w:rsidRDefault="00E2336B" w:rsidP="00890FE5">
      <w:pPr>
        <w:autoSpaceDE w:val="0"/>
        <w:autoSpaceDN w:val="0"/>
        <w:spacing w:line="360" w:lineRule="auto"/>
        <w:jc w:val="both"/>
        <w:rPr>
          <w:rFonts w:ascii="MinionPro-Regular" w:hAnsi="MinionPro-Regular"/>
          <w:sz w:val="24"/>
          <w:szCs w:val="24"/>
          <w:lang w:val="es-ES_tradnl"/>
        </w:rPr>
      </w:pPr>
    </w:p>
    <w:p w:rsidR="00E2336B" w:rsidRDefault="00E2336B" w:rsidP="00890FE5">
      <w:pPr>
        <w:autoSpaceDE w:val="0"/>
        <w:autoSpaceDN w:val="0"/>
        <w:spacing w:line="360" w:lineRule="auto"/>
        <w:jc w:val="both"/>
        <w:rPr>
          <w:rFonts w:ascii="MinionPro-Regular" w:hAnsi="MinionPro-Regular"/>
          <w:sz w:val="24"/>
          <w:szCs w:val="24"/>
          <w:lang w:val="es-ES_tradnl"/>
        </w:rPr>
      </w:pPr>
      <w:r w:rsidRPr="008B461D">
        <w:rPr>
          <w:rFonts w:ascii="MinionPro-Regular" w:hAnsi="MinionPro-Regular"/>
          <w:sz w:val="24"/>
          <w:szCs w:val="24"/>
          <w:lang w:val="es-ES_tradnl"/>
        </w:rPr>
        <w:lastRenderedPageBreak/>
        <w:t xml:space="preserve">En España, </w:t>
      </w:r>
      <w:r>
        <w:rPr>
          <w:rFonts w:ascii="MinionPro-Regular" w:hAnsi="MinionPro-Regular"/>
          <w:sz w:val="24"/>
          <w:szCs w:val="24"/>
          <w:lang w:val="es-ES_tradnl"/>
        </w:rPr>
        <w:t>según el Servic</w:t>
      </w:r>
      <w:r w:rsidR="00420E31">
        <w:rPr>
          <w:rFonts w:ascii="MinionPro-Regular" w:hAnsi="MinionPro-Regular"/>
          <w:sz w:val="24"/>
          <w:szCs w:val="24"/>
          <w:lang w:val="es-ES_tradnl"/>
        </w:rPr>
        <w:t>io Público de Empleo Estatal (S</w:t>
      </w:r>
      <w:r>
        <w:rPr>
          <w:rFonts w:ascii="MinionPro-Regular" w:hAnsi="MinionPro-Regular"/>
          <w:sz w:val="24"/>
          <w:szCs w:val="24"/>
          <w:lang w:val="es-ES_tradnl"/>
        </w:rPr>
        <w:t>P</w:t>
      </w:r>
      <w:r w:rsidR="00420E31">
        <w:rPr>
          <w:rFonts w:ascii="MinionPro-Regular" w:hAnsi="MinionPro-Regular"/>
          <w:sz w:val="24"/>
          <w:szCs w:val="24"/>
          <w:lang w:val="es-ES_tradnl"/>
        </w:rPr>
        <w:t>E</w:t>
      </w:r>
      <w:r>
        <w:rPr>
          <w:rFonts w:ascii="MinionPro-Regular" w:hAnsi="MinionPro-Regular"/>
          <w:sz w:val="24"/>
          <w:szCs w:val="24"/>
          <w:lang w:val="es-ES_tradnl"/>
        </w:rPr>
        <w:t xml:space="preserve">E), </w:t>
      </w:r>
      <w:r w:rsidRPr="008B461D">
        <w:rPr>
          <w:rFonts w:ascii="MinionPro-Regular" w:hAnsi="MinionPro-Regular"/>
          <w:sz w:val="24"/>
          <w:szCs w:val="24"/>
          <w:lang w:val="es-ES_tradnl"/>
        </w:rPr>
        <w:t xml:space="preserve">a 31 de diciembre de 2011, </w:t>
      </w:r>
      <w:r>
        <w:rPr>
          <w:rFonts w:ascii="MinionPro-Regular" w:hAnsi="MinionPro-Regular"/>
          <w:sz w:val="24"/>
          <w:szCs w:val="24"/>
          <w:lang w:val="es-ES_tradnl"/>
        </w:rPr>
        <w:t>la plantilla de los centros especiales de empleo estaba formada por un</w:t>
      </w:r>
      <w:r w:rsidRPr="008B461D">
        <w:rPr>
          <w:rFonts w:ascii="MinionPro-Regular" w:hAnsi="MinionPro-Regular"/>
          <w:sz w:val="24"/>
          <w:szCs w:val="24"/>
          <w:lang w:val="es-ES_tradnl"/>
        </w:rPr>
        <w:t xml:space="preserve"> 42% de personas con discapacidad psíquica, 48% </w:t>
      </w:r>
      <w:r>
        <w:rPr>
          <w:rFonts w:ascii="MinionPro-Regular" w:hAnsi="MinionPro-Regular"/>
          <w:sz w:val="24"/>
          <w:szCs w:val="24"/>
          <w:lang w:val="es-ES_tradnl"/>
        </w:rPr>
        <w:t xml:space="preserve">con </w:t>
      </w:r>
      <w:r w:rsidRPr="008B461D">
        <w:rPr>
          <w:rFonts w:ascii="MinionPro-Regular" w:hAnsi="MinionPro-Regular"/>
          <w:sz w:val="24"/>
          <w:szCs w:val="24"/>
          <w:lang w:val="es-ES_tradnl"/>
        </w:rPr>
        <w:t xml:space="preserve">discapacidad física y 10% </w:t>
      </w:r>
      <w:r>
        <w:rPr>
          <w:rFonts w:ascii="MinionPro-Regular" w:hAnsi="MinionPro-Regular"/>
          <w:sz w:val="24"/>
          <w:szCs w:val="24"/>
          <w:lang w:val="es-ES_tradnl"/>
        </w:rPr>
        <w:t xml:space="preserve">con discapacidad </w:t>
      </w:r>
      <w:r w:rsidRPr="008B461D">
        <w:rPr>
          <w:rFonts w:ascii="MinionPro-Regular" w:hAnsi="MinionPro-Regular"/>
          <w:sz w:val="24"/>
          <w:szCs w:val="24"/>
          <w:lang w:val="es-ES_tradnl"/>
        </w:rPr>
        <w:t>sensorial</w:t>
      </w:r>
      <w:r>
        <w:rPr>
          <w:rFonts w:ascii="MinionPro-Regular" w:hAnsi="MinionPro-Regular"/>
          <w:sz w:val="24"/>
          <w:szCs w:val="24"/>
          <w:lang w:val="es-ES_tradnl"/>
        </w:rPr>
        <w:t xml:space="preserve">, utilizando la nomenclatura aplicada por este organismo. La comparación de estos datos con la demografía en los centros especiales de empleo españoles pone de manifiesto la especial atención de los centros a la discapacidad psíquica. </w:t>
      </w:r>
    </w:p>
    <w:p w:rsidR="0075670B" w:rsidRDefault="0075670B" w:rsidP="00890FE5">
      <w:pPr>
        <w:autoSpaceDE w:val="0"/>
        <w:autoSpaceDN w:val="0"/>
        <w:spacing w:line="360" w:lineRule="auto"/>
        <w:jc w:val="both"/>
        <w:rPr>
          <w:rFonts w:ascii="MinionPro-Regular" w:hAnsi="MinionPro-Regular"/>
          <w:sz w:val="24"/>
          <w:szCs w:val="24"/>
          <w:lang w:val="es-ES_tradnl"/>
        </w:rPr>
      </w:pPr>
    </w:p>
    <w:p w:rsidR="0075670B" w:rsidRPr="008B461D" w:rsidRDefault="0075670B" w:rsidP="00890FE5">
      <w:pPr>
        <w:autoSpaceDE w:val="0"/>
        <w:autoSpaceDN w:val="0"/>
        <w:spacing w:line="360" w:lineRule="auto"/>
        <w:jc w:val="both"/>
        <w:rPr>
          <w:rFonts w:ascii="MinionPro-Regular" w:hAnsi="MinionPro-Regular"/>
          <w:sz w:val="24"/>
          <w:szCs w:val="24"/>
          <w:lang w:val="es-ES_tradnl"/>
        </w:rPr>
      </w:pPr>
    </w:p>
    <w:p w:rsidR="00E2336B" w:rsidRDefault="00E2336B">
      <w:pPr>
        <w:pBdr>
          <w:top w:val="single" w:sz="4" w:space="1" w:color="auto"/>
        </w:pBdr>
        <w:rPr>
          <w:rFonts w:ascii="MinionPro-Regular" w:hAnsi="MinionPro-Regular"/>
          <w:sz w:val="20"/>
          <w:szCs w:val="24"/>
          <w:lang w:val="es-ES_tradnl"/>
        </w:rPr>
      </w:pPr>
      <w:r w:rsidRPr="0081432A">
        <w:rPr>
          <w:rFonts w:ascii="MinionPro-Regular" w:hAnsi="MinionPro-Regular"/>
          <w:sz w:val="20"/>
          <w:szCs w:val="24"/>
          <w:lang w:val="es-ES_tradnl"/>
        </w:rPr>
        <w:t>Tipo de discapacidad en los centros especiales de empleo</w:t>
      </w:r>
      <w:r>
        <w:rPr>
          <w:rFonts w:ascii="MinionPro-Regular" w:hAnsi="MinionPro-Regular"/>
          <w:sz w:val="20"/>
          <w:szCs w:val="24"/>
          <w:lang w:val="es-ES_tradnl"/>
        </w:rPr>
        <w:t xml:space="preserve"> y </w:t>
      </w:r>
      <w:r w:rsidR="00F23441" w:rsidRPr="00AB7D16">
        <w:rPr>
          <w:rFonts w:ascii="MinionPro-Regular" w:hAnsi="MinionPro-Regular"/>
          <w:sz w:val="20"/>
          <w:szCs w:val="24"/>
          <w:lang w:val="es-ES_tradnl"/>
        </w:rPr>
        <w:t>en la población en general</w:t>
      </w:r>
    </w:p>
    <w:p w:rsidR="00E2336B" w:rsidRPr="003650F0" w:rsidRDefault="00E1516B">
      <w:pPr>
        <w:autoSpaceDE w:val="0"/>
        <w:autoSpaceDN w:val="0"/>
        <w:spacing w:line="360" w:lineRule="auto"/>
        <w:rPr>
          <w:rFonts w:ascii="MinionPro-Regular" w:hAnsi="MinionPro-Regular"/>
          <w:sz w:val="24"/>
          <w:szCs w:val="24"/>
          <w:highlight w:val="cyan"/>
          <w:lang w:val="es-ES_tradnl"/>
        </w:rPr>
      </w:pPr>
      <w:r>
        <w:rPr>
          <w:rFonts w:ascii="MinionPro-Regular" w:hAnsi="MinionPro-Regular"/>
          <w:noProof/>
          <w:sz w:val="24"/>
          <w:szCs w:val="24"/>
          <w:lang w:eastAsia="es-ES"/>
        </w:rPr>
        <w:drawing>
          <wp:inline distT="0" distB="0" distL="0" distR="0">
            <wp:extent cx="2527300" cy="2259965"/>
            <wp:effectExtent l="0" t="0" r="0" b="0"/>
            <wp:docPr id="33" name="Picture 3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00F23441" w:rsidRPr="00F23441">
        <w:rPr>
          <w:noProof/>
          <w:lang w:val="es-ES_tradnl"/>
        </w:rPr>
        <w:t xml:space="preserve"> </w:t>
      </w:r>
      <w:r>
        <w:rPr>
          <w:rFonts w:ascii="MinionPro-Regular" w:hAnsi="MinionPro-Regular"/>
          <w:noProof/>
          <w:sz w:val="24"/>
          <w:szCs w:val="24"/>
          <w:lang w:eastAsia="es-ES"/>
        </w:rPr>
        <w:drawing>
          <wp:inline distT="0" distB="0" distL="0" distR="0">
            <wp:extent cx="2777490" cy="2122170"/>
            <wp:effectExtent l="0" t="0" r="0" b="0"/>
            <wp:docPr id="34" name="Picture 3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E2336B" w:rsidRDefault="00E2336B">
      <w:pPr>
        <w:pBdr>
          <w:bottom w:val="single" w:sz="4" w:space="1" w:color="auto"/>
        </w:pBdr>
        <w:autoSpaceDE w:val="0"/>
        <w:autoSpaceDN w:val="0"/>
        <w:spacing w:line="360" w:lineRule="auto"/>
        <w:jc w:val="both"/>
        <w:rPr>
          <w:rFonts w:ascii="MinionPro-Regular" w:hAnsi="MinionPro-Regular"/>
          <w:sz w:val="20"/>
          <w:szCs w:val="24"/>
          <w:lang w:val="es-ES_tradnl"/>
        </w:rPr>
      </w:pPr>
      <w:r w:rsidRPr="008B461D">
        <w:rPr>
          <w:rFonts w:ascii="MinionPro-Regular" w:hAnsi="MinionPro-Regular"/>
          <w:sz w:val="20"/>
          <w:szCs w:val="24"/>
          <w:lang w:val="es-ES_tradnl"/>
        </w:rPr>
        <w:t>Fuente: Elaboración propia a partir de datos del Servicio Público de Empleo Estatal, 2011</w:t>
      </w:r>
    </w:p>
    <w:p w:rsidR="00E2336B" w:rsidRDefault="00E2336B">
      <w:pPr>
        <w:pBdr>
          <w:bottom w:val="single" w:sz="4" w:space="1" w:color="auto"/>
        </w:pBdr>
        <w:autoSpaceDE w:val="0"/>
        <w:autoSpaceDN w:val="0"/>
        <w:spacing w:line="360" w:lineRule="auto"/>
        <w:jc w:val="both"/>
        <w:rPr>
          <w:rFonts w:ascii="MinionPro-Regular" w:hAnsi="MinionPro-Regular"/>
          <w:sz w:val="24"/>
          <w:szCs w:val="24"/>
          <w:lang w:val="es-ES_tradnl"/>
        </w:rPr>
      </w:pPr>
      <w:r>
        <w:rPr>
          <w:rFonts w:ascii="MinionPro-Regular" w:hAnsi="MinionPro-Regular"/>
          <w:sz w:val="20"/>
          <w:szCs w:val="24"/>
          <w:lang w:val="es-ES_tradnl"/>
        </w:rPr>
        <w:t>Nota explicativa de las gráficas: Gráfica circular de la izquierda, en la que aparece representado el tipo de discapacidad de las personas que trabajan en centros especiales de empleo, en porcentaje. Los datos son: 48% discapacidad física, 42% discapacidad psíquica (incluye enfermedad mental y discapacidad intelectual) y 10% discapacidad sensorial. Gráfica circular de la derecha, en la que aparece representado el tipo de discapacidad de las personas en España, en porcentaje. Los datos son: 48% discapacidad física, 42% discapacidad psíquica (incluye enfermedad mental y discapacidad intelectual) y 10% discapacidad sensorial.</w:t>
      </w:r>
    </w:p>
    <w:p w:rsidR="00E2336B" w:rsidRDefault="00E2336B" w:rsidP="00890FE5">
      <w:pPr>
        <w:autoSpaceDE w:val="0"/>
        <w:autoSpaceDN w:val="0"/>
        <w:spacing w:line="360" w:lineRule="auto"/>
        <w:jc w:val="both"/>
        <w:rPr>
          <w:rFonts w:ascii="MinionPro-Regular" w:hAnsi="MinionPro-Regular"/>
          <w:sz w:val="24"/>
          <w:szCs w:val="24"/>
          <w:lang w:val="es-ES_tradnl"/>
        </w:rPr>
      </w:pPr>
    </w:p>
    <w:p w:rsidR="00E2336B" w:rsidRDefault="00E2336B">
      <w:pPr>
        <w:autoSpaceDE w:val="0"/>
        <w:autoSpaceDN w:val="0"/>
        <w:spacing w:line="360" w:lineRule="auto"/>
        <w:jc w:val="both"/>
        <w:rPr>
          <w:rFonts w:ascii="MinionPro-Regular" w:hAnsi="MinionPro-Regular"/>
          <w:sz w:val="24"/>
          <w:szCs w:val="24"/>
        </w:rPr>
      </w:pPr>
      <w:r>
        <w:rPr>
          <w:rFonts w:ascii="MinionPro-Regular" w:hAnsi="MinionPro-Regular"/>
          <w:sz w:val="24"/>
          <w:szCs w:val="24"/>
          <w:lang w:val="es-ES_tradnl"/>
        </w:rPr>
        <w:lastRenderedPageBreak/>
        <w:t xml:space="preserve">La demografía de los centros en términos de los distintos colectivos a los que dan empleo muestra enfoques distintos en las distintas comunidades autónomas. En Cataluña, los centros especiales de empleo ponen el acento en personas con discapacidad intelectual-mental. </w:t>
      </w:r>
      <w:r w:rsidRPr="008B461D">
        <w:rPr>
          <w:rFonts w:ascii="MinionPro-Regular" w:hAnsi="MinionPro-Regular"/>
          <w:sz w:val="24"/>
          <w:szCs w:val="24"/>
        </w:rPr>
        <w:t xml:space="preserve"> </w:t>
      </w:r>
      <w:r>
        <w:rPr>
          <w:rFonts w:ascii="MinionPro-Regular" w:hAnsi="MinionPro-Regular"/>
          <w:sz w:val="24"/>
          <w:szCs w:val="24"/>
        </w:rPr>
        <w:t xml:space="preserve">En </w:t>
      </w:r>
      <w:r w:rsidRPr="008B461D">
        <w:rPr>
          <w:rFonts w:ascii="MinionPro-Regular" w:hAnsi="MinionPro-Regular"/>
          <w:sz w:val="24"/>
          <w:szCs w:val="24"/>
        </w:rPr>
        <w:t>Castilla La Mancha</w:t>
      </w:r>
      <w:r>
        <w:rPr>
          <w:rFonts w:ascii="MinionPro-Regular" w:hAnsi="MinionPro-Regular"/>
          <w:sz w:val="24"/>
          <w:szCs w:val="24"/>
        </w:rPr>
        <w:t>, Extremadura, Galicia o Murcia,</w:t>
      </w:r>
      <w:r w:rsidRPr="008B461D">
        <w:rPr>
          <w:rFonts w:ascii="MinionPro-Regular" w:hAnsi="MinionPro-Regular"/>
          <w:sz w:val="24"/>
          <w:szCs w:val="24"/>
        </w:rPr>
        <w:t xml:space="preserve"> </w:t>
      </w:r>
      <w:r>
        <w:rPr>
          <w:rFonts w:ascii="MinionPro-Regular" w:hAnsi="MinionPro-Regular"/>
          <w:sz w:val="24"/>
          <w:szCs w:val="24"/>
        </w:rPr>
        <w:t>por el contrario</w:t>
      </w:r>
      <w:r w:rsidRPr="008B461D">
        <w:rPr>
          <w:rFonts w:ascii="MinionPro-Regular" w:hAnsi="MinionPro-Regular"/>
          <w:sz w:val="24"/>
          <w:szCs w:val="24"/>
        </w:rPr>
        <w:t xml:space="preserve">, </w:t>
      </w:r>
      <w:r>
        <w:rPr>
          <w:rFonts w:ascii="MinionPro-Regular" w:hAnsi="MinionPro-Regular"/>
          <w:sz w:val="24"/>
          <w:szCs w:val="24"/>
        </w:rPr>
        <w:t>predomina la contratación de personas</w:t>
      </w:r>
      <w:r w:rsidRPr="008B461D">
        <w:rPr>
          <w:rFonts w:ascii="MinionPro-Regular" w:hAnsi="MinionPro-Regular"/>
          <w:sz w:val="24"/>
          <w:szCs w:val="24"/>
        </w:rPr>
        <w:t xml:space="preserve"> con discapacidad física</w:t>
      </w:r>
      <w:r>
        <w:rPr>
          <w:rFonts w:ascii="MinionPro-Regular" w:hAnsi="MinionPro-Regular"/>
          <w:sz w:val="24"/>
          <w:szCs w:val="24"/>
        </w:rPr>
        <w:t xml:space="preserve">. </w:t>
      </w:r>
    </w:p>
    <w:p w:rsidR="00E2336B" w:rsidRDefault="00E2336B" w:rsidP="00890FE5">
      <w:pPr>
        <w:autoSpaceDE w:val="0"/>
        <w:autoSpaceDN w:val="0"/>
        <w:spacing w:line="360" w:lineRule="auto"/>
        <w:jc w:val="both"/>
        <w:rPr>
          <w:rFonts w:ascii="MinionPro-Regular" w:hAnsi="MinionPro-Regular"/>
          <w:sz w:val="24"/>
          <w:szCs w:val="24"/>
        </w:rPr>
      </w:pPr>
    </w:p>
    <w:p w:rsidR="00E2336B" w:rsidRDefault="00E2336B" w:rsidP="00890FE5">
      <w:pPr>
        <w:autoSpaceDE w:val="0"/>
        <w:autoSpaceDN w:val="0"/>
        <w:spacing w:line="360" w:lineRule="auto"/>
        <w:jc w:val="both"/>
        <w:rPr>
          <w:rFonts w:ascii="MinionPro-Regular" w:hAnsi="MinionPro-Regular"/>
          <w:sz w:val="24"/>
          <w:szCs w:val="24"/>
        </w:rPr>
      </w:pPr>
    </w:p>
    <w:p w:rsidR="00E2336B" w:rsidRDefault="00E2336B" w:rsidP="00890FE5">
      <w:pPr>
        <w:autoSpaceDE w:val="0"/>
        <w:autoSpaceDN w:val="0"/>
        <w:spacing w:line="360" w:lineRule="auto"/>
        <w:jc w:val="both"/>
        <w:rPr>
          <w:rFonts w:ascii="MinionPro-Regular" w:hAnsi="MinionPro-Regular"/>
          <w:sz w:val="24"/>
          <w:szCs w:val="24"/>
        </w:rPr>
      </w:pPr>
    </w:p>
    <w:p w:rsidR="00E2336B" w:rsidRDefault="00E2336B" w:rsidP="00890FE5">
      <w:pPr>
        <w:autoSpaceDE w:val="0"/>
        <w:autoSpaceDN w:val="0"/>
        <w:spacing w:line="360" w:lineRule="auto"/>
        <w:jc w:val="both"/>
        <w:rPr>
          <w:rFonts w:ascii="MinionPro-Regular" w:hAnsi="MinionPro-Regular"/>
          <w:sz w:val="24"/>
          <w:szCs w:val="24"/>
        </w:rPr>
      </w:pPr>
    </w:p>
    <w:p w:rsidR="00E2336B" w:rsidRDefault="00E2336B" w:rsidP="00890FE5">
      <w:pPr>
        <w:autoSpaceDE w:val="0"/>
        <w:autoSpaceDN w:val="0"/>
        <w:spacing w:line="360" w:lineRule="auto"/>
        <w:jc w:val="both"/>
        <w:rPr>
          <w:rFonts w:ascii="MinionPro-Regular" w:hAnsi="MinionPro-Regular"/>
          <w:sz w:val="24"/>
          <w:szCs w:val="24"/>
        </w:rPr>
      </w:pPr>
    </w:p>
    <w:p w:rsidR="00E2336B" w:rsidRDefault="00E2336B" w:rsidP="00890FE5">
      <w:pPr>
        <w:autoSpaceDE w:val="0"/>
        <w:autoSpaceDN w:val="0"/>
        <w:spacing w:line="360" w:lineRule="auto"/>
        <w:jc w:val="both"/>
        <w:rPr>
          <w:rFonts w:ascii="MinionPro-Regular" w:hAnsi="MinionPro-Regular"/>
          <w:sz w:val="24"/>
          <w:szCs w:val="24"/>
        </w:rPr>
      </w:pPr>
    </w:p>
    <w:p w:rsidR="008A4D42" w:rsidRDefault="008A4D42" w:rsidP="00890FE5">
      <w:pPr>
        <w:autoSpaceDE w:val="0"/>
        <w:autoSpaceDN w:val="0"/>
        <w:spacing w:line="360" w:lineRule="auto"/>
        <w:jc w:val="both"/>
        <w:rPr>
          <w:rFonts w:ascii="MinionPro-Regular" w:hAnsi="MinionPro-Regular"/>
          <w:sz w:val="24"/>
          <w:szCs w:val="24"/>
        </w:rPr>
      </w:pPr>
    </w:p>
    <w:p w:rsidR="00E2336B" w:rsidRDefault="00E2336B">
      <w:pPr>
        <w:pBdr>
          <w:top w:val="single" w:sz="4" w:space="1" w:color="auto"/>
        </w:pBdr>
        <w:autoSpaceDE w:val="0"/>
        <w:autoSpaceDN w:val="0"/>
        <w:spacing w:line="360" w:lineRule="auto"/>
        <w:jc w:val="both"/>
        <w:rPr>
          <w:rFonts w:ascii="MinionPro-Regular" w:hAnsi="MinionPro-Regular"/>
          <w:sz w:val="24"/>
          <w:szCs w:val="24"/>
          <w:lang w:val="es-ES_tradnl"/>
        </w:rPr>
      </w:pPr>
      <w:r w:rsidRPr="0081432A">
        <w:rPr>
          <w:rFonts w:ascii="MinionPro-Regular" w:hAnsi="MinionPro-Regular"/>
          <w:sz w:val="20"/>
          <w:szCs w:val="24"/>
          <w:lang w:val="es-ES_tradnl"/>
        </w:rPr>
        <w:t xml:space="preserve">Porcentaje de trabajadores de </w:t>
      </w:r>
      <w:r w:rsidRPr="00A75D50">
        <w:rPr>
          <w:rFonts w:ascii="MinionPro-Regular" w:hAnsi="MinionPro-Regular"/>
          <w:sz w:val="20"/>
          <w:szCs w:val="24"/>
          <w:lang w:val="es-ES_tradnl"/>
        </w:rPr>
        <w:t xml:space="preserve">centros especiales de empleo </w:t>
      </w:r>
      <w:r w:rsidRPr="0081432A">
        <w:rPr>
          <w:rFonts w:ascii="MinionPro-Regular" w:hAnsi="MinionPro-Regular"/>
          <w:sz w:val="20"/>
          <w:szCs w:val="24"/>
          <w:lang w:val="es-ES_tradnl"/>
        </w:rPr>
        <w:t>según tipo de discapacidad y comunidad autónoma.</w:t>
      </w:r>
    </w:p>
    <w:p w:rsidR="00E2336B" w:rsidRDefault="00E1516B">
      <w:pPr>
        <w:autoSpaceDE w:val="0"/>
        <w:autoSpaceDN w:val="0"/>
        <w:spacing w:line="360" w:lineRule="auto"/>
        <w:rPr>
          <w:rFonts w:ascii="MinionPro-Regular" w:hAnsi="MinionPro-Regular"/>
          <w:sz w:val="24"/>
          <w:szCs w:val="24"/>
          <w:highlight w:val="cyan"/>
          <w:lang w:val="es-ES_tradnl"/>
        </w:rPr>
      </w:pPr>
      <w:r>
        <w:rPr>
          <w:rFonts w:ascii="MinionPro-Regular" w:hAnsi="MinionPro-Regular"/>
          <w:noProof/>
          <w:sz w:val="24"/>
          <w:szCs w:val="24"/>
          <w:lang w:eastAsia="es-ES"/>
        </w:rPr>
        <w:drawing>
          <wp:inline distT="0" distB="0" distL="0" distR="0">
            <wp:extent cx="5400040" cy="2889885"/>
            <wp:effectExtent l="0" t="0" r="0" b="0"/>
            <wp:docPr id="35" name="Picture 35"/>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538090" cy="4608512"/>
                      <a:chOff x="611560" y="980728"/>
                      <a:chExt cx="8538090" cy="4608512"/>
                    </a:xfrm>
                  </a:grpSpPr>
                  <a:graphicFrame>
                    <a:nvGraphicFramePr>
                      <a:cNvPr id="4" name="Chart 3"/>
                      <a:cNvGraphicFramePr/>
                    </a:nvGraphicFramePr>
                    <a:graphic>
                      <a:graphicData uri="http://schemas.openxmlformats.org/drawingml/2006/chart">
                        <c:chart xmlns:c="http://schemas.openxmlformats.org/drawingml/2006/chart" xmlns:r="http://schemas.openxmlformats.org/officeDocument/2006/relationships" r:id="rId56"/>
                      </a:graphicData>
                    </a:graphic>
                    <a:xfrm>
                      <a:off x="611560" y="980728"/>
                      <a:ext cx="6768752" cy="4608512"/>
                    </a:xfrm>
                  </a:graphicFrame>
                  <a:sp>
                    <a:nvSpPr>
                      <a:cNvPr id="5" name="TextBox 4"/>
                      <a:cNvSpPr txBox="1"/>
                    </a:nvSpPr>
                    <a:spPr>
                      <a:xfrm>
                        <a:off x="7668343" y="2636912"/>
                        <a:ext cx="1152128" cy="1061829"/>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s-ES_tradnl" sz="1050" b="1" dirty="0" smtClean="0">
                              <a:solidFill>
                                <a:schemeClr val="accent4">
                                  <a:lumMod val="75000"/>
                                </a:schemeClr>
                              </a:solidFill>
                              <a:latin typeface="MinionPro-Regular"/>
                            </a:rPr>
                            <a:t>Física:48%</a:t>
                          </a:r>
                        </a:p>
                        <a:p>
                          <a:r>
                            <a:rPr lang="es-ES_tradnl" sz="1050" b="1" dirty="0" smtClean="0">
                              <a:solidFill>
                                <a:srgbClr val="0070C0"/>
                              </a:solidFill>
                              <a:latin typeface="MinionPro-Regular"/>
                            </a:rPr>
                            <a:t>Psíquica: 42%</a:t>
                          </a:r>
                        </a:p>
                        <a:p>
                          <a:r>
                            <a:rPr lang="es-ES_tradnl" sz="1050" b="1" dirty="0" smtClean="0">
                              <a:solidFill>
                                <a:schemeClr val="accent3">
                                  <a:lumMod val="75000"/>
                                </a:schemeClr>
                              </a:solidFill>
                              <a:latin typeface="MinionPro-Regular"/>
                            </a:rPr>
                            <a:t>Sensorial:10%</a:t>
                          </a:r>
                          <a:endParaRPr lang="en-US" sz="1050" b="1" dirty="0" smtClean="0">
                            <a:solidFill>
                              <a:schemeClr val="accent3">
                                <a:lumMod val="75000"/>
                              </a:schemeClr>
                            </a:solidFill>
                            <a:latin typeface="MinionPro-Regular"/>
                          </a:endParaRPr>
                        </a:p>
                        <a:p>
                          <a:endParaRPr lang="en-US" sz="1050" b="1" dirty="0" smtClean="0">
                            <a:solidFill>
                              <a:srgbClr val="0070C0"/>
                            </a:solidFill>
                            <a:latin typeface="MinionPro-Regular"/>
                          </a:endParaRPr>
                        </a:p>
                        <a:p>
                          <a:endParaRPr lang="es-ES_tradnl" sz="1050" b="1" dirty="0" smtClean="0">
                            <a:solidFill>
                              <a:schemeClr val="accent4">
                                <a:lumMod val="75000"/>
                              </a:schemeClr>
                            </a:solidFill>
                            <a:latin typeface="MinionPro-Regular"/>
                          </a:endParaRPr>
                        </a:p>
                        <a:p>
                          <a:endParaRPr lang="en-US" sz="1050" b="1" dirty="0">
                            <a:solidFill>
                              <a:schemeClr val="accent4">
                                <a:lumMod val="75000"/>
                              </a:schemeClr>
                            </a:solidFill>
                            <a:latin typeface="MinionPro-Regular"/>
                          </a:endParaRPr>
                        </a:p>
                      </a:txBody>
                      <a:useSpRect/>
                    </a:txSp>
                  </a:sp>
                  <a:cxnSp>
                    <a:nvCxnSpPr>
                      <a:cNvPr id="7" name="Straight Connector 6"/>
                      <a:cNvCxnSpPr/>
                    </a:nvCxnSpPr>
                    <a:spPr>
                      <a:xfrm flipV="1">
                        <a:off x="1763688" y="2492896"/>
                        <a:ext cx="5328000" cy="0"/>
                      </a:xfrm>
                      <a:prstGeom prst="line">
                        <a:avLst/>
                      </a:prstGeom>
                      <a:ln w="19050">
                        <a:solidFill>
                          <a:schemeClr val="accent4">
                            <a:lumMod val="75000"/>
                          </a:schemeClr>
                        </a:solidFill>
                        <a:prstDash val="dash"/>
                      </a:ln>
                    </a:spPr>
                    <a:style>
                      <a:lnRef idx="1">
                        <a:schemeClr val="accent1"/>
                      </a:lnRef>
                      <a:fillRef idx="0">
                        <a:schemeClr val="accent1"/>
                      </a:fillRef>
                      <a:effectRef idx="0">
                        <a:schemeClr val="accent1"/>
                      </a:effectRef>
                      <a:fontRef idx="minor">
                        <a:schemeClr val="tx1"/>
                      </a:fontRef>
                    </a:style>
                  </a:cxnSp>
                  <a:cxnSp>
                    <a:nvCxnSpPr>
                      <a:cNvPr id="8" name="Straight Connector 7"/>
                      <a:cNvCxnSpPr/>
                    </a:nvCxnSpPr>
                    <a:spPr>
                      <a:xfrm flipV="1">
                        <a:off x="1763688" y="2636912"/>
                        <a:ext cx="5292000" cy="0"/>
                      </a:xfrm>
                      <a:prstGeom prst="line">
                        <a:avLst/>
                      </a:prstGeom>
                      <a:ln w="22225">
                        <a:solidFill>
                          <a:schemeClr val="tx2">
                            <a:lumMod val="60000"/>
                            <a:lumOff val="40000"/>
                          </a:schemeClr>
                        </a:solidFill>
                        <a:prstDash val="dash"/>
                      </a:ln>
                    </a:spPr>
                    <a:style>
                      <a:lnRef idx="1">
                        <a:schemeClr val="accent1"/>
                      </a:lnRef>
                      <a:fillRef idx="0">
                        <a:schemeClr val="accent1"/>
                      </a:fillRef>
                      <a:effectRef idx="0">
                        <a:schemeClr val="accent1"/>
                      </a:effectRef>
                      <a:fontRef idx="minor">
                        <a:schemeClr val="tx1"/>
                      </a:fontRef>
                    </a:style>
                  </a:cxnSp>
                  <a:cxnSp>
                    <a:nvCxnSpPr>
                      <a:cNvPr id="9" name="Straight Connector 8"/>
                      <a:cNvCxnSpPr/>
                    </a:nvCxnSpPr>
                    <a:spPr>
                      <a:xfrm flipV="1">
                        <a:off x="1763688" y="3645024"/>
                        <a:ext cx="5292000" cy="0"/>
                      </a:xfrm>
                      <a:prstGeom prst="line">
                        <a:avLst/>
                      </a:prstGeom>
                      <a:ln w="19050">
                        <a:solidFill>
                          <a:schemeClr val="accent3">
                            <a:lumMod val="60000"/>
                            <a:lumOff val="40000"/>
                          </a:schemeClr>
                        </a:solidFill>
                        <a:prstDash val="dash"/>
                      </a:ln>
                    </a:spPr>
                    <a:style>
                      <a:lnRef idx="1">
                        <a:schemeClr val="accent1"/>
                      </a:lnRef>
                      <a:fillRef idx="0">
                        <a:schemeClr val="accent1"/>
                      </a:fillRef>
                      <a:effectRef idx="0">
                        <a:schemeClr val="accent1"/>
                      </a:effectRef>
                      <a:fontRef idx="minor">
                        <a:schemeClr val="tx1"/>
                      </a:fontRef>
                    </a:style>
                  </a:cxnSp>
                  <a:sp>
                    <a:nvSpPr>
                      <a:cNvPr id="12" name="TextBox 11"/>
                      <a:cNvSpPr txBox="1"/>
                    </a:nvSpPr>
                    <a:spPr>
                      <a:xfrm>
                        <a:off x="7668343" y="2348880"/>
                        <a:ext cx="1481307" cy="276999"/>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s-ES_tradnl" sz="1200" b="1" dirty="0" smtClean="0">
                              <a:latin typeface="MinionPro-Regular"/>
                            </a:rPr>
                            <a:t>Media</a:t>
                          </a:r>
                          <a:endParaRPr lang="en-US" sz="1200" b="1" dirty="0">
                            <a:latin typeface="MinionPro-Regular"/>
                          </a:endParaRPr>
                        </a:p>
                      </a:txBody>
                      <a:useSpRect/>
                    </a:txSp>
                  </a:sp>
                </lc:lockedCanvas>
              </a:graphicData>
            </a:graphic>
          </wp:inline>
        </w:drawing>
      </w:r>
    </w:p>
    <w:p w:rsidR="00E2336B" w:rsidRDefault="00E2336B">
      <w:pPr>
        <w:pBdr>
          <w:bottom w:val="single" w:sz="4" w:space="1" w:color="auto"/>
        </w:pBdr>
        <w:autoSpaceDE w:val="0"/>
        <w:autoSpaceDN w:val="0"/>
        <w:spacing w:line="360" w:lineRule="auto"/>
        <w:jc w:val="both"/>
        <w:rPr>
          <w:rFonts w:ascii="MinionPro-Regular" w:hAnsi="MinionPro-Regular"/>
          <w:sz w:val="20"/>
          <w:szCs w:val="24"/>
          <w:lang w:val="es-ES_tradnl"/>
        </w:rPr>
      </w:pPr>
      <w:r w:rsidRPr="008B461D">
        <w:rPr>
          <w:rFonts w:ascii="MinionPro-Regular" w:hAnsi="MinionPro-Regular"/>
          <w:sz w:val="20"/>
          <w:szCs w:val="24"/>
          <w:lang w:val="es-ES_tradnl"/>
        </w:rPr>
        <w:t>Fuente: Elaboración propia a partir de datos del Servicio Público de Empleo Estatal, 2011</w:t>
      </w:r>
    </w:p>
    <w:p w:rsidR="00E2336B" w:rsidRDefault="00E2336B">
      <w:pPr>
        <w:pBdr>
          <w:bottom w:val="single" w:sz="4" w:space="1" w:color="auto"/>
        </w:pBdr>
        <w:autoSpaceDE w:val="0"/>
        <w:autoSpaceDN w:val="0"/>
        <w:spacing w:line="360" w:lineRule="auto"/>
        <w:jc w:val="both"/>
        <w:rPr>
          <w:rFonts w:ascii="MinionPro-Regular" w:hAnsi="MinionPro-Regular"/>
          <w:sz w:val="20"/>
          <w:szCs w:val="24"/>
          <w:lang w:val="es-ES_tradnl"/>
        </w:rPr>
      </w:pPr>
      <w:r>
        <w:rPr>
          <w:rFonts w:ascii="MinionPro-Regular" w:hAnsi="MinionPro-Regular"/>
          <w:sz w:val="20"/>
          <w:szCs w:val="24"/>
          <w:lang w:val="es-ES_tradnl"/>
        </w:rPr>
        <w:lastRenderedPageBreak/>
        <w:t>Nota explicativa de la gráfica: Eje vertical, porcentaje de trabajadores de centros especiales de empleo según tipo de discapacidad. Eje horizontal, las 17 comunidades autónomas. Los datos son: Andalucía: 63,3% discapacidad física,  25,3% psíquica y 11,4% sensorial. Aragón: 50,2% discapacidad física, 41,2% psíquica y 8,6% sensorial. Asturias: 53,9% discapacidad física, 35,7% psíquica y 10,3% sensorial. Baleares: 45,9% discapacidad física, 48,6% psíquica y 5,5% sensorial. Canarias: 47,6% discapacidad física, 36,9% psíquica y 15,5% sensorial. Cantabria: 28,4% discapacidad física, 63,7% psíquica y 7,8% sensorial. Castilla La Mancha: 67,2% discapacidad física, 24,7% psíquica y 8,1% sensorial. Castilla y León: 44,4% discapacidad física, 43,3% psíquica y 12,3% sensorial. Cataluña: 27,9% discapacidad física, 65,9% psíquica y 6,3% sensorial. Comunidad Valenciana: 49,1% discapacidad física, 38,4% psíquica y 12,4% sensorial. Extremadura: 65,1% discapacidad física, 22,7% psíquica y 12,2% sensorial. Galicia: 64,7% discapacidad física, 25,5% psíquica y 9,8% sensorial. Madrid: 46,0% discapacidad física, 41,0% psíquica y 13,0% sensorial. Murcia: 46,0% discapacidad física, 41,0% psíquica y 13,0% sensorial. Navarra: 48,0% discapacidad física, 42,5% psíquica y 9,5% sensorial. La Rioja: 52,6% discapacidad física, 38,6% psíquica y 8,9% sensorial. País Vasco: 41,3% discapacidad física, 49,7% psíquica y 9,0% sensorial. Ceuta: 48,2% discapacidad física, 41,1% psíquica y 10,7% sensorial. Melilla: 63,9% discapacidad física, 13,9% psíquica y 22,2% sensorial.</w:t>
      </w:r>
    </w:p>
    <w:p w:rsidR="00E2336B" w:rsidRPr="008B461D" w:rsidRDefault="00E2336B" w:rsidP="00890FE5">
      <w:pPr>
        <w:autoSpaceDE w:val="0"/>
        <w:autoSpaceDN w:val="0"/>
        <w:spacing w:line="360" w:lineRule="auto"/>
        <w:jc w:val="both"/>
        <w:rPr>
          <w:rFonts w:ascii="MinionPro-Regular" w:hAnsi="MinionPro-Regular"/>
          <w:sz w:val="24"/>
          <w:szCs w:val="24"/>
          <w:lang w:val="es-ES_tradnl"/>
        </w:rPr>
      </w:pPr>
    </w:p>
    <w:p w:rsidR="00E2336B" w:rsidRDefault="00E2336B" w:rsidP="00890FE5">
      <w:pPr>
        <w:autoSpaceDE w:val="0"/>
        <w:autoSpaceDN w:val="0"/>
        <w:spacing w:line="360" w:lineRule="auto"/>
        <w:jc w:val="both"/>
        <w:rPr>
          <w:rFonts w:ascii="MinionPro-Regular" w:hAnsi="MinionPro-Regular"/>
          <w:sz w:val="24"/>
          <w:szCs w:val="24"/>
        </w:rPr>
      </w:pPr>
      <w:r w:rsidRPr="0081432A">
        <w:rPr>
          <w:rFonts w:ascii="MinionPro-Regular" w:hAnsi="MinionPro-Regular"/>
          <w:sz w:val="24"/>
          <w:szCs w:val="24"/>
        </w:rPr>
        <w:t xml:space="preserve">Atendiendo a la edad de las personas en los </w:t>
      </w:r>
      <w:r w:rsidRPr="00A75D50">
        <w:rPr>
          <w:rFonts w:ascii="MinionPro-Regular" w:hAnsi="MinionPro-Regular"/>
          <w:sz w:val="24"/>
          <w:szCs w:val="24"/>
          <w:lang w:val="es-ES_tradnl"/>
        </w:rPr>
        <w:t>centros especiales de empleo</w:t>
      </w:r>
      <w:r w:rsidRPr="0081432A">
        <w:rPr>
          <w:rFonts w:ascii="MinionPro-Regular" w:hAnsi="MinionPro-Regular"/>
          <w:sz w:val="24"/>
          <w:szCs w:val="24"/>
        </w:rPr>
        <w:t>, y según datos del SP</w:t>
      </w:r>
      <w:r>
        <w:rPr>
          <w:rFonts w:ascii="MinionPro-Regular" w:hAnsi="MinionPro-Regular"/>
          <w:sz w:val="24"/>
          <w:szCs w:val="24"/>
        </w:rPr>
        <w:t>E</w:t>
      </w:r>
      <w:r w:rsidRPr="0081432A">
        <w:rPr>
          <w:rFonts w:ascii="MinionPro-Regular" w:hAnsi="MinionPro-Regular"/>
          <w:sz w:val="24"/>
          <w:szCs w:val="24"/>
        </w:rPr>
        <w:t xml:space="preserve">E, </w:t>
      </w:r>
      <w:r>
        <w:rPr>
          <w:rFonts w:ascii="MinionPro-Regular" w:hAnsi="MinionPro-Regular"/>
          <w:sz w:val="24"/>
          <w:szCs w:val="24"/>
        </w:rPr>
        <w:t>el 65% de los empleados se sitúa entre</w:t>
      </w:r>
      <w:r w:rsidRPr="0081432A">
        <w:rPr>
          <w:rFonts w:ascii="MinionPro-Regular" w:hAnsi="MinionPro-Regular"/>
          <w:sz w:val="24"/>
          <w:szCs w:val="24"/>
        </w:rPr>
        <w:t xml:space="preserve"> los 25 y los 54 años. En lo que respecta al género, </w:t>
      </w:r>
      <w:r>
        <w:rPr>
          <w:rFonts w:ascii="MinionPro-Regular" w:hAnsi="MinionPro-Regular"/>
          <w:sz w:val="24"/>
          <w:szCs w:val="24"/>
        </w:rPr>
        <w:t>los hombres representan el</w:t>
      </w:r>
      <w:r w:rsidRPr="0081432A">
        <w:rPr>
          <w:rFonts w:ascii="MinionPro-Regular" w:hAnsi="MinionPro-Regular"/>
          <w:sz w:val="24"/>
          <w:szCs w:val="24"/>
        </w:rPr>
        <w:t xml:space="preserve"> 60,91</w:t>
      </w:r>
      <w:r>
        <w:rPr>
          <w:rFonts w:ascii="MinionPro-Regular" w:hAnsi="MinionPro-Regular"/>
          <w:sz w:val="24"/>
          <w:szCs w:val="24"/>
        </w:rPr>
        <w:t>% del total de personas empleadas</w:t>
      </w:r>
      <w:r w:rsidRPr="0081432A">
        <w:rPr>
          <w:rFonts w:ascii="MinionPro-Regular" w:hAnsi="MinionPro-Regular"/>
          <w:sz w:val="24"/>
          <w:szCs w:val="24"/>
        </w:rPr>
        <w:t>.</w:t>
      </w:r>
    </w:p>
    <w:p w:rsidR="00E2336B" w:rsidRDefault="00E2336B" w:rsidP="00890FE5">
      <w:pPr>
        <w:autoSpaceDE w:val="0"/>
        <w:autoSpaceDN w:val="0"/>
        <w:spacing w:line="360" w:lineRule="auto"/>
        <w:jc w:val="both"/>
        <w:rPr>
          <w:rFonts w:ascii="MinionPro-Regular" w:hAnsi="MinionPro-Regular"/>
          <w:sz w:val="24"/>
          <w:szCs w:val="24"/>
        </w:rPr>
      </w:pPr>
    </w:p>
    <w:p w:rsidR="008A4D42" w:rsidRPr="0075670B" w:rsidRDefault="00E86451" w:rsidP="008A4D42">
      <w:pPr>
        <w:pBdr>
          <w:top w:val="single" w:sz="4" w:space="1" w:color="auto"/>
        </w:pBdr>
        <w:rPr>
          <w:rFonts w:ascii="MinionPro-Regular" w:hAnsi="MinionPro-Regular"/>
          <w:sz w:val="24"/>
          <w:szCs w:val="24"/>
          <w:lang w:val="es-ES_tradnl"/>
        </w:rPr>
      </w:pPr>
      <w:r w:rsidRPr="0075670B">
        <w:rPr>
          <w:rFonts w:ascii="MinionPro-Regular" w:hAnsi="MinionPro-Regular"/>
          <w:sz w:val="20"/>
          <w:szCs w:val="24"/>
          <w:lang w:val="es-ES_tradnl"/>
        </w:rPr>
        <w:t>Número de personas con discapacidad ocupadas en centros especiales de empleo, por 100.000 habitantes y comunidad autónoma.</w:t>
      </w:r>
      <w:r w:rsidR="00CA06D6" w:rsidRPr="0075670B">
        <w:rPr>
          <w:rFonts w:ascii="MinionPro-Regular" w:hAnsi="MinionPro-Regular"/>
          <w:sz w:val="20"/>
          <w:szCs w:val="24"/>
          <w:lang w:val="es-ES_tradnl"/>
        </w:rPr>
        <w:t xml:space="preserve"> </w:t>
      </w:r>
    </w:p>
    <w:p w:rsidR="00E2336B" w:rsidRPr="0075670B" w:rsidRDefault="00E2336B">
      <w:pPr>
        <w:pBdr>
          <w:top w:val="single" w:sz="4" w:space="1" w:color="auto"/>
        </w:pBdr>
        <w:autoSpaceDE w:val="0"/>
        <w:autoSpaceDN w:val="0"/>
        <w:spacing w:line="360" w:lineRule="auto"/>
        <w:jc w:val="both"/>
        <w:rPr>
          <w:rFonts w:ascii="MinionPro-Regular" w:hAnsi="MinionPro-Regular"/>
          <w:sz w:val="24"/>
          <w:szCs w:val="24"/>
          <w:lang w:val="es-ES_tradnl"/>
        </w:rPr>
      </w:pPr>
    </w:p>
    <w:p w:rsidR="00E2336B" w:rsidRPr="00B35849" w:rsidRDefault="00E1516B" w:rsidP="00890FE5">
      <w:pPr>
        <w:autoSpaceDE w:val="0"/>
        <w:autoSpaceDN w:val="0"/>
        <w:spacing w:line="360" w:lineRule="auto"/>
        <w:jc w:val="both"/>
        <w:rPr>
          <w:rFonts w:ascii="MinionPro-Regular" w:hAnsi="MinionPro-Regular"/>
          <w:sz w:val="24"/>
          <w:szCs w:val="24"/>
        </w:rPr>
      </w:pPr>
      <w:r>
        <w:rPr>
          <w:rFonts w:ascii="MinionPro-Regular" w:hAnsi="MinionPro-Regular"/>
          <w:noProof/>
          <w:sz w:val="24"/>
          <w:szCs w:val="24"/>
          <w:lang w:eastAsia="es-ES"/>
        </w:rPr>
        <w:lastRenderedPageBreak/>
        <w:drawing>
          <wp:inline distT="0" distB="0" distL="0" distR="0">
            <wp:extent cx="5400040" cy="2915920"/>
            <wp:effectExtent l="0" t="0" r="0" b="0"/>
            <wp:docPr id="36" name="Picture 3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E2336B" w:rsidRDefault="00E2336B" w:rsidP="0027369F">
      <w:pPr>
        <w:pBdr>
          <w:bottom w:val="single" w:sz="4" w:space="1" w:color="auto"/>
        </w:pBdr>
        <w:autoSpaceDE w:val="0"/>
        <w:autoSpaceDN w:val="0"/>
        <w:spacing w:line="360" w:lineRule="auto"/>
        <w:jc w:val="both"/>
        <w:rPr>
          <w:rFonts w:ascii="MinionPro-Regular" w:hAnsi="MinionPro-Regular"/>
          <w:sz w:val="20"/>
          <w:szCs w:val="24"/>
          <w:lang w:val="es-ES_tradnl"/>
        </w:rPr>
      </w:pPr>
      <w:r w:rsidRPr="008B461D">
        <w:rPr>
          <w:rFonts w:ascii="MinionPro-Regular" w:hAnsi="MinionPro-Regular"/>
          <w:sz w:val="20"/>
          <w:szCs w:val="24"/>
          <w:lang w:val="es-ES_tradnl"/>
        </w:rPr>
        <w:t>Fuente: Elaboración propia a partir de datos del Servicio Público de Empleo Estatal, 2011</w:t>
      </w:r>
    </w:p>
    <w:p w:rsidR="00E2336B" w:rsidRPr="00EB5E14" w:rsidRDefault="00E2336B" w:rsidP="00C30229">
      <w:pPr>
        <w:pBdr>
          <w:bottom w:val="single" w:sz="4" w:space="1" w:color="auto"/>
        </w:pBdr>
        <w:autoSpaceDE w:val="0"/>
        <w:autoSpaceDN w:val="0"/>
        <w:spacing w:line="360" w:lineRule="auto"/>
        <w:jc w:val="both"/>
        <w:rPr>
          <w:rFonts w:ascii="MinionPro-Regular" w:hAnsi="MinionPro-Regular"/>
          <w:sz w:val="20"/>
          <w:szCs w:val="24"/>
          <w:lang w:val="es-ES_tradnl"/>
        </w:rPr>
      </w:pPr>
      <w:r>
        <w:rPr>
          <w:rFonts w:ascii="MinionPro-Regular" w:hAnsi="MinionPro-Regular"/>
          <w:sz w:val="20"/>
          <w:szCs w:val="24"/>
          <w:lang w:val="es-ES_tradnl"/>
        </w:rPr>
        <w:t>Nota explicativa de la gráfica: Eje vertical, número de trabajadores con discapacidad en centros especiales de empleo por cada 100.000 habitantes. Eje horizontal, las 17 comunidades autónomas. Los datos son: Andalucía: 146,3; Aragón: 143,9; Asturias: 197,4; Baleares: 65,7; Canarias: 55,2; Cantabria: 183,9; Castilla y León: 168,5; Castilla La Mancha: 112,2; Cataluña: 168,0; Comunidad Valenciana: 80,5; Extremadura: 127,9; Galicia: 72,4; Madrid: 146,3; Murcia: 63,0; Navarra: 206,1; País Vasco: 343,3; La Rioja: 164,0; Ceuta: 72,4; Melilla: 45,9.</w:t>
      </w:r>
    </w:p>
    <w:p w:rsidR="00E2336B" w:rsidRDefault="00E2336B" w:rsidP="00890FE5">
      <w:pPr>
        <w:autoSpaceDE w:val="0"/>
        <w:autoSpaceDN w:val="0"/>
        <w:spacing w:line="360" w:lineRule="auto"/>
        <w:jc w:val="both"/>
        <w:rPr>
          <w:rFonts w:ascii="MinionPro-Regular" w:hAnsi="MinionPro-Regular"/>
          <w:sz w:val="24"/>
          <w:szCs w:val="24"/>
        </w:rPr>
      </w:pPr>
    </w:p>
    <w:p w:rsidR="00E2336B" w:rsidRDefault="00E2336B" w:rsidP="00890FE5">
      <w:pPr>
        <w:autoSpaceDE w:val="0"/>
        <w:autoSpaceDN w:val="0"/>
        <w:spacing w:line="360" w:lineRule="auto"/>
        <w:jc w:val="both"/>
        <w:rPr>
          <w:rFonts w:ascii="MinionPro-Regular" w:hAnsi="MinionPro-Regular"/>
          <w:sz w:val="24"/>
          <w:szCs w:val="24"/>
        </w:rPr>
      </w:pPr>
    </w:p>
    <w:p w:rsidR="00E2336B" w:rsidRDefault="00E2336B" w:rsidP="00890FE5">
      <w:pPr>
        <w:autoSpaceDE w:val="0"/>
        <w:autoSpaceDN w:val="0"/>
        <w:spacing w:line="360" w:lineRule="auto"/>
        <w:jc w:val="both"/>
        <w:rPr>
          <w:rFonts w:ascii="MinionPro-Regular" w:hAnsi="MinionPro-Regular"/>
          <w:sz w:val="24"/>
          <w:szCs w:val="24"/>
        </w:rPr>
      </w:pPr>
    </w:p>
    <w:p w:rsidR="0075670B" w:rsidRDefault="0075670B" w:rsidP="00890FE5">
      <w:pPr>
        <w:autoSpaceDE w:val="0"/>
        <w:autoSpaceDN w:val="0"/>
        <w:spacing w:line="360" w:lineRule="auto"/>
        <w:jc w:val="both"/>
        <w:rPr>
          <w:rFonts w:ascii="MinionPro-Regular" w:hAnsi="MinionPro-Regular"/>
          <w:sz w:val="24"/>
          <w:szCs w:val="24"/>
        </w:rPr>
      </w:pPr>
    </w:p>
    <w:p w:rsidR="0075670B" w:rsidRDefault="0075670B" w:rsidP="00890FE5">
      <w:pPr>
        <w:autoSpaceDE w:val="0"/>
        <w:autoSpaceDN w:val="0"/>
        <w:spacing w:line="360" w:lineRule="auto"/>
        <w:jc w:val="both"/>
        <w:rPr>
          <w:rFonts w:ascii="MinionPro-Regular" w:hAnsi="MinionPro-Regular"/>
          <w:sz w:val="24"/>
          <w:szCs w:val="24"/>
        </w:rPr>
      </w:pPr>
    </w:p>
    <w:p w:rsidR="0075670B" w:rsidRDefault="0075670B" w:rsidP="00890FE5">
      <w:pPr>
        <w:autoSpaceDE w:val="0"/>
        <w:autoSpaceDN w:val="0"/>
        <w:spacing w:line="360" w:lineRule="auto"/>
        <w:jc w:val="both"/>
        <w:rPr>
          <w:rFonts w:ascii="MinionPro-Regular" w:hAnsi="MinionPro-Regular"/>
          <w:sz w:val="24"/>
          <w:szCs w:val="24"/>
        </w:rPr>
      </w:pPr>
    </w:p>
    <w:p w:rsidR="0037006C" w:rsidRPr="0075670B" w:rsidRDefault="00E86451" w:rsidP="0037006C">
      <w:pPr>
        <w:pBdr>
          <w:top w:val="single" w:sz="4" w:space="1" w:color="auto"/>
        </w:pBdr>
        <w:rPr>
          <w:rFonts w:ascii="MinionPro-Regular" w:hAnsi="MinionPro-Regular"/>
          <w:sz w:val="24"/>
          <w:szCs w:val="24"/>
          <w:lang w:val="es-ES_tradnl"/>
        </w:rPr>
      </w:pPr>
      <w:r w:rsidRPr="0075670B">
        <w:rPr>
          <w:rFonts w:ascii="MinionPro-Regular" w:hAnsi="MinionPro-Regular"/>
          <w:sz w:val="20"/>
          <w:szCs w:val="24"/>
          <w:lang w:val="es-ES_tradnl"/>
        </w:rPr>
        <w:t xml:space="preserve">Número de personas con discapacidad ocupadas en centros especiales de empleo, por persona con discapacidad </w:t>
      </w:r>
      <w:r w:rsidR="00DE3EC2" w:rsidRPr="0075670B">
        <w:rPr>
          <w:rFonts w:ascii="MinionPro-Regular" w:hAnsi="MinionPro-Regular"/>
          <w:sz w:val="20"/>
          <w:szCs w:val="24"/>
          <w:lang w:val="es-ES_tradnl"/>
        </w:rPr>
        <w:t xml:space="preserve">ocupada </w:t>
      </w:r>
      <w:r w:rsidRPr="0075670B">
        <w:rPr>
          <w:rFonts w:ascii="MinionPro-Regular" w:hAnsi="MinionPro-Regular"/>
          <w:sz w:val="20"/>
          <w:szCs w:val="24"/>
          <w:lang w:val="es-ES_tradnl"/>
        </w:rPr>
        <w:t xml:space="preserve">y comunidad autónoma. </w:t>
      </w:r>
    </w:p>
    <w:p w:rsidR="0037006C" w:rsidRPr="0075670B" w:rsidRDefault="00F61DE8" w:rsidP="0037006C">
      <w:pPr>
        <w:pBdr>
          <w:top w:val="single" w:sz="4" w:space="1" w:color="auto"/>
        </w:pBdr>
        <w:autoSpaceDE w:val="0"/>
        <w:autoSpaceDN w:val="0"/>
        <w:spacing w:line="360" w:lineRule="auto"/>
        <w:jc w:val="both"/>
        <w:rPr>
          <w:rFonts w:ascii="MinionPro-Regular" w:hAnsi="MinionPro-Regular"/>
          <w:sz w:val="24"/>
          <w:szCs w:val="24"/>
          <w:lang w:val="es-ES_tradnl"/>
        </w:rPr>
      </w:pPr>
      <w:r w:rsidRPr="0075670B">
        <w:rPr>
          <w:rFonts w:ascii="MinionPro-Regular" w:hAnsi="MinionPro-Regular"/>
          <w:noProof/>
          <w:sz w:val="24"/>
          <w:szCs w:val="24"/>
          <w:lang w:eastAsia="es-ES"/>
        </w:rPr>
        <w:lastRenderedPageBreak/>
        <w:drawing>
          <wp:inline distT="0" distB="0" distL="0" distR="0">
            <wp:extent cx="5400675" cy="3690461"/>
            <wp:effectExtent l="0" t="0" r="0" b="0"/>
            <wp:docPr id="208"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37006C" w:rsidRPr="0075670B" w:rsidRDefault="0037006C" w:rsidP="0037006C">
      <w:pPr>
        <w:autoSpaceDE w:val="0"/>
        <w:autoSpaceDN w:val="0"/>
        <w:spacing w:line="360" w:lineRule="auto"/>
        <w:jc w:val="both"/>
        <w:rPr>
          <w:rFonts w:ascii="MinionPro-Regular" w:hAnsi="MinionPro-Regular"/>
          <w:sz w:val="24"/>
          <w:szCs w:val="24"/>
        </w:rPr>
      </w:pPr>
    </w:p>
    <w:p w:rsidR="0037006C" w:rsidRPr="0075670B" w:rsidRDefault="00E86451" w:rsidP="0037006C">
      <w:pPr>
        <w:pBdr>
          <w:bottom w:val="single" w:sz="4" w:space="1" w:color="auto"/>
        </w:pBdr>
        <w:autoSpaceDE w:val="0"/>
        <w:autoSpaceDN w:val="0"/>
        <w:spacing w:line="360" w:lineRule="auto"/>
        <w:jc w:val="both"/>
        <w:rPr>
          <w:rFonts w:ascii="MinionPro-Regular" w:hAnsi="MinionPro-Regular"/>
          <w:sz w:val="20"/>
          <w:szCs w:val="24"/>
          <w:lang w:val="es-ES_tradnl"/>
        </w:rPr>
      </w:pPr>
      <w:r w:rsidRPr="0075670B">
        <w:rPr>
          <w:rFonts w:ascii="MinionPro-Regular" w:hAnsi="MinionPro-Regular"/>
          <w:sz w:val="20"/>
          <w:szCs w:val="24"/>
          <w:lang w:val="es-ES_tradnl"/>
        </w:rPr>
        <w:t>Fuente: Elaboración propia a partir de datos del Servicio Público de Empleo Estatal, 2011</w:t>
      </w:r>
    </w:p>
    <w:p w:rsidR="0037006C" w:rsidRPr="0075670B" w:rsidRDefault="00E86451" w:rsidP="0037006C">
      <w:pPr>
        <w:pBdr>
          <w:bottom w:val="single" w:sz="4" w:space="1" w:color="auto"/>
        </w:pBdr>
        <w:autoSpaceDE w:val="0"/>
        <w:autoSpaceDN w:val="0"/>
        <w:spacing w:line="360" w:lineRule="auto"/>
        <w:jc w:val="both"/>
        <w:rPr>
          <w:rFonts w:ascii="MinionPro-Regular" w:hAnsi="MinionPro-Regular"/>
          <w:sz w:val="20"/>
          <w:szCs w:val="24"/>
          <w:lang w:val="es-ES_tradnl"/>
        </w:rPr>
      </w:pPr>
      <w:r w:rsidRPr="0075670B">
        <w:rPr>
          <w:rFonts w:ascii="MinionPro-Regular" w:hAnsi="MinionPro-Regular"/>
          <w:sz w:val="20"/>
          <w:szCs w:val="24"/>
          <w:lang w:val="es-ES_tradnl"/>
        </w:rPr>
        <w:t>Nota explicativa de la gráfica: Eje vertical, número de trabajadores con discapacidad en centros especiales de empleo por cada persona con discapacidad</w:t>
      </w:r>
      <w:r w:rsidR="00DE3EC2" w:rsidRPr="0075670B">
        <w:rPr>
          <w:rFonts w:ascii="MinionPro-Regular" w:hAnsi="MinionPro-Regular"/>
          <w:sz w:val="20"/>
          <w:szCs w:val="24"/>
          <w:lang w:val="es-ES_tradnl"/>
        </w:rPr>
        <w:t xml:space="preserve"> ocupada</w:t>
      </w:r>
      <w:r w:rsidRPr="0075670B">
        <w:rPr>
          <w:rFonts w:ascii="MinionPro-Regular" w:hAnsi="MinionPro-Regular"/>
          <w:sz w:val="20"/>
          <w:szCs w:val="24"/>
          <w:lang w:val="es-ES_tradnl"/>
        </w:rPr>
        <w:t>. Eje horizontal, las 17 comunidades autónomas. Los datos son: País Vasco</w:t>
      </w:r>
      <w:r w:rsidRPr="0075670B">
        <w:t xml:space="preserve"> </w:t>
      </w:r>
      <w:r w:rsidRPr="0075670B">
        <w:rPr>
          <w:rFonts w:ascii="MinionPro-Regular" w:hAnsi="MinionPro-Regular"/>
          <w:sz w:val="20"/>
          <w:szCs w:val="24"/>
          <w:lang w:val="es-ES_tradnl"/>
        </w:rPr>
        <w:t>32%; Castilla y León</w:t>
      </w:r>
      <w:r w:rsidRPr="0075670B">
        <w:t xml:space="preserve"> </w:t>
      </w:r>
      <w:r w:rsidRPr="0075670B">
        <w:rPr>
          <w:rFonts w:ascii="MinionPro-Regular" w:hAnsi="MinionPro-Regular"/>
          <w:sz w:val="20"/>
          <w:szCs w:val="24"/>
          <w:lang w:val="es-ES_tradnl"/>
        </w:rPr>
        <w:t>27%; Madrid 25%;</w:t>
      </w:r>
      <w:r w:rsidRPr="0075670B">
        <w:t xml:space="preserve"> </w:t>
      </w:r>
      <w:r w:rsidRPr="0075670B">
        <w:rPr>
          <w:rFonts w:ascii="MinionPro-Regular" w:hAnsi="MinionPro-Regular"/>
          <w:sz w:val="20"/>
          <w:szCs w:val="24"/>
          <w:lang w:val="es-ES_tradnl"/>
        </w:rPr>
        <w:t>Extremadura</w:t>
      </w:r>
      <w:r w:rsidRPr="0075670B">
        <w:t xml:space="preserve"> </w:t>
      </w:r>
      <w:r w:rsidRPr="0075670B">
        <w:rPr>
          <w:rFonts w:ascii="MinionPro-Regular" w:hAnsi="MinionPro-Regular"/>
          <w:sz w:val="20"/>
          <w:szCs w:val="24"/>
          <w:lang w:val="es-ES_tradnl"/>
        </w:rPr>
        <w:t>24%; Andalucía + Ceuta y Melilla 23%;</w:t>
      </w:r>
      <w:r w:rsidRPr="0075670B">
        <w:t xml:space="preserve"> </w:t>
      </w:r>
      <w:r w:rsidRPr="0075670B">
        <w:rPr>
          <w:rFonts w:ascii="MinionPro-Regular" w:hAnsi="MinionPro-Regular"/>
          <w:sz w:val="20"/>
          <w:szCs w:val="24"/>
          <w:lang w:val="es-ES_tradnl"/>
        </w:rPr>
        <w:t>Cantabria</w:t>
      </w:r>
      <w:r w:rsidRPr="0075670B">
        <w:t xml:space="preserve"> </w:t>
      </w:r>
      <w:r w:rsidRPr="0075670B">
        <w:rPr>
          <w:rFonts w:ascii="MinionPro-Regular" w:hAnsi="MinionPro-Regular"/>
          <w:sz w:val="20"/>
          <w:szCs w:val="24"/>
          <w:lang w:val="es-ES_tradnl"/>
        </w:rPr>
        <w:t>23%; Navarra</w:t>
      </w:r>
      <w:r w:rsidRPr="0075670B">
        <w:t xml:space="preserve"> </w:t>
      </w:r>
      <w:r w:rsidRPr="0075670B">
        <w:rPr>
          <w:rFonts w:ascii="MinionPro-Regular" w:hAnsi="MinionPro-Regular"/>
          <w:sz w:val="20"/>
          <w:szCs w:val="24"/>
          <w:lang w:val="es-ES_tradnl"/>
        </w:rPr>
        <w:t>22%; Asturias 19%; Aragón</w:t>
      </w:r>
      <w:r w:rsidRPr="0075670B">
        <w:t xml:space="preserve"> </w:t>
      </w:r>
      <w:r w:rsidRPr="0075670B">
        <w:rPr>
          <w:rFonts w:ascii="MinionPro-Regular" w:hAnsi="MinionPro-Regular"/>
          <w:sz w:val="20"/>
          <w:szCs w:val="24"/>
          <w:lang w:val="es-ES_tradnl"/>
        </w:rPr>
        <w:t>18%; Cataluña</w:t>
      </w:r>
      <w:r w:rsidRPr="0075670B">
        <w:t xml:space="preserve"> </w:t>
      </w:r>
      <w:r w:rsidRPr="0075670B">
        <w:rPr>
          <w:rFonts w:ascii="MinionPro-Regular" w:hAnsi="MinionPro-Regular"/>
          <w:sz w:val="20"/>
          <w:szCs w:val="24"/>
          <w:lang w:val="es-ES_tradnl"/>
        </w:rPr>
        <w:t>18%; C.Valenciana 18%; La Rioja</w:t>
      </w:r>
      <w:r w:rsidRPr="0075670B">
        <w:t xml:space="preserve"> </w:t>
      </w:r>
      <w:r w:rsidRPr="0075670B">
        <w:rPr>
          <w:rFonts w:ascii="MinionPro-Regular" w:hAnsi="MinionPro-Regular"/>
          <w:sz w:val="20"/>
          <w:szCs w:val="24"/>
          <w:lang w:val="es-ES_tradnl"/>
        </w:rPr>
        <w:t>18%;</w:t>
      </w:r>
      <w:r w:rsidRPr="0075670B">
        <w:t xml:space="preserve"> </w:t>
      </w:r>
      <w:r w:rsidRPr="0075670B">
        <w:rPr>
          <w:rFonts w:ascii="MinionPro-Regular" w:hAnsi="MinionPro-Regular"/>
          <w:sz w:val="20"/>
          <w:szCs w:val="24"/>
          <w:lang w:val="es-ES_tradnl"/>
        </w:rPr>
        <w:t>Castilla La Mancha 13%;</w:t>
      </w:r>
      <w:r w:rsidRPr="0075670B">
        <w:t xml:space="preserve"> </w:t>
      </w:r>
      <w:r w:rsidRPr="0075670B">
        <w:rPr>
          <w:rFonts w:ascii="MinionPro-Regular" w:hAnsi="MinionPro-Regular"/>
          <w:sz w:val="20"/>
          <w:szCs w:val="24"/>
          <w:lang w:val="es-ES_tradnl"/>
        </w:rPr>
        <w:t>Canarias</w:t>
      </w:r>
      <w:r w:rsidRPr="0075670B">
        <w:t xml:space="preserve"> </w:t>
      </w:r>
      <w:r w:rsidRPr="0075670B">
        <w:rPr>
          <w:rFonts w:ascii="MinionPro-Regular" w:hAnsi="MinionPro-Regular"/>
          <w:sz w:val="20"/>
          <w:szCs w:val="24"/>
          <w:lang w:val="es-ES_tradnl"/>
        </w:rPr>
        <w:t>12%;</w:t>
      </w:r>
      <w:r w:rsidRPr="0075670B">
        <w:t xml:space="preserve"> </w:t>
      </w:r>
      <w:r w:rsidRPr="0075670B">
        <w:rPr>
          <w:rFonts w:ascii="MinionPro-Regular" w:hAnsi="MinionPro-Regular"/>
          <w:sz w:val="20"/>
          <w:szCs w:val="24"/>
          <w:lang w:val="es-ES_tradnl"/>
        </w:rPr>
        <w:t>Baleares</w:t>
      </w:r>
      <w:r w:rsidRPr="0075670B">
        <w:t xml:space="preserve"> </w:t>
      </w:r>
      <w:r w:rsidRPr="0075670B">
        <w:rPr>
          <w:rFonts w:ascii="MinionPro-Regular" w:hAnsi="MinionPro-Regular"/>
          <w:sz w:val="20"/>
          <w:szCs w:val="24"/>
          <w:lang w:val="es-ES_tradnl"/>
        </w:rPr>
        <w:t>10%;</w:t>
      </w:r>
      <w:r w:rsidRPr="0075670B">
        <w:t xml:space="preserve"> </w:t>
      </w:r>
      <w:r w:rsidRPr="0075670B">
        <w:rPr>
          <w:rFonts w:ascii="MinionPro-Regular" w:hAnsi="MinionPro-Regular"/>
          <w:sz w:val="20"/>
          <w:szCs w:val="24"/>
          <w:lang w:val="es-ES_tradnl"/>
        </w:rPr>
        <w:t>Galicia</w:t>
      </w:r>
      <w:r w:rsidRPr="0075670B">
        <w:t xml:space="preserve"> </w:t>
      </w:r>
      <w:r w:rsidRPr="0075670B">
        <w:rPr>
          <w:rFonts w:ascii="MinionPro-Regular" w:hAnsi="MinionPro-Regular"/>
          <w:sz w:val="20"/>
          <w:szCs w:val="24"/>
          <w:lang w:val="es-ES_tradnl"/>
        </w:rPr>
        <w:t>9%; Murcia</w:t>
      </w:r>
      <w:r w:rsidRPr="0075670B">
        <w:t xml:space="preserve"> </w:t>
      </w:r>
      <w:r w:rsidRPr="0075670B">
        <w:rPr>
          <w:rFonts w:ascii="MinionPro-Regular" w:hAnsi="MinionPro-Regular"/>
          <w:sz w:val="20"/>
          <w:szCs w:val="24"/>
          <w:lang w:val="es-ES_tradnl"/>
        </w:rPr>
        <w:t>4%.</w:t>
      </w:r>
    </w:p>
    <w:p w:rsidR="00E2336B" w:rsidRPr="0075670B" w:rsidRDefault="00E2336B" w:rsidP="00890FE5">
      <w:pPr>
        <w:autoSpaceDE w:val="0"/>
        <w:autoSpaceDN w:val="0"/>
        <w:spacing w:line="360" w:lineRule="auto"/>
        <w:jc w:val="both"/>
        <w:rPr>
          <w:rFonts w:ascii="MinionPro-Regular" w:hAnsi="MinionPro-Regular"/>
          <w:sz w:val="24"/>
          <w:szCs w:val="24"/>
          <w:lang w:val="es-ES_tradnl"/>
        </w:rPr>
      </w:pPr>
    </w:p>
    <w:p w:rsidR="00E2336B" w:rsidRDefault="00E2336B" w:rsidP="00890FE5">
      <w:pPr>
        <w:autoSpaceDE w:val="0"/>
        <w:autoSpaceDN w:val="0"/>
        <w:spacing w:line="360" w:lineRule="auto"/>
        <w:jc w:val="both"/>
        <w:rPr>
          <w:rFonts w:ascii="MinionPro-Regular" w:hAnsi="MinionPro-Regular"/>
          <w:sz w:val="24"/>
          <w:szCs w:val="24"/>
        </w:rPr>
      </w:pPr>
      <w:r>
        <w:rPr>
          <w:rFonts w:ascii="MinionPro-Regular" w:hAnsi="MinionPro-Regular"/>
          <w:sz w:val="24"/>
          <w:szCs w:val="24"/>
        </w:rPr>
        <w:t>En lo que se refiere al número medio de personas con discapacidad contratadas, el mayor tamaño de los centros especiales de empleo se encuentra en el País Vasco y Navarra. Su tamaño viene a ser alrededor de un 40% superior al de Cataluña y Cantabria, y algo más del doble del total naci</w:t>
      </w:r>
      <w:r w:rsidR="00AB7D16">
        <w:rPr>
          <w:rFonts w:ascii="MinionPro-Regular" w:hAnsi="MinionPro-Regular"/>
          <w:sz w:val="24"/>
          <w:szCs w:val="24"/>
        </w:rPr>
        <w:t xml:space="preserve">onal. País Vasco es también la </w:t>
      </w:r>
      <w:r>
        <w:rPr>
          <w:rFonts w:ascii="MinionPro-Regular" w:hAnsi="MinionPro-Regular"/>
          <w:sz w:val="24"/>
          <w:szCs w:val="24"/>
        </w:rPr>
        <w:t xml:space="preserve">primera comunidad autónoma en lo que se refiere al porcentaje del total de personas con discapacidad que trabajan en centros especiales de empleo. Le siguen Navarra y Madrid. </w:t>
      </w:r>
    </w:p>
    <w:p w:rsidR="00E2336B" w:rsidRDefault="00E2336B" w:rsidP="00074F56">
      <w:pPr>
        <w:pBdr>
          <w:top w:val="single" w:sz="4" w:space="1" w:color="auto"/>
        </w:pBdr>
        <w:autoSpaceDE w:val="0"/>
        <w:autoSpaceDN w:val="0"/>
        <w:spacing w:line="360" w:lineRule="auto"/>
        <w:jc w:val="both"/>
        <w:rPr>
          <w:rFonts w:ascii="MinionPro-Regular" w:hAnsi="MinionPro-Regular"/>
          <w:sz w:val="20"/>
          <w:szCs w:val="24"/>
          <w:lang w:val="es-ES_tradnl"/>
        </w:rPr>
      </w:pPr>
      <w:r>
        <w:rPr>
          <w:rFonts w:ascii="MinionPro-Regular" w:hAnsi="MinionPro-Regular"/>
          <w:sz w:val="20"/>
          <w:szCs w:val="24"/>
          <w:lang w:val="es-ES_tradnl"/>
        </w:rPr>
        <w:lastRenderedPageBreak/>
        <w:t>Número medio de empleados con discapacidad en centros especiales de empleo, por comunidad autónoma. Orden descendente.</w:t>
      </w:r>
    </w:p>
    <w:p w:rsidR="00E2336B" w:rsidRPr="00E2336B" w:rsidRDefault="00E1516B">
      <w:pPr>
        <w:pBdr>
          <w:top w:val="single" w:sz="4" w:space="1" w:color="auto"/>
        </w:pBdr>
        <w:autoSpaceDE w:val="0"/>
        <w:autoSpaceDN w:val="0"/>
        <w:spacing w:line="360" w:lineRule="auto"/>
        <w:jc w:val="both"/>
        <w:rPr>
          <w:rFonts w:ascii="MinionPro-Regular" w:hAnsi="MinionPro-Regular"/>
          <w:sz w:val="20"/>
          <w:szCs w:val="24"/>
          <w:lang w:val="es-ES_tradnl"/>
        </w:rPr>
      </w:pPr>
      <w:r>
        <w:rPr>
          <w:rFonts w:ascii="MinionPro-Regular" w:hAnsi="MinionPro-Regular"/>
          <w:noProof/>
          <w:sz w:val="20"/>
          <w:szCs w:val="24"/>
          <w:lang w:eastAsia="es-ES"/>
        </w:rPr>
        <w:drawing>
          <wp:inline distT="0" distB="0" distL="0" distR="0">
            <wp:extent cx="5356860" cy="3390265"/>
            <wp:effectExtent l="0" t="0" r="0" b="0"/>
            <wp:docPr id="37" name="Picture 3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E2336B" w:rsidRDefault="00E2336B" w:rsidP="00074F56">
      <w:pPr>
        <w:pBdr>
          <w:bottom w:val="single" w:sz="4" w:space="1" w:color="auto"/>
        </w:pBdr>
        <w:autoSpaceDE w:val="0"/>
        <w:autoSpaceDN w:val="0"/>
        <w:spacing w:line="360" w:lineRule="auto"/>
        <w:jc w:val="both"/>
        <w:rPr>
          <w:rFonts w:ascii="MinionPro-Regular" w:hAnsi="MinionPro-Regular"/>
          <w:sz w:val="20"/>
          <w:szCs w:val="24"/>
          <w:lang w:val="es-ES_tradnl"/>
        </w:rPr>
      </w:pPr>
      <w:r w:rsidRPr="008B461D">
        <w:rPr>
          <w:rFonts w:ascii="MinionPro-Regular" w:hAnsi="MinionPro-Regular"/>
          <w:sz w:val="20"/>
          <w:szCs w:val="24"/>
          <w:lang w:val="es-ES_tradnl"/>
        </w:rPr>
        <w:t>Fuente: Elaboración propia a partir de datos del Servicio Público de Empleo Estatal, 2011</w:t>
      </w:r>
    </w:p>
    <w:p w:rsidR="00E2336B" w:rsidRDefault="00E2336B" w:rsidP="00074F56">
      <w:pPr>
        <w:pBdr>
          <w:bottom w:val="single" w:sz="4" w:space="1" w:color="auto"/>
        </w:pBdr>
        <w:autoSpaceDE w:val="0"/>
        <w:autoSpaceDN w:val="0"/>
        <w:spacing w:line="360" w:lineRule="auto"/>
        <w:jc w:val="both"/>
        <w:rPr>
          <w:rFonts w:ascii="MinionPro-Regular" w:hAnsi="MinionPro-Regular"/>
          <w:sz w:val="20"/>
          <w:szCs w:val="24"/>
          <w:lang w:val="es-ES_tradnl"/>
        </w:rPr>
      </w:pPr>
      <w:r>
        <w:rPr>
          <w:rFonts w:ascii="MinionPro-Regular" w:hAnsi="MinionPro-Regular"/>
          <w:sz w:val="20"/>
          <w:szCs w:val="24"/>
          <w:lang w:val="es-ES_tradnl"/>
        </w:rPr>
        <w:t>Nota explicativa de la gráfica: Eje vertical, número medio de trabajadores con discapacidad en centros especiales de empleo. Eje horizontal, las 17 comunidades autónomas con los datos de mayor a menor. Los datos son: País Vasco: 77; Navarra: 75;</w:t>
      </w:r>
      <w:r w:rsidRPr="00074F56">
        <w:rPr>
          <w:rFonts w:ascii="MinionPro-Regular" w:hAnsi="MinionPro-Regular"/>
          <w:sz w:val="20"/>
          <w:szCs w:val="24"/>
          <w:lang w:val="es-ES_tradnl"/>
        </w:rPr>
        <w:t xml:space="preserve"> </w:t>
      </w:r>
      <w:r>
        <w:rPr>
          <w:rFonts w:ascii="MinionPro-Regular" w:hAnsi="MinionPro-Regular"/>
          <w:sz w:val="20"/>
          <w:szCs w:val="24"/>
          <w:lang w:val="es-ES_tradnl"/>
        </w:rPr>
        <w:t>Cataluña: 57;  Cantabria: 56;  Madrid: 46; Comunidad Valenciana: 32;</w:t>
      </w:r>
      <w:r w:rsidRPr="00074F56">
        <w:rPr>
          <w:rFonts w:ascii="MinionPro-Regular" w:hAnsi="MinionPro-Regular"/>
          <w:sz w:val="20"/>
          <w:szCs w:val="24"/>
          <w:lang w:val="es-ES_tradnl"/>
        </w:rPr>
        <w:t xml:space="preserve"> </w:t>
      </w:r>
      <w:r>
        <w:rPr>
          <w:rFonts w:ascii="MinionPro-Regular" w:hAnsi="MinionPro-Regular"/>
          <w:sz w:val="20"/>
          <w:szCs w:val="24"/>
          <w:lang w:val="es-ES_tradnl"/>
        </w:rPr>
        <w:t>Aragón: 29; Baleares: 24; Murcia: 22; Castilla La Mancha: 22; Andalucía: 20; Asturias: 20; Canarias: 20; Castilla y León: 19;  Galicia: 18; La Rioja: 17; Ceuta: 14;</w:t>
      </w:r>
      <w:r w:rsidRPr="00074F56">
        <w:rPr>
          <w:rFonts w:ascii="MinionPro-Regular" w:hAnsi="MinionPro-Regular"/>
          <w:sz w:val="20"/>
          <w:szCs w:val="24"/>
          <w:lang w:val="es-ES_tradnl"/>
        </w:rPr>
        <w:t xml:space="preserve"> </w:t>
      </w:r>
      <w:r>
        <w:rPr>
          <w:rFonts w:ascii="MinionPro-Regular" w:hAnsi="MinionPro-Regular"/>
          <w:sz w:val="20"/>
          <w:szCs w:val="24"/>
          <w:lang w:val="es-ES_tradnl"/>
        </w:rPr>
        <w:t>Extremadura: 12;  Melilla: 6.</w:t>
      </w:r>
    </w:p>
    <w:p w:rsidR="00E2336B" w:rsidRDefault="00E2336B" w:rsidP="00890FE5">
      <w:pPr>
        <w:autoSpaceDE w:val="0"/>
        <w:autoSpaceDN w:val="0"/>
        <w:spacing w:line="360" w:lineRule="auto"/>
        <w:jc w:val="both"/>
        <w:rPr>
          <w:rFonts w:ascii="MinionPro-Regular" w:hAnsi="MinionPro-Regular"/>
          <w:sz w:val="24"/>
          <w:szCs w:val="24"/>
          <w:lang w:val="es-ES_tradnl"/>
        </w:rPr>
      </w:pPr>
    </w:p>
    <w:p w:rsidR="00E2336B" w:rsidRDefault="00E2336B" w:rsidP="00890FE5">
      <w:pPr>
        <w:autoSpaceDE w:val="0"/>
        <w:autoSpaceDN w:val="0"/>
        <w:spacing w:line="360" w:lineRule="auto"/>
        <w:jc w:val="both"/>
        <w:rPr>
          <w:rFonts w:ascii="MinionPro-Regular" w:hAnsi="MinionPro-Regular"/>
          <w:sz w:val="24"/>
          <w:szCs w:val="24"/>
          <w:lang w:val="es-ES_tradnl"/>
        </w:rPr>
      </w:pPr>
    </w:p>
    <w:p w:rsidR="0075670B" w:rsidRDefault="0075670B" w:rsidP="00890FE5">
      <w:pPr>
        <w:autoSpaceDE w:val="0"/>
        <w:autoSpaceDN w:val="0"/>
        <w:spacing w:line="360" w:lineRule="auto"/>
        <w:jc w:val="both"/>
        <w:rPr>
          <w:rFonts w:ascii="MinionPro-Regular" w:hAnsi="MinionPro-Regular"/>
          <w:sz w:val="24"/>
          <w:szCs w:val="24"/>
          <w:lang w:val="es-ES_tradnl"/>
        </w:rPr>
      </w:pPr>
    </w:p>
    <w:p w:rsidR="0075670B" w:rsidRDefault="0075670B" w:rsidP="00890FE5">
      <w:pPr>
        <w:autoSpaceDE w:val="0"/>
        <w:autoSpaceDN w:val="0"/>
        <w:spacing w:line="360" w:lineRule="auto"/>
        <w:jc w:val="both"/>
        <w:rPr>
          <w:rFonts w:ascii="MinionPro-Regular" w:hAnsi="MinionPro-Regular"/>
          <w:sz w:val="24"/>
          <w:szCs w:val="24"/>
          <w:lang w:val="es-ES_tradnl"/>
        </w:rPr>
      </w:pPr>
    </w:p>
    <w:p w:rsidR="0075670B" w:rsidRDefault="0075670B" w:rsidP="00890FE5">
      <w:pPr>
        <w:autoSpaceDE w:val="0"/>
        <w:autoSpaceDN w:val="0"/>
        <w:spacing w:line="360" w:lineRule="auto"/>
        <w:jc w:val="both"/>
        <w:rPr>
          <w:rFonts w:ascii="MinionPro-Regular" w:hAnsi="MinionPro-Regular"/>
          <w:sz w:val="24"/>
          <w:szCs w:val="24"/>
          <w:lang w:val="es-ES_tradnl"/>
        </w:rPr>
      </w:pPr>
    </w:p>
    <w:p w:rsidR="0075670B" w:rsidRDefault="0075670B" w:rsidP="00890FE5">
      <w:pPr>
        <w:autoSpaceDE w:val="0"/>
        <w:autoSpaceDN w:val="0"/>
        <w:spacing w:line="360" w:lineRule="auto"/>
        <w:jc w:val="both"/>
        <w:rPr>
          <w:rFonts w:ascii="MinionPro-Regular" w:hAnsi="MinionPro-Regular"/>
          <w:sz w:val="24"/>
          <w:szCs w:val="24"/>
          <w:lang w:val="es-ES_tradnl"/>
        </w:rPr>
      </w:pPr>
    </w:p>
    <w:p w:rsidR="0075670B" w:rsidRDefault="0075670B" w:rsidP="00890FE5">
      <w:pPr>
        <w:autoSpaceDE w:val="0"/>
        <w:autoSpaceDN w:val="0"/>
        <w:spacing w:line="360" w:lineRule="auto"/>
        <w:jc w:val="both"/>
        <w:rPr>
          <w:rFonts w:ascii="MinionPro-Regular" w:hAnsi="MinionPro-Regular"/>
          <w:sz w:val="24"/>
          <w:szCs w:val="24"/>
          <w:lang w:val="es-ES_tradnl"/>
        </w:rPr>
      </w:pPr>
    </w:p>
    <w:p w:rsidR="0075670B" w:rsidRDefault="0075670B" w:rsidP="00890FE5">
      <w:pPr>
        <w:autoSpaceDE w:val="0"/>
        <w:autoSpaceDN w:val="0"/>
        <w:spacing w:line="360" w:lineRule="auto"/>
        <w:jc w:val="both"/>
        <w:rPr>
          <w:rFonts w:ascii="MinionPro-Regular" w:hAnsi="MinionPro-Regular"/>
          <w:sz w:val="24"/>
          <w:szCs w:val="24"/>
          <w:lang w:val="es-ES_tradnl"/>
        </w:rPr>
      </w:pPr>
    </w:p>
    <w:p w:rsidR="00E2336B" w:rsidRDefault="00E2336B" w:rsidP="00890FE5">
      <w:pPr>
        <w:autoSpaceDE w:val="0"/>
        <w:autoSpaceDN w:val="0"/>
        <w:spacing w:line="360" w:lineRule="auto"/>
        <w:jc w:val="both"/>
        <w:rPr>
          <w:rFonts w:ascii="MinionPro-Regular" w:hAnsi="MinionPro-Regular"/>
          <w:sz w:val="24"/>
          <w:szCs w:val="24"/>
          <w:lang w:val="es-ES_tradnl"/>
        </w:rPr>
      </w:pPr>
    </w:p>
    <w:p w:rsidR="00E2336B" w:rsidRDefault="00E2336B" w:rsidP="006723BA">
      <w:pPr>
        <w:pBdr>
          <w:top w:val="single" w:sz="4" w:space="1" w:color="auto"/>
        </w:pBdr>
        <w:autoSpaceDE w:val="0"/>
        <w:autoSpaceDN w:val="0"/>
        <w:spacing w:line="360" w:lineRule="auto"/>
        <w:jc w:val="both"/>
        <w:rPr>
          <w:rFonts w:ascii="MinionPro-Regular" w:hAnsi="MinionPro-Regular"/>
          <w:sz w:val="20"/>
          <w:szCs w:val="24"/>
          <w:lang w:val="es-ES_tradnl"/>
        </w:rPr>
      </w:pPr>
      <w:r>
        <w:rPr>
          <w:rFonts w:ascii="MinionPro-Regular" w:hAnsi="MinionPro-Regular"/>
          <w:sz w:val="20"/>
          <w:szCs w:val="24"/>
          <w:lang w:val="es-ES_tradnl"/>
        </w:rPr>
        <w:t xml:space="preserve">Relación de las personas con discapacidad en centro especial de empleo y </w:t>
      </w:r>
      <w:r w:rsidR="00511DED" w:rsidRPr="00456F1A">
        <w:rPr>
          <w:rFonts w:ascii="MinionPro-Regular" w:hAnsi="MinionPro-Regular"/>
          <w:sz w:val="20"/>
          <w:szCs w:val="24"/>
          <w:lang w:val="es-ES_tradnl"/>
        </w:rPr>
        <w:t>todas las</w:t>
      </w:r>
      <w:r w:rsidRPr="00456F1A">
        <w:rPr>
          <w:rFonts w:ascii="MinionPro-Regular" w:hAnsi="MinionPro-Regular"/>
          <w:sz w:val="20"/>
          <w:szCs w:val="24"/>
          <w:lang w:val="es-ES_tradnl"/>
        </w:rPr>
        <w:t xml:space="preserve"> personas con discapacidad</w:t>
      </w:r>
      <w:r>
        <w:rPr>
          <w:rFonts w:ascii="MinionPro-Regular" w:hAnsi="MinionPro-Regular"/>
          <w:sz w:val="20"/>
          <w:szCs w:val="24"/>
          <w:lang w:val="es-ES_tradnl"/>
        </w:rPr>
        <w:t>, por comunidad autónoma. Orden descendente.</w:t>
      </w:r>
    </w:p>
    <w:p w:rsidR="00511DED" w:rsidRDefault="00E1516B" w:rsidP="006723BA">
      <w:pPr>
        <w:pBdr>
          <w:top w:val="single" w:sz="4" w:space="1" w:color="auto"/>
        </w:pBdr>
        <w:autoSpaceDE w:val="0"/>
        <w:autoSpaceDN w:val="0"/>
        <w:spacing w:line="360" w:lineRule="auto"/>
        <w:jc w:val="both"/>
        <w:rPr>
          <w:rFonts w:ascii="MinionPro-Regular" w:hAnsi="MinionPro-Regular"/>
          <w:sz w:val="20"/>
          <w:szCs w:val="24"/>
          <w:lang w:val="es-ES_tradnl"/>
        </w:rPr>
      </w:pPr>
      <w:r>
        <w:rPr>
          <w:rFonts w:ascii="MinionPro-Regular" w:hAnsi="MinionPro-Regular"/>
          <w:noProof/>
          <w:sz w:val="20"/>
          <w:szCs w:val="24"/>
          <w:lang w:eastAsia="es-ES"/>
        </w:rPr>
        <w:drawing>
          <wp:inline distT="0" distB="0" distL="0" distR="0">
            <wp:extent cx="4752975" cy="3174365"/>
            <wp:effectExtent l="0" t="0" r="0" b="0"/>
            <wp:docPr id="38" name="Picture 3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rsidR="00E2336B" w:rsidRDefault="00E2336B" w:rsidP="006723BA">
      <w:pPr>
        <w:pBdr>
          <w:bottom w:val="single" w:sz="4" w:space="1" w:color="auto"/>
        </w:pBdr>
        <w:autoSpaceDE w:val="0"/>
        <w:autoSpaceDN w:val="0"/>
        <w:spacing w:line="360" w:lineRule="auto"/>
        <w:jc w:val="both"/>
        <w:rPr>
          <w:rFonts w:ascii="MinionPro-Regular" w:hAnsi="MinionPro-Regular"/>
          <w:sz w:val="20"/>
          <w:szCs w:val="24"/>
          <w:lang w:val="es-ES_tradnl"/>
        </w:rPr>
      </w:pPr>
      <w:r w:rsidRPr="008B461D">
        <w:rPr>
          <w:rFonts w:ascii="MinionPro-Regular" w:hAnsi="MinionPro-Regular"/>
          <w:sz w:val="20"/>
          <w:szCs w:val="24"/>
          <w:lang w:val="es-ES_tradnl"/>
        </w:rPr>
        <w:t>Fuente: Elaboración propia a partir de datos del Servicio Público de Empleo E</w:t>
      </w:r>
      <w:r>
        <w:rPr>
          <w:rFonts w:ascii="MinionPro-Regular" w:hAnsi="MinionPro-Regular"/>
          <w:sz w:val="20"/>
          <w:szCs w:val="24"/>
          <w:lang w:val="es-ES_tradnl"/>
        </w:rPr>
        <w:t xml:space="preserve">statal y el INE, </w:t>
      </w:r>
      <w:r w:rsidRPr="008B461D">
        <w:rPr>
          <w:rFonts w:ascii="MinionPro-Regular" w:hAnsi="MinionPro-Regular"/>
          <w:sz w:val="20"/>
          <w:szCs w:val="24"/>
          <w:lang w:val="es-ES_tradnl"/>
        </w:rPr>
        <w:t>2011</w:t>
      </w:r>
    </w:p>
    <w:p w:rsidR="00E2336B" w:rsidRDefault="00E2336B" w:rsidP="006723BA">
      <w:pPr>
        <w:pBdr>
          <w:bottom w:val="single" w:sz="4" w:space="1" w:color="auto"/>
        </w:pBdr>
        <w:autoSpaceDE w:val="0"/>
        <w:autoSpaceDN w:val="0"/>
        <w:spacing w:line="360" w:lineRule="auto"/>
        <w:jc w:val="both"/>
        <w:rPr>
          <w:rFonts w:ascii="MinionPro-Regular" w:hAnsi="MinionPro-Regular"/>
          <w:sz w:val="20"/>
          <w:szCs w:val="24"/>
          <w:lang w:val="es-ES_tradnl"/>
        </w:rPr>
      </w:pPr>
      <w:r>
        <w:rPr>
          <w:rFonts w:ascii="MinionPro-Regular" w:hAnsi="MinionPro-Regular"/>
          <w:sz w:val="20"/>
          <w:szCs w:val="24"/>
          <w:lang w:val="es-ES_tradnl"/>
        </w:rPr>
        <w:t>Nota explicativa de la gráfica: Eje vertical, personas con discapacidad en centros especiales de empleo en relación a las personas con discapacidad de la población general. Eje horizontal, las 17 comunidades autónomas con los datos de mayor a menor. Los datos son: País Vasco: 11,1%; Navarra: 8,7%;</w:t>
      </w:r>
      <w:r w:rsidRPr="00074F56">
        <w:rPr>
          <w:rFonts w:ascii="MinionPro-Regular" w:hAnsi="MinionPro-Regular"/>
          <w:sz w:val="20"/>
          <w:szCs w:val="24"/>
          <w:lang w:val="es-ES_tradnl"/>
        </w:rPr>
        <w:t xml:space="preserve"> </w:t>
      </w:r>
      <w:r>
        <w:rPr>
          <w:rFonts w:ascii="MinionPro-Regular" w:hAnsi="MinionPro-Regular"/>
          <w:sz w:val="20"/>
          <w:szCs w:val="24"/>
          <w:lang w:val="es-ES_tradnl"/>
        </w:rPr>
        <w:t>Madrid: 8,2%;  Castilla y León: 6,5%; La Rioja: 6,2%; Cantabria: 5,9%; Cataluña: 5,7%; Aragón: 29; Asturias: 5,0%;</w:t>
      </w:r>
      <w:r w:rsidRPr="000609DD">
        <w:rPr>
          <w:rFonts w:ascii="MinionPro-Regular" w:hAnsi="MinionPro-Regular"/>
          <w:sz w:val="20"/>
          <w:szCs w:val="24"/>
          <w:lang w:val="es-ES_tradnl"/>
        </w:rPr>
        <w:t xml:space="preserve"> </w:t>
      </w:r>
      <w:r>
        <w:rPr>
          <w:rFonts w:ascii="MinionPro-Regular" w:hAnsi="MinionPro-Regular"/>
          <w:sz w:val="20"/>
          <w:szCs w:val="24"/>
          <w:lang w:val="es-ES_tradnl"/>
        </w:rPr>
        <w:t>Andalucía: 4,9%; Comunidad Valenciana: 4,3%;</w:t>
      </w:r>
      <w:r w:rsidRPr="00074F56">
        <w:rPr>
          <w:rFonts w:ascii="MinionPro-Regular" w:hAnsi="MinionPro-Regular"/>
          <w:sz w:val="20"/>
          <w:szCs w:val="24"/>
          <w:lang w:val="es-ES_tradnl"/>
        </w:rPr>
        <w:t xml:space="preserve"> </w:t>
      </w:r>
      <w:r>
        <w:rPr>
          <w:rFonts w:ascii="MinionPro-Regular" w:hAnsi="MinionPro-Regular"/>
          <w:sz w:val="20"/>
          <w:szCs w:val="24"/>
          <w:lang w:val="es-ES_tradnl"/>
        </w:rPr>
        <w:t>Extremadura: 4,2%;  Castilla La Mancha: 3,3%; Baleares: 2,7%; Galicia: 2,4%; Canarias: 2,2%; Murcia: 22; Ceuta y Melilla: 0,9%.</w:t>
      </w:r>
    </w:p>
    <w:p w:rsidR="00E2336B" w:rsidRDefault="00E2336B" w:rsidP="00890FE5">
      <w:pPr>
        <w:autoSpaceDE w:val="0"/>
        <w:autoSpaceDN w:val="0"/>
        <w:spacing w:line="360" w:lineRule="auto"/>
        <w:jc w:val="both"/>
        <w:rPr>
          <w:rFonts w:ascii="MinionPro-Regular" w:hAnsi="MinionPro-Regular"/>
          <w:sz w:val="24"/>
          <w:szCs w:val="24"/>
          <w:lang w:val="es-ES_tradnl"/>
        </w:rPr>
      </w:pPr>
    </w:p>
    <w:p w:rsidR="00E2336B" w:rsidRDefault="00E2336B" w:rsidP="00890FE5">
      <w:pPr>
        <w:autoSpaceDE w:val="0"/>
        <w:autoSpaceDN w:val="0"/>
        <w:spacing w:line="360" w:lineRule="auto"/>
        <w:jc w:val="both"/>
        <w:rPr>
          <w:rFonts w:ascii="MinionPro-Regular" w:hAnsi="MinionPro-Regular"/>
          <w:sz w:val="24"/>
          <w:szCs w:val="24"/>
        </w:rPr>
      </w:pPr>
    </w:p>
    <w:p w:rsidR="00E2336B" w:rsidRDefault="00E2336B" w:rsidP="00890FE5">
      <w:pPr>
        <w:autoSpaceDE w:val="0"/>
        <w:autoSpaceDN w:val="0"/>
        <w:spacing w:line="360" w:lineRule="auto"/>
        <w:jc w:val="both"/>
        <w:rPr>
          <w:rFonts w:ascii="MinionPro-Regular" w:hAnsi="MinionPro-Regular"/>
          <w:sz w:val="24"/>
          <w:szCs w:val="24"/>
        </w:rPr>
      </w:pPr>
      <w:r>
        <w:rPr>
          <w:rFonts w:ascii="MinionPro-Regular" w:hAnsi="MinionPro-Regular"/>
          <w:sz w:val="24"/>
          <w:szCs w:val="24"/>
        </w:rPr>
        <w:t>El</w:t>
      </w:r>
      <w:r w:rsidRPr="0081432A">
        <w:rPr>
          <w:rFonts w:ascii="MinionPro-Regular" w:hAnsi="MinionPro-Regular"/>
          <w:sz w:val="24"/>
          <w:szCs w:val="24"/>
        </w:rPr>
        <w:t xml:space="preserve"> sector servicios</w:t>
      </w:r>
      <w:r>
        <w:rPr>
          <w:rFonts w:ascii="MinionPro-Regular" w:hAnsi="MinionPro-Regular"/>
          <w:sz w:val="24"/>
          <w:szCs w:val="24"/>
        </w:rPr>
        <w:t xml:space="preserve"> constituye el foco principal de los centros especiales de empleo</w:t>
      </w:r>
      <w:r w:rsidRPr="0081432A">
        <w:rPr>
          <w:rFonts w:ascii="MinionPro-Regular" w:hAnsi="MinionPro-Regular"/>
          <w:sz w:val="24"/>
          <w:szCs w:val="24"/>
        </w:rPr>
        <w:t xml:space="preserve">, incluyendo </w:t>
      </w:r>
      <w:r>
        <w:rPr>
          <w:rFonts w:ascii="MinionPro-Regular" w:hAnsi="MinionPro-Regular"/>
          <w:sz w:val="24"/>
          <w:szCs w:val="24"/>
        </w:rPr>
        <w:t>subsectores</w:t>
      </w:r>
      <w:r w:rsidRPr="0081432A">
        <w:rPr>
          <w:rFonts w:ascii="MinionPro-Regular" w:hAnsi="MinionPro-Regular"/>
          <w:sz w:val="24"/>
          <w:szCs w:val="24"/>
        </w:rPr>
        <w:t xml:space="preserve"> como el mantenimiento de jardines, limpieza de edificios, los servicios de lavandería</w:t>
      </w:r>
      <w:r>
        <w:rPr>
          <w:rFonts w:ascii="MinionPro-Regular" w:hAnsi="MinionPro-Regular"/>
          <w:sz w:val="24"/>
          <w:szCs w:val="24"/>
        </w:rPr>
        <w:t xml:space="preserve"> o</w:t>
      </w:r>
      <w:r w:rsidRPr="0081432A">
        <w:rPr>
          <w:rFonts w:ascii="MinionPro-Regular" w:hAnsi="MinionPro-Regular"/>
          <w:sz w:val="24"/>
          <w:szCs w:val="24"/>
        </w:rPr>
        <w:t xml:space="preserve"> call center, entre otros.</w:t>
      </w:r>
      <w:r>
        <w:rPr>
          <w:rFonts w:ascii="MinionPro-Regular" w:hAnsi="MinionPro-Regular"/>
          <w:sz w:val="24"/>
          <w:szCs w:val="24"/>
        </w:rPr>
        <w:t xml:space="preserve"> </w:t>
      </w:r>
      <w:r w:rsidRPr="0081432A">
        <w:rPr>
          <w:rFonts w:ascii="MinionPro-Regular" w:hAnsi="MinionPro-Regular"/>
          <w:sz w:val="24"/>
          <w:szCs w:val="24"/>
        </w:rPr>
        <w:t xml:space="preserve">Su presencia </w:t>
      </w:r>
      <w:r>
        <w:rPr>
          <w:rFonts w:ascii="MinionPro-Regular" w:hAnsi="MinionPro-Regular"/>
          <w:sz w:val="24"/>
          <w:szCs w:val="24"/>
        </w:rPr>
        <w:t xml:space="preserve">también </w:t>
      </w:r>
      <w:r w:rsidRPr="0081432A">
        <w:rPr>
          <w:rFonts w:ascii="MinionPro-Regular" w:hAnsi="MinionPro-Regular"/>
          <w:sz w:val="24"/>
          <w:szCs w:val="24"/>
        </w:rPr>
        <w:t xml:space="preserve">se hace patente, </w:t>
      </w:r>
      <w:r w:rsidRPr="0081432A">
        <w:rPr>
          <w:rFonts w:ascii="MinionPro-Regular" w:hAnsi="MinionPro-Regular"/>
          <w:sz w:val="24"/>
          <w:szCs w:val="24"/>
        </w:rPr>
        <w:lastRenderedPageBreak/>
        <w:t xml:space="preserve">aunque de manera </w:t>
      </w:r>
      <w:r>
        <w:rPr>
          <w:rFonts w:ascii="MinionPro-Regular" w:hAnsi="MinionPro-Regular"/>
          <w:sz w:val="24"/>
          <w:szCs w:val="24"/>
        </w:rPr>
        <w:t>menos</w:t>
      </w:r>
      <w:r w:rsidRPr="0081432A">
        <w:rPr>
          <w:rFonts w:ascii="MinionPro-Regular" w:hAnsi="MinionPro-Regular"/>
          <w:sz w:val="24"/>
          <w:szCs w:val="24"/>
        </w:rPr>
        <w:t xml:space="preserve"> significativa, </w:t>
      </w:r>
      <w:r>
        <w:rPr>
          <w:rFonts w:ascii="MinionPro-Regular" w:hAnsi="MinionPro-Regular"/>
          <w:sz w:val="24"/>
          <w:szCs w:val="24"/>
        </w:rPr>
        <w:t>en</w:t>
      </w:r>
      <w:r w:rsidRPr="0081432A">
        <w:rPr>
          <w:rFonts w:ascii="MinionPro-Regular" w:hAnsi="MinionPro-Regular"/>
          <w:sz w:val="24"/>
          <w:szCs w:val="24"/>
        </w:rPr>
        <w:t xml:space="preserve"> la industria alimentaria, automovilística</w:t>
      </w:r>
      <w:r>
        <w:rPr>
          <w:rFonts w:ascii="MinionPro-Regular" w:hAnsi="MinionPro-Regular"/>
          <w:sz w:val="24"/>
          <w:szCs w:val="24"/>
        </w:rPr>
        <w:t xml:space="preserve"> o</w:t>
      </w:r>
      <w:r w:rsidRPr="0081432A">
        <w:rPr>
          <w:rFonts w:ascii="MinionPro-Regular" w:hAnsi="MinionPro-Regular"/>
          <w:sz w:val="24"/>
          <w:szCs w:val="24"/>
        </w:rPr>
        <w:t xml:space="preserve"> farmacéutica.</w:t>
      </w:r>
    </w:p>
    <w:p w:rsidR="00E2336B" w:rsidRDefault="00E2336B" w:rsidP="00890FE5">
      <w:pPr>
        <w:autoSpaceDE w:val="0"/>
        <w:autoSpaceDN w:val="0"/>
        <w:spacing w:line="360" w:lineRule="auto"/>
        <w:jc w:val="both"/>
        <w:rPr>
          <w:rFonts w:ascii="MinionPro-Regular" w:hAnsi="MinionPro-Regular"/>
          <w:sz w:val="24"/>
          <w:szCs w:val="24"/>
        </w:rPr>
      </w:pPr>
    </w:p>
    <w:p w:rsidR="0075670B" w:rsidRDefault="0075670B" w:rsidP="00890FE5">
      <w:pPr>
        <w:autoSpaceDE w:val="0"/>
        <w:autoSpaceDN w:val="0"/>
        <w:spacing w:line="360" w:lineRule="auto"/>
        <w:jc w:val="both"/>
        <w:rPr>
          <w:rFonts w:ascii="MinionPro-Regular" w:hAnsi="MinionPro-Regular"/>
          <w:sz w:val="24"/>
          <w:szCs w:val="24"/>
        </w:rPr>
      </w:pPr>
    </w:p>
    <w:p w:rsidR="00E2336B" w:rsidRDefault="00E2336B" w:rsidP="00890FE5">
      <w:pPr>
        <w:autoSpaceDE w:val="0"/>
        <w:autoSpaceDN w:val="0"/>
        <w:spacing w:line="360" w:lineRule="auto"/>
        <w:jc w:val="both"/>
        <w:rPr>
          <w:rFonts w:ascii="MinionPro-Regular" w:hAnsi="MinionPro-Regular"/>
          <w:sz w:val="24"/>
          <w:szCs w:val="24"/>
        </w:rPr>
      </w:pPr>
    </w:p>
    <w:p w:rsidR="00E2336B" w:rsidRDefault="00E2336B" w:rsidP="00BE6244">
      <w:pPr>
        <w:pBdr>
          <w:top w:val="single" w:sz="4" w:space="1" w:color="auto"/>
        </w:pBdr>
        <w:autoSpaceDE w:val="0"/>
        <w:autoSpaceDN w:val="0"/>
        <w:spacing w:line="360" w:lineRule="auto"/>
        <w:jc w:val="both"/>
        <w:rPr>
          <w:rFonts w:ascii="MinionPro-Regular" w:hAnsi="MinionPro-Regular"/>
          <w:sz w:val="20"/>
          <w:szCs w:val="24"/>
          <w:lang w:val="es-ES_tradnl"/>
        </w:rPr>
      </w:pPr>
      <w:r>
        <w:rPr>
          <w:rFonts w:ascii="MinionPro-Regular" w:hAnsi="MinionPro-Regular"/>
          <w:sz w:val="20"/>
          <w:szCs w:val="24"/>
          <w:lang w:val="es-ES_tradnl"/>
        </w:rPr>
        <w:t>Sectores de actividad de los centros especiales de empleo</w:t>
      </w:r>
      <w:r w:rsidRPr="003C5DF9">
        <w:rPr>
          <w:rFonts w:ascii="MinionPro-Regular" w:hAnsi="MinionPro-Regular"/>
          <w:sz w:val="20"/>
          <w:szCs w:val="24"/>
          <w:lang w:val="es-ES_tradnl"/>
        </w:rPr>
        <w:t>.</w:t>
      </w:r>
    </w:p>
    <w:p w:rsidR="00E2336B" w:rsidRPr="00511DED" w:rsidRDefault="00E1516B" w:rsidP="00511DED">
      <w:pPr>
        <w:pBdr>
          <w:top w:val="single" w:sz="4" w:space="1" w:color="auto"/>
        </w:pBdr>
        <w:autoSpaceDE w:val="0"/>
        <w:autoSpaceDN w:val="0"/>
        <w:spacing w:line="360" w:lineRule="auto"/>
        <w:jc w:val="both"/>
        <w:rPr>
          <w:rFonts w:ascii="MinionPro-Regular" w:hAnsi="MinionPro-Regular"/>
          <w:sz w:val="24"/>
          <w:szCs w:val="24"/>
          <w:lang w:val="es-ES_tradnl"/>
        </w:rPr>
      </w:pPr>
      <w:r>
        <w:rPr>
          <w:noProof/>
          <w:szCs w:val="24"/>
          <w:lang w:eastAsia="es-ES"/>
        </w:rPr>
        <w:drawing>
          <wp:inline distT="0" distB="0" distL="0" distR="0">
            <wp:extent cx="4459605" cy="2803525"/>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61"/>
                    <a:srcRect/>
                    <a:stretch>
                      <a:fillRect/>
                    </a:stretch>
                  </pic:blipFill>
                  <pic:spPr bwMode="auto">
                    <a:xfrm>
                      <a:off x="0" y="0"/>
                      <a:ext cx="4459605" cy="2803525"/>
                    </a:xfrm>
                    <a:prstGeom prst="rect">
                      <a:avLst/>
                    </a:prstGeom>
                    <a:noFill/>
                    <a:ln w="9525">
                      <a:noFill/>
                      <a:miter lim="800000"/>
                      <a:headEnd/>
                      <a:tailEnd/>
                    </a:ln>
                  </pic:spPr>
                </pic:pic>
              </a:graphicData>
            </a:graphic>
          </wp:inline>
        </w:drawing>
      </w:r>
    </w:p>
    <w:p w:rsidR="00E2336B" w:rsidRDefault="00E2336B" w:rsidP="00BE6244">
      <w:pPr>
        <w:pBdr>
          <w:bottom w:val="single" w:sz="4" w:space="1" w:color="auto"/>
        </w:pBdr>
        <w:autoSpaceDE w:val="0"/>
        <w:autoSpaceDN w:val="0"/>
        <w:spacing w:line="360" w:lineRule="auto"/>
        <w:jc w:val="both"/>
        <w:rPr>
          <w:rFonts w:ascii="MinionPro-Regular" w:hAnsi="MinionPro-Regular"/>
          <w:sz w:val="20"/>
          <w:szCs w:val="24"/>
          <w:lang w:val="es-ES_tradnl"/>
        </w:rPr>
      </w:pPr>
      <w:r w:rsidRPr="008B461D">
        <w:rPr>
          <w:rFonts w:ascii="MinionPro-Regular" w:hAnsi="MinionPro-Regular"/>
          <w:sz w:val="20"/>
          <w:szCs w:val="24"/>
          <w:lang w:val="es-ES_tradnl"/>
        </w:rPr>
        <w:t>Fuente: Elaboración propia a partir de datos del Servicio Público de Empleo Estatal, 2011</w:t>
      </w:r>
    </w:p>
    <w:p w:rsidR="00E2336B" w:rsidRDefault="00E2336B" w:rsidP="00BE6244">
      <w:pPr>
        <w:pBdr>
          <w:bottom w:val="single" w:sz="4" w:space="1" w:color="auto"/>
        </w:pBdr>
        <w:autoSpaceDE w:val="0"/>
        <w:autoSpaceDN w:val="0"/>
        <w:spacing w:line="360" w:lineRule="auto"/>
        <w:jc w:val="both"/>
        <w:rPr>
          <w:rFonts w:ascii="MinionPro-Regular" w:hAnsi="MinionPro-Regular"/>
          <w:sz w:val="20"/>
          <w:szCs w:val="24"/>
          <w:lang w:val="es-ES_tradnl"/>
        </w:rPr>
      </w:pPr>
      <w:r>
        <w:rPr>
          <w:rFonts w:ascii="MinionPro-Regular" w:hAnsi="MinionPro-Regular"/>
          <w:sz w:val="20"/>
          <w:szCs w:val="24"/>
          <w:lang w:val="es-ES_tradnl"/>
        </w:rPr>
        <w:t>Nota explicativa de la gráfica: Gráfica circular en la que se representan los sectores de actividad de los centros especiales de empleo. Los datos son: Agrario, 3,6%, No consta, 5,6% y No agrario, 90,7%. Éste se subdivide en: Industria, 30,1%; Construcción: 0,7%; Servicios: 59,9%.</w:t>
      </w:r>
    </w:p>
    <w:p w:rsidR="00E2336B" w:rsidRDefault="00E2336B">
      <w:pPr>
        <w:rPr>
          <w:rFonts w:ascii="MinionPro-Regular" w:hAnsi="MinionPro-Regular"/>
          <w:sz w:val="24"/>
          <w:szCs w:val="24"/>
          <w:lang w:val="es-ES_tradnl"/>
        </w:rPr>
      </w:pPr>
    </w:p>
    <w:p w:rsidR="00E2336B" w:rsidRDefault="00E2336B">
      <w:pPr>
        <w:rPr>
          <w:rFonts w:ascii="MinionPro-Regular" w:hAnsi="MinionPro-Regular"/>
          <w:sz w:val="24"/>
          <w:szCs w:val="24"/>
          <w:lang w:val="es-ES_tradnl"/>
        </w:rPr>
      </w:pPr>
    </w:p>
    <w:p w:rsidR="00E2336B" w:rsidRDefault="00E2336B">
      <w:pPr>
        <w:rPr>
          <w:rFonts w:ascii="MinionPro-Regular" w:hAnsi="MinionPro-Regular"/>
          <w:sz w:val="24"/>
          <w:szCs w:val="24"/>
          <w:lang w:val="es-ES_tradnl"/>
        </w:rPr>
      </w:pPr>
    </w:p>
    <w:p w:rsidR="00E2336B" w:rsidRDefault="00E2336B">
      <w:pPr>
        <w:rPr>
          <w:rFonts w:ascii="MinionPro-Regular" w:hAnsi="MinionPro-Regular"/>
          <w:sz w:val="24"/>
          <w:szCs w:val="24"/>
          <w:lang w:val="es-ES_tradnl"/>
        </w:rPr>
      </w:pPr>
    </w:p>
    <w:p w:rsidR="00E2336B" w:rsidRDefault="00E2336B">
      <w:pPr>
        <w:rPr>
          <w:rFonts w:ascii="MinionPro-Regular" w:hAnsi="MinionPro-Regular"/>
          <w:sz w:val="24"/>
          <w:szCs w:val="24"/>
          <w:lang w:val="es-ES_tradnl"/>
        </w:rPr>
      </w:pPr>
    </w:p>
    <w:p w:rsidR="00E2336B" w:rsidRDefault="00E2336B">
      <w:pPr>
        <w:rPr>
          <w:rFonts w:ascii="MinionPro-Regular" w:hAnsi="MinionPro-Regular"/>
          <w:sz w:val="24"/>
          <w:szCs w:val="24"/>
          <w:lang w:val="es-ES_tradnl"/>
        </w:rPr>
      </w:pPr>
    </w:p>
    <w:p w:rsidR="00E2336B" w:rsidRDefault="00E2336B">
      <w:pPr>
        <w:rPr>
          <w:rFonts w:ascii="MinionPro-Regular" w:hAnsi="MinionPro-Regular"/>
          <w:sz w:val="24"/>
          <w:szCs w:val="24"/>
          <w:lang w:val="es-ES_tradnl"/>
        </w:rPr>
      </w:pPr>
    </w:p>
    <w:p w:rsidR="00E2336B" w:rsidRDefault="00E2336B">
      <w:pPr>
        <w:rPr>
          <w:rFonts w:ascii="MinionPro-Regular" w:hAnsi="MinionPro-Regular"/>
          <w:sz w:val="24"/>
          <w:szCs w:val="24"/>
          <w:lang w:val="es-ES_tradnl"/>
        </w:rPr>
      </w:pPr>
    </w:p>
    <w:p w:rsidR="00E2336B" w:rsidRDefault="00E2336B">
      <w:pPr>
        <w:rPr>
          <w:rFonts w:ascii="MinionPro-Regular" w:hAnsi="MinionPro-Regular"/>
          <w:sz w:val="24"/>
          <w:szCs w:val="24"/>
          <w:lang w:val="es-ES_tradnl"/>
        </w:rPr>
      </w:pPr>
    </w:p>
    <w:p w:rsidR="00E2336B" w:rsidRDefault="00E2336B">
      <w:pPr>
        <w:rPr>
          <w:rFonts w:ascii="MinionPro-Regular" w:hAnsi="MinionPro-Regular"/>
          <w:sz w:val="24"/>
          <w:szCs w:val="24"/>
          <w:lang w:val="es-ES_tradnl"/>
        </w:rPr>
      </w:pPr>
    </w:p>
    <w:p w:rsidR="00E2336B" w:rsidRDefault="00E2336B">
      <w:pPr>
        <w:rPr>
          <w:rFonts w:ascii="MinionPro-Regular" w:hAnsi="MinionPro-Regular"/>
          <w:sz w:val="24"/>
          <w:szCs w:val="24"/>
          <w:lang w:val="es-ES_tradnl"/>
        </w:rPr>
      </w:pPr>
    </w:p>
    <w:p w:rsidR="00E2336B" w:rsidRDefault="00E2336B">
      <w:pPr>
        <w:rPr>
          <w:rFonts w:ascii="MinionPro-Regular" w:hAnsi="MinionPro-Regular"/>
          <w:sz w:val="24"/>
          <w:szCs w:val="24"/>
          <w:lang w:val="es-ES_tradnl"/>
        </w:rPr>
      </w:pPr>
    </w:p>
    <w:p w:rsidR="00E2336B" w:rsidRDefault="00E2336B">
      <w:pPr>
        <w:rPr>
          <w:rFonts w:ascii="MinionPro-Regular" w:hAnsi="MinionPro-Regular"/>
          <w:sz w:val="24"/>
          <w:szCs w:val="24"/>
          <w:lang w:val="es-ES_tradnl"/>
        </w:rPr>
      </w:pPr>
    </w:p>
    <w:p w:rsidR="00E2336B" w:rsidRDefault="00E2336B">
      <w:pPr>
        <w:rPr>
          <w:rFonts w:ascii="MinionPro-Regular" w:hAnsi="MinionPro-Regular"/>
          <w:sz w:val="24"/>
          <w:szCs w:val="24"/>
          <w:lang w:val="es-ES_tradnl"/>
        </w:rPr>
      </w:pPr>
    </w:p>
    <w:p w:rsidR="00E2336B" w:rsidRDefault="00E2336B">
      <w:pPr>
        <w:rPr>
          <w:rFonts w:ascii="MinionPro-Regular" w:hAnsi="MinionPro-Regular"/>
          <w:sz w:val="24"/>
          <w:szCs w:val="24"/>
          <w:lang w:val="es-ES_tradnl"/>
        </w:rPr>
      </w:pPr>
    </w:p>
    <w:p w:rsidR="00E2336B" w:rsidRDefault="00E2336B">
      <w:pPr>
        <w:rPr>
          <w:rFonts w:ascii="MinionPro-Regular" w:hAnsi="MinionPro-Regular"/>
          <w:sz w:val="24"/>
          <w:szCs w:val="24"/>
          <w:lang w:val="es-ES_tradnl"/>
        </w:rPr>
      </w:pPr>
    </w:p>
    <w:p w:rsidR="00E2336B" w:rsidRDefault="00E2336B">
      <w:pPr>
        <w:rPr>
          <w:rFonts w:ascii="MinionPro-Regular" w:hAnsi="MinionPro-Regular"/>
          <w:sz w:val="24"/>
          <w:szCs w:val="24"/>
          <w:lang w:val="es-ES_tradnl"/>
        </w:rPr>
      </w:pPr>
    </w:p>
    <w:p w:rsidR="00E2336B" w:rsidRDefault="00E2336B">
      <w:pPr>
        <w:rPr>
          <w:rFonts w:ascii="MinionPro-Regular" w:hAnsi="MinionPro-Regular"/>
          <w:sz w:val="24"/>
          <w:szCs w:val="24"/>
          <w:lang w:val="es-ES_tradnl"/>
        </w:rPr>
      </w:pPr>
    </w:p>
    <w:p w:rsidR="00E2336B" w:rsidRDefault="00E2336B">
      <w:pPr>
        <w:rPr>
          <w:rFonts w:ascii="MinionPro-Regular" w:hAnsi="MinionPro-Regular"/>
          <w:sz w:val="24"/>
          <w:szCs w:val="24"/>
          <w:lang w:val="es-ES_tradnl"/>
        </w:rPr>
      </w:pPr>
    </w:p>
    <w:p w:rsidR="00E2336B" w:rsidRDefault="00E2336B">
      <w:pPr>
        <w:rPr>
          <w:rFonts w:ascii="MinionPro-Regular" w:hAnsi="MinionPro-Regular"/>
          <w:sz w:val="24"/>
          <w:szCs w:val="24"/>
          <w:lang w:val="es-ES_tradnl"/>
        </w:rPr>
      </w:pPr>
    </w:p>
    <w:p w:rsidR="00E2336B" w:rsidRDefault="00E2336B">
      <w:pPr>
        <w:rPr>
          <w:rFonts w:ascii="MinionPro-Regular" w:hAnsi="MinionPro-Regular"/>
          <w:sz w:val="24"/>
          <w:szCs w:val="24"/>
          <w:lang w:val="es-ES_tradnl"/>
        </w:rPr>
      </w:pPr>
    </w:p>
    <w:p w:rsidR="00E2336B" w:rsidRDefault="00E2336B">
      <w:pPr>
        <w:rPr>
          <w:rFonts w:ascii="MinionPro-Regular" w:hAnsi="MinionPro-Regular"/>
          <w:sz w:val="24"/>
          <w:szCs w:val="24"/>
          <w:lang w:val="es-ES_tradnl"/>
        </w:rPr>
      </w:pPr>
    </w:p>
    <w:p w:rsidR="00E2336B" w:rsidRDefault="00E2336B">
      <w:pPr>
        <w:rPr>
          <w:rFonts w:ascii="MinionPro-Regular" w:hAnsi="MinionPro-Regular"/>
          <w:sz w:val="24"/>
          <w:szCs w:val="24"/>
          <w:lang w:val="es-ES_tradnl"/>
        </w:rPr>
      </w:pPr>
    </w:p>
    <w:p w:rsidR="00E2336B" w:rsidRDefault="00E2336B" w:rsidP="00BA0F80">
      <w:pPr>
        <w:pBdr>
          <w:top w:val="single" w:sz="4" w:space="1" w:color="auto"/>
        </w:pBdr>
        <w:autoSpaceDE w:val="0"/>
        <w:autoSpaceDN w:val="0"/>
        <w:spacing w:line="360" w:lineRule="auto"/>
        <w:jc w:val="both"/>
        <w:rPr>
          <w:rFonts w:ascii="MinionPro-Regular" w:hAnsi="MinionPro-Regular"/>
          <w:sz w:val="24"/>
          <w:szCs w:val="24"/>
          <w:lang w:val="es-ES_tradnl"/>
        </w:rPr>
      </w:pPr>
      <w:r>
        <w:rPr>
          <w:rFonts w:ascii="MinionPro-Regular" w:hAnsi="MinionPro-Regular"/>
          <w:sz w:val="20"/>
          <w:szCs w:val="24"/>
          <w:lang w:val="es-ES_tradnl"/>
        </w:rPr>
        <w:t>Sectores de actividad de personas con discapacidad ocupadas</w:t>
      </w:r>
      <w:r w:rsidRPr="003C5DF9">
        <w:rPr>
          <w:rFonts w:ascii="MinionPro-Regular" w:hAnsi="MinionPro-Regular"/>
          <w:sz w:val="20"/>
          <w:szCs w:val="24"/>
          <w:lang w:val="es-ES_tradnl"/>
        </w:rPr>
        <w:t>.</w:t>
      </w:r>
    </w:p>
    <w:p w:rsidR="00E2336B" w:rsidRDefault="00E1516B">
      <w:pPr>
        <w:rPr>
          <w:rFonts w:ascii="MinionPro-Regular" w:hAnsi="MinionPro-Regular"/>
          <w:sz w:val="24"/>
          <w:szCs w:val="24"/>
          <w:lang w:val="es-ES_tradnl"/>
        </w:rPr>
      </w:pPr>
      <w:r>
        <w:rPr>
          <w:noProof/>
          <w:szCs w:val="24"/>
          <w:lang w:eastAsia="es-ES"/>
        </w:rPr>
        <w:drawing>
          <wp:inline distT="0" distB="0" distL="0" distR="0">
            <wp:extent cx="4459605" cy="2803525"/>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62"/>
                    <a:srcRect/>
                    <a:stretch>
                      <a:fillRect/>
                    </a:stretch>
                  </pic:blipFill>
                  <pic:spPr bwMode="auto">
                    <a:xfrm>
                      <a:off x="0" y="0"/>
                      <a:ext cx="4459605" cy="2803525"/>
                    </a:xfrm>
                    <a:prstGeom prst="rect">
                      <a:avLst/>
                    </a:prstGeom>
                    <a:noFill/>
                    <a:ln w="9525">
                      <a:noFill/>
                      <a:miter lim="800000"/>
                      <a:headEnd/>
                      <a:tailEnd/>
                    </a:ln>
                  </pic:spPr>
                </pic:pic>
              </a:graphicData>
            </a:graphic>
          </wp:inline>
        </w:drawing>
      </w:r>
    </w:p>
    <w:p w:rsidR="00E2336B" w:rsidRDefault="00E2336B" w:rsidP="00BA0F80">
      <w:pPr>
        <w:pBdr>
          <w:bottom w:val="single" w:sz="4" w:space="1" w:color="auto"/>
        </w:pBdr>
        <w:autoSpaceDE w:val="0"/>
        <w:autoSpaceDN w:val="0"/>
        <w:spacing w:line="360" w:lineRule="auto"/>
        <w:jc w:val="both"/>
        <w:rPr>
          <w:rFonts w:ascii="MinionPro-Regular" w:hAnsi="MinionPro-Regular"/>
          <w:sz w:val="20"/>
          <w:szCs w:val="24"/>
          <w:lang w:val="es-ES_tradnl"/>
        </w:rPr>
      </w:pPr>
      <w:r w:rsidRPr="008B461D">
        <w:rPr>
          <w:rFonts w:ascii="MinionPro-Regular" w:hAnsi="MinionPro-Regular"/>
          <w:sz w:val="20"/>
          <w:szCs w:val="24"/>
          <w:lang w:val="es-ES_tradnl"/>
        </w:rPr>
        <w:t xml:space="preserve">Fuente: Elaboración propia a partir de datos del </w:t>
      </w:r>
      <w:r>
        <w:rPr>
          <w:rFonts w:ascii="MinionPro-Regular" w:hAnsi="MinionPro-Regular"/>
          <w:sz w:val="20"/>
          <w:szCs w:val="24"/>
          <w:lang w:val="es-ES_tradnl"/>
        </w:rPr>
        <w:t>INE</w:t>
      </w:r>
      <w:r w:rsidRPr="008B461D">
        <w:rPr>
          <w:rFonts w:ascii="MinionPro-Regular" w:hAnsi="MinionPro-Regular"/>
          <w:sz w:val="20"/>
          <w:szCs w:val="24"/>
          <w:lang w:val="es-ES_tradnl"/>
        </w:rPr>
        <w:t>, 2011</w:t>
      </w:r>
    </w:p>
    <w:p w:rsidR="002959F0" w:rsidRDefault="00E2336B">
      <w:pPr>
        <w:pBdr>
          <w:bottom w:val="single" w:sz="4" w:space="1" w:color="auto"/>
        </w:pBdr>
        <w:autoSpaceDE w:val="0"/>
        <w:autoSpaceDN w:val="0"/>
        <w:spacing w:line="360" w:lineRule="auto"/>
        <w:jc w:val="both"/>
        <w:rPr>
          <w:rFonts w:ascii="MinionPro-Regular" w:hAnsi="MinionPro-Regular"/>
          <w:sz w:val="20"/>
          <w:szCs w:val="24"/>
          <w:lang w:val="es-ES_tradnl"/>
        </w:rPr>
      </w:pPr>
      <w:r>
        <w:rPr>
          <w:rFonts w:ascii="MinionPro-Regular" w:hAnsi="MinionPro-Regular"/>
          <w:sz w:val="20"/>
          <w:szCs w:val="24"/>
          <w:lang w:val="es-ES_tradnl"/>
        </w:rPr>
        <w:t>Nota explicativa de la gráfica: Gráfica circular en la que se representan los sectores de actividad de las personas con discapacidad ocupadas. Los datos son: Agrario, 1,9% y No agrario, 98,1%. Éste se subdivide en: Industria, 11,5%; Construcción: 3,9%; Servicios: 82,7%.</w:t>
      </w:r>
    </w:p>
    <w:p w:rsidR="00E2336B" w:rsidRDefault="00E2336B">
      <w:pPr>
        <w:rPr>
          <w:rFonts w:ascii="MinionPro-Regular" w:hAnsi="MinionPro-Regular"/>
          <w:sz w:val="24"/>
          <w:szCs w:val="24"/>
          <w:lang w:val="es-ES_tradnl"/>
        </w:rPr>
      </w:pPr>
    </w:p>
    <w:p w:rsidR="008C2CAC" w:rsidRDefault="008C2CAC">
      <w:pPr>
        <w:rPr>
          <w:rFonts w:ascii="MinionPro-Regular" w:hAnsi="MinionPro-Regular"/>
          <w:sz w:val="24"/>
          <w:szCs w:val="24"/>
          <w:lang w:val="es-ES_tradnl"/>
        </w:rPr>
      </w:pPr>
    </w:p>
    <w:p w:rsidR="008C2CAC" w:rsidRDefault="008C2CAC">
      <w:pPr>
        <w:rPr>
          <w:rFonts w:ascii="MinionPro-Regular" w:hAnsi="MinionPro-Regular"/>
          <w:sz w:val="24"/>
          <w:szCs w:val="24"/>
          <w:lang w:val="es-ES_tradnl"/>
        </w:rPr>
      </w:pPr>
    </w:p>
    <w:p w:rsidR="008C2CAC" w:rsidRDefault="008C2CAC">
      <w:pPr>
        <w:rPr>
          <w:rFonts w:ascii="MinionPro-Regular" w:hAnsi="MinionPro-Regular"/>
          <w:sz w:val="24"/>
          <w:szCs w:val="24"/>
          <w:lang w:val="es-ES_tradnl"/>
        </w:rPr>
      </w:pPr>
    </w:p>
    <w:p w:rsidR="008C2CAC" w:rsidRDefault="008C2CAC">
      <w:pPr>
        <w:rPr>
          <w:rFonts w:ascii="MinionPro-Regular" w:hAnsi="MinionPro-Regular"/>
          <w:sz w:val="24"/>
          <w:szCs w:val="24"/>
          <w:lang w:val="es-ES_tradnl"/>
        </w:rPr>
      </w:pPr>
    </w:p>
    <w:p w:rsidR="008C2CAC" w:rsidRDefault="008C2CAC">
      <w:pPr>
        <w:rPr>
          <w:rFonts w:ascii="MinionPro-Regular" w:hAnsi="MinionPro-Regular"/>
          <w:sz w:val="24"/>
          <w:szCs w:val="24"/>
          <w:lang w:val="es-ES_tradnl"/>
        </w:rPr>
      </w:pPr>
    </w:p>
    <w:p w:rsidR="008C2CAC" w:rsidRDefault="008C2CAC">
      <w:pPr>
        <w:rPr>
          <w:rFonts w:ascii="MinionPro-Regular" w:hAnsi="MinionPro-Regular"/>
          <w:sz w:val="24"/>
          <w:szCs w:val="24"/>
          <w:lang w:val="es-ES_tradnl"/>
        </w:rPr>
      </w:pPr>
    </w:p>
    <w:p w:rsidR="008C2CAC" w:rsidRDefault="008C2CAC">
      <w:pPr>
        <w:rPr>
          <w:rFonts w:ascii="MinionPro-Regular" w:hAnsi="MinionPro-Regular"/>
          <w:sz w:val="24"/>
          <w:szCs w:val="24"/>
          <w:lang w:val="es-ES_tradnl"/>
        </w:rPr>
      </w:pPr>
    </w:p>
    <w:p w:rsidR="008C2CAC" w:rsidRDefault="008C2CAC">
      <w:pPr>
        <w:rPr>
          <w:rFonts w:ascii="MinionPro-Regular" w:hAnsi="MinionPro-Regular"/>
          <w:sz w:val="24"/>
          <w:szCs w:val="24"/>
          <w:lang w:val="es-ES_tradnl"/>
        </w:rPr>
      </w:pPr>
    </w:p>
    <w:p w:rsidR="008C2CAC" w:rsidRDefault="008C2CAC">
      <w:pPr>
        <w:rPr>
          <w:rFonts w:ascii="MinionPro-Regular" w:hAnsi="MinionPro-Regular"/>
          <w:sz w:val="24"/>
          <w:szCs w:val="24"/>
          <w:lang w:val="es-ES_tradnl"/>
        </w:rPr>
      </w:pPr>
    </w:p>
    <w:p w:rsidR="008C2CAC" w:rsidRDefault="008C2CAC">
      <w:pPr>
        <w:rPr>
          <w:rFonts w:ascii="MinionPro-Regular" w:hAnsi="MinionPro-Regular"/>
          <w:sz w:val="24"/>
          <w:szCs w:val="24"/>
          <w:lang w:val="es-ES_tradnl"/>
        </w:rPr>
      </w:pPr>
    </w:p>
    <w:p w:rsidR="008C2CAC" w:rsidRDefault="008C2CAC">
      <w:pPr>
        <w:rPr>
          <w:rFonts w:ascii="MinionPro-Regular" w:hAnsi="MinionPro-Regular"/>
          <w:sz w:val="24"/>
          <w:szCs w:val="24"/>
          <w:lang w:val="es-ES_tradnl"/>
        </w:rPr>
      </w:pPr>
    </w:p>
    <w:p w:rsidR="008C2CAC" w:rsidRDefault="008C2CAC">
      <w:pPr>
        <w:rPr>
          <w:rFonts w:ascii="MinionPro-Regular" w:hAnsi="MinionPro-Regular"/>
          <w:sz w:val="24"/>
          <w:szCs w:val="24"/>
          <w:lang w:val="es-ES_tradnl"/>
        </w:rPr>
      </w:pPr>
    </w:p>
    <w:p w:rsidR="008C2CAC" w:rsidRDefault="008C2CAC">
      <w:pPr>
        <w:rPr>
          <w:rFonts w:ascii="MinionPro-Regular" w:hAnsi="MinionPro-Regular"/>
          <w:sz w:val="24"/>
          <w:szCs w:val="24"/>
          <w:lang w:val="es-ES_tradnl"/>
        </w:rPr>
      </w:pPr>
    </w:p>
    <w:p w:rsidR="008C2CAC" w:rsidRDefault="008C2CAC">
      <w:pPr>
        <w:rPr>
          <w:rFonts w:ascii="MinionPro-Regular" w:hAnsi="MinionPro-Regular"/>
          <w:sz w:val="24"/>
          <w:szCs w:val="24"/>
          <w:lang w:val="es-ES_tradnl"/>
        </w:rPr>
      </w:pPr>
    </w:p>
    <w:p w:rsidR="008C2CAC" w:rsidRDefault="008C2CAC">
      <w:pPr>
        <w:rPr>
          <w:rFonts w:ascii="MinionPro-Regular" w:hAnsi="MinionPro-Regular"/>
          <w:sz w:val="24"/>
          <w:szCs w:val="24"/>
          <w:lang w:val="es-ES_tradnl"/>
        </w:rPr>
      </w:pPr>
    </w:p>
    <w:p w:rsidR="008C2CAC" w:rsidRDefault="008C2CAC">
      <w:pPr>
        <w:rPr>
          <w:rFonts w:ascii="MinionPro-Regular" w:hAnsi="MinionPro-Regular"/>
          <w:sz w:val="24"/>
          <w:szCs w:val="24"/>
          <w:lang w:val="es-ES_tradnl"/>
        </w:rPr>
      </w:pPr>
    </w:p>
    <w:p w:rsidR="008C2CAC" w:rsidRDefault="008C2CAC">
      <w:pPr>
        <w:rPr>
          <w:rFonts w:ascii="MinionPro-Regular" w:hAnsi="MinionPro-Regular"/>
          <w:sz w:val="24"/>
          <w:szCs w:val="24"/>
          <w:lang w:val="es-ES_tradnl"/>
        </w:rPr>
      </w:pPr>
    </w:p>
    <w:p w:rsidR="00641C15" w:rsidRDefault="00641C15">
      <w:pPr>
        <w:rPr>
          <w:rFonts w:ascii="MinionPro-Regular" w:hAnsi="MinionPro-Regular"/>
          <w:sz w:val="24"/>
          <w:szCs w:val="24"/>
          <w:lang w:val="es-ES_tradnl"/>
        </w:rPr>
      </w:pPr>
    </w:p>
    <w:p w:rsidR="00641C15" w:rsidRDefault="00641C15">
      <w:pPr>
        <w:rPr>
          <w:rFonts w:ascii="MinionPro-Regular" w:hAnsi="MinionPro-Regular"/>
          <w:sz w:val="24"/>
          <w:szCs w:val="24"/>
          <w:lang w:val="es-ES_tradnl"/>
        </w:rPr>
      </w:pPr>
    </w:p>
    <w:p w:rsidR="00420E31" w:rsidRDefault="00420E31">
      <w:pPr>
        <w:rPr>
          <w:rFonts w:ascii="MinionPro-Regular" w:hAnsi="MinionPro-Regular"/>
          <w:sz w:val="24"/>
          <w:szCs w:val="24"/>
          <w:lang w:val="es-ES_tradnl"/>
        </w:rPr>
      </w:pPr>
    </w:p>
    <w:p w:rsidR="002959F0" w:rsidRDefault="00E2336B">
      <w:pPr>
        <w:pBdr>
          <w:top w:val="single" w:sz="4" w:space="1" w:color="auto"/>
        </w:pBdr>
        <w:autoSpaceDE w:val="0"/>
        <w:autoSpaceDN w:val="0"/>
        <w:spacing w:line="360" w:lineRule="auto"/>
        <w:jc w:val="both"/>
        <w:rPr>
          <w:rFonts w:ascii="MinionPro-Regular" w:hAnsi="MinionPro-Regular"/>
          <w:sz w:val="24"/>
          <w:szCs w:val="24"/>
          <w:lang w:val="es-ES_tradnl"/>
        </w:rPr>
      </w:pPr>
      <w:r>
        <w:rPr>
          <w:rFonts w:ascii="MinionPro-Regular" w:hAnsi="MinionPro-Regular"/>
          <w:sz w:val="20"/>
          <w:szCs w:val="24"/>
          <w:lang w:val="es-ES_tradnl"/>
        </w:rPr>
        <w:t>Sectores de actividad de los centros especiales de empleo según las ayudas públicas recibidas</w:t>
      </w:r>
      <w:r w:rsidRPr="003C5DF9">
        <w:rPr>
          <w:rFonts w:ascii="MinionPro-Regular" w:hAnsi="MinionPro-Regular"/>
          <w:sz w:val="20"/>
          <w:szCs w:val="24"/>
          <w:lang w:val="es-ES_tradnl"/>
        </w:rPr>
        <w:t>.</w:t>
      </w:r>
      <w:r>
        <w:rPr>
          <w:rFonts w:ascii="MinionPro-Regular" w:hAnsi="MinionPro-Regular"/>
          <w:sz w:val="20"/>
          <w:szCs w:val="24"/>
          <w:lang w:val="es-ES_tradnl"/>
        </w:rPr>
        <w:t xml:space="preserve"> Detalle. </w:t>
      </w:r>
    </w:p>
    <w:p w:rsidR="00E2336B" w:rsidRDefault="00E1516B">
      <w:pPr>
        <w:jc w:val="both"/>
        <w:rPr>
          <w:rFonts w:ascii="MinionPro-Regular" w:hAnsi="MinionPro-Regular"/>
          <w:b/>
          <w:sz w:val="24"/>
          <w:szCs w:val="24"/>
          <w:lang w:val="es-ES_tradnl"/>
        </w:rPr>
      </w:pPr>
      <w:r>
        <w:rPr>
          <w:rFonts w:ascii="MinionPro-Regular" w:hAnsi="MinionPro-Regular"/>
          <w:b/>
          <w:noProof/>
          <w:sz w:val="24"/>
          <w:szCs w:val="24"/>
          <w:lang w:eastAsia="es-ES"/>
        </w:rPr>
        <w:drawing>
          <wp:inline distT="0" distB="0" distL="0" distR="0">
            <wp:extent cx="5219065" cy="3502025"/>
            <wp:effectExtent l="0" t="0" r="0" b="0"/>
            <wp:docPr id="41" name="Picture 4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E2336B" w:rsidRDefault="00E2336B">
      <w:pPr>
        <w:rPr>
          <w:rFonts w:ascii="MinionPro-Regular" w:hAnsi="MinionPro-Regular"/>
          <w:b/>
          <w:sz w:val="24"/>
          <w:szCs w:val="24"/>
          <w:lang w:val="es-ES_tradnl"/>
        </w:rPr>
      </w:pPr>
    </w:p>
    <w:p w:rsidR="00E2336B" w:rsidRDefault="00E2336B" w:rsidP="00F534D4">
      <w:pPr>
        <w:pBdr>
          <w:bottom w:val="single" w:sz="4" w:space="1" w:color="auto"/>
        </w:pBdr>
        <w:autoSpaceDE w:val="0"/>
        <w:autoSpaceDN w:val="0"/>
        <w:spacing w:line="360" w:lineRule="auto"/>
        <w:jc w:val="both"/>
        <w:rPr>
          <w:rFonts w:ascii="MinionPro-Regular" w:hAnsi="MinionPro-Regular"/>
          <w:sz w:val="20"/>
          <w:szCs w:val="24"/>
          <w:lang w:val="es-ES_tradnl"/>
        </w:rPr>
      </w:pPr>
      <w:r w:rsidRPr="008B461D">
        <w:rPr>
          <w:rFonts w:ascii="MinionPro-Regular" w:hAnsi="MinionPro-Regular"/>
          <w:sz w:val="20"/>
          <w:szCs w:val="24"/>
          <w:lang w:val="es-ES_tradnl"/>
        </w:rPr>
        <w:t>Fuente: Elaboración propia a partir de datos del</w:t>
      </w:r>
      <w:r>
        <w:rPr>
          <w:rFonts w:ascii="MinionPro-Regular" w:hAnsi="MinionPro-Regular"/>
          <w:sz w:val="20"/>
          <w:szCs w:val="24"/>
          <w:lang w:val="es-ES_tradnl"/>
        </w:rPr>
        <w:t xml:space="preserve"> Anuario de Estadística de la Seguridad Social,</w:t>
      </w:r>
      <w:r w:rsidRPr="008B461D">
        <w:rPr>
          <w:rFonts w:ascii="MinionPro-Regular" w:hAnsi="MinionPro-Regular"/>
          <w:sz w:val="20"/>
          <w:szCs w:val="24"/>
          <w:lang w:val="es-ES_tradnl"/>
        </w:rPr>
        <w:t xml:space="preserve"> 2011</w:t>
      </w:r>
    </w:p>
    <w:p w:rsidR="00E2336B" w:rsidRDefault="00E2336B" w:rsidP="00F534D4">
      <w:pPr>
        <w:pBdr>
          <w:bottom w:val="single" w:sz="4" w:space="1" w:color="auto"/>
        </w:pBdr>
        <w:autoSpaceDE w:val="0"/>
        <w:autoSpaceDN w:val="0"/>
        <w:spacing w:line="360" w:lineRule="auto"/>
        <w:jc w:val="both"/>
        <w:rPr>
          <w:rFonts w:ascii="MinionPro-Regular" w:hAnsi="MinionPro-Regular"/>
          <w:sz w:val="20"/>
          <w:szCs w:val="24"/>
          <w:lang w:val="es-ES_tradnl"/>
        </w:rPr>
      </w:pPr>
      <w:r>
        <w:rPr>
          <w:rFonts w:ascii="MinionPro-Regular" w:hAnsi="MinionPro-Regular"/>
          <w:sz w:val="20"/>
          <w:szCs w:val="24"/>
          <w:lang w:val="es-ES_tradnl"/>
        </w:rPr>
        <w:lastRenderedPageBreak/>
        <w:t>Nota explicativa de la gráfica: Eje vertical, principales subsectores de actividad de los centros especiales de empleo según el porcentaje de ayudas recibidas. Los datos son: Servicios a edificios y actividades de jardinería: 15,2%; otras industrias manufactureras: 12,5%; otras actividades profesionales, científicas y técnicas: 11,8%; otros servicios personales: 11,0%; artes gráficas y reproducción de soportes grabados: 4,8%; silvicultura y explotación forestal: 3,3%; fabricación de productos de caucho y plástico: 3,2%; industria de la alimentación: 2,4%; recogida, tratamiento y eliminación de residuos: 1,9%; comercio al por menor (excepto de vehículos de motor): 1,9%.</w:t>
      </w:r>
    </w:p>
    <w:p w:rsidR="00E2336B" w:rsidRDefault="00E2336B">
      <w:pPr>
        <w:autoSpaceDE w:val="0"/>
        <w:autoSpaceDN w:val="0"/>
        <w:spacing w:line="360" w:lineRule="auto"/>
        <w:jc w:val="both"/>
        <w:rPr>
          <w:rFonts w:ascii="MinionPro-Regular" w:hAnsi="MinionPro-Regular"/>
          <w:sz w:val="20"/>
          <w:szCs w:val="24"/>
          <w:lang w:val="es-ES_tradnl"/>
        </w:rPr>
      </w:pPr>
    </w:p>
    <w:p w:rsidR="00E2336B" w:rsidRDefault="00E2336B">
      <w:pPr>
        <w:autoSpaceDE w:val="0"/>
        <w:autoSpaceDN w:val="0"/>
        <w:spacing w:line="360" w:lineRule="auto"/>
        <w:jc w:val="both"/>
        <w:rPr>
          <w:rFonts w:ascii="MinionPro-Regular" w:hAnsi="MinionPro-Regular"/>
          <w:sz w:val="20"/>
          <w:szCs w:val="24"/>
          <w:lang w:val="es-ES_tradnl"/>
        </w:rPr>
      </w:pPr>
    </w:p>
    <w:p w:rsidR="00E2336B" w:rsidRDefault="00E2336B" w:rsidP="00B012F6">
      <w:pPr>
        <w:autoSpaceDE w:val="0"/>
        <w:autoSpaceDN w:val="0"/>
        <w:spacing w:line="360" w:lineRule="auto"/>
        <w:jc w:val="both"/>
        <w:rPr>
          <w:rFonts w:ascii="MinionPro-Regular" w:hAnsi="MinionPro-Regular"/>
          <w:sz w:val="24"/>
          <w:szCs w:val="24"/>
          <w:lang w:val="es-ES_tradnl"/>
        </w:rPr>
      </w:pPr>
      <w:r w:rsidRPr="009C1EF2">
        <w:rPr>
          <w:rFonts w:ascii="MinionPro-Regular" w:hAnsi="MinionPro-Regular"/>
          <w:sz w:val="24"/>
          <w:szCs w:val="24"/>
          <w:lang w:val="es-ES_tradnl"/>
        </w:rPr>
        <w:t>Como se muestra a continuación, los sectores de actividad a los que se</w:t>
      </w:r>
      <w:r>
        <w:rPr>
          <w:rFonts w:ascii="MinionPro-Regular" w:hAnsi="MinionPro-Regular"/>
          <w:sz w:val="24"/>
          <w:szCs w:val="24"/>
          <w:lang w:val="es-ES_tradnl"/>
        </w:rPr>
        <w:t xml:space="preserve"> dedican los centros especiales guardan cierta relación con la información que dispone el INE acerca de los sectores de actividad en los que se desenvuelven las personas con discapacidad.</w:t>
      </w:r>
    </w:p>
    <w:p w:rsidR="00E2336B" w:rsidRPr="00E2336B" w:rsidRDefault="00E2336B">
      <w:pPr>
        <w:autoSpaceDE w:val="0"/>
        <w:autoSpaceDN w:val="0"/>
        <w:spacing w:line="360" w:lineRule="auto"/>
        <w:jc w:val="both"/>
        <w:rPr>
          <w:rFonts w:ascii="MinionPro-Regular" w:hAnsi="MinionPro-Regular"/>
          <w:sz w:val="24"/>
          <w:szCs w:val="24"/>
          <w:lang w:val="es-ES_tradnl"/>
        </w:rPr>
      </w:pPr>
    </w:p>
    <w:p w:rsidR="00E2336B" w:rsidRDefault="00E2336B">
      <w:pPr>
        <w:autoSpaceDE w:val="0"/>
        <w:autoSpaceDN w:val="0"/>
        <w:spacing w:line="360" w:lineRule="auto"/>
        <w:jc w:val="both"/>
        <w:rPr>
          <w:rFonts w:ascii="MinionPro-Regular" w:hAnsi="MinionPro-Regular"/>
          <w:sz w:val="20"/>
          <w:szCs w:val="24"/>
          <w:lang w:val="es-ES_tradnl"/>
        </w:rPr>
      </w:pPr>
    </w:p>
    <w:p w:rsidR="008C2CAC" w:rsidRDefault="008C2CAC">
      <w:pPr>
        <w:autoSpaceDE w:val="0"/>
        <w:autoSpaceDN w:val="0"/>
        <w:spacing w:line="360" w:lineRule="auto"/>
        <w:jc w:val="both"/>
        <w:rPr>
          <w:rFonts w:ascii="MinionPro-Regular" w:hAnsi="MinionPro-Regular"/>
          <w:sz w:val="20"/>
          <w:szCs w:val="24"/>
          <w:lang w:val="es-ES_tradnl"/>
        </w:rPr>
      </w:pPr>
    </w:p>
    <w:p w:rsidR="008C2CAC" w:rsidRDefault="008C2CAC">
      <w:pPr>
        <w:autoSpaceDE w:val="0"/>
        <w:autoSpaceDN w:val="0"/>
        <w:spacing w:line="360" w:lineRule="auto"/>
        <w:jc w:val="both"/>
        <w:rPr>
          <w:rFonts w:ascii="MinionPro-Regular" w:hAnsi="MinionPro-Regular"/>
          <w:sz w:val="20"/>
          <w:szCs w:val="24"/>
          <w:lang w:val="es-ES_tradnl"/>
        </w:rPr>
      </w:pPr>
    </w:p>
    <w:p w:rsidR="00E2336B" w:rsidRDefault="00E2336B" w:rsidP="008B6514">
      <w:pPr>
        <w:pBdr>
          <w:top w:val="single" w:sz="4" w:space="1" w:color="auto"/>
        </w:pBdr>
        <w:autoSpaceDE w:val="0"/>
        <w:autoSpaceDN w:val="0"/>
        <w:spacing w:line="360" w:lineRule="auto"/>
        <w:jc w:val="both"/>
        <w:rPr>
          <w:rFonts w:ascii="MinionPro-Regular" w:hAnsi="MinionPro-Regular"/>
          <w:sz w:val="24"/>
          <w:szCs w:val="24"/>
          <w:lang w:val="es-ES_tradnl"/>
        </w:rPr>
      </w:pPr>
      <w:r>
        <w:rPr>
          <w:rFonts w:ascii="MinionPro-Regular" w:hAnsi="MinionPro-Regular"/>
          <w:sz w:val="20"/>
          <w:szCs w:val="24"/>
          <w:lang w:val="es-ES_tradnl"/>
        </w:rPr>
        <w:t xml:space="preserve">Sectores de actividad de las personas con discapacidad ocupadas. </w:t>
      </w:r>
    </w:p>
    <w:p w:rsidR="00E2336B" w:rsidRPr="00E2336B" w:rsidRDefault="00E1516B">
      <w:pPr>
        <w:autoSpaceDE w:val="0"/>
        <w:autoSpaceDN w:val="0"/>
        <w:spacing w:line="360" w:lineRule="auto"/>
        <w:jc w:val="both"/>
        <w:rPr>
          <w:rFonts w:ascii="MinionPro-Regular" w:hAnsi="MinionPro-Regular"/>
          <w:b/>
          <w:sz w:val="20"/>
          <w:szCs w:val="24"/>
          <w:lang w:val="es-ES_tradnl"/>
        </w:rPr>
      </w:pPr>
      <w:r>
        <w:rPr>
          <w:rFonts w:ascii="MinionPro-Regular" w:hAnsi="MinionPro-Regular"/>
          <w:b/>
          <w:noProof/>
          <w:sz w:val="20"/>
          <w:szCs w:val="24"/>
          <w:lang w:eastAsia="es-ES"/>
        </w:rPr>
        <w:drawing>
          <wp:inline distT="0" distB="0" distL="0" distR="0">
            <wp:extent cx="4873625" cy="3002280"/>
            <wp:effectExtent l="0" t="0" r="0" b="0"/>
            <wp:docPr id="42" name="Picture 4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E2336B" w:rsidRDefault="00E2336B">
      <w:pPr>
        <w:autoSpaceDE w:val="0"/>
        <w:autoSpaceDN w:val="0"/>
        <w:spacing w:line="360" w:lineRule="auto"/>
        <w:jc w:val="both"/>
        <w:rPr>
          <w:rFonts w:ascii="MinionPro-Regular" w:hAnsi="MinionPro-Regular"/>
          <w:sz w:val="20"/>
          <w:szCs w:val="24"/>
          <w:lang w:val="es-ES_tradnl"/>
        </w:rPr>
      </w:pPr>
    </w:p>
    <w:p w:rsidR="00E2336B" w:rsidRDefault="00E2336B" w:rsidP="008B6514">
      <w:pPr>
        <w:pBdr>
          <w:bottom w:val="single" w:sz="4" w:space="1" w:color="auto"/>
        </w:pBdr>
        <w:autoSpaceDE w:val="0"/>
        <w:autoSpaceDN w:val="0"/>
        <w:spacing w:line="360" w:lineRule="auto"/>
        <w:jc w:val="both"/>
        <w:rPr>
          <w:rFonts w:ascii="MinionPro-Regular" w:hAnsi="MinionPro-Regular"/>
          <w:sz w:val="20"/>
          <w:szCs w:val="24"/>
          <w:lang w:val="es-ES_tradnl"/>
        </w:rPr>
      </w:pPr>
      <w:r w:rsidRPr="008B461D">
        <w:rPr>
          <w:rFonts w:ascii="MinionPro-Regular" w:hAnsi="MinionPro-Regular"/>
          <w:sz w:val="20"/>
          <w:szCs w:val="24"/>
          <w:lang w:val="es-ES_tradnl"/>
        </w:rPr>
        <w:lastRenderedPageBreak/>
        <w:t xml:space="preserve">Fuente: Elaboración propia a partir de datos </w:t>
      </w:r>
      <w:r>
        <w:rPr>
          <w:rFonts w:ascii="MinionPro-Regular" w:hAnsi="MinionPro-Regular"/>
          <w:sz w:val="20"/>
          <w:szCs w:val="24"/>
          <w:lang w:val="es-ES_tradnl"/>
        </w:rPr>
        <w:t>del INE</w:t>
      </w:r>
      <w:r w:rsidRPr="008B461D">
        <w:rPr>
          <w:rFonts w:ascii="MinionPro-Regular" w:hAnsi="MinionPro-Regular"/>
          <w:sz w:val="20"/>
          <w:szCs w:val="24"/>
          <w:lang w:val="es-ES_tradnl"/>
        </w:rPr>
        <w:t>, 2011</w:t>
      </w:r>
    </w:p>
    <w:p w:rsidR="00E2336B" w:rsidRDefault="00E2336B" w:rsidP="008B6514">
      <w:pPr>
        <w:pBdr>
          <w:bottom w:val="single" w:sz="4" w:space="1" w:color="auto"/>
        </w:pBdr>
        <w:autoSpaceDE w:val="0"/>
        <w:autoSpaceDN w:val="0"/>
        <w:spacing w:line="360" w:lineRule="auto"/>
        <w:jc w:val="both"/>
        <w:rPr>
          <w:rFonts w:ascii="MinionPro-Regular" w:hAnsi="MinionPro-Regular"/>
          <w:sz w:val="20"/>
          <w:szCs w:val="24"/>
          <w:lang w:val="es-ES_tradnl"/>
        </w:rPr>
      </w:pPr>
      <w:r>
        <w:rPr>
          <w:rFonts w:ascii="MinionPro-Regular" w:hAnsi="MinionPro-Regular"/>
          <w:sz w:val="20"/>
          <w:szCs w:val="24"/>
          <w:lang w:val="es-ES_tradnl"/>
        </w:rPr>
        <w:t xml:space="preserve">Nota explicativa de la gráfica: Eje vertical, principales subsectores de actividad de las personas con discapacidad ocupadas. Los datos son: </w:t>
      </w:r>
      <w:r w:rsidRPr="00410155">
        <w:rPr>
          <w:rFonts w:ascii="MinionPro-Regular" w:hAnsi="MinionPro-Regular"/>
          <w:sz w:val="20"/>
          <w:szCs w:val="24"/>
          <w:lang w:val="es-ES_tradnl"/>
        </w:rPr>
        <w:t>Actividades sanitarias y servicios sociales</w:t>
      </w:r>
      <w:r>
        <w:rPr>
          <w:rFonts w:ascii="MinionPro-Regular" w:hAnsi="MinionPro-Regular"/>
          <w:sz w:val="20"/>
          <w:szCs w:val="24"/>
          <w:lang w:val="es-ES_tradnl"/>
        </w:rPr>
        <w:t xml:space="preserve">: 11,1%; </w:t>
      </w:r>
      <w:r w:rsidRPr="00410155">
        <w:rPr>
          <w:rFonts w:ascii="MinionPro-Regular" w:hAnsi="MinionPro-Regular"/>
          <w:sz w:val="20"/>
          <w:szCs w:val="24"/>
          <w:lang w:val="es-ES_tradnl"/>
        </w:rPr>
        <w:t>Actividades administrativas y servicios aux</w:t>
      </w:r>
      <w:r>
        <w:rPr>
          <w:rFonts w:ascii="MinionPro-Regular" w:hAnsi="MinionPro-Regular"/>
          <w:sz w:val="20"/>
          <w:szCs w:val="24"/>
          <w:lang w:val="es-ES_tradnl"/>
        </w:rPr>
        <w:t>i</w:t>
      </w:r>
      <w:r w:rsidRPr="00410155">
        <w:rPr>
          <w:rFonts w:ascii="MinionPro-Regular" w:hAnsi="MinionPro-Regular"/>
          <w:sz w:val="20"/>
          <w:szCs w:val="24"/>
          <w:lang w:val="es-ES_tradnl"/>
        </w:rPr>
        <w:t>liares</w:t>
      </w:r>
      <w:r>
        <w:rPr>
          <w:rFonts w:ascii="MinionPro-Regular" w:hAnsi="MinionPro-Regular"/>
          <w:sz w:val="20"/>
          <w:szCs w:val="24"/>
          <w:lang w:val="es-ES_tradnl"/>
        </w:rPr>
        <w:t xml:space="preserve">: 10,9%; </w:t>
      </w:r>
      <w:r w:rsidRPr="00394A03">
        <w:rPr>
          <w:rFonts w:ascii="MinionPro-Regular" w:hAnsi="MinionPro-Regular"/>
          <w:sz w:val="20"/>
          <w:szCs w:val="24"/>
          <w:lang w:val="es-ES_tradnl"/>
        </w:rPr>
        <w:t>Administración Pública y defensa; Seguridad Social obligatoria</w:t>
      </w:r>
      <w:r>
        <w:rPr>
          <w:rFonts w:ascii="MinionPro-Regular" w:hAnsi="MinionPro-Regular"/>
          <w:sz w:val="20"/>
          <w:szCs w:val="24"/>
          <w:lang w:val="es-ES_tradnl"/>
        </w:rPr>
        <w:t xml:space="preserve">: 10,6%; </w:t>
      </w:r>
      <w:r w:rsidRPr="00394A03">
        <w:rPr>
          <w:rFonts w:ascii="MinionPro-Regular" w:hAnsi="MinionPro-Regular"/>
          <w:sz w:val="20"/>
          <w:szCs w:val="24"/>
          <w:lang w:val="es-ES_tradnl"/>
        </w:rPr>
        <w:t>Industrias extractivas y manufacturera</w:t>
      </w:r>
      <w:r>
        <w:rPr>
          <w:rFonts w:ascii="MinionPro-Regular" w:hAnsi="MinionPro-Regular"/>
          <w:sz w:val="20"/>
          <w:szCs w:val="24"/>
          <w:lang w:val="es-ES_tradnl"/>
        </w:rPr>
        <w:t xml:space="preserve">: 10,2%; </w:t>
      </w:r>
      <w:r w:rsidRPr="00394A03">
        <w:rPr>
          <w:rFonts w:ascii="MinionPro-Regular" w:hAnsi="MinionPro-Regular"/>
          <w:sz w:val="20"/>
          <w:szCs w:val="24"/>
          <w:lang w:val="es-ES_tradnl"/>
        </w:rPr>
        <w:t>Educación</w:t>
      </w:r>
      <w:r>
        <w:rPr>
          <w:rFonts w:ascii="MinionPro-Regular" w:hAnsi="MinionPro-Regular"/>
          <w:sz w:val="20"/>
          <w:szCs w:val="24"/>
          <w:lang w:val="es-ES_tradnl"/>
        </w:rPr>
        <w:t xml:space="preserve">: 9,7%; </w:t>
      </w:r>
      <w:r w:rsidRPr="00394A03">
        <w:rPr>
          <w:rFonts w:ascii="MinionPro-Regular" w:hAnsi="MinionPro-Regular"/>
          <w:sz w:val="20"/>
          <w:szCs w:val="24"/>
          <w:lang w:val="es-ES_tradnl"/>
        </w:rPr>
        <w:t>Actividades artísticas, recreativas y de entre</w:t>
      </w:r>
      <w:r>
        <w:rPr>
          <w:rFonts w:ascii="MinionPro-Regular" w:hAnsi="MinionPro-Regular"/>
          <w:sz w:val="20"/>
          <w:szCs w:val="24"/>
          <w:lang w:val="es-ES_tradnl"/>
        </w:rPr>
        <w:t>te</w:t>
      </w:r>
      <w:r w:rsidRPr="00394A03">
        <w:rPr>
          <w:rFonts w:ascii="MinionPro-Regular" w:hAnsi="MinionPro-Regular"/>
          <w:sz w:val="20"/>
          <w:szCs w:val="24"/>
          <w:lang w:val="es-ES_tradnl"/>
        </w:rPr>
        <w:t>nimiento</w:t>
      </w:r>
      <w:r>
        <w:rPr>
          <w:rFonts w:ascii="MinionPro-Regular" w:hAnsi="MinionPro-Regular"/>
          <w:sz w:val="20"/>
          <w:szCs w:val="24"/>
          <w:lang w:val="es-ES_tradnl"/>
        </w:rPr>
        <w:t xml:space="preserve">: 8,9%; </w:t>
      </w:r>
      <w:r w:rsidRPr="00394A03">
        <w:rPr>
          <w:rFonts w:ascii="MinionPro-Regular" w:hAnsi="MinionPro-Regular"/>
          <w:sz w:val="20"/>
          <w:szCs w:val="24"/>
          <w:lang w:val="es-ES_tradnl"/>
        </w:rPr>
        <w:t>Comercio al por menor, excepto de vehículos de motor y motocicletas</w:t>
      </w:r>
      <w:r>
        <w:rPr>
          <w:rFonts w:ascii="MinionPro-Regular" w:hAnsi="MinionPro-Regular"/>
          <w:sz w:val="20"/>
          <w:szCs w:val="24"/>
          <w:lang w:val="es-ES_tradnl"/>
        </w:rPr>
        <w:t xml:space="preserve">: 7,1%; </w:t>
      </w:r>
      <w:r w:rsidRPr="00394A03">
        <w:rPr>
          <w:rFonts w:ascii="MinionPro-Regular" w:hAnsi="MinionPro-Regular"/>
          <w:sz w:val="20"/>
          <w:szCs w:val="24"/>
          <w:lang w:val="es-ES_tradnl"/>
        </w:rPr>
        <w:t>Resto de servicios</w:t>
      </w:r>
      <w:r>
        <w:rPr>
          <w:rFonts w:ascii="MinionPro-Regular" w:hAnsi="MinionPro-Regular"/>
          <w:sz w:val="20"/>
          <w:szCs w:val="24"/>
          <w:lang w:val="es-ES_tradnl"/>
        </w:rPr>
        <w:t xml:space="preserve">: 6,6%; </w:t>
      </w:r>
      <w:r w:rsidRPr="00394A03">
        <w:rPr>
          <w:rFonts w:ascii="MinionPro-Regular" w:hAnsi="MinionPro-Regular"/>
          <w:sz w:val="20"/>
          <w:szCs w:val="24"/>
          <w:lang w:val="es-ES_tradnl"/>
        </w:rPr>
        <w:t>Información y comunicaciones, actividades financieras y de seguros, inmobiliarias, profesionales, científicas y técnicas</w:t>
      </w:r>
      <w:r>
        <w:rPr>
          <w:rFonts w:ascii="MinionPro-Regular" w:hAnsi="MinionPro-Regular"/>
          <w:sz w:val="20"/>
          <w:szCs w:val="24"/>
          <w:lang w:val="es-ES_tradnl"/>
        </w:rPr>
        <w:t xml:space="preserve">: 5,8%; </w:t>
      </w:r>
      <w:r w:rsidRPr="00394A03">
        <w:rPr>
          <w:rFonts w:ascii="MinionPro-Regular" w:hAnsi="MinionPro-Regular"/>
          <w:sz w:val="20"/>
          <w:szCs w:val="24"/>
          <w:lang w:val="es-ES_tradnl"/>
        </w:rPr>
        <w:t>Transporte y almacenamiento</w:t>
      </w:r>
      <w:r>
        <w:rPr>
          <w:rFonts w:ascii="MinionPro-Regular" w:hAnsi="MinionPro-Regular"/>
          <w:sz w:val="20"/>
          <w:szCs w:val="24"/>
          <w:lang w:val="es-ES_tradnl"/>
        </w:rPr>
        <w:t xml:space="preserve">: 4,4%; </w:t>
      </w:r>
      <w:r w:rsidRPr="00394A03">
        <w:rPr>
          <w:rFonts w:ascii="MinionPro-Regular" w:hAnsi="MinionPro-Regular"/>
          <w:sz w:val="20"/>
          <w:szCs w:val="24"/>
          <w:lang w:val="es-ES_tradnl"/>
        </w:rPr>
        <w:t>Venta y reparación de vehículos de motor y motocicletas, comercio al por mayor e intermediarios del comercio, excepto de vehículos de motor y motocicletas</w:t>
      </w:r>
      <w:r>
        <w:rPr>
          <w:rFonts w:ascii="MinionPro-Regular" w:hAnsi="MinionPro-Regular"/>
          <w:sz w:val="20"/>
          <w:szCs w:val="24"/>
          <w:lang w:val="es-ES_tradnl"/>
        </w:rPr>
        <w:t xml:space="preserve">: 4,1%; </w:t>
      </w:r>
      <w:r w:rsidRPr="00394A03">
        <w:rPr>
          <w:rFonts w:ascii="MinionPro-Regular" w:hAnsi="MinionPro-Regular"/>
          <w:sz w:val="20"/>
          <w:szCs w:val="24"/>
          <w:lang w:val="es-ES_tradnl"/>
        </w:rPr>
        <w:t>Construcción</w:t>
      </w:r>
      <w:r>
        <w:rPr>
          <w:rFonts w:ascii="MinionPro-Regular" w:hAnsi="MinionPro-Regular"/>
          <w:sz w:val="20"/>
          <w:szCs w:val="24"/>
          <w:lang w:val="es-ES_tradnl"/>
        </w:rPr>
        <w:t xml:space="preserve">: 3,9%; </w:t>
      </w:r>
      <w:r w:rsidRPr="00394A03">
        <w:rPr>
          <w:rFonts w:ascii="MinionPro-Regular" w:hAnsi="MinionPro-Regular"/>
          <w:sz w:val="20"/>
          <w:szCs w:val="24"/>
          <w:lang w:val="es-ES_tradnl"/>
        </w:rPr>
        <w:t>Hostelería</w:t>
      </w:r>
      <w:r>
        <w:rPr>
          <w:rFonts w:ascii="MinionPro-Regular" w:hAnsi="MinionPro-Regular"/>
          <w:sz w:val="20"/>
          <w:szCs w:val="24"/>
          <w:lang w:val="es-ES_tradnl"/>
        </w:rPr>
        <w:t xml:space="preserve">: 3,7%; </w:t>
      </w:r>
      <w:r w:rsidRPr="00394A03">
        <w:rPr>
          <w:rFonts w:ascii="MinionPro-Regular" w:hAnsi="MinionPro-Regular"/>
          <w:sz w:val="20"/>
          <w:szCs w:val="24"/>
          <w:lang w:val="es-ES_tradnl"/>
        </w:rPr>
        <w:t>Agricultura, ganadería, silvicultura y pesca</w:t>
      </w:r>
      <w:r>
        <w:rPr>
          <w:rFonts w:ascii="MinionPro-Regular" w:hAnsi="MinionPro-Regular"/>
          <w:sz w:val="20"/>
          <w:szCs w:val="24"/>
          <w:lang w:val="es-ES_tradnl"/>
        </w:rPr>
        <w:t xml:space="preserve">: 1,8% y </w:t>
      </w:r>
      <w:r w:rsidRPr="00394A03">
        <w:rPr>
          <w:rFonts w:ascii="MinionPro-Regular" w:hAnsi="MinionPro-Regular"/>
          <w:sz w:val="20"/>
          <w:szCs w:val="24"/>
          <w:lang w:val="es-ES_tradnl"/>
        </w:rPr>
        <w:t>Suministro de e</w:t>
      </w:r>
      <w:r>
        <w:rPr>
          <w:rFonts w:ascii="MinionPro-Regular" w:hAnsi="MinionPro-Regular"/>
          <w:sz w:val="20"/>
          <w:szCs w:val="24"/>
          <w:lang w:val="es-ES_tradnl"/>
        </w:rPr>
        <w:t xml:space="preserve">nergía </w:t>
      </w:r>
      <w:r w:rsidRPr="00394A03">
        <w:rPr>
          <w:rFonts w:ascii="MinionPro-Regular" w:hAnsi="MinionPro-Regular"/>
          <w:sz w:val="20"/>
          <w:szCs w:val="24"/>
          <w:lang w:val="es-ES_tradnl"/>
        </w:rPr>
        <w:t>eléctrica, gas, vapor y aire acondicionado, agua, actividades de saneamiento, gestión de residuos y descontaminación</w:t>
      </w:r>
      <w:r>
        <w:rPr>
          <w:rFonts w:ascii="MinionPro-Regular" w:hAnsi="MinionPro-Regular"/>
          <w:sz w:val="20"/>
          <w:szCs w:val="24"/>
          <w:lang w:val="es-ES_tradnl"/>
        </w:rPr>
        <w:t>: 1,3%.</w:t>
      </w:r>
    </w:p>
    <w:p w:rsidR="00E2336B" w:rsidRDefault="00E2336B">
      <w:pPr>
        <w:autoSpaceDE w:val="0"/>
        <w:autoSpaceDN w:val="0"/>
        <w:spacing w:line="360" w:lineRule="auto"/>
        <w:jc w:val="both"/>
        <w:rPr>
          <w:rFonts w:ascii="MinionPro-Regular" w:hAnsi="MinionPro-Regular"/>
          <w:sz w:val="20"/>
          <w:szCs w:val="24"/>
          <w:lang w:val="es-ES_tradnl"/>
        </w:rPr>
      </w:pPr>
    </w:p>
    <w:p w:rsidR="00750462" w:rsidRDefault="00750462" w:rsidP="00750462">
      <w:pPr>
        <w:autoSpaceDE w:val="0"/>
        <w:autoSpaceDN w:val="0"/>
        <w:spacing w:line="360" w:lineRule="auto"/>
        <w:jc w:val="both"/>
        <w:rPr>
          <w:rFonts w:ascii="MinionPro-Regular" w:hAnsi="MinionPro-Regular"/>
          <w:sz w:val="24"/>
          <w:szCs w:val="24"/>
          <w:lang w:val="es-ES_tradnl"/>
        </w:rPr>
      </w:pPr>
    </w:p>
    <w:p w:rsidR="00750462" w:rsidRDefault="00750462" w:rsidP="00750462">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Independientemente de los sectores en los que los centros especiales de empleo desarrollan su actividad, en lo que respecta a la tipología de contratos realizados, se observa un marcado carácter indefinido que se ha mantenido en los años de crisis económica.</w:t>
      </w:r>
    </w:p>
    <w:p w:rsidR="0075670B" w:rsidRDefault="0075670B" w:rsidP="00750462">
      <w:pPr>
        <w:autoSpaceDE w:val="0"/>
        <w:autoSpaceDN w:val="0"/>
        <w:spacing w:line="360" w:lineRule="auto"/>
        <w:jc w:val="both"/>
        <w:rPr>
          <w:rFonts w:ascii="MinionPro-Regular" w:hAnsi="MinionPro-Regular"/>
          <w:sz w:val="24"/>
          <w:szCs w:val="24"/>
          <w:lang w:val="es-ES_tradnl"/>
        </w:rPr>
      </w:pPr>
    </w:p>
    <w:p w:rsidR="00750462" w:rsidRDefault="00750462" w:rsidP="00750462">
      <w:pPr>
        <w:pBdr>
          <w:top w:val="single" w:sz="4" w:space="0" w:color="auto"/>
        </w:pBdr>
        <w:rPr>
          <w:rFonts w:ascii="MinionPro-Regular" w:hAnsi="MinionPro-Regular"/>
          <w:sz w:val="24"/>
          <w:szCs w:val="24"/>
          <w:lang w:val="es-ES_tradnl"/>
        </w:rPr>
      </w:pPr>
      <w:r w:rsidRPr="009B19FA">
        <w:rPr>
          <w:rFonts w:ascii="MinionPro-Regular" w:hAnsi="MinionPro-Regular"/>
          <w:sz w:val="20"/>
          <w:szCs w:val="24"/>
          <w:lang w:val="es-ES_tradnl"/>
        </w:rPr>
        <w:t>Estabilidad laboral en centros especiales de empleo: tipología de contratos</w:t>
      </w:r>
    </w:p>
    <w:p w:rsidR="00750462" w:rsidRPr="00C605E8" w:rsidRDefault="00750462" w:rsidP="00750462">
      <w:pPr>
        <w:rPr>
          <w:noProof/>
          <w:lang w:val="es-ES_tradnl"/>
        </w:rPr>
      </w:pPr>
    </w:p>
    <w:p w:rsidR="00750462" w:rsidRDefault="00F61DE8" w:rsidP="00750462">
      <w:pPr>
        <w:rPr>
          <w:lang w:val="es-ES_tradnl"/>
        </w:rPr>
      </w:pPr>
      <w:r>
        <w:rPr>
          <w:noProof/>
          <w:lang w:eastAsia="es-ES"/>
        </w:rPr>
        <w:lastRenderedPageBreak/>
        <w:drawing>
          <wp:inline distT="0" distB="0" distL="0" distR="0">
            <wp:extent cx="2682875" cy="2933065"/>
            <wp:effectExtent l="0" t="0" r="0" b="0"/>
            <wp:docPr id="15" name="Picture 10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r>
        <w:rPr>
          <w:noProof/>
          <w:lang w:eastAsia="es-ES"/>
        </w:rPr>
        <w:drawing>
          <wp:inline distT="0" distB="0" distL="0" distR="0">
            <wp:extent cx="2630805" cy="2933065"/>
            <wp:effectExtent l="0" t="0" r="0" b="0"/>
            <wp:docPr id="23" name="Picture 10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750462" w:rsidRDefault="00750462" w:rsidP="00750462">
      <w:pPr>
        <w:pStyle w:val="Textoindependiente"/>
        <w:rPr>
          <w:rFonts w:ascii="MinionPro-Regular" w:hAnsi="MinionPro-Regular"/>
          <w:sz w:val="20"/>
          <w:szCs w:val="24"/>
          <w:lang w:val="es-ES_tradnl"/>
        </w:rPr>
      </w:pPr>
      <w:r w:rsidRPr="007949F6">
        <w:rPr>
          <w:rFonts w:ascii="MinionPro-Regular" w:hAnsi="MinionPro-Regular"/>
          <w:sz w:val="20"/>
          <w:szCs w:val="24"/>
          <w:lang w:val="es-ES_tradnl"/>
        </w:rPr>
        <w:t>Fuente: SPEE (2009 y 2011)</w:t>
      </w:r>
    </w:p>
    <w:p w:rsidR="00750462" w:rsidRPr="00891BAF" w:rsidRDefault="00750462" w:rsidP="00750462">
      <w:pPr>
        <w:pBdr>
          <w:bottom w:val="single" w:sz="4" w:space="1" w:color="auto"/>
        </w:pBdr>
        <w:autoSpaceDE w:val="0"/>
        <w:autoSpaceDN w:val="0"/>
        <w:spacing w:line="360" w:lineRule="auto"/>
        <w:jc w:val="both"/>
        <w:rPr>
          <w:rFonts w:ascii="MinionPro-Regular" w:hAnsi="MinionPro-Regular"/>
          <w:sz w:val="20"/>
          <w:szCs w:val="24"/>
          <w:lang w:val="es-ES_tradnl"/>
        </w:rPr>
      </w:pPr>
      <w:r w:rsidRPr="00891BAF">
        <w:rPr>
          <w:rFonts w:ascii="MinionPro-Regular" w:hAnsi="MinionPro-Regular"/>
          <w:sz w:val="20"/>
          <w:szCs w:val="24"/>
          <w:lang w:val="es-ES_tradnl"/>
        </w:rPr>
        <w:t>Nota explicativa de las gráficas: Dos gráficas circulares. En la gráfica de la izquierda se representan los contratos a personas con discapacidad en centros especiales de empleo en 2009: 37% temporales y 63% indefinidos. En el gráfico de la derecha, se representan los contratos a personas con discapacidad en centros especiales de empleo en 2011: 35% temporales y 65% indefinidos.</w:t>
      </w:r>
    </w:p>
    <w:p w:rsidR="00750462" w:rsidRDefault="00750462">
      <w:pPr>
        <w:autoSpaceDE w:val="0"/>
        <w:autoSpaceDN w:val="0"/>
        <w:spacing w:line="360" w:lineRule="auto"/>
        <w:jc w:val="both"/>
        <w:rPr>
          <w:rFonts w:ascii="MinionPro-Regular" w:hAnsi="MinionPro-Regular"/>
          <w:sz w:val="20"/>
          <w:szCs w:val="24"/>
          <w:lang w:val="es-ES_tradnl"/>
        </w:rPr>
      </w:pPr>
    </w:p>
    <w:p w:rsidR="002959F0" w:rsidRDefault="00F23441" w:rsidP="0007541A">
      <w:pPr>
        <w:pStyle w:val="Ttulo2"/>
        <w:numPr>
          <w:ilvl w:val="1"/>
          <w:numId w:val="3"/>
        </w:numPr>
        <w:ind w:left="0"/>
        <w:rPr>
          <w:rFonts w:ascii="MinionPro-Regular" w:hAnsi="MinionPro-Regular"/>
          <w:lang w:val="es-ES_tradnl"/>
        </w:rPr>
      </w:pPr>
      <w:bookmarkStart w:id="69" w:name="_Toc347654272"/>
      <w:bookmarkStart w:id="70" w:name="_Toc347667874"/>
      <w:bookmarkStart w:id="71" w:name="_Toc352773557"/>
      <w:bookmarkEnd w:id="69"/>
      <w:bookmarkEnd w:id="70"/>
      <w:r w:rsidRPr="00F23441">
        <w:rPr>
          <w:rFonts w:ascii="MinionPro-Regular" w:hAnsi="MinionPro-Regular"/>
          <w:lang w:val="es-ES_tradnl"/>
        </w:rPr>
        <w:t>Centros especiales de empleo de iniciativa social</w:t>
      </w:r>
      <w:bookmarkEnd w:id="71"/>
    </w:p>
    <w:p w:rsidR="00E2336B" w:rsidRDefault="00E2336B">
      <w:pPr>
        <w:autoSpaceDE w:val="0"/>
        <w:autoSpaceDN w:val="0"/>
        <w:spacing w:line="360" w:lineRule="auto"/>
        <w:jc w:val="both"/>
        <w:rPr>
          <w:rFonts w:ascii="MinionPro-Regular" w:hAnsi="MinionPro-Regular"/>
          <w:sz w:val="24"/>
          <w:szCs w:val="24"/>
          <w:lang w:val="es-ES_tradnl"/>
        </w:rPr>
      </w:pPr>
    </w:p>
    <w:p w:rsidR="00E2336B" w:rsidRPr="00456F1A" w:rsidRDefault="00F23441">
      <w:pPr>
        <w:autoSpaceDE w:val="0"/>
        <w:autoSpaceDN w:val="0"/>
        <w:spacing w:line="360" w:lineRule="auto"/>
        <w:jc w:val="both"/>
        <w:rPr>
          <w:rFonts w:ascii="MinionPro-Regular" w:hAnsi="MinionPro-Regular"/>
          <w:i/>
          <w:sz w:val="24"/>
          <w:szCs w:val="24"/>
          <w:lang w:val="es-ES_tradnl"/>
        </w:rPr>
      </w:pPr>
      <w:r w:rsidRPr="00456F1A">
        <w:rPr>
          <w:rFonts w:ascii="MinionPro-Regular" w:hAnsi="MinionPro-Regular"/>
          <w:sz w:val="24"/>
          <w:szCs w:val="24"/>
          <w:lang w:val="es-ES_tradnl"/>
        </w:rPr>
        <w:t xml:space="preserve">De entre los centros especiales de empleo, tienen especial relevancia aquellos cuya iniciativa se considera social. </w:t>
      </w:r>
      <w:r w:rsidR="00456F1A">
        <w:rPr>
          <w:rFonts w:ascii="MinionPro-Regular" w:hAnsi="MinionPro-Regular"/>
          <w:sz w:val="24"/>
          <w:szCs w:val="24"/>
          <w:lang w:val="es-ES_tradnl"/>
        </w:rPr>
        <w:t xml:space="preserve">Las organizaciones especializadas de </w:t>
      </w:r>
      <w:r w:rsidR="008C2CAC" w:rsidRPr="00456F1A">
        <w:rPr>
          <w:rFonts w:ascii="MinionPro-Regular" w:hAnsi="MinionPro-Regular"/>
          <w:sz w:val="24"/>
          <w:szCs w:val="24"/>
        </w:rPr>
        <w:t xml:space="preserve">consideran centros especiales de empleo de iniciativa social aquellos </w:t>
      </w:r>
      <w:r w:rsidR="00456F1A">
        <w:rPr>
          <w:rFonts w:ascii="MinionPro-Regular" w:hAnsi="MinionPro-Regular"/>
          <w:sz w:val="24"/>
          <w:szCs w:val="24"/>
        </w:rPr>
        <w:t>“</w:t>
      </w:r>
      <w:r w:rsidR="008C2CAC" w:rsidRPr="00456F1A">
        <w:rPr>
          <w:rFonts w:ascii="MinionPro-Regular" w:hAnsi="MinionPro-Regular"/>
          <w:i/>
          <w:sz w:val="24"/>
          <w:szCs w:val="24"/>
        </w:rPr>
        <w:t xml:space="preserve">promovidos y participados en más de un 50%, directa o indirectamente, por una o varias entidades, ya sean públicas o privadas, que no tengan ánimo de lucro o que tengan reconocido su carácter social en sus Estatutos, ya sean asociaciones, fundaciones, corporaciones de derecho público, cooperativas de iniciativa social u otras entidades de la economía social, así como también aquellos cuya titularidad corresponda a sociedades mercantiles en las que la </w:t>
      </w:r>
      <w:r w:rsidR="008C2CAC" w:rsidRPr="00456F1A">
        <w:rPr>
          <w:rFonts w:ascii="MinionPro-Regular" w:hAnsi="MinionPro-Regular"/>
          <w:i/>
          <w:sz w:val="24"/>
          <w:szCs w:val="24"/>
        </w:rPr>
        <w:lastRenderedPageBreak/>
        <w:t>mayoría de su capital social sea propiedad de alguna de las entidades señaladas anteriormente, ya sea de forma directa o bien indirecta a través del concepto de sociedad dominante regulado en el art. 42 del Código de Comercio, y siempre que en todos los casos en sus estatutos o en acuerdo social se obliguen a la reinversión íntegra de sus beneficios para la creación de oportunidades de empleo para personas con discapacidad y la mejora continua de su competitividad y de su actividad de economía social, teniendo en todo caso la facultad de optar por reinvertirlos en el propio centro especial de empleo o en otros centros especiales de empleo de iniciativa social</w:t>
      </w:r>
      <w:r w:rsidR="00456F1A" w:rsidRPr="00456F1A">
        <w:rPr>
          <w:rFonts w:ascii="MinionPro-Regular" w:hAnsi="MinionPro-Regular"/>
          <w:i/>
          <w:sz w:val="24"/>
          <w:szCs w:val="24"/>
        </w:rPr>
        <w:t>”</w:t>
      </w:r>
      <w:r w:rsidR="008C2CAC" w:rsidRPr="00456F1A">
        <w:rPr>
          <w:rFonts w:ascii="MinionPro-Regular" w:hAnsi="MinionPro-Regular"/>
          <w:i/>
          <w:sz w:val="24"/>
          <w:szCs w:val="24"/>
        </w:rPr>
        <w:t xml:space="preserve">. </w:t>
      </w:r>
    </w:p>
    <w:p w:rsidR="00E2336B" w:rsidRDefault="00E2336B">
      <w:pPr>
        <w:autoSpaceDE w:val="0"/>
        <w:autoSpaceDN w:val="0"/>
        <w:spacing w:line="360" w:lineRule="auto"/>
        <w:jc w:val="both"/>
        <w:rPr>
          <w:rFonts w:ascii="MinionPro-Regular" w:hAnsi="MinionPro-Regular"/>
          <w:sz w:val="24"/>
          <w:szCs w:val="24"/>
          <w:lang w:val="es-ES_tradnl"/>
        </w:rPr>
      </w:pPr>
    </w:p>
    <w:p w:rsidR="00E2336B" w:rsidRDefault="00E2336B">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 xml:space="preserve">Los datos </w:t>
      </w:r>
      <w:r w:rsidR="008C2CAC" w:rsidRPr="00CD0211">
        <w:rPr>
          <w:rFonts w:ascii="MinionPro-Regular" w:hAnsi="MinionPro-Regular"/>
          <w:sz w:val="24"/>
          <w:szCs w:val="24"/>
          <w:lang w:val="es-ES_tradnl"/>
        </w:rPr>
        <w:t xml:space="preserve">públicos y </w:t>
      </w:r>
      <w:r w:rsidRPr="00CD0211">
        <w:rPr>
          <w:rFonts w:ascii="MinionPro-Regular" w:hAnsi="MinionPro-Regular"/>
          <w:sz w:val="24"/>
          <w:szCs w:val="24"/>
          <w:lang w:val="es-ES_tradnl"/>
        </w:rPr>
        <w:t>disponibles</w:t>
      </w:r>
      <w:r>
        <w:rPr>
          <w:rFonts w:ascii="MinionPro-Regular" w:hAnsi="MinionPro-Regular"/>
          <w:sz w:val="24"/>
          <w:szCs w:val="24"/>
          <w:lang w:val="es-ES_tradnl"/>
        </w:rPr>
        <w:t xml:space="preserve"> acerca de los centros especiales de empleo en España no presentan una especificación en cuanto a su iniciativa, social o empresarial. Debido a la dificultad de discernir una tipología de otra, y en aras de analizar a los centros de iniciativa social, se ha considerado tener en cuenta los datos aportados por FEACEM (</w:t>
      </w:r>
      <w:r w:rsidR="00F23441" w:rsidRPr="00F23441">
        <w:rPr>
          <w:rFonts w:ascii="MinionPro-Regular" w:hAnsi="MinionPro-Regular"/>
          <w:sz w:val="24"/>
          <w:szCs w:val="24"/>
          <w:lang w:val="es-ES_tradnl"/>
        </w:rPr>
        <w:t>Federación Empresarial Española de Asociaciones de Centros Especiales de Empleo</w:t>
      </w:r>
      <w:r>
        <w:rPr>
          <w:rFonts w:ascii="MinionPro-Regular" w:hAnsi="MinionPro-Regular"/>
          <w:sz w:val="24"/>
          <w:szCs w:val="24"/>
          <w:lang w:val="es-ES_tradnl"/>
        </w:rPr>
        <w:t>), cuyos centros asociados se ajustan a la definición anteriormente mencionada.</w:t>
      </w:r>
    </w:p>
    <w:p w:rsidR="00E2336B" w:rsidRDefault="00E2336B">
      <w:pPr>
        <w:autoSpaceDE w:val="0"/>
        <w:autoSpaceDN w:val="0"/>
        <w:spacing w:line="360" w:lineRule="auto"/>
        <w:jc w:val="both"/>
        <w:rPr>
          <w:rFonts w:ascii="MinionPro-Regular" w:hAnsi="MinionPro-Regular"/>
          <w:sz w:val="24"/>
          <w:szCs w:val="24"/>
          <w:lang w:val="es-ES_tradnl"/>
        </w:rPr>
      </w:pPr>
    </w:p>
    <w:p w:rsidR="00E2336B" w:rsidRPr="00E2336B" w:rsidRDefault="00E2336B">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 xml:space="preserve">Los datos y gráficos que a continuación se muestran corresponden sólo a una parte de los centros de iniciativa social, aquellos asociados a FEACEM. No se refieren, por lo tanto, a todos los centros de iniciativa social en España. </w:t>
      </w:r>
    </w:p>
    <w:p w:rsidR="00E2336B" w:rsidRPr="00E2336B" w:rsidRDefault="00E2336B">
      <w:pPr>
        <w:autoSpaceDE w:val="0"/>
        <w:autoSpaceDN w:val="0"/>
        <w:spacing w:line="360" w:lineRule="auto"/>
        <w:jc w:val="both"/>
        <w:rPr>
          <w:rFonts w:ascii="MinionPro-Regular" w:hAnsi="MinionPro-Regular"/>
          <w:sz w:val="24"/>
          <w:szCs w:val="24"/>
          <w:lang w:val="es-ES_tradnl"/>
        </w:rPr>
      </w:pPr>
    </w:p>
    <w:p w:rsidR="00E2336B" w:rsidRPr="00E2336B" w:rsidRDefault="00F23441">
      <w:pPr>
        <w:autoSpaceDE w:val="0"/>
        <w:autoSpaceDN w:val="0"/>
        <w:spacing w:line="360" w:lineRule="auto"/>
        <w:jc w:val="both"/>
        <w:rPr>
          <w:rFonts w:ascii="MinionPro-Regular" w:hAnsi="MinionPro-Regular"/>
          <w:sz w:val="24"/>
          <w:szCs w:val="24"/>
          <w:lang w:val="es-ES_tradnl"/>
        </w:rPr>
      </w:pPr>
      <w:r w:rsidRPr="00F23441">
        <w:rPr>
          <w:rFonts w:ascii="MinionPro-Regular" w:hAnsi="MinionPro-Regular"/>
          <w:sz w:val="24"/>
          <w:szCs w:val="24"/>
          <w:lang w:val="es-ES_tradnl"/>
        </w:rPr>
        <w:t xml:space="preserve">Según datos facilitados por FEACEM, </w:t>
      </w:r>
      <w:r w:rsidR="00E2336B">
        <w:rPr>
          <w:rFonts w:ascii="MinionPro-Regular" w:hAnsi="MinionPro-Regular"/>
          <w:sz w:val="24"/>
          <w:szCs w:val="24"/>
          <w:lang w:val="es-ES_tradnl"/>
        </w:rPr>
        <w:t>la federación representa</w:t>
      </w:r>
      <w:r w:rsidRPr="00F23441">
        <w:rPr>
          <w:rFonts w:ascii="MinionPro-Regular" w:hAnsi="MinionPro-Regular"/>
          <w:sz w:val="24"/>
          <w:szCs w:val="24"/>
          <w:lang w:val="es-ES_tradnl"/>
        </w:rPr>
        <w:t xml:space="preserve"> el 27% de los centros especiales de empleo registrados a 31 de diciembre de 2011. </w:t>
      </w:r>
      <w:r w:rsidR="00E2336B">
        <w:rPr>
          <w:rFonts w:ascii="MinionPro-Regular" w:hAnsi="MinionPro-Regular"/>
          <w:sz w:val="24"/>
          <w:szCs w:val="24"/>
          <w:lang w:val="es-ES_tradnl"/>
        </w:rPr>
        <w:t>O, lo que es lo mismo,</w:t>
      </w:r>
      <w:r w:rsidRPr="00F23441">
        <w:rPr>
          <w:rFonts w:ascii="MinionPro-Regular" w:hAnsi="MinionPro-Regular"/>
          <w:sz w:val="24"/>
          <w:szCs w:val="24"/>
          <w:lang w:val="es-ES_tradnl"/>
        </w:rPr>
        <w:t xml:space="preserve"> el 46% de los trabajadores con discapacidad en los centros especiales de empleo de España.</w:t>
      </w:r>
    </w:p>
    <w:p w:rsidR="00E2336B" w:rsidRPr="00E2336B" w:rsidRDefault="00E2336B">
      <w:pPr>
        <w:autoSpaceDE w:val="0"/>
        <w:autoSpaceDN w:val="0"/>
        <w:spacing w:line="360" w:lineRule="auto"/>
        <w:jc w:val="both"/>
        <w:rPr>
          <w:rFonts w:ascii="MinionPro-Regular" w:hAnsi="MinionPro-Regular"/>
          <w:sz w:val="24"/>
          <w:szCs w:val="24"/>
          <w:lang w:val="es-ES_tradnl"/>
        </w:rPr>
      </w:pPr>
    </w:p>
    <w:p w:rsidR="008C2CAC" w:rsidRDefault="00F23441">
      <w:pPr>
        <w:autoSpaceDE w:val="0"/>
        <w:autoSpaceDN w:val="0"/>
        <w:spacing w:line="360" w:lineRule="auto"/>
        <w:jc w:val="both"/>
        <w:rPr>
          <w:rFonts w:ascii="MinionPro-Regular" w:hAnsi="MinionPro-Regular"/>
          <w:sz w:val="24"/>
          <w:szCs w:val="24"/>
          <w:lang w:val="es-ES_tradnl"/>
        </w:rPr>
      </w:pPr>
      <w:r w:rsidRPr="00F23441">
        <w:rPr>
          <w:rFonts w:ascii="MinionPro-Regular" w:hAnsi="MinionPro-Regular"/>
          <w:sz w:val="24"/>
          <w:szCs w:val="24"/>
          <w:lang w:val="es-ES_tradnl"/>
        </w:rPr>
        <w:lastRenderedPageBreak/>
        <w:t>Según las distintas comunidades autónomas, los centros de iniciativa social*, se distribuyen principalmente en: Andalucía, Madrid, Cataluña y Aragón.</w:t>
      </w:r>
      <w:r w:rsidR="008C2CAC">
        <w:rPr>
          <w:rFonts w:ascii="MinionPro-Regular" w:hAnsi="MinionPro-Regular"/>
          <w:sz w:val="24"/>
          <w:szCs w:val="24"/>
          <w:lang w:val="es-ES_tradnl"/>
        </w:rPr>
        <w:t xml:space="preserve"> </w:t>
      </w:r>
    </w:p>
    <w:p w:rsidR="008C2CAC" w:rsidRDefault="008C2CAC">
      <w:pPr>
        <w:autoSpaceDE w:val="0"/>
        <w:autoSpaceDN w:val="0"/>
        <w:spacing w:line="360" w:lineRule="auto"/>
        <w:jc w:val="both"/>
        <w:rPr>
          <w:rFonts w:ascii="MinionPro-Regular" w:hAnsi="MinionPro-Regular"/>
          <w:sz w:val="24"/>
          <w:szCs w:val="24"/>
          <w:lang w:val="es-ES_tradnl"/>
        </w:rPr>
      </w:pPr>
    </w:p>
    <w:p w:rsidR="00E2336B" w:rsidRPr="00456F1A" w:rsidRDefault="008C2CAC">
      <w:pPr>
        <w:autoSpaceDE w:val="0"/>
        <w:autoSpaceDN w:val="0"/>
        <w:spacing w:line="360" w:lineRule="auto"/>
        <w:jc w:val="both"/>
        <w:rPr>
          <w:rFonts w:ascii="MinionPro-Regular" w:hAnsi="MinionPro-Regular"/>
          <w:sz w:val="24"/>
          <w:szCs w:val="24"/>
          <w:lang w:val="es-ES_tradnl"/>
        </w:rPr>
      </w:pPr>
      <w:r w:rsidRPr="00456F1A">
        <w:rPr>
          <w:rFonts w:ascii="MinionPro-Regular" w:hAnsi="MinionPro-Regular"/>
          <w:sz w:val="24"/>
          <w:szCs w:val="24"/>
          <w:lang w:val="es-ES_tradnl"/>
        </w:rPr>
        <w:t>En proporción al número de centros especiales de empleo por Comunidad Autónoma, destaca la Comunidad Foral de Navarra</w:t>
      </w:r>
      <w:r w:rsidR="00456F1A" w:rsidRPr="00456F1A">
        <w:rPr>
          <w:rFonts w:ascii="MinionPro-Regular" w:hAnsi="MinionPro-Regular"/>
          <w:sz w:val="24"/>
          <w:szCs w:val="24"/>
          <w:lang w:val="es-ES_tradnl"/>
        </w:rPr>
        <w:t xml:space="preserve"> donde</w:t>
      </w:r>
      <w:r w:rsidRPr="00456F1A">
        <w:rPr>
          <w:rFonts w:ascii="MinionPro-Regular" w:hAnsi="MinionPro-Regular"/>
          <w:sz w:val="24"/>
          <w:szCs w:val="24"/>
          <w:lang w:val="es-ES_tradnl"/>
        </w:rPr>
        <w:t xml:space="preserve"> un </w:t>
      </w:r>
      <w:r w:rsidR="00C001ED" w:rsidRPr="00456F1A">
        <w:rPr>
          <w:rFonts w:ascii="MinionPro-Regular" w:hAnsi="MinionPro-Regular"/>
          <w:sz w:val="24"/>
          <w:szCs w:val="24"/>
          <w:lang w:val="es-ES_tradnl"/>
        </w:rPr>
        <w:t>58,82</w:t>
      </w:r>
      <w:r w:rsidRPr="00456F1A">
        <w:rPr>
          <w:rFonts w:ascii="MinionPro-Regular" w:hAnsi="MinionPro-Regular"/>
          <w:sz w:val="24"/>
          <w:szCs w:val="24"/>
          <w:lang w:val="es-ES_tradnl"/>
        </w:rPr>
        <w:t xml:space="preserve">% de </w:t>
      </w:r>
      <w:r w:rsidR="00456F1A" w:rsidRPr="00456F1A">
        <w:rPr>
          <w:rFonts w:ascii="MinionPro-Regular" w:hAnsi="MinionPro-Regular"/>
          <w:sz w:val="24"/>
          <w:szCs w:val="24"/>
          <w:lang w:val="es-ES_tradnl"/>
        </w:rPr>
        <w:t xml:space="preserve">los </w:t>
      </w:r>
      <w:r w:rsidRPr="00456F1A">
        <w:rPr>
          <w:rFonts w:ascii="MinionPro-Regular" w:hAnsi="MinionPro-Regular"/>
          <w:sz w:val="24"/>
          <w:szCs w:val="24"/>
          <w:lang w:val="es-ES_tradnl"/>
        </w:rPr>
        <w:t xml:space="preserve">centros </w:t>
      </w:r>
      <w:r w:rsidR="00456F1A" w:rsidRPr="00456F1A">
        <w:rPr>
          <w:rFonts w:ascii="MinionPro-Regular" w:hAnsi="MinionPro-Regular"/>
          <w:sz w:val="24"/>
          <w:szCs w:val="24"/>
          <w:lang w:val="es-ES_tradnl"/>
        </w:rPr>
        <w:t xml:space="preserve">son </w:t>
      </w:r>
      <w:r w:rsidRPr="00456F1A">
        <w:rPr>
          <w:rFonts w:ascii="MinionPro-Regular" w:hAnsi="MinionPro-Regular"/>
          <w:sz w:val="24"/>
          <w:szCs w:val="24"/>
          <w:lang w:val="es-ES_tradnl"/>
        </w:rPr>
        <w:t>de iniciativa social.</w:t>
      </w:r>
      <w:r w:rsidR="00E2336B" w:rsidRPr="00456F1A">
        <w:rPr>
          <w:rFonts w:ascii="MinionPro-Regular" w:hAnsi="MinionPro-Regular"/>
          <w:sz w:val="24"/>
          <w:szCs w:val="24"/>
          <w:lang w:val="es-ES_tradnl"/>
        </w:rPr>
        <w:t xml:space="preserve"> </w:t>
      </w:r>
    </w:p>
    <w:p w:rsidR="00E2336B" w:rsidRDefault="00E2336B">
      <w:pPr>
        <w:autoSpaceDE w:val="0"/>
        <w:autoSpaceDN w:val="0"/>
        <w:spacing w:line="360" w:lineRule="auto"/>
        <w:jc w:val="both"/>
        <w:rPr>
          <w:lang w:val="es-ES_tradnl"/>
        </w:rPr>
      </w:pPr>
    </w:p>
    <w:p w:rsidR="00E2336B" w:rsidRPr="00E2336B" w:rsidRDefault="00E2336B" w:rsidP="00862666">
      <w:pPr>
        <w:pBdr>
          <w:top w:val="single" w:sz="4" w:space="0" w:color="auto"/>
        </w:pBdr>
        <w:rPr>
          <w:rFonts w:ascii="MinionPro-Regular" w:hAnsi="MinionPro-Regular"/>
          <w:sz w:val="20"/>
          <w:lang w:val="es-ES_tradnl"/>
        </w:rPr>
      </w:pPr>
      <w:r>
        <w:rPr>
          <w:rFonts w:ascii="MinionPro-Regular" w:hAnsi="MinionPro-Regular"/>
          <w:sz w:val="20"/>
          <w:lang w:val="es-ES_tradnl"/>
        </w:rPr>
        <w:t>Número de centros especiales de empleo de iniciativa social*</w:t>
      </w:r>
    </w:p>
    <w:p w:rsidR="00E2336B" w:rsidRDefault="00E1516B">
      <w:pPr>
        <w:autoSpaceDE w:val="0"/>
        <w:autoSpaceDN w:val="0"/>
        <w:spacing w:line="360" w:lineRule="auto"/>
        <w:jc w:val="both"/>
        <w:rPr>
          <w:lang w:val="es-ES_tradnl"/>
        </w:rPr>
      </w:pPr>
      <w:r>
        <w:rPr>
          <w:noProof/>
          <w:lang w:eastAsia="es-ES"/>
        </w:rPr>
        <w:drawing>
          <wp:inline distT="0" distB="0" distL="0" distR="0">
            <wp:extent cx="4831080" cy="3148330"/>
            <wp:effectExtent l="0" t="0" r="0" b="0"/>
            <wp:docPr id="43" name="Picture 4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E2336B" w:rsidRDefault="00E2336B" w:rsidP="00862666">
      <w:pPr>
        <w:pBdr>
          <w:bottom w:val="single" w:sz="4" w:space="1" w:color="auto"/>
        </w:pBdr>
        <w:autoSpaceDE w:val="0"/>
        <w:autoSpaceDN w:val="0"/>
        <w:spacing w:line="360" w:lineRule="auto"/>
        <w:jc w:val="both"/>
        <w:rPr>
          <w:rFonts w:ascii="MinionPro-Regular" w:hAnsi="MinionPro-Regular"/>
          <w:sz w:val="20"/>
          <w:szCs w:val="24"/>
          <w:lang w:val="es-ES_tradnl"/>
        </w:rPr>
      </w:pPr>
      <w:r w:rsidRPr="008B461D">
        <w:rPr>
          <w:rFonts w:ascii="MinionPro-Regular" w:hAnsi="MinionPro-Regular"/>
          <w:sz w:val="20"/>
          <w:szCs w:val="24"/>
          <w:lang w:val="es-ES_tradnl"/>
        </w:rPr>
        <w:t xml:space="preserve">Fuente: Elaboración propia a partir de datos </w:t>
      </w:r>
      <w:r>
        <w:rPr>
          <w:rFonts w:ascii="MinionPro-Regular" w:hAnsi="MinionPro-Regular"/>
          <w:sz w:val="20"/>
          <w:szCs w:val="24"/>
          <w:lang w:val="es-ES_tradnl"/>
        </w:rPr>
        <w:t>de FEACEM</w:t>
      </w:r>
      <w:r w:rsidRPr="008B461D">
        <w:rPr>
          <w:rFonts w:ascii="MinionPro-Regular" w:hAnsi="MinionPro-Regular"/>
          <w:sz w:val="20"/>
          <w:szCs w:val="24"/>
          <w:lang w:val="es-ES_tradnl"/>
        </w:rPr>
        <w:t>, 2011</w:t>
      </w:r>
    </w:p>
    <w:p w:rsidR="00E2336B" w:rsidRDefault="00E2336B" w:rsidP="00862666">
      <w:pPr>
        <w:pBdr>
          <w:bottom w:val="single" w:sz="4" w:space="1" w:color="auto"/>
        </w:pBdr>
        <w:autoSpaceDE w:val="0"/>
        <w:autoSpaceDN w:val="0"/>
        <w:spacing w:line="360" w:lineRule="auto"/>
        <w:jc w:val="both"/>
        <w:rPr>
          <w:rFonts w:ascii="MinionPro-Regular" w:hAnsi="MinionPro-Regular"/>
          <w:sz w:val="20"/>
          <w:szCs w:val="24"/>
          <w:lang w:val="es-ES_tradnl"/>
        </w:rPr>
      </w:pPr>
      <w:r>
        <w:rPr>
          <w:rFonts w:ascii="MinionPro-Regular" w:hAnsi="MinionPro-Regular"/>
          <w:sz w:val="20"/>
          <w:szCs w:val="24"/>
          <w:lang w:val="es-ES_tradnl"/>
        </w:rPr>
        <w:t>*Los datos sólo incluyen información de los centros especiales de empleo de iniciativa social que pertenecen a FEACEM.</w:t>
      </w:r>
    </w:p>
    <w:p w:rsidR="00E2336B" w:rsidRDefault="00E2336B" w:rsidP="00862666">
      <w:pPr>
        <w:pBdr>
          <w:bottom w:val="single" w:sz="4" w:space="1" w:color="auto"/>
        </w:pBdr>
        <w:autoSpaceDE w:val="0"/>
        <w:autoSpaceDN w:val="0"/>
        <w:spacing w:line="360" w:lineRule="auto"/>
        <w:jc w:val="both"/>
        <w:rPr>
          <w:rFonts w:ascii="MinionPro-Regular" w:hAnsi="MinionPro-Regular"/>
          <w:sz w:val="20"/>
          <w:szCs w:val="24"/>
          <w:lang w:val="es-ES_tradnl"/>
        </w:rPr>
      </w:pPr>
      <w:r>
        <w:rPr>
          <w:rFonts w:ascii="MinionPro-Regular" w:hAnsi="MinionPro-Regular"/>
          <w:sz w:val="20"/>
          <w:szCs w:val="24"/>
          <w:lang w:val="es-ES_tradnl"/>
        </w:rPr>
        <w:t>Nota explicativa de la gráfica: Eje vertical, Número de centros especiales de empleo de iniciativa social (sólo referentes a datos de FEACEM). Eje horizontal: Comunidades Autónomas. Los datos son: Andalucía: 189; Aragón: 42; Asturias: 11; Baleares: 10; Canarias: 19; Cantabria: 8; Castilla La Mancha: 29; Castilla y León: 37; Cataluña: 58; C</w:t>
      </w:r>
      <w:r w:rsidRPr="00394A03">
        <w:rPr>
          <w:rFonts w:ascii="MinionPro-Regular" w:hAnsi="MinionPro-Regular"/>
          <w:sz w:val="20"/>
          <w:szCs w:val="24"/>
          <w:lang w:val="es-ES_tradnl"/>
        </w:rPr>
        <w:t>o</w:t>
      </w:r>
      <w:r>
        <w:rPr>
          <w:rFonts w:ascii="MinionPro-Regular" w:hAnsi="MinionPro-Regular"/>
          <w:sz w:val="20"/>
          <w:szCs w:val="24"/>
          <w:lang w:val="es-ES_tradnl"/>
        </w:rPr>
        <w:t>munidad Valenciana: 17; Extremadura: 14; Galicia: 36; La Rioja: 7; Madrid: 60; Murcia: 18; Navarra: 10; País Vasco: 27; Ceuta: 1 y Melilla: 1.</w:t>
      </w:r>
    </w:p>
    <w:p w:rsidR="00E2336B" w:rsidRDefault="00E2336B" w:rsidP="00862666">
      <w:pPr>
        <w:autoSpaceDE w:val="0"/>
        <w:autoSpaceDN w:val="0"/>
        <w:spacing w:line="360" w:lineRule="auto"/>
        <w:jc w:val="both"/>
        <w:rPr>
          <w:rFonts w:ascii="MinionPro-Regular" w:hAnsi="MinionPro-Regular"/>
          <w:sz w:val="20"/>
          <w:szCs w:val="24"/>
          <w:lang w:val="es-ES_tradnl"/>
        </w:rPr>
      </w:pPr>
    </w:p>
    <w:p w:rsidR="00E2336B" w:rsidRDefault="00F23441">
      <w:pPr>
        <w:autoSpaceDE w:val="0"/>
        <w:autoSpaceDN w:val="0"/>
        <w:spacing w:line="360" w:lineRule="auto"/>
        <w:jc w:val="both"/>
        <w:rPr>
          <w:rFonts w:ascii="MinionPro-Regular" w:hAnsi="MinionPro-Regular"/>
          <w:sz w:val="24"/>
          <w:szCs w:val="24"/>
          <w:lang w:val="es-ES_tradnl"/>
        </w:rPr>
      </w:pPr>
      <w:r w:rsidRPr="00F23441">
        <w:rPr>
          <w:rFonts w:ascii="MinionPro-Regular" w:hAnsi="MinionPro-Regular"/>
          <w:sz w:val="24"/>
          <w:szCs w:val="24"/>
          <w:lang w:val="es-ES_tradnl"/>
        </w:rPr>
        <w:lastRenderedPageBreak/>
        <w:t xml:space="preserve">En lo que se refiere a las personas, la distribución geográfica varía considerablemente debido a la práctica existente en País Vasco y Navarra, que a pesar de no presentar un número muy elevado de centros, concentran a </w:t>
      </w:r>
      <w:r w:rsidR="00E2336B">
        <w:rPr>
          <w:rFonts w:ascii="MinionPro-Regular" w:hAnsi="MinionPro-Regular"/>
          <w:sz w:val="24"/>
          <w:szCs w:val="24"/>
          <w:lang w:val="es-ES_tradnl"/>
        </w:rPr>
        <w:t>un número significativo</w:t>
      </w:r>
      <w:r w:rsidRPr="00F23441">
        <w:rPr>
          <w:rFonts w:ascii="MinionPro-Regular" w:hAnsi="MinionPro-Regular"/>
          <w:sz w:val="24"/>
          <w:szCs w:val="24"/>
          <w:lang w:val="es-ES_tradnl"/>
        </w:rPr>
        <w:t xml:space="preserve"> de los trabajadores con discapacidad.</w:t>
      </w:r>
    </w:p>
    <w:p w:rsidR="0075670B" w:rsidRPr="00E2336B" w:rsidRDefault="0075670B">
      <w:pPr>
        <w:autoSpaceDE w:val="0"/>
        <w:autoSpaceDN w:val="0"/>
        <w:spacing w:line="360" w:lineRule="auto"/>
        <w:jc w:val="both"/>
        <w:rPr>
          <w:rFonts w:ascii="MinionPro-Regular" w:hAnsi="MinionPro-Regular"/>
          <w:sz w:val="24"/>
          <w:szCs w:val="24"/>
          <w:lang w:val="es-ES_tradnl"/>
        </w:rPr>
      </w:pPr>
    </w:p>
    <w:p w:rsidR="00E2336B" w:rsidRDefault="00E2336B">
      <w:pPr>
        <w:autoSpaceDE w:val="0"/>
        <w:autoSpaceDN w:val="0"/>
        <w:spacing w:line="360" w:lineRule="auto"/>
        <w:jc w:val="both"/>
        <w:rPr>
          <w:lang w:val="es-ES_tradnl"/>
        </w:rPr>
      </w:pPr>
    </w:p>
    <w:p w:rsidR="00E2336B" w:rsidRPr="00E2336B" w:rsidRDefault="00E2336B" w:rsidP="0062140A">
      <w:pPr>
        <w:pBdr>
          <w:top w:val="single" w:sz="4" w:space="0" w:color="auto"/>
        </w:pBdr>
        <w:rPr>
          <w:rFonts w:ascii="MinionPro-Regular" w:hAnsi="MinionPro-Regular"/>
          <w:color w:val="FF0000"/>
          <w:sz w:val="20"/>
          <w:lang w:val="es-ES_tradnl"/>
        </w:rPr>
      </w:pPr>
      <w:r>
        <w:rPr>
          <w:rFonts w:ascii="MinionPro-Regular" w:hAnsi="MinionPro-Regular"/>
          <w:sz w:val="20"/>
          <w:lang w:val="es-ES_tradnl"/>
        </w:rPr>
        <w:t xml:space="preserve">Número de trabajadores con discapacidad en centros especiales de empleo de iniciativa social* </w:t>
      </w:r>
    </w:p>
    <w:p w:rsidR="00E2336B" w:rsidRDefault="00E1516B">
      <w:pPr>
        <w:autoSpaceDE w:val="0"/>
        <w:autoSpaceDN w:val="0"/>
        <w:spacing w:line="360" w:lineRule="auto"/>
        <w:jc w:val="both"/>
        <w:rPr>
          <w:lang w:val="es-ES_tradnl"/>
        </w:rPr>
      </w:pPr>
      <w:r>
        <w:rPr>
          <w:noProof/>
          <w:lang w:eastAsia="es-ES"/>
        </w:rPr>
        <w:drawing>
          <wp:inline distT="0" distB="0" distL="0" distR="0">
            <wp:extent cx="5400040" cy="3252470"/>
            <wp:effectExtent l="0" t="0" r="0" b="0"/>
            <wp:docPr id="44" name="Picture 4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E2336B" w:rsidRDefault="00E2336B" w:rsidP="0062140A">
      <w:pPr>
        <w:pBdr>
          <w:bottom w:val="single" w:sz="4" w:space="1" w:color="auto"/>
        </w:pBdr>
        <w:autoSpaceDE w:val="0"/>
        <w:autoSpaceDN w:val="0"/>
        <w:spacing w:line="360" w:lineRule="auto"/>
        <w:jc w:val="both"/>
        <w:rPr>
          <w:rFonts w:ascii="MinionPro-Regular" w:hAnsi="MinionPro-Regular"/>
          <w:sz w:val="20"/>
          <w:szCs w:val="24"/>
          <w:lang w:val="es-ES_tradnl"/>
        </w:rPr>
      </w:pPr>
      <w:r w:rsidRPr="008B461D">
        <w:rPr>
          <w:rFonts w:ascii="MinionPro-Regular" w:hAnsi="MinionPro-Regular"/>
          <w:sz w:val="20"/>
          <w:szCs w:val="24"/>
          <w:lang w:val="es-ES_tradnl"/>
        </w:rPr>
        <w:t xml:space="preserve">Fuente: Elaboración propia a partir de datos </w:t>
      </w:r>
      <w:r>
        <w:rPr>
          <w:rFonts w:ascii="MinionPro-Regular" w:hAnsi="MinionPro-Regular"/>
          <w:sz w:val="20"/>
          <w:szCs w:val="24"/>
          <w:lang w:val="es-ES_tradnl"/>
        </w:rPr>
        <w:t>de FEACEM</w:t>
      </w:r>
      <w:r w:rsidRPr="008B461D">
        <w:rPr>
          <w:rFonts w:ascii="MinionPro-Regular" w:hAnsi="MinionPro-Regular"/>
          <w:sz w:val="20"/>
          <w:szCs w:val="24"/>
          <w:lang w:val="es-ES_tradnl"/>
        </w:rPr>
        <w:t>, 2011</w:t>
      </w:r>
    </w:p>
    <w:p w:rsidR="00E2336B" w:rsidRDefault="00E2336B" w:rsidP="0062140A">
      <w:pPr>
        <w:pBdr>
          <w:bottom w:val="single" w:sz="4" w:space="1" w:color="auto"/>
        </w:pBdr>
        <w:autoSpaceDE w:val="0"/>
        <w:autoSpaceDN w:val="0"/>
        <w:spacing w:line="360" w:lineRule="auto"/>
        <w:jc w:val="both"/>
        <w:rPr>
          <w:rFonts w:ascii="MinionPro-Regular" w:hAnsi="MinionPro-Regular"/>
          <w:sz w:val="20"/>
          <w:szCs w:val="24"/>
          <w:lang w:val="es-ES_tradnl"/>
        </w:rPr>
      </w:pPr>
      <w:r>
        <w:rPr>
          <w:rFonts w:ascii="MinionPro-Regular" w:hAnsi="MinionPro-Regular"/>
          <w:sz w:val="20"/>
          <w:szCs w:val="24"/>
          <w:lang w:val="es-ES_tradnl"/>
        </w:rPr>
        <w:t>*Los datos sólo incluyen información de los centros especiales de empleo de iniciativa social que pertenecen a FEACEM.</w:t>
      </w:r>
    </w:p>
    <w:p w:rsidR="00E2336B" w:rsidRDefault="00E2336B" w:rsidP="0062140A">
      <w:pPr>
        <w:pBdr>
          <w:bottom w:val="single" w:sz="4" w:space="1" w:color="auto"/>
        </w:pBdr>
        <w:autoSpaceDE w:val="0"/>
        <w:autoSpaceDN w:val="0"/>
        <w:spacing w:line="360" w:lineRule="auto"/>
        <w:jc w:val="both"/>
        <w:rPr>
          <w:rFonts w:ascii="MinionPro-Regular" w:hAnsi="MinionPro-Regular"/>
          <w:sz w:val="20"/>
          <w:szCs w:val="24"/>
          <w:lang w:val="es-ES_tradnl"/>
        </w:rPr>
      </w:pPr>
      <w:r>
        <w:rPr>
          <w:rFonts w:ascii="MinionPro-Regular" w:hAnsi="MinionPro-Regular"/>
          <w:sz w:val="20"/>
          <w:szCs w:val="24"/>
          <w:lang w:val="es-ES_tradnl"/>
        </w:rPr>
        <w:t>Nota explicativa de la gráfica: Eje vertical, Número de trabajadores con discapacidad en centros especiales de empleo de iniciativa social (sólo referentes a datos de FEACEM). Eje horizontal: Comunidades Autónomas de mayor a menor. Los datos son: País Vasco: 6.035; Andalucía: 5.674; Cataluña: 5.043; Madrid: 3.175; Castilla y León: 1.619; Aragón: 1.380; Navarra: 1.122; Castilla La Mancha: 1.054; Comunidad Valenciana: 903; Galicia: 811; Asturias: 542; Cantabria: 511; Canarias: 455; Murcia: 431; Extremadura: 399; La Rioja: 292; Baleares: 256; Ceuta: 27 y Melilla: 2.</w:t>
      </w:r>
    </w:p>
    <w:p w:rsidR="00E2336B" w:rsidRDefault="00E2336B">
      <w:pPr>
        <w:autoSpaceDE w:val="0"/>
        <w:autoSpaceDN w:val="0"/>
        <w:spacing w:line="360" w:lineRule="auto"/>
        <w:jc w:val="both"/>
        <w:rPr>
          <w:lang w:val="es-ES_tradnl"/>
        </w:rPr>
      </w:pPr>
    </w:p>
    <w:p w:rsidR="00E2336B" w:rsidRDefault="00F23441">
      <w:pPr>
        <w:autoSpaceDE w:val="0"/>
        <w:autoSpaceDN w:val="0"/>
        <w:spacing w:line="360" w:lineRule="auto"/>
        <w:jc w:val="both"/>
        <w:rPr>
          <w:rFonts w:ascii="MinionPro-Regular" w:hAnsi="MinionPro-Regular"/>
          <w:sz w:val="24"/>
          <w:szCs w:val="24"/>
          <w:lang w:val="es-ES_tradnl"/>
        </w:rPr>
      </w:pPr>
      <w:r w:rsidRPr="00F23441">
        <w:rPr>
          <w:rFonts w:ascii="MinionPro-Regular" w:hAnsi="MinionPro-Regular"/>
          <w:sz w:val="24"/>
          <w:szCs w:val="24"/>
          <w:lang w:val="es-ES_tradnl"/>
        </w:rPr>
        <w:lastRenderedPageBreak/>
        <w:t xml:space="preserve">Teniendo en cuenta los datos de todos los centros especiales de empleo en España, </w:t>
      </w:r>
      <w:r w:rsidR="00E2336B">
        <w:rPr>
          <w:rFonts w:ascii="MinionPro-Regular" w:hAnsi="MinionPro-Regular"/>
          <w:sz w:val="24"/>
          <w:szCs w:val="24"/>
          <w:lang w:val="es-ES_tradnl"/>
        </w:rPr>
        <w:t>su</w:t>
      </w:r>
      <w:r w:rsidRPr="00F23441">
        <w:rPr>
          <w:rFonts w:ascii="MinionPro-Regular" w:hAnsi="MinionPro-Regular"/>
          <w:sz w:val="24"/>
          <w:szCs w:val="24"/>
          <w:lang w:val="es-ES_tradnl"/>
        </w:rPr>
        <w:t xml:space="preserve"> tamaño medio está alrededor de 30 trabajadores con discapacidad</w:t>
      </w:r>
      <w:r w:rsidR="00E2336B">
        <w:rPr>
          <w:rFonts w:ascii="MinionPro-Regular" w:hAnsi="MinionPro-Regular"/>
          <w:sz w:val="24"/>
          <w:szCs w:val="24"/>
          <w:lang w:val="es-ES_tradnl"/>
        </w:rPr>
        <w:t>. Sin embargo, para los centros especiales de empleo de iniciativa social asociados a FEACEM, esta cifra ascendería a aproximadamente 52 trabajadores.</w:t>
      </w:r>
    </w:p>
    <w:p w:rsidR="00E2336B" w:rsidRDefault="00E2336B">
      <w:pPr>
        <w:autoSpaceDE w:val="0"/>
        <w:autoSpaceDN w:val="0"/>
        <w:spacing w:line="360" w:lineRule="auto"/>
        <w:jc w:val="both"/>
        <w:rPr>
          <w:rFonts w:ascii="MinionPro-Regular" w:hAnsi="MinionPro-Regular"/>
          <w:sz w:val="24"/>
          <w:szCs w:val="24"/>
          <w:lang w:val="es-ES_tradnl"/>
        </w:rPr>
      </w:pPr>
    </w:p>
    <w:p w:rsidR="00E2336B" w:rsidRDefault="00E2336B">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Cabe destacar los ejemplos de Navarra y País Vasco, con un 87,5</w:t>
      </w:r>
      <w:r w:rsidR="006C3EA7">
        <w:rPr>
          <w:rFonts w:ascii="MinionPro-Regular" w:hAnsi="MinionPro-Regular"/>
          <w:sz w:val="24"/>
          <w:szCs w:val="24"/>
          <w:lang w:val="es-ES_tradnl"/>
        </w:rPr>
        <w:t>%</w:t>
      </w:r>
      <w:r>
        <w:rPr>
          <w:rFonts w:ascii="MinionPro-Regular" w:hAnsi="MinionPro-Regular"/>
          <w:sz w:val="24"/>
          <w:szCs w:val="24"/>
          <w:lang w:val="es-ES_tradnl"/>
        </w:rPr>
        <w:t xml:space="preserve"> y 83,3%, respectivamente, de trabajadores con discapacidad en centros especiales de empleo de iniciativa social. </w:t>
      </w:r>
    </w:p>
    <w:p w:rsidR="00E2336B" w:rsidRDefault="00E2336B" w:rsidP="008941A4">
      <w:pPr>
        <w:pBdr>
          <w:top w:val="single" w:sz="4" w:space="0" w:color="auto"/>
        </w:pBdr>
        <w:rPr>
          <w:rFonts w:ascii="MinionPro-Regular" w:hAnsi="MinionPro-Regular"/>
          <w:sz w:val="20"/>
          <w:lang w:val="es-ES_tradnl"/>
        </w:rPr>
      </w:pPr>
      <w:r>
        <w:rPr>
          <w:rFonts w:ascii="MinionPro-Regular" w:hAnsi="MinionPro-Regular"/>
          <w:sz w:val="20"/>
          <w:lang w:val="es-ES_tradnl"/>
        </w:rPr>
        <w:t>Porcentaje de trabajadores con discapacidad en los centros especiales de empleo de iniciativa social* en comparación con el número de trabajadores con discapacidad de todos los centros especiales de empleo. Orden decreciente. (Unidades, %).</w:t>
      </w:r>
    </w:p>
    <w:p w:rsidR="00E2336B" w:rsidRDefault="00E1516B" w:rsidP="008941A4">
      <w:pPr>
        <w:pBdr>
          <w:top w:val="single" w:sz="4" w:space="0" w:color="auto"/>
        </w:pBdr>
        <w:rPr>
          <w:rFonts w:ascii="MinionPro-Regular" w:hAnsi="MinionPro-Regular"/>
          <w:sz w:val="20"/>
          <w:lang w:val="es-ES_tradnl"/>
        </w:rPr>
      </w:pPr>
      <w:r>
        <w:rPr>
          <w:rFonts w:ascii="MinionPro-Regular" w:hAnsi="MinionPro-Regular"/>
          <w:noProof/>
          <w:sz w:val="20"/>
          <w:lang w:eastAsia="es-ES"/>
        </w:rPr>
        <w:drawing>
          <wp:inline distT="0" distB="0" distL="0" distR="0">
            <wp:extent cx="5408930" cy="2734310"/>
            <wp:effectExtent l="0" t="0" r="0" b="0"/>
            <wp:docPr id="45" name="Picture 4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E2336B" w:rsidRPr="00862666" w:rsidRDefault="00E2336B" w:rsidP="008941A4">
      <w:pPr>
        <w:pBdr>
          <w:top w:val="single" w:sz="4" w:space="0" w:color="auto"/>
        </w:pBdr>
        <w:rPr>
          <w:rFonts w:ascii="MinionPro-Regular" w:hAnsi="MinionPro-Regular"/>
          <w:sz w:val="20"/>
          <w:lang w:val="es-ES_tradnl"/>
        </w:rPr>
      </w:pPr>
    </w:p>
    <w:p w:rsidR="00E2336B" w:rsidRDefault="00E2336B" w:rsidP="00DF630D">
      <w:pPr>
        <w:pBdr>
          <w:bottom w:val="single" w:sz="4" w:space="1" w:color="auto"/>
        </w:pBdr>
        <w:autoSpaceDE w:val="0"/>
        <w:autoSpaceDN w:val="0"/>
        <w:spacing w:line="360" w:lineRule="auto"/>
        <w:jc w:val="both"/>
        <w:rPr>
          <w:rFonts w:ascii="MinionPro-Regular" w:hAnsi="MinionPro-Regular"/>
          <w:sz w:val="20"/>
          <w:szCs w:val="24"/>
          <w:lang w:val="es-ES_tradnl"/>
        </w:rPr>
      </w:pPr>
      <w:r w:rsidRPr="008B461D">
        <w:rPr>
          <w:rFonts w:ascii="MinionPro-Regular" w:hAnsi="MinionPro-Regular"/>
          <w:sz w:val="20"/>
          <w:szCs w:val="24"/>
          <w:lang w:val="es-ES_tradnl"/>
        </w:rPr>
        <w:t xml:space="preserve">Fuente: Elaboración propia a partir de datos </w:t>
      </w:r>
      <w:r>
        <w:rPr>
          <w:rFonts w:ascii="MinionPro-Regular" w:hAnsi="MinionPro-Regular"/>
          <w:sz w:val="20"/>
          <w:szCs w:val="24"/>
          <w:lang w:val="es-ES_tradnl"/>
        </w:rPr>
        <w:t>de FEACEM</w:t>
      </w:r>
      <w:r w:rsidRPr="008B461D">
        <w:rPr>
          <w:rFonts w:ascii="MinionPro-Regular" w:hAnsi="MinionPro-Regular"/>
          <w:sz w:val="20"/>
          <w:szCs w:val="24"/>
          <w:lang w:val="es-ES_tradnl"/>
        </w:rPr>
        <w:t>, 2011</w:t>
      </w:r>
      <w:r>
        <w:rPr>
          <w:rFonts w:ascii="MinionPro-Regular" w:hAnsi="MinionPro-Regular"/>
          <w:sz w:val="20"/>
          <w:szCs w:val="24"/>
          <w:lang w:val="es-ES_tradnl"/>
        </w:rPr>
        <w:t>.</w:t>
      </w:r>
    </w:p>
    <w:p w:rsidR="00E2336B" w:rsidRDefault="00E2336B" w:rsidP="00DF630D">
      <w:pPr>
        <w:pBdr>
          <w:bottom w:val="single" w:sz="4" w:space="1" w:color="auto"/>
        </w:pBdr>
        <w:autoSpaceDE w:val="0"/>
        <w:autoSpaceDN w:val="0"/>
        <w:spacing w:line="360" w:lineRule="auto"/>
        <w:jc w:val="both"/>
        <w:rPr>
          <w:rFonts w:ascii="MinionPro-Regular" w:hAnsi="MinionPro-Regular"/>
          <w:sz w:val="20"/>
          <w:szCs w:val="24"/>
          <w:lang w:val="es-ES_tradnl"/>
        </w:rPr>
      </w:pPr>
      <w:r>
        <w:rPr>
          <w:rFonts w:ascii="MinionPro-Regular" w:hAnsi="MinionPro-Regular"/>
          <w:sz w:val="20"/>
          <w:szCs w:val="24"/>
          <w:lang w:val="es-ES_tradnl"/>
        </w:rPr>
        <w:t>*Los datos sólo incluyen información de los centros especiales de empleo de iniciativa social que pertenecen a FEACEM.</w:t>
      </w:r>
    </w:p>
    <w:p w:rsidR="00E2336B" w:rsidRDefault="00E2336B" w:rsidP="00DF630D">
      <w:pPr>
        <w:pBdr>
          <w:bottom w:val="single" w:sz="4" w:space="1" w:color="auto"/>
        </w:pBdr>
        <w:autoSpaceDE w:val="0"/>
        <w:autoSpaceDN w:val="0"/>
        <w:spacing w:line="360" w:lineRule="auto"/>
        <w:jc w:val="both"/>
        <w:rPr>
          <w:rFonts w:ascii="MinionPro-Regular" w:hAnsi="MinionPro-Regular"/>
          <w:sz w:val="20"/>
          <w:szCs w:val="24"/>
          <w:lang w:val="es-ES_tradnl"/>
        </w:rPr>
      </w:pPr>
      <w:r>
        <w:rPr>
          <w:rFonts w:ascii="MinionPro-Regular" w:hAnsi="MinionPro-Regular"/>
          <w:sz w:val="20"/>
          <w:szCs w:val="24"/>
          <w:lang w:val="es-ES_tradnl"/>
        </w:rPr>
        <w:t xml:space="preserve">Nota explicativa de la gráfica: Eje vertical, Porcentaje de trabajadores con discapacidad en centros especiales de empleo de iniciativa social (sólo referentes a datos de FEACEM). Eje horizontal: Comunidades Autónomas, de mayor a menor. Los datos son: Navarra: 87,5%; País Vasco: 83,3%; Aragón: 73,2%, La Rioja: 57,5%; Ceuta: 48,2%; Cantabria: 48,1%;  Andalucía: 46,7%; Murcia: 46,3%; Castilla La </w:t>
      </w:r>
      <w:r>
        <w:rPr>
          <w:rFonts w:ascii="MinionPro-Regular" w:hAnsi="MinionPro-Regular"/>
          <w:sz w:val="20"/>
          <w:szCs w:val="24"/>
          <w:lang w:val="es-ES_tradnl"/>
        </w:rPr>
        <w:lastRenderedPageBreak/>
        <w:t>Mancha: 46,0%; Galicia: 43,4%; Cataluña: 41,4%; Castilla y León: 39%; Canarias: 38,8%; Baleares: 35,3%; Madrid: 33,9%; Extremadura: 28,9%; Asturias: 26,2%; Comunidad Valenciana: 22,4% y Melilla: 5,6%.</w:t>
      </w:r>
    </w:p>
    <w:p w:rsidR="00E2336B" w:rsidRDefault="00E2336B">
      <w:pPr>
        <w:autoSpaceDE w:val="0"/>
        <w:autoSpaceDN w:val="0"/>
        <w:spacing w:line="360" w:lineRule="auto"/>
        <w:jc w:val="both"/>
        <w:rPr>
          <w:rFonts w:ascii="MinionPro-Regular" w:hAnsi="MinionPro-Regular"/>
          <w:sz w:val="24"/>
          <w:szCs w:val="24"/>
          <w:lang w:val="es-ES_tradnl"/>
        </w:rPr>
      </w:pPr>
    </w:p>
    <w:p w:rsidR="00E2336B" w:rsidRDefault="00E2336B">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Los datos disponibles permiten estimar que alrededor 58% de las personas con discapacidad que desempeñan su trabajo en los centros de iniciativa social de FEACEM pertenecen a colectivos de difícil inserción.</w:t>
      </w:r>
    </w:p>
    <w:p w:rsidR="0075670B" w:rsidRDefault="0075670B">
      <w:pPr>
        <w:autoSpaceDE w:val="0"/>
        <w:autoSpaceDN w:val="0"/>
        <w:spacing w:line="360" w:lineRule="auto"/>
        <w:jc w:val="both"/>
        <w:rPr>
          <w:rFonts w:ascii="MinionPro-Regular" w:hAnsi="MinionPro-Regular"/>
          <w:sz w:val="24"/>
          <w:szCs w:val="24"/>
          <w:lang w:val="es-ES_tradnl"/>
        </w:rPr>
      </w:pPr>
    </w:p>
    <w:p w:rsidR="0075670B" w:rsidRDefault="0075670B">
      <w:pPr>
        <w:autoSpaceDE w:val="0"/>
        <w:autoSpaceDN w:val="0"/>
        <w:spacing w:line="360" w:lineRule="auto"/>
        <w:jc w:val="both"/>
        <w:rPr>
          <w:rFonts w:ascii="MinionPro-Regular" w:hAnsi="MinionPro-Regular"/>
          <w:sz w:val="24"/>
          <w:szCs w:val="24"/>
          <w:lang w:val="es-ES_tradnl"/>
        </w:rPr>
      </w:pPr>
    </w:p>
    <w:p w:rsidR="0075670B" w:rsidRPr="00E2336B" w:rsidRDefault="0075670B">
      <w:pPr>
        <w:autoSpaceDE w:val="0"/>
        <w:autoSpaceDN w:val="0"/>
        <w:spacing w:line="360" w:lineRule="auto"/>
        <w:jc w:val="both"/>
        <w:rPr>
          <w:rFonts w:ascii="MinionPro-Regular" w:hAnsi="MinionPro-Regular"/>
          <w:sz w:val="24"/>
          <w:szCs w:val="24"/>
          <w:lang w:val="es-ES_tradnl"/>
        </w:rPr>
      </w:pPr>
    </w:p>
    <w:p w:rsidR="002959F0" w:rsidRDefault="00F23441" w:rsidP="0007541A">
      <w:pPr>
        <w:pStyle w:val="Ttulo2"/>
        <w:numPr>
          <w:ilvl w:val="1"/>
          <w:numId w:val="3"/>
        </w:numPr>
        <w:ind w:left="0"/>
        <w:rPr>
          <w:rFonts w:ascii="MinionPro-Regular" w:hAnsi="MinionPro-Regular"/>
          <w:lang w:val="es-ES_tradnl"/>
        </w:rPr>
      </w:pPr>
      <w:bookmarkStart w:id="72" w:name="_Toc345671656"/>
      <w:bookmarkStart w:id="73" w:name="_Toc346049018"/>
      <w:bookmarkStart w:id="74" w:name="_Toc346049321"/>
      <w:bookmarkStart w:id="75" w:name="_Toc346126183"/>
      <w:bookmarkStart w:id="76" w:name="_Toc347173497"/>
      <w:bookmarkStart w:id="77" w:name="_Toc347257500"/>
      <w:bookmarkStart w:id="78" w:name="_Toc347654274"/>
      <w:bookmarkStart w:id="79" w:name="_Toc347667876"/>
      <w:bookmarkStart w:id="80" w:name="_Toc345671657"/>
      <w:bookmarkStart w:id="81" w:name="_Toc346049019"/>
      <w:bookmarkStart w:id="82" w:name="_Toc346049322"/>
      <w:bookmarkStart w:id="83" w:name="_Toc346126184"/>
      <w:bookmarkStart w:id="84" w:name="_Toc347173498"/>
      <w:bookmarkStart w:id="85" w:name="_Toc347257501"/>
      <w:bookmarkStart w:id="86" w:name="_Toc347654275"/>
      <w:bookmarkStart w:id="87" w:name="_Toc347667877"/>
      <w:bookmarkStart w:id="88" w:name="_Toc345671658"/>
      <w:bookmarkStart w:id="89" w:name="_Toc346049020"/>
      <w:bookmarkStart w:id="90" w:name="_Toc346049323"/>
      <w:bookmarkStart w:id="91" w:name="_Toc346126185"/>
      <w:bookmarkStart w:id="92" w:name="_Toc347173499"/>
      <w:bookmarkStart w:id="93" w:name="_Toc347257502"/>
      <w:bookmarkStart w:id="94" w:name="_Toc347654276"/>
      <w:bookmarkStart w:id="95" w:name="_Toc347667878"/>
      <w:bookmarkStart w:id="96" w:name="_Toc345671659"/>
      <w:bookmarkStart w:id="97" w:name="_Toc346049021"/>
      <w:bookmarkStart w:id="98" w:name="_Toc346049324"/>
      <w:bookmarkStart w:id="99" w:name="_Toc346126186"/>
      <w:bookmarkStart w:id="100" w:name="_Toc347173500"/>
      <w:bookmarkStart w:id="101" w:name="_Toc347257503"/>
      <w:bookmarkStart w:id="102" w:name="_Toc347654277"/>
      <w:bookmarkStart w:id="103" w:name="_Toc347667879"/>
      <w:bookmarkStart w:id="104" w:name="_Toc345671660"/>
      <w:bookmarkStart w:id="105" w:name="_Toc346049022"/>
      <w:bookmarkStart w:id="106" w:name="_Toc346049325"/>
      <w:bookmarkStart w:id="107" w:name="_Toc346126187"/>
      <w:bookmarkStart w:id="108" w:name="_Toc347173501"/>
      <w:bookmarkStart w:id="109" w:name="_Toc347257504"/>
      <w:bookmarkStart w:id="110" w:name="_Toc347654278"/>
      <w:bookmarkStart w:id="111" w:name="_Toc347667880"/>
      <w:bookmarkStart w:id="112" w:name="_Toc345671661"/>
      <w:bookmarkStart w:id="113" w:name="_Toc346049023"/>
      <w:bookmarkStart w:id="114" w:name="_Toc346049326"/>
      <w:bookmarkStart w:id="115" w:name="_Toc346126188"/>
      <w:bookmarkStart w:id="116" w:name="_Toc347173502"/>
      <w:bookmarkStart w:id="117" w:name="_Toc347257505"/>
      <w:bookmarkStart w:id="118" w:name="_Toc347654279"/>
      <w:bookmarkStart w:id="119" w:name="_Toc347667881"/>
      <w:bookmarkStart w:id="120" w:name="_Toc345671662"/>
      <w:bookmarkStart w:id="121" w:name="_Toc346049024"/>
      <w:bookmarkStart w:id="122" w:name="_Toc346049327"/>
      <w:bookmarkStart w:id="123" w:name="_Toc346126189"/>
      <w:bookmarkStart w:id="124" w:name="_Toc347173503"/>
      <w:bookmarkStart w:id="125" w:name="_Toc347257506"/>
      <w:bookmarkStart w:id="126" w:name="_Toc347654280"/>
      <w:bookmarkStart w:id="127" w:name="_Toc347667882"/>
      <w:bookmarkStart w:id="128" w:name="_Toc345671663"/>
      <w:bookmarkStart w:id="129" w:name="_Toc346049025"/>
      <w:bookmarkStart w:id="130" w:name="_Toc346049328"/>
      <w:bookmarkStart w:id="131" w:name="_Toc346126190"/>
      <w:bookmarkStart w:id="132" w:name="_Toc347173504"/>
      <w:bookmarkStart w:id="133" w:name="_Toc347257507"/>
      <w:bookmarkStart w:id="134" w:name="_Toc347654281"/>
      <w:bookmarkStart w:id="135" w:name="_Toc347667883"/>
      <w:bookmarkStart w:id="136" w:name="_Toc345671664"/>
      <w:bookmarkStart w:id="137" w:name="_Toc346049026"/>
      <w:bookmarkStart w:id="138" w:name="_Toc346049329"/>
      <w:bookmarkStart w:id="139" w:name="_Toc346126191"/>
      <w:bookmarkStart w:id="140" w:name="_Toc347173505"/>
      <w:bookmarkStart w:id="141" w:name="_Toc347257508"/>
      <w:bookmarkStart w:id="142" w:name="_Toc347654282"/>
      <w:bookmarkStart w:id="143" w:name="_Toc347667884"/>
      <w:bookmarkStart w:id="144" w:name="_Toc345671665"/>
      <w:bookmarkStart w:id="145" w:name="_Toc346049027"/>
      <w:bookmarkStart w:id="146" w:name="_Toc346049330"/>
      <w:bookmarkStart w:id="147" w:name="_Toc346126192"/>
      <w:bookmarkStart w:id="148" w:name="_Toc347173506"/>
      <w:bookmarkStart w:id="149" w:name="_Toc347257509"/>
      <w:bookmarkStart w:id="150" w:name="_Toc347654283"/>
      <w:bookmarkStart w:id="151" w:name="_Toc347667885"/>
      <w:bookmarkStart w:id="152" w:name="_Toc345671666"/>
      <w:bookmarkStart w:id="153" w:name="_Toc346049028"/>
      <w:bookmarkStart w:id="154" w:name="_Toc346049331"/>
      <w:bookmarkStart w:id="155" w:name="_Toc346126193"/>
      <w:bookmarkStart w:id="156" w:name="_Toc347173507"/>
      <w:bookmarkStart w:id="157" w:name="_Toc347257510"/>
      <w:bookmarkStart w:id="158" w:name="_Toc347654284"/>
      <w:bookmarkStart w:id="159" w:name="_Toc347667886"/>
      <w:bookmarkStart w:id="160" w:name="_Toc352773558"/>
      <w:bookmarkStart w:id="161" w:name="_Toc340340553"/>
      <w:bookmarkStart w:id="162" w:name="_Toc339911248"/>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r w:rsidRPr="00F23441">
        <w:rPr>
          <w:rFonts w:ascii="MinionPro-Regular" w:hAnsi="MinionPro-Regular"/>
          <w:lang w:val="es-ES_tradnl"/>
        </w:rPr>
        <w:t>Lo que opinan las personas</w:t>
      </w:r>
      <w:r w:rsidR="00E2336B">
        <w:rPr>
          <w:rFonts w:ascii="MinionPro-Regular" w:hAnsi="MinionPro-Regular"/>
          <w:lang w:val="es-ES_tradnl"/>
        </w:rPr>
        <w:t xml:space="preserve"> que trabajan en los centros</w:t>
      </w:r>
      <w:bookmarkEnd w:id="160"/>
    </w:p>
    <w:p w:rsidR="00E2336B" w:rsidRPr="008B461D" w:rsidRDefault="00E2336B" w:rsidP="004B21DB">
      <w:pPr>
        <w:autoSpaceDE w:val="0"/>
        <w:autoSpaceDN w:val="0"/>
        <w:spacing w:line="360" w:lineRule="auto"/>
        <w:jc w:val="both"/>
        <w:rPr>
          <w:b/>
          <w:sz w:val="32"/>
          <w:lang w:val="es-ES_tradnl"/>
        </w:rPr>
      </w:pPr>
    </w:p>
    <w:p w:rsidR="00E2336B" w:rsidRPr="007E120F" w:rsidRDefault="00E2336B" w:rsidP="004B21DB">
      <w:pPr>
        <w:autoSpaceDE w:val="0"/>
        <w:autoSpaceDN w:val="0"/>
        <w:spacing w:line="360" w:lineRule="auto"/>
        <w:jc w:val="both"/>
        <w:rPr>
          <w:rFonts w:ascii="MinionPro-Regular" w:hAnsi="MinionPro-Regular"/>
          <w:sz w:val="24"/>
          <w:szCs w:val="24"/>
          <w:lang w:val="es-ES_tradnl"/>
        </w:rPr>
      </w:pPr>
      <w:r w:rsidRPr="007E120F">
        <w:rPr>
          <w:rFonts w:ascii="MinionPro-Regular" w:hAnsi="MinionPro-Regular"/>
          <w:sz w:val="24"/>
          <w:szCs w:val="24"/>
          <w:lang w:val="es-ES_tradnl"/>
        </w:rPr>
        <w:t>Según</w:t>
      </w:r>
      <w:r>
        <w:rPr>
          <w:rFonts w:ascii="MinionPro-Regular" w:hAnsi="MinionPro-Regular"/>
          <w:sz w:val="24"/>
          <w:szCs w:val="24"/>
          <w:lang w:val="es-ES_tradnl"/>
        </w:rPr>
        <w:t xml:space="preserve"> </w:t>
      </w:r>
      <w:r w:rsidRPr="007E120F">
        <w:rPr>
          <w:rFonts w:ascii="MinionPro-Regular" w:hAnsi="MinionPro-Regular"/>
          <w:sz w:val="24"/>
          <w:szCs w:val="24"/>
          <w:lang w:val="es-ES_tradnl"/>
        </w:rPr>
        <w:t>pone de manifiesto</w:t>
      </w:r>
      <w:r>
        <w:rPr>
          <w:rFonts w:ascii="MinionPro-Regular" w:hAnsi="MinionPro-Regular"/>
          <w:sz w:val="24"/>
          <w:szCs w:val="24"/>
          <w:lang w:val="es-ES_tradnl"/>
        </w:rPr>
        <w:t xml:space="preserve"> </w:t>
      </w:r>
      <w:r w:rsidRPr="007E120F">
        <w:rPr>
          <w:rFonts w:ascii="MinionPro-Regular" w:hAnsi="MinionPro-Regular"/>
          <w:sz w:val="24"/>
          <w:szCs w:val="24"/>
          <w:lang w:val="es-ES_tradnl"/>
        </w:rPr>
        <w:t xml:space="preserve">el Informe </w:t>
      </w:r>
      <w:r>
        <w:rPr>
          <w:rFonts w:ascii="MinionPro-Regular" w:hAnsi="MinionPro-Regular"/>
          <w:sz w:val="24"/>
          <w:szCs w:val="24"/>
          <w:lang w:val="es-ES_tradnl"/>
        </w:rPr>
        <w:t>M</w:t>
      </w:r>
      <w:r w:rsidRPr="007E120F">
        <w:rPr>
          <w:rFonts w:ascii="MinionPro-Regular" w:hAnsi="MinionPro-Regular"/>
          <w:sz w:val="24"/>
          <w:szCs w:val="24"/>
          <w:lang w:val="es-ES_tradnl"/>
        </w:rPr>
        <w:t xml:space="preserve">undial sobre la </w:t>
      </w:r>
      <w:r>
        <w:rPr>
          <w:rFonts w:ascii="MinionPro-Regular" w:hAnsi="MinionPro-Regular"/>
          <w:sz w:val="24"/>
          <w:szCs w:val="24"/>
          <w:lang w:val="es-ES_tradnl"/>
        </w:rPr>
        <w:t>D</w:t>
      </w:r>
      <w:r w:rsidRPr="007E120F">
        <w:rPr>
          <w:rFonts w:ascii="MinionPro-Regular" w:hAnsi="MinionPro-Regular"/>
          <w:sz w:val="24"/>
          <w:szCs w:val="24"/>
          <w:lang w:val="es-ES_tradnl"/>
        </w:rPr>
        <w:t>iscapacidad</w:t>
      </w:r>
      <w:r w:rsidRPr="00455028">
        <w:rPr>
          <w:vertAlign w:val="superscript"/>
        </w:rPr>
        <w:footnoteReference w:id="17"/>
      </w:r>
      <w:r w:rsidRPr="007E120F">
        <w:rPr>
          <w:rFonts w:ascii="MinionPro-Regular" w:hAnsi="MinionPro-Regular"/>
          <w:sz w:val="24"/>
          <w:szCs w:val="24"/>
          <w:lang w:val="es-ES_tradnl"/>
        </w:rPr>
        <w:t xml:space="preserve">, las </w:t>
      </w:r>
      <w:r w:rsidRPr="0081432A">
        <w:rPr>
          <w:rFonts w:ascii="MinionPro-Regular" w:hAnsi="MinionPro-Regular"/>
          <w:sz w:val="24"/>
          <w:szCs w:val="24"/>
          <w:lang w:val="es-ES_tradnl"/>
        </w:rPr>
        <w:t xml:space="preserve">personas con discapacidad </w:t>
      </w:r>
      <w:r>
        <w:rPr>
          <w:rFonts w:ascii="MinionPro-Regular" w:hAnsi="MinionPro-Regular"/>
          <w:sz w:val="24"/>
          <w:szCs w:val="24"/>
          <w:lang w:val="es-ES_tradnl"/>
        </w:rPr>
        <w:t>disfrutan de</w:t>
      </w:r>
      <w:r w:rsidRPr="0081432A">
        <w:rPr>
          <w:rFonts w:ascii="MinionPro-Regular" w:hAnsi="MinionPro-Regular"/>
          <w:sz w:val="24"/>
          <w:szCs w:val="24"/>
          <w:lang w:val="es-ES_tradnl"/>
        </w:rPr>
        <w:t xml:space="preserve"> </w:t>
      </w:r>
      <w:r>
        <w:rPr>
          <w:rFonts w:ascii="MinionPro-Regular" w:hAnsi="MinionPro-Regular"/>
          <w:sz w:val="24"/>
          <w:szCs w:val="24"/>
          <w:lang w:val="es-ES_tradnl"/>
        </w:rPr>
        <w:t>menores niveles de bienestar en términos de salud, de educación o de participación económica</w:t>
      </w:r>
      <w:r w:rsidRPr="0081432A">
        <w:rPr>
          <w:rFonts w:ascii="MinionPro-Regular" w:hAnsi="MinionPro-Regular"/>
          <w:sz w:val="24"/>
          <w:szCs w:val="24"/>
          <w:lang w:val="es-ES_tradnl"/>
        </w:rPr>
        <w:t xml:space="preserve">. En parte, esto es consecuencia de los obstáculos que entorpecen </w:t>
      </w:r>
      <w:r>
        <w:rPr>
          <w:rFonts w:ascii="MinionPro-Regular" w:hAnsi="MinionPro-Regular"/>
          <w:sz w:val="24"/>
          <w:szCs w:val="24"/>
          <w:lang w:val="es-ES_tradnl"/>
        </w:rPr>
        <w:t>su</w:t>
      </w:r>
      <w:r w:rsidRPr="0081432A">
        <w:rPr>
          <w:rFonts w:ascii="MinionPro-Regular" w:hAnsi="MinionPro-Regular"/>
          <w:sz w:val="24"/>
          <w:szCs w:val="24"/>
          <w:lang w:val="es-ES_tradnl"/>
        </w:rPr>
        <w:t xml:space="preserve"> acceso a servicios </w:t>
      </w:r>
      <w:r>
        <w:rPr>
          <w:rFonts w:ascii="MinionPro-Regular" w:hAnsi="MinionPro-Regular"/>
          <w:sz w:val="24"/>
          <w:szCs w:val="24"/>
          <w:lang w:val="es-ES_tradnl"/>
        </w:rPr>
        <w:t>elementales y, por supuesto, al empleo</w:t>
      </w:r>
      <w:r w:rsidRPr="0081432A">
        <w:rPr>
          <w:rFonts w:ascii="MinionPro-Regular" w:hAnsi="MinionPro-Regular"/>
          <w:sz w:val="24"/>
          <w:szCs w:val="24"/>
          <w:lang w:val="es-ES_tradnl"/>
        </w:rPr>
        <w:t xml:space="preserve">. </w:t>
      </w:r>
    </w:p>
    <w:p w:rsidR="00E2336B" w:rsidRPr="008B461D" w:rsidRDefault="00E2336B" w:rsidP="004B21DB">
      <w:pPr>
        <w:autoSpaceDE w:val="0"/>
        <w:autoSpaceDN w:val="0"/>
        <w:spacing w:line="360" w:lineRule="auto"/>
        <w:jc w:val="both"/>
        <w:rPr>
          <w:rFonts w:ascii="MinionPro-Regular" w:hAnsi="MinionPro-Regular"/>
          <w:sz w:val="24"/>
          <w:szCs w:val="24"/>
          <w:lang w:val="es-ES_tradnl"/>
        </w:rPr>
      </w:pPr>
    </w:p>
    <w:p w:rsidR="00E2336B" w:rsidRDefault="00E2336B" w:rsidP="004B21DB">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Durante la elaboración de este informe fueron entrevistadas 91 personas con discapacidad empleadas en distintos centros especiales de empleo. La muestra seleccionada engloba distintas áreas geográficas, modelos de gestión y colectivos de la discapacidad atendidos por los centros. Aunque la muestra no puede ser considerada estadísticamente representativa de las personas con discapacidad en centros especiales de empleo, las opiniones de las personas arrojan luz acerca de algunos elementos reseñables acerca del modelo de centros especiales de empleo.</w:t>
      </w:r>
    </w:p>
    <w:p w:rsidR="006C3EA7" w:rsidRPr="008B461D" w:rsidRDefault="006C3EA7" w:rsidP="004B21DB">
      <w:pPr>
        <w:autoSpaceDE w:val="0"/>
        <w:autoSpaceDN w:val="0"/>
        <w:spacing w:line="360" w:lineRule="auto"/>
        <w:jc w:val="both"/>
        <w:rPr>
          <w:rFonts w:ascii="MinionPro-Regular" w:hAnsi="MinionPro-Regular"/>
          <w:sz w:val="24"/>
          <w:szCs w:val="24"/>
          <w:lang w:val="es-ES_tradnl"/>
        </w:rPr>
      </w:pPr>
    </w:p>
    <w:p w:rsidR="00E2336B" w:rsidRDefault="00E2336B" w:rsidP="004B21DB">
      <w:pPr>
        <w:pBdr>
          <w:top w:val="single" w:sz="4" w:space="1" w:color="auto"/>
        </w:pBdr>
        <w:autoSpaceDE w:val="0"/>
        <w:autoSpaceDN w:val="0"/>
        <w:spacing w:line="360" w:lineRule="auto"/>
        <w:jc w:val="both"/>
        <w:rPr>
          <w:rFonts w:ascii="MinionPro-Regular" w:hAnsi="MinionPro-Regular"/>
          <w:sz w:val="20"/>
        </w:rPr>
      </w:pPr>
      <w:r w:rsidRPr="00B44100">
        <w:rPr>
          <w:rFonts w:ascii="MinionPro-Regular" w:hAnsi="MinionPro-Regular"/>
          <w:sz w:val="20"/>
        </w:rPr>
        <w:lastRenderedPageBreak/>
        <w:t>Distribución por género, edad y tipología de la discapacidad de las personas en</w:t>
      </w:r>
      <w:r>
        <w:rPr>
          <w:rFonts w:ascii="MinionPro-Regular" w:hAnsi="MinionPro-Regular"/>
          <w:sz w:val="20"/>
        </w:rPr>
        <w:t>trevistadas</w:t>
      </w:r>
    </w:p>
    <w:p w:rsidR="00E2336B" w:rsidRDefault="00E1516B" w:rsidP="004B21DB">
      <w:pPr>
        <w:autoSpaceDE w:val="0"/>
        <w:autoSpaceDN w:val="0"/>
        <w:spacing w:line="360" w:lineRule="auto"/>
        <w:jc w:val="center"/>
        <w:rPr>
          <w:noProof/>
          <w:lang w:eastAsia="es-ES"/>
        </w:rPr>
      </w:pPr>
      <w:r>
        <w:rPr>
          <w:rFonts w:ascii="MinionPro-Regular" w:hAnsi="MinionPro-Regular"/>
          <w:noProof/>
          <w:sz w:val="24"/>
          <w:szCs w:val="24"/>
          <w:lang w:eastAsia="es-ES"/>
        </w:rPr>
        <w:drawing>
          <wp:inline distT="0" distB="0" distL="0" distR="0">
            <wp:extent cx="2562225" cy="2018665"/>
            <wp:effectExtent l="0" t="0" r="0" b="0"/>
            <wp:docPr id="46" name="Picture 4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r>
        <w:rPr>
          <w:rFonts w:ascii="MinionPro-Regular" w:hAnsi="MinionPro-Regular"/>
          <w:noProof/>
          <w:sz w:val="24"/>
          <w:szCs w:val="24"/>
          <w:lang w:eastAsia="es-ES"/>
        </w:rPr>
        <w:drawing>
          <wp:inline distT="0" distB="0" distL="0" distR="0">
            <wp:extent cx="2700020" cy="1776730"/>
            <wp:effectExtent l="0" t="0" r="0" b="0"/>
            <wp:docPr id="47" name="Picture 4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E2336B" w:rsidRDefault="00E1516B" w:rsidP="004B21DB">
      <w:pPr>
        <w:autoSpaceDE w:val="0"/>
        <w:autoSpaceDN w:val="0"/>
        <w:spacing w:line="360" w:lineRule="auto"/>
        <w:jc w:val="center"/>
        <w:rPr>
          <w:rFonts w:ascii="MinionPro-Regular" w:hAnsi="MinionPro-Regular"/>
          <w:sz w:val="24"/>
          <w:szCs w:val="24"/>
          <w:lang w:val="es-ES_tradnl"/>
        </w:rPr>
      </w:pPr>
      <w:r>
        <w:rPr>
          <w:rFonts w:ascii="MinionPro-Regular" w:hAnsi="MinionPro-Regular"/>
          <w:noProof/>
          <w:sz w:val="24"/>
          <w:szCs w:val="24"/>
          <w:lang w:eastAsia="es-ES"/>
        </w:rPr>
        <w:drawing>
          <wp:inline distT="0" distB="0" distL="0" distR="0">
            <wp:extent cx="3364230" cy="2380615"/>
            <wp:effectExtent l="0" t="0" r="0" b="0"/>
            <wp:docPr id="48" name="Picture 4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E2336B" w:rsidRDefault="00E2336B" w:rsidP="004B21DB">
      <w:pPr>
        <w:pBdr>
          <w:bottom w:val="single" w:sz="4" w:space="1" w:color="auto"/>
        </w:pBdr>
        <w:autoSpaceDE w:val="0"/>
        <w:autoSpaceDN w:val="0"/>
        <w:spacing w:line="360" w:lineRule="auto"/>
        <w:jc w:val="both"/>
        <w:rPr>
          <w:rFonts w:ascii="MinionPro-Regular" w:hAnsi="MinionPro-Regular"/>
          <w:sz w:val="20"/>
        </w:rPr>
      </w:pPr>
      <w:r w:rsidRPr="00B44100">
        <w:rPr>
          <w:rFonts w:ascii="MinionPro-Regular" w:hAnsi="MinionPro-Regular"/>
          <w:sz w:val="20"/>
        </w:rPr>
        <w:t xml:space="preserve">Fuente: Elaboración propia a partir de una encuesta realizada a personas con discapacidad en centros especiales de empleo. (Datos a </w:t>
      </w:r>
      <w:r>
        <w:rPr>
          <w:rFonts w:ascii="MinionPro-Regular" w:hAnsi="MinionPro-Regular"/>
          <w:sz w:val="20"/>
        </w:rPr>
        <w:t>o</w:t>
      </w:r>
      <w:r w:rsidRPr="00B44100">
        <w:rPr>
          <w:rFonts w:ascii="MinionPro-Regular" w:hAnsi="MinionPro-Regular"/>
          <w:sz w:val="20"/>
        </w:rPr>
        <w:t>ctubre de 2012).</w:t>
      </w:r>
    </w:p>
    <w:p w:rsidR="00E2336B" w:rsidRDefault="00E2336B" w:rsidP="004B21DB">
      <w:pPr>
        <w:pBdr>
          <w:bottom w:val="single" w:sz="4" w:space="1" w:color="auto"/>
        </w:pBdr>
        <w:autoSpaceDE w:val="0"/>
        <w:autoSpaceDN w:val="0"/>
        <w:spacing w:line="360" w:lineRule="auto"/>
        <w:jc w:val="both"/>
        <w:rPr>
          <w:rFonts w:ascii="MinionPro-Regular" w:hAnsi="MinionPro-Regular"/>
          <w:sz w:val="20"/>
        </w:rPr>
      </w:pPr>
    </w:p>
    <w:p w:rsidR="00E2336B" w:rsidRDefault="00E2336B" w:rsidP="004B21DB">
      <w:pPr>
        <w:pBdr>
          <w:bottom w:val="single" w:sz="4" w:space="1" w:color="auto"/>
        </w:pBdr>
        <w:autoSpaceDE w:val="0"/>
        <w:autoSpaceDN w:val="0"/>
        <w:spacing w:line="360" w:lineRule="auto"/>
        <w:jc w:val="both"/>
        <w:rPr>
          <w:rFonts w:ascii="MinionPro-Regular" w:hAnsi="MinionPro-Regular"/>
          <w:sz w:val="20"/>
        </w:rPr>
      </w:pPr>
      <w:r w:rsidRPr="001B0FD3">
        <w:rPr>
          <w:rFonts w:ascii="MinionPro-Regular" w:hAnsi="MinionPro-Regular"/>
          <w:sz w:val="20"/>
          <w:szCs w:val="24"/>
        </w:rPr>
        <w:t>Nota explicativa de la</w:t>
      </w:r>
      <w:r>
        <w:rPr>
          <w:rFonts w:ascii="MinionPro-Regular" w:hAnsi="MinionPro-Regular"/>
          <w:sz w:val="20"/>
          <w:szCs w:val="24"/>
        </w:rPr>
        <w:t>s</w:t>
      </w:r>
      <w:r w:rsidRPr="001B0FD3">
        <w:rPr>
          <w:rFonts w:ascii="MinionPro-Regular" w:hAnsi="MinionPro-Regular"/>
          <w:sz w:val="20"/>
          <w:szCs w:val="24"/>
        </w:rPr>
        <w:t xml:space="preserve"> gráfica</w:t>
      </w:r>
      <w:r>
        <w:rPr>
          <w:rFonts w:ascii="MinionPro-Regular" w:hAnsi="MinionPro-Regular"/>
          <w:sz w:val="20"/>
          <w:szCs w:val="24"/>
        </w:rPr>
        <w:t>s.</w:t>
      </w:r>
      <w:r w:rsidRPr="001B0FD3">
        <w:rPr>
          <w:rFonts w:ascii="MinionPro-Regular" w:hAnsi="MinionPro-Regular"/>
          <w:sz w:val="20"/>
          <w:szCs w:val="24"/>
        </w:rPr>
        <w:t xml:space="preserve"> </w:t>
      </w:r>
      <w:r>
        <w:rPr>
          <w:rFonts w:ascii="MinionPro-Regular" w:hAnsi="MinionPro-Regular"/>
          <w:sz w:val="20"/>
          <w:szCs w:val="24"/>
        </w:rPr>
        <w:t xml:space="preserve">Edad de los encuestados: Menos de </w:t>
      </w:r>
      <w:r w:rsidRPr="00F670E5">
        <w:rPr>
          <w:rFonts w:ascii="MinionPro-Regular" w:hAnsi="MinionPro-Regular"/>
          <w:sz w:val="20"/>
          <w:szCs w:val="24"/>
        </w:rPr>
        <w:t>30</w:t>
      </w:r>
      <w:r>
        <w:rPr>
          <w:rFonts w:ascii="MinionPro-Regular" w:hAnsi="MinionPro-Regular"/>
          <w:sz w:val="20"/>
          <w:szCs w:val="24"/>
        </w:rPr>
        <w:t xml:space="preserve"> </w:t>
      </w:r>
      <w:r w:rsidRPr="00F670E5">
        <w:rPr>
          <w:rFonts w:ascii="MinionPro-Regular" w:hAnsi="MinionPro-Regular"/>
          <w:sz w:val="20"/>
          <w:szCs w:val="24"/>
        </w:rPr>
        <w:t>años</w:t>
      </w:r>
      <w:r>
        <w:rPr>
          <w:rFonts w:ascii="MinionPro-Regular" w:hAnsi="MinionPro-Regular"/>
          <w:sz w:val="20"/>
          <w:szCs w:val="24"/>
        </w:rPr>
        <w:t xml:space="preserve"> el </w:t>
      </w:r>
      <w:r w:rsidRPr="001C2926">
        <w:rPr>
          <w:rFonts w:ascii="MinionPro-Regular" w:hAnsi="MinionPro-Regular"/>
          <w:sz w:val="20"/>
          <w:szCs w:val="24"/>
        </w:rPr>
        <w:t>13%</w:t>
      </w:r>
      <w:r>
        <w:rPr>
          <w:rFonts w:ascii="MinionPro-Regular" w:hAnsi="MinionPro-Regular"/>
          <w:sz w:val="20"/>
          <w:szCs w:val="24"/>
        </w:rPr>
        <w:t xml:space="preserve">; </w:t>
      </w:r>
      <w:r w:rsidRPr="001C2926">
        <w:rPr>
          <w:rFonts w:ascii="MinionPro-Regular" w:hAnsi="MinionPro-Regular"/>
          <w:sz w:val="20"/>
        </w:rPr>
        <w:t>31-45 años</w:t>
      </w:r>
      <w:r>
        <w:rPr>
          <w:rFonts w:ascii="MinionPro-Regular" w:hAnsi="MinionPro-Regular"/>
          <w:sz w:val="20"/>
        </w:rPr>
        <w:t xml:space="preserve"> el </w:t>
      </w:r>
      <w:r w:rsidRPr="001C2926">
        <w:rPr>
          <w:rFonts w:ascii="MinionPro-Regular" w:hAnsi="MinionPro-Regular"/>
          <w:sz w:val="20"/>
        </w:rPr>
        <w:br/>
        <w:t>51%</w:t>
      </w:r>
      <w:r>
        <w:rPr>
          <w:rFonts w:ascii="MinionPro-Regular" w:hAnsi="MinionPro-Regular"/>
          <w:sz w:val="20"/>
        </w:rPr>
        <w:t xml:space="preserve">; Más de </w:t>
      </w:r>
      <w:r w:rsidRPr="00F670E5">
        <w:rPr>
          <w:rFonts w:ascii="MinionPro-Regular" w:hAnsi="MinionPro-Regular"/>
          <w:sz w:val="20"/>
        </w:rPr>
        <w:t>46 años</w:t>
      </w:r>
      <w:r>
        <w:rPr>
          <w:rFonts w:ascii="MinionPro-Regular" w:hAnsi="MinionPro-Regular"/>
          <w:sz w:val="20"/>
        </w:rPr>
        <w:t xml:space="preserve"> el </w:t>
      </w:r>
      <w:r w:rsidRPr="00F670E5">
        <w:rPr>
          <w:rFonts w:ascii="MinionPro-Regular" w:hAnsi="MinionPro-Regular"/>
          <w:sz w:val="20"/>
        </w:rPr>
        <w:t>36%</w:t>
      </w:r>
      <w:r>
        <w:rPr>
          <w:rFonts w:ascii="MinionPro-Regular" w:hAnsi="MinionPro-Regular"/>
          <w:sz w:val="20"/>
        </w:rPr>
        <w:t xml:space="preserve">. </w:t>
      </w:r>
      <w:r w:rsidRPr="001C2926">
        <w:rPr>
          <w:rFonts w:ascii="MinionPro-Regular" w:hAnsi="MinionPro-Regular"/>
          <w:sz w:val="20"/>
        </w:rPr>
        <w:t xml:space="preserve">Género de los encuestados: Femenino el 30%; Masculino el 70%. </w:t>
      </w:r>
      <w:r w:rsidRPr="00F670E5">
        <w:rPr>
          <w:rFonts w:ascii="MinionPro-Regular" w:hAnsi="MinionPro-Regular"/>
          <w:sz w:val="20"/>
        </w:rPr>
        <w:t>Tipo de discapacidad de los encuestados</w:t>
      </w:r>
      <w:r>
        <w:rPr>
          <w:rFonts w:ascii="MinionPro-Regular" w:hAnsi="MinionPro-Regular"/>
          <w:sz w:val="20"/>
        </w:rPr>
        <w:t xml:space="preserve">: </w:t>
      </w:r>
      <w:r w:rsidRPr="001C2926">
        <w:rPr>
          <w:rFonts w:ascii="MinionPro-Regular" w:hAnsi="MinionPro-Regular"/>
          <w:sz w:val="20"/>
        </w:rPr>
        <w:t xml:space="preserve">Discapacidad psíquica el 34%; Discapacidad física </w:t>
      </w:r>
      <w:r>
        <w:rPr>
          <w:rFonts w:ascii="MinionPro-Regular" w:hAnsi="MinionPro-Regular"/>
          <w:sz w:val="20"/>
        </w:rPr>
        <w:t xml:space="preserve">el </w:t>
      </w:r>
      <w:r w:rsidRPr="001C2926">
        <w:rPr>
          <w:rFonts w:ascii="MinionPro-Regular" w:hAnsi="MinionPro-Regular"/>
          <w:sz w:val="20"/>
        </w:rPr>
        <w:t>47%;</w:t>
      </w:r>
      <w:r w:rsidRPr="00F670E5">
        <w:t xml:space="preserve"> </w:t>
      </w:r>
      <w:r w:rsidRPr="00F670E5">
        <w:rPr>
          <w:rFonts w:ascii="MinionPro-Regular" w:hAnsi="MinionPro-Regular"/>
          <w:sz w:val="20"/>
        </w:rPr>
        <w:t>Discapacidad visual</w:t>
      </w:r>
      <w:r>
        <w:rPr>
          <w:rFonts w:ascii="MinionPro-Regular" w:hAnsi="MinionPro-Regular"/>
          <w:sz w:val="20"/>
        </w:rPr>
        <w:t xml:space="preserve"> el 6%; </w:t>
      </w:r>
      <w:r w:rsidRPr="00F670E5">
        <w:rPr>
          <w:rFonts w:ascii="MinionPro-Regular" w:hAnsi="MinionPro-Regular"/>
          <w:sz w:val="20"/>
        </w:rPr>
        <w:t xml:space="preserve">Discapacidad sensorial auditiva </w:t>
      </w:r>
      <w:r>
        <w:rPr>
          <w:rFonts w:ascii="MinionPro-Regular" w:hAnsi="MinionPro-Regular"/>
          <w:sz w:val="20"/>
        </w:rPr>
        <w:t xml:space="preserve">el </w:t>
      </w:r>
      <w:r w:rsidRPr="00F670E5">
        <w:rPr>
          <w:rFonts w:ascii="MinionPro-Regular" w:hAnsi="MinionPro-Regular"/>
          <w:sz w:val="20"/>
        </w:rPr>
        <w:t>10%</w:t>
      </w:r>
      <w:r>
        <w:rPr>
          <w:rFonts w:ascii="MinionPro-Regular" w:hAnsi="MinionPro-Regular"/>
          <w:sz w:val="20"/>
        </w:rPr>
        <w:t xml:space="preserve"> y otros el 3%</w:t>
      </w:r>
      <w:r>
        <w:rPr>
          <w:rFonts w:ascii="MinionPro-Regular" w:hAnsi="MinionPro-Regular"/>
          <w:sz w:val="20"/>
          <w:szCs w:val="24"/>
        </w:rPr>
        <w:t>.</w:t>
      </w:r>
    </w:p>
    <w:p w:rsidR="00E2336B" w:rsidRDefault="00E2336B" w:rsidP="004B21DB">
      <w:pPr>
        <w:autoSpaceDE w:val="0"/>
        <w:autoSpaceDN w:val="0"/>
        <w:spacing w:line="360" w:lineRule="auto"/>
        <w:jc w:val="both"/>
        <w:rPr>
          <w:rFonts w:ascii="MinionPro-Regular" w:hAnsi="MinionPro-Regular"/>
          <w:sz w:val="24"/>
          <w:szCs w:val="24"/>
          <w:lang w:val="es-ES_tradnl"/>
        </w:rPr>
      </w:pPr>
    </w:p>
    <w:p w:rsidR="002959F0" w:rsidRDefault="00E2336B" w:rsidP="0007541A">
      <w:pPr>
        <w:pStyle w:val="Ttulo3"/>
        <w:numPr>
          <w:ilvl w:val="2"/>
          <w:numId w:val="3"/>
        </w:numPr>
        <w:rPr>
          <w:lang w:val="es-ES_tradnl"/>
        </w:rPr>
      </w:pPr>
      <w:bookmarkStart w:id="163" w:name="_Toc347667888"/>
      <w:bookmarkStart w:id="164" w:name="_Toc347667889"/>
      <w:bookmarkStart w:id="165" w:name="_Toc347667890"/>
      <w:bookmarkStart w:id="166" w:name="_Toc347667891"/>
      <w:bookmarkStart w:id="167" w:name="_Toc347667892"/>
      <w:bookmarkStart w:id="168" w:name="_Toc347667893"/>
      <w:bookmarkStart w:id="169" w:name="_Toc352773559"/>
      <w:bookmarkEnd w:id="163"/>
      <w:bookmarkEnd w:id="164"/>
      <w:bookmarkEnd w:id="165"/>
      <w:bookmarkEnd w:id="166"/>
      <w:bookmarkEnd w:id="167"/>
      <w:bookmarkEnd w:id="168"/>
      <w:r w:rsidRPr="00A24A22">
        <w:rPr>
          <w:lang w:val="es-ES_tradnl"/>
        </w:rPr>
        <w:t xml:space="preserve">Un 12% </w:t>
      </w:r>
      <w:r>
        <w:rPr>
          <w:lang w:val="es-ES_tradnl"/>
        </w:rPr>
        <w:t>de las personas tiene</w:t>
      </w:r>
      <w:r w:rsidRPr="00A24A22">
        <w:rPr>
          <w:lang w:val="es-ES_tradnl"/>
        </w:rPr>
        <w:t xml:space="preserve"> titulación universitaria</w:t>
      </w:r>
      <w:bookmarkEnd w:id="169"/>
      <w:r>
        <w:rPr>
          <w:lang w:val="es-ES_tradnl"/>
        </w:rPr>
        <w:t xml:space="preserve"> </w:t>
      </w:r>
    </w:p>
    <w:p w:rsidR="00E2336B" w:rsidRDefault="00E2336B" w:rsidP="004B21DB">
      <w:pPr>
        <w:autoSpaceDE w:val="0"/>
        <w:autoSpaceDN w:val="0"/>
        <w:spacing w:line="360" w:lineRule="auto"/>
        <w:jc w:val="both"/>
        <w:rPr>
          <w:rFonts w:ascii="MinionPro-Regular" w:hAnsi="MinionPro-Regular"/>
          <w:sz w:val="24"/>
          <w:szCs w:val="24"/>
          <w:lang w:val="es-ES_tradnl"/>
        </w:rPr>
      </w:pPr>
    </w:p>
    <w:p w:rsidR="00E2336B" w:rsidRDefault="00E2336B" w:rsidP="004B21DB">
      <w:pPr>
        <w:autoSpaceDE w:val="0"/>
        <w:autoSpaceDN w:val="0"/>
        <w:spacing w:line="360" w:lineRule="auto"/>
        <w:jc w:val="both"/>
        <w:rPr>
          <w:rFonts w:ascii="MinionPro-Regular" w:hAnsi="MinionPro-Regular"/>
          <w:sz w:val="24"/>
          <w:szCs w:val="24"/>
          <w:lang w:val="es-ES_tradnl"/>
        </w:rPr>
      </w:pPr>
      <w:r w:rsidRPr="00B44100">
        <w:rPr>
          <w:rFonts w:ascii="MinionPro-Regular" w:hAnsi="MinionPro-Regular"/>
          <w:sz w:val="24"/>
          <w:szCs w:val="24"/>
          <w:lang w:val="es-ES_tradnl"/>
        </w:rPr>
        <w:lastRenderedPageBreak/>
        <w:t xml:space="preserve">Uno de los aspectos </w:t>
      </w:r>
      <w:r>
        <w:rPr>
          <w:rFonts w:ascii="MinionPro-Regular" w:hAnsi="MinionPro-Regular"/>
          <w:sz w:val="24"/>
          <w:szCs w:val="24"/>
          <w:lang w:val="es-ES_tradnl"/>
        </w:rPr>
        <w:t>de</w:t>
      </w:r>
      <w:r w:rsidRPr="00B44100">
        <w:rPr>
          <w:rFonts w:ascii="MinionPro-Regular" w:hAnsi="MinionPro-Regular"/>
          <w:sz w:val="24"/>
          <w:szCs w:val="24"/>
          <w:lang w:val="es-ES_tradnl"/>
        </w:rPr>
        <w:t xml:space="preserve"> la agenda de la discapacidad es el relativo a la formación. </w:t>
      </w:r>
      <w:r>
        <w:rPr>
          <w:rFonts w:ascii="MinionPro-Regular" w:hAnsi="MinionPro-Regular"/>
          <w:sz w:val="24"/>
          <w:szCs w:val="24"/>
          <w:lang w:val="es-ES_tradnl"/>
        </w:rPr>
        <w:t xml:space="preserve"> Cabe destacar que entre las entrevistadas hay un mayor porcentaje de personas sin ningún tipo de título educativo que con titulación universitaria</w:t>
      </w:r>
      <w:r w:rsidRPr="00B44100">
        <w:rPr>
          <w:rFonts w:ascii="MinionPro-Regular" w:hAnsi="MinionPro-Regular"/>
          <w:sz w:val="24"/>
          <w:szCs w:val="24"/>
          <w:lang w:val="es-ES_tradnl"/>
        </w:rPr>
        <w:t>.</w:t>
      </w:r>
      <w:r>
        <w:rPr>
          <w:rFonts w:ascii="MinionPro-Regular" w:hAnsi="MinionPro-Regular"/>
          <w:sz w:val="24"/>
          <w:szCs w:val="24"/>
          <w:lang w:val="es-ES_tradnl"/>
        </w:rPr>
        <w:t xml:space="preserve"> Los datos relacionados con el nivel educativo muestran unas diferencias notables con las que se puede encontrar en la población general. De acuerdo a los datos de la OCDE</w:t>
      </w:r>
      <w:r>
        <w:rPr>
          <w:rStyle w:val="Refdenotaalpie"/>
          <w:rFonts w:ascii="MinionPro-Regular" w:hAnsi="MinionPro-Regular"/>
          <w:sz w:val="24"/>
          <w:szCs w:val="24"/>
          <w:lang w:val="es-ES_tradnl"/>
        </w:rPr>
        <w:footnoteReference w:id="18"/>
      </w:r>
      <w:r>
        <w:rPr>
          <w:rFonts w:ascii="MinionPro-Regular" w:hAnsi="MinionPro-Regular"/>
          <w:sz w:val="24"/>
          <w:szCs w:val="24"/>
          <w:lang w:val="es-ES_tradnl"/>
        </w:rPr>
        <w:t>, el porcentaje de personas entre 45 y 54 años en España que tienen un título universitario se sitúa por encima del 20%. Para las personas entre 25 y 34 años, el porcentaje se sitúa en el 45%.</w:t>
      </w:r>
      <w:r w:rsidR="006C3EA7">
        <w:rPr>
          <w:rFonts w:ascii="MinionPro-Regular" w:hAnsi="MinionPro-Regular"/>
          <w:sz w:val="24"/>
          <w:szCs w:val="24"/>
          <w:lang w:val="es-ES_tradnl"/>
        </w:rPr>
        <w:t xml:space="preserve"> </w:t>
      </w:r>
      <w:r w:rsidR="006C3EA7" w:rsidRPr="00456F1A">
        <w:rPr>
          <w:rFonts w:ascii="MinionPro-Regular" w:hAnsi="MinionPro-Regular"/>
          <w:sz w:val="24"/>
          <w:szCs w:val="24"/>
          <w:lang w:val="es-ES_tradnl"/>
        </w:rPr>
        <w:t>En cuanto a las personas con discapacidad, a partir de los da</w:t>
      </w:r>
      <w:r w:rsidR="004420A6" w:rsidRPr="00456F1A">
        <w:rPr>
          <w:rFonts w:ascii="MinionPro-Regular" w:hAnsi="MinionPro-Regular"/>
          <w:sz w:val="24"/>
          <w:szCs w:val="24"/>
          <w:lang w:val="es-ES_tradnl"/>
        </w:rPr>
        <w:t xml:space="preserve">tos obtenidos de las </w:t>
      </w:r>
      <w:r w:rsidR="00456F1A">
        <w:rPr>
          <w:rFonts w:ascii="MinionPro-Regular" w:hAnsi="MinionPro-Regular"/>
          <w:sz w:val="24"/>
          <w:szCs w:val="24"/>
          <w:lang w:val="es-ES_tradnl"/>
        </w:rPr>
        <w:t xml:space="preserve">consultas </w:t>
      </w:r>
      <w:r w:rsidR="004420A6" w:rsidRPr="00456F1A">
        <w:rPr>
          <w:rFonts w:ascii="MinionPro-Regular" w:hAnsi="MinionPro-Regular"/>
          <w:sz w:val="24"/>
          <w:szCs w:val="24"/>
          <w:lang w:val="es-ES_tradnl"/>
        </w:rPr>
        <w:t xml:space="preserve"> a trabajadores de centros especiales de empleo, sólo un 12% dis</w:t>
      </w:r>
      <w:r w:rsidR="006A0075" w:rsidRPr="00456F1A">
        <w:rPr>
          <w:rFonts w:ascii="MinionPro-Regular" w:hAnsi="MinionPro-Regular"/>
          <w:sz w:val="24"/>
          <w:szCs w:val="24"/>
          <w:lang w:val="es-ES_tradnl"/>
        </w:rPr>
        <w:t xml:space="preserve">ponían de titulación universitaria, con un rango de edad de 32 </w:t>
      </w:r>
      <w:r w:rsidR="007553D4" w:rsidRPr="00456F1A">
        <w:rPr>
          <w:rFonts w:ascii="MinionPro-Regular" w:hAnsi="MinionPro-Regular"/>
          <w:sz w:val="24"/>
          <w:szCs w:val="24"/>
          <w:lang w:val="es-ES_tradnl"/>
        </w:rPr>
        <w:t>a</w:t>
      </w:r>
      <w:r w:rsidR="006A0075" w:rsidRPr="00456F1A">
        <w:rPr>
          <w:rFonts w:ascii="MinionPro-Regular" w:hAnsi="MinionPro-Regular"/>
          <w:sz w:val="24"/>
          <w:szCs w:val="24"/>
          <w:lang w:val="es-ES_tradnl"/>
        </w:rPr>
        <w:t xml:space="preserve"> </w:t>
      </w:r>
      <w:r w:rsidR="007553D4" w:rsidRPr="00456F1A">
        <w:rPr>
          <w:rFonts w:ascii="MinionPro-Regular" w:hAnsi="MinionPro-Regular"/>
          <w:sz w:val="24"/>
          <w:szCs w:val="24"/>
          <w:lang w:val="es-ES_tradnl"/>
        </w:rPr>
        <w:t>53 años.</w:t>
      </w:r>
      <w:r w:rsidR="004420A6" w:rsidRPr="00456F1A">
        <w:rPr>
          <w:rFonts w:ascii="MinionPro-Regular" w:hAnsi="MinionPro-Regular"/>
          <w:sz w:val="24"/>
          <w:szCs w:val="24"/>
          <w:lang w:val="es-ES_tradnl"/>
        </w:rPr>
        <w:t xml:space="preserve">  </w:t>
      </w:r>
      <w:r w:rsidRPr="00456F1A">
        <w:rPr>
          <w:rFonts w:ascii="MinionPro-Regular" w:hAnsi="MinionPro-Regular"/>
          <w:sz w:val="24"/>
          <w:szCs w:val="24"/>
          <w:lang w:val="es-ES_tradnl"/>
        </w:rPr>
        <w:t xml:space="preserve"> </w:t>
      </w:r>
    </w:p>
    <w:p w:rsidR="00456F1A" w:rsidRDefault="00456F1A" w:rsidP="004B21DB">
      <w:pPr>
        <w:autoSpaceDE w:val="0"/>
        <w:autoSpaceDN w:val="0"/>
        <w:spacing w:line="360" w:lineRule="auto"/>
        <w:jc w:val="both"/>
        <w:rPr>
          <w:rFonts w:ascii="MinionPro-Regular" w:hAnsi="MinionPro-Regular"/>
          <w:sz w:val="24"/>
          <w:szCs w:val="24"/>
          <w:lang w:val="es-ES_tradnl"/>
        </w:rPr>
      </w:pPr>
    </w:p>
    <w:p w:rsidR="00E2336B" w:rsidRDefault="00E2336B" w:rsidP="004B21DB">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Por otra parte</w:t>
      </w:r>
      <w:r w:rsidRPr="00B44100">
        <w:rPr>
          <w:rFonts w:ascii="MinionPro-Regular" w:hAnsi="MinionPro-Regular"/>
          <w:sz w:val="24"/>
          <w:szCs w:val="24"/>
          <w:lang w:val="es-ES_tradnl"/>
        </w:rPr>
        <w:t xml:space="preserve">, </w:t>
      </w:r>
      <w:r>
        <w:rPr>
          <w:rFonts w:ascii="MinionPro-Regular" w:hAnsi="MinionPro-Regular"/>
          <w:sz w:val="24"/>
          <w:szCs w:val="24"/>
          <w:lang w:val="es-ES_tradnl"/>
        </w:rPr>
        <w:t xml:space="preserve">un porcentaje significativo de </w:t>
      </w:r>
      <w:r w:rsidRPr="00B44100">
        <w:rPr>
          <w:rFonts w:ascii="MinionPro-Regular" w:hAnsi="MinionPro-Regular"/>
          <w:sz w:val="24"/>
          <w:szCs w:val="24"/>
          <w:lang w:val="es-ES_tradnl"/>
        </w:rPr>
        <w:t>las personas entrevistadas tenían experiencia laboral</w:t>
      </w:r>
      <w:r>
        <w:rPr>
          <w:rFonts w:ascii="MinionPro-Regular" w:hAnsi="MinionPro-Regular"/>
          <w:sz w:val="24"/>
          <w:szCs w:val="24"/>
          <w:lang w:val="es-ES_tradnl"/>
        </w:rPr>
        <w:t xml:space="preserve"> previa. La </w:t>
      </w:r>
      <w:r w:rsidRPr="00B44100">
        <w:rPr>
          <w:rFonts w:ascii="MinionPro-Regular" w:hAnsi="MinionPro-Regular"/>
          <w:sz w:val="24"/>
          <w:szCs w:val="24"/>
          <w:lang w:val="es-ES_tradnl"/>
        </w:rPr>
        <w:t>mayoría de ellos había trabajado durante más de 10 años y</w:t>
      </w:r>
      <w:r>
        <w:rPr>
          <w:rFonts w:ascii="MinionPro-Regular" w:hAnsi="MinionPro-Regular"/>
          <w:sz w:val="24"/>
          <w:szCs w:val="24"/>
          <w:lang w:val="es-ES_tradnl"/>
        </w:rPr>
        <w:t>, en el 75% de los casos, habían tenido al menos</w:t>
      </w:r>
      <w:r w:rsidRPr="00B44100">
        <w:rPr>
          <w:rFonts w:ascii="MinionPro-Regular" w:hAnsi="MinionPro-Regular"/>
          <w:sz w:val="24"/>
          <w:szCs w:val="24"/>
          <w:lang w:val="es-ES_tradnl"/>
        </w:rPr>
        <w:t xml:space="preserve"> dos trabajos anteriores.</w:t>
      </w:r>
    </w:p>
    <w:p w:rsidR="00E2336B" w:rsidRPr="008B461D" w:rsidRDefault="00E2336B" w:rsidP="004B21DB">
      <w:pPr>
        <w:autoSpaceDE w:val="0"/>
        <w:autoSpaceDN w:val="0"/>
        <w:spacing w:line="360" w:lineRule="auto"/>
        <w:jc w:val="both"/>
        <w:rPr>
          <w:rFonts w:ascii="MinionPro-Regular" w:hAnsi="MinionPro-Regular"/>
          <w:sz w:val="24"/>
          <w:szCs w:val="24"/>
          <w:lang w:val="es-ES_tradnl"/>
        </w:rPr>
      </w:pPr>
    </w:p>
    <w:p w:rsidR="00E2336B" w:rsidRDefault="00E2336B" w:rsidP="004B21DB">
      <w:pPr>
        <w:pBdr>
          <w:top w:val="single" w:sz="4" w:space="1" w:color="auto"/>
        </w:pBdr>
        <w:autoSpaceDE w:val="0"/>
        <w:autoSpaceDN w:val="0"/>
        <w:spacing w:line="360" w:lineRule="auto"/>
        <w:jc w:val="both"/>
        <w:rPr>
          <w:rFonts w:ascii="MinionPro-Regular" w:hAnsi="MinionPro-Regular"/>
          <w:sz w:val="24"/>
          <w:szCs w:val="24"/>
          <w:lang w:val="es-ES_tradnl"/>
        </w:rPr>
      </w:pPr>
      <w:r w:rsidRPr="00B44100">
        <w:rPr>
          <w:rFonts w:ascii="MinionPro-Regular" w:hAnsi="MinionPro-Regular"/>
          <w:sz w:val="20"/>
        </w:rPr>
        <w:t>Nivel académico y experiencia profesional de las personas con discapacidad entrevistadas</w:t>
      </w:r>
      <w:r w:rsidRPr="00B44100">
        <w:rPr>
          <w:rFonts w:ascii="MinionPro-Regular" w:hAnsi="MinionPro-Regular"/>
          <w:i/>
          <w:sz w:val="24"/>
          <w:szCs w:val="24"/>
        </w:rPr>
        <w:t>.</w:t>
      </w:r>
    </w:p>
    <w:p w:rsidR="00E2336B" w:rsidRDefault="00E1516B" w:rsidP="004B21DB">
      <w:pPr>
        <w:autoSpaceDE w:val="0"/>
        <w:autoSpaceDN w:val="0"/>
        <w:spacing w:line="360" w:lineRule="auto"/>
        <w:jc w:val="center"/>
        <w:rPr>
          <w:rFonts w:ascii="MinionPro-Regular" w:hAnsi="MinionPro-Regular"/>
          <w:i/>
          <w:sz w:val="24"/>
          <w:szCs w:val="24"/>
        </w:rPr>
      </w:pPr>
      <w:r>
        <w:rPr>
          <w:noProof/>
          <w:szCs w:val="24"/>
          <w:lang w:eastAsia="es-ES"/>
        </w:rPr>
        <w:drawing>
          <wp:inline distT="0" distB="0" distL="0" distR="0">
            <wp:extent cx="2984500" cy="2355215"/>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73"/>
                    <a:srcRect/>
                    <a:stretch>
                      <a:fillRect/>
                    </a:stretch>
                  </pic:blipFill>
                  <pic:spPr bwMode="auto">
                    <a:xfrm>
                      <a:off x="0" y="0"/>
                      <a:ext cx="2984500" cy="2355215"/>
                    </a:xfrm>
                    <a:prstGeom prst="rect">
                      <a:avLst/>
                    </a:prstGeom>
                    <a:noFill/>
                    <a:ln w="9525">
                      <a:noFill/>
                      <a:miter lim="800000"/>
                      <a:headEnd/>
                      <a:tailEnd/>
                    </a:ln>
                  </pic:spPr>
                </pic:pic>
              </a:graphicData>
            </a:graphic>
          </wp:inline>
        </w:drawing>
      </w:r>
    </w:p>
    <w:p w:rsidR="00E2336B" w:rsidRDefault="00E1516B" w:rsidP="004B21DB">
      <w:pPr>
        <w:autoSpaceDE w:val="0"/>
        <w:autoSpaceDN w:val="0"/>
        <w:spacing w:line="360" w:lineRule="auto"/>
        <w:jc w:val="center"/>
        <w:rPr>
          <w:rFonts w:ascii="MinionPro-Regular" w:hAnsi="MinionPro-Regular"/>
          <w:sz w:val="24"/>
          <w:szCs w:val="24"/>
          <w:lang w:val="es-ES_tradnl"/>
        </w:rPr>
      </w:pPr>
      <w:r>
        <w:rPr>
          <w:noProof/>
          <w:szCs w:val="24"/>
          <w:lang w:eastAsia="es-ES"/>
        </w:rPr>
        <w:lastRenderedPageBreak/>
        <w:drawing>
          <wp:inline distT="0" distB="0" distL="0" distR="0">
            <wp:extent cx="2259965" cy="211328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74"/>
                    <a:srcRect/>
                    <a:stretch>
                      <a:fillRect/>
                    </a:stretch>
                  </pic:blipFill>
                  <pic:spPr bwMode="auto">
                    <a:xfrm>
                      <a:off x="0" y="0"/>
                      <a:ext cx="2259965" cy="2113280"/>
                    </a:xfrm>
                    <a:prstGeom prst="rect">
                      <a:avLst/>
                    </a:prstGeom>
                    <a:noFill/>
                    <a:ln w="9525">
                      <a:noFill/>
                      <a:miter lim="800000"/>
                      <a:headEnd/>
                      <a:tailEnd/>
                    </a:ln>
                  </pic:spPr>
                </pic:pic>
              </a:graphicData>
            </a:graphic>
          </wp:inline>
        </w:drawing>
      </w:r>
      <w:r w:rsidR="004420A6" w:rsidRPr="004420A6">
        <w:rPr>
          <w:rFonts w:ascii="MinionPro-Regular" w:hAnsi="MinionPro-Regular"/>
          <w:noProof/>
          <w:sz w:val="24"/>
          <w:szCs w:val="24"/>
          <w:lang w:eastAsia="es-ES"/>
        </w:rPr>
        <w:t xml:space="preserve"> </w:t>
      </w:r>
      <w:r>
        <w:rPr>
          <w:noProof/>
          <w:szCs w:val="24"/>
          <w:lang w:eastAsia="es-ES"/>
        </w:rPr>
        <w:drawing>
          <wp:inline distT="0" distB="0" distL="0" distR="0">
            <wp:extent cx="2717165" cy="212217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75"/>
                    <a:srcRect/>
                    <a:stretch>
                      <a:fillRect/>
                    </a:stretch>
                  </pic:blipFill>
                  <pic:spPr bwMode="auto">
                    <a:xfrm>
                      <a:off x="0" y="0"/>
                      <a:ext cx="2717165" cy="2122170"/>
                    </a:xfrm>
                    <a:prstGeom prst="rect">
                      <a:avLst/>
                    </a:prstGeom>
                    <a:noFill/>
                    <a:ln w="9525">
                      <a:noFill/>
                      <a:miter lim="800000"/>
                      <a:headEnd/>
                      <a:tailEnd/>
                    </a:ln>
                  </pic:spPr>
                </pic:pic>
              </a:graphicData>
            </a:graphic>
          </wp:inline>
        </w:drawing>
      </w:r>
    </w:p>
    <w:p w:rsidR="00E2336B" w:rsidRDefault="00E1516B" w:rsidP="004B21DB">
      <w:pPr>
        <w:autoSpaceDE w:val="0"/>
        <w:autoSpaceDN w:val="0"/>
        <w:spacing w:line="360" w:lineRule="auto"/>
        <w:jc w:val="center"/>
        <w:rPr>
          <w:rFonts w:ascii="MinionPro-Regular" w:hAnsi="MinionPro-Regular"/>
          <w:i/>
          <w:sz w:val="24"/>
          <w:szCs w:val="24"/>
        </w:rPr>
      </w:pPr>
      <w:r>
        <w:rPr>
          <w:noProof/>
          <w:szCs w:val="24"/>
          <w:lang w:eastAsia="es-ES"/>
        </w:rPr>
        <w:drawing>
          <wp:inline distT="0" distB="0" distL="0" distR="0">
            <wp:extent cx="2673985" cy="207899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76"/>
                    <a:srcRect/>
                    <a:stretch>
                      <a:fillRect/>
                    </a:stretch>
                  </pic:blipFill>
                  <pic:spPr bwMode="auto">
                    <a:xfrm>
                      <a:off x="0" y="0"/>
                      <a:ext cx="2673985" cy="2078990"/>
                    </a:xfrm>
                    <a:prstGeom prst="rect">
                      <a:avLst/>
                    </a:prstGeom>
                    <a:noFill/>
                    <a:ln w="9525">
                      <a:noFill/>
                      <a:miter lim="800000"/>
                      <a:headEnd/>
                      <a:tailEnd/>
                    </a:ln>
                  </pic:spPr>
                </pic:pic>
              </a:graphicData>
            </a:graphic>
          </wp:inline>
        </w:drawing>
      </w:r>
      <w:r w:rsidR="004420A6" w:rsidRPr="004420A6">
        <w:rPr>
          <w:szCs w:val="24"/>
        </w:rPr>
        <w:t xml:space="preserve"> </w:t>
      </w:r>
      <w:r>
        <w:rPr>
          <w:noProof/>
          <w:szCs w:val="24"/>
          <w:lang w:eastAsia="es-ES"/>
        </w:rPr>
        <w:drawing>
          <wp:inline distT="0" distB="0" distL="0" distR="0">
            <wp:extent cx="2648585" cy="186309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77"/>
                    <a:srcRect/>
                    <a:stretch>
                      <a:fillRect/>
                    </a:stretch>
                  </pic:blipFill>
                  <pic:spPr bwMode="auto">
                    <a:xfrm>
                      <a:off x="0" y="0"/>
                      <a:ext cx="2648585" cy="1863090"/>
                    </a:xfrm>
                    <a:prstGeom prst="rect">
                      <a:avLst/>
                    </a:prstGeom>
                    <a:noFill/>
                    <a:ln w="9525">
                      <a:noFill/>
                      <a:miter lim="800000"/>
                      <a:headEnd/>
                      <a:tailEnd/>
                    </a:ln>
                  </pic:spPr>
                </pic:pic>
              </a:graphicData>
            </a:graphic>
          </wp:inline>
        </w:drawing>
      </w:r>
    </w:p>
    <w:p w:rsidR="00E2336B" w:rsidRDefault="00E2336B" w:rsidP="004B21DB">
      <w:pPr>
        <w:pBdr>
          <w:bottom w:val="single" w:sz="4" w:space="1" w:color="auto"/>
        </w:pBdr>
        <w:autoSpaceDE w:val="0"/>
        <w:autoSpaceDN w:val="0"/>
        <w:spacing w:line="360" w:lineRule="auto"/>
        <w:jc w:val="both"/>
        <w:rPr>
          <w:rFonts w:ascii="MinionPro-Regular" w:hAnsi="MinionPro-Regular"/>
          <w:sz w:val="20"/>
        </w:rPr>
      </w:pPr>
      <w:r w:rsidRPr="00B44100">
        <w:rPr>
          <w:rFonts w:ascii="MinionPro-Regular" w:hAnsi="MinionPro-Regular"/>
          <w:sz w:val="20"/>
        </w:rPr>
        <w:t xml:space="preserve">Fuente: Elaboración propia a partir de </w:t>
      </w:r>
      <w:r>
        <w:rPr>
          <w:rFonts w:ascii="MinionPro-Regular" w:hAnsi="MinionPro-Regular"/>
          <w:sz w:val="20"/>
        </w:rPr>
        <w:t>entrevistas</w:t>
      </w:r>
      <w:r w:rsidRPr="00B44100">
        <w:rPr>
          <w:rFonts w:ascii="MinionPro-Regular" w:hAnsi="MinionPro-Regular"/>
          <w:sz w:val="20"/>
        </w:rPr>
        <w:t xml:space="preserve"> realizada a personas con discapacidad en centros especiales de empleo. (Datos a </w:t>
      </w:r>
      <w:r>
        <w:rPr>
          <w:rFonts w:ascii="MinionPro-Regular" w:hAnsi="MinionPro-Regular"/>
          <w:sz w:val="20"/>
        </w:rPr>
        <w:t>o</w:t>
      </w:r>
      <w:r w:rsidRPr="00B44100">
        <w:rPr>
          <w:rFonts w:ascii="MinionPro-Regular" w:hAnsi="MinionPro-Regular"/>
          <w:sz w:val="20"/>
        </w:rPr>
        <w:t>ctubre de 2012).</w:t>
      </w:r>
    </w:p>
    <w:p w:rsidR="00E2336B" w:rsidRPr="008B461D" w:rsidRDefault="00E2336B" w:rsidP="004B21DB">
      <w:pPr>
        <w:pBdr>
          <w:bottom w:val="single" w:sz="4" w:space="1" w:color="auto"/>
        </w:pBdr>
        <w:autoSpaceDE w:val="0"/>
        <w:autoSpaceDN w:val="0"/>
        <w:spacing w:line="360" w:lineRule="auto"/>
        <w:jc w:val="both"/>
        <w:rPr>
          <w:rFonts w:ascii="MinionPro-Regular" w:hAnsi="MinionPro-Regular"/>
          <w:sz w:val="20"/>
        </w:rPr>
      </w:pPr>
      <w:r w:rsidRPr="001B0FD3">
        <w:rPr>
          <w:rFonts w:ascii="MinionPro-Regular" w:hAnsi="MinionPro-Regular"/>
          <w:sz w:val="20"/>
          <w:szCs w:val="24"/>
        </w:rPr>
        <w:t>Nota explicativa de la</w:t>
      </w:r>
      <w:r>
        <w:rPr>
          <w:rFonts w:ascii="MinionPro-Regular" w:hAnsi="MinionPro-Regular"/>
          <w:sz w:val="20"/>
          <w:szCs w:val="24"/>
        </w:rPr>
        <w:t>s</w:t>
      </w:r>
      <w:r w:rsidRPr="001B0FD3">
        <w:rPr>
          <w:rFonts w:ascii="MinionPro-Regular" w:hAnsi="MinionPro-Regular"/>
          <w:sz w:val="20"/>
          <w:szCs w:val="24"/>
        </w:rPr>
        <w:t xml:space="preserve"> gráfica</w:t>
      </w:r>
      <w:r>
        <w:rPr>
          <w:rFonts w:ascii="MinionPro-Regular" w:hAnsi="MinionPro-Regular"/>
          <w:sz w:val="20"/>
          <w:szCs w:val="24"/>
        </w:rPr>
        <w:t xml:space="preserve">s. </w:t>
      </w:r>
      <w:r w:rsidRPr="001C2926">
        <w:rPr>
          <w:rFonts w:ascii="MinionPro-Regular" w:hAnsi="MinionPro-Regular"/>
          <w:sz w:val="20"/>
        </w:rPr>
        <w:t>Nivel académico</w:t>
      </w:r>
      <w:r>
        <w:rPr>
          <w:rFonts w:ascii="MinionPro-Regular" w:hAnsi="MinionPro-Regular"/>
          <w:sz w:val="20"/>
        </w:rPr>
        <w:t>: Titu</w:t>
      </w:r>
      <w:r w:rsidRPr="00F670E5">
        <w:rPr>
          <w:rFonts w:ascii="MinionPro-Regular" w:hAnsi="MinionPro-Regular"/>
          <w:sz w:val="20"/>
        </w:rPr>
        <w:t>lación universitaria</w:t>
      </w:r>
      <w:r>
        <w:rPr>
          <w:rFonts w:ascii="MinionPro-Regular" w:hAnsi="MinionPro-Regular"/>
          <w:sz w:val="20"/>
        </w:rPr>
        <w:t xml:space="preserve"> el </w:t>
      </w:r>
      <w:r w:rsidRPr="00F670E5">
        <w:rPr>
          <w:rFonts w:ascii="MinionPro-Regular" w:hAnsi="MinionPro-Regular"/>
          <w:sz w:val="20"/>
        </w:rPr>
        <w:t>12%</w:t>
      </w:r>
      <w:r>
        <w:rPr>
          <w:rFonts w:ascii="MinionPro-Regular" w:hAnsi="MinionPro-Regular"/>
          <w:sz w:val="20"/>
        </w:rPr>
        <w:t xml:space="preserve">; </w:t>
      </w:r>
      <w:r w:rsidRPr="001C2926">
        <w:rPr>
          <w:rFonts w:ascii="MinionPro-Regular" w:hAnsi="MinionPro-Regular"/>
          <w:sz w:val="20"/>
        </w:rPr>
        <w:t xml:space="preserve">Formación Profesional </w:t>
      </w:r>
      <w:r>
        <w:rPr>
          <w:rFonts w:ascii="MinionPro-Regular" w:hAnsi="MinionPro-Regular"/>
          <w:sz w:val="20"/>
        </w:rPr>
        <w:t xml:space="preserve">el </w:t>
      </w:r>
      <w:r w:rsidRPr="001C2926">
        <w:rPr>
          <w:rFonts w:ascii="MinionPro-Regular" w:hAnsi="MinionPro-Regular"/>
          <w:sz w:val="20"/>
        </w:rPr>
        <w:t>31%</w:t>
      </w:r>
      <w:r>
        <w:rPr>
          <w:rFonts w:ascii="MinionPro-Regular" w:hAnsi="MinionPro-Regular"/>
          <w:sz w:val="20"/>
        </w:rPr>
        <w:t>;</w:t>
      </w:r>
      <w:r w:rsidRPr="00F670E5">
        <w:t xml:space="preserve"> </w:t>
      </w:r>
      <w:r w:rsidRPr="00F670E5">
        <w:rPr>
          <w:rFonts w:ascii="MinionPro-Regular" w:hAnsi="MinionPro-Regular"/>
          <w:sz w:val="20"/>
        </w:rPr>
        <w:t xml:space="preserve">Bachiller </w:t>
      </w:r>
      <w:r>
        <w:rPr>
          <w:rFonts w:ascii="MinionPro-Regular" w:hAnsi="MinionPro-Regular"/>
          <w:sz w:val="20"/>
        </w:rPr>
        <w:t xml:space="preserve">el </w:t>
      </w:r>
      <w:r w:rsidRPr="00F670E5">
        <w:rPr>
          <w:rFonts w:ascii="MinionPro-Regular" w:hAnsi="MinionPro-Regular"/>
          <w:sz w:val="20"/>
        </w:rPr>
        <w:t>8%</w:t>
      </w:r>
      <w:r>
        <w:rPr>
          <w:rFonts w:ascii="MinionPro-Regular" w:hAnsi="MinionPro-Regular"/>
          <w:sz w:val="20"/>
        </w:rPr>
        <w:t xml:space="preserve">; </w:t>
      </w:r>
      <w:r w:rsidRPr="00F670E5">
        <w:rPr>
          <w:rFonts w:ascii="MinionPro-Regular" w:hAnsi="MinionPro-Regular"/>
          <w:sz w:val="20"/>
        </w:rPr>
        <w:t xml:space="preserve">Secundaria </w:t>
      </w:r>
      <w:r>
        <w:rPr>
          <w:rFonts w:ascii="MinionPro-Regular" w:hAnsi="MinionPro-Regular"/>
          <w:sz w:val="20"/>
        </w:rPr>
        <w:t xml:space="preserve">el </w:t>
      </w:r>
      <w:r w:rsidRPr="00F670E5">
        <w:rPr>
          <w:rFonts w:ascii="MinionPro-Regular" w:hAnsi="MinionPro-Regular"/>
          <w:sz w:val="20"/>
        </w:rPr>
        <w:t>14%</w:t>
      </w:r>
      <w:r>
        <w:rPr>
          <w:rFonts w:ascii="MinionPro-Regular" w:hAnsi="MinionPro-Regular"/>
          <w:sz w:val="20"/>
        </w:rPr>
        <w:t xml:space="preserve">; </w:t>
      </w:r>
      <w:r w:rsidRPr="00F670E5">
        <w:rPr>
          <w:rFonts w:ascii="MinionPro-Regular" w:hAnsi="MinionPro-Regular"/>
          <w:sz w:val="20"/>
        </w:rPr>
        <w:t xml:space="preserve">Primaria (Básico) </w:t>
      </w:r>
      <w:r>
        <w:rPr>
          <w:rFonts w:ascii="MinionPro-Regular" w:hAnsi="MinionPro-Regular"/>
          <w:sz w:val="20"/>
        </w:rPr>
        <w:t xml:space="preserve">el </w:t>
      </w:r>
      <w:r w:rsidRPr="00F670E5">
        <w:rPr>
          <w:rFonts w:ascii="MinionPro-Regular" w:hAnsi="MinionPro-Regular"/>
          <w:sz w:val="20"/>
        </w:rPr>
        <w:t>16%</w:t>
      </w:r>
      <w:r>
        <w:rPr>
          <w:rFonts w:ascii="MinionPro-Regular" w:hAnsi="MinionPro-Regular"/>
          <w:sz w:val="20"/>
        </w:rPr>
        <w:t xml:space="preserve">; </w:t>
      </w:r>
      <w:r w:rsidRPr="00F670E5">
        <w:rPr>
          <w:rFonts w:ascii="MinionPro-Regular" w:hAnsi="MinionPro-Regular"/>
          <w:sz w:val="20"/>
        </w:rPr>
        <w:t>Ninguno</w:t>
      </w:r>
      <w:r>
        <w:rPr>
          <w:rFonts w:ascii="MinionPro-Regular" w:hAnsi="MinionPro-Regular"/>
          <w:sz w:val="20"/>
        </w:rPr>
        <w:t xml:space="preserve"> el </w:t>
      </w:r>
      <w:r w:rsidRPr="00F670E5">
        <w:rPr>
          <w:rFonts w:ascii="MinionPro-Regular" w:hAnsi="MinionPro-Regular"/>
          <w:sz w:val="20"/>
        </w:rPr>
        <w:t>16%</w:t>
      </w:r>
      <w:r>
        <w:rPr>
          <w:rFonts w:ascii="MinionPro-Regular" w:hAnsi="MinionPro-Regular"/>
          <w:sz w:val="20"/>
        </w:rPr>
        <w:t xml:space="preserve">; Otros el 3%. </w:t>
      </w:r>
      <w:r w:rsidRPr="001C2926">
        <w:rPr>
          <w:rFonts w:ascii="MinionPro-Regular" w:hAnsi="MinionPro-Regular"/>
          <w:sz w:val="20"/>
        </w:rPr>
        <w:t>Vida laboral total:</w:t>
      </w:r>
      <w:r w:rsidRPr="008C3BEF">
        <w:t xml:space="preserve"> </w:t>
      </w:r>
      <w:r w:rsidRPr="001C2926">
        <w:rPr>
          <w:rFonts w:ascii="MinionPro-Regular" w:hAnsi="MinionPro-Regular"/>
          <w:sz w:val="20"/>
        </w:rPr>
        <w:t>más de 10 años el 76%; entre 5 y 10 años el 20%</w:t>
      </w:r>
      <w:r>
        <w:rPr>
          <w:rFonts w:ascii="MinionPro-Regular" w:hAnsi="MinionPro-Regular"/>
          <w:sz w:val="20"/>
        </w:rPr>
        <w:t>; e</w:t>
      </w:r>
      <w:r w:rsidRPr="008C3BEF">
        <w:rPr>
          <w:rFonts w:ascii="MinionPro-Regular" w:hAnsi="MinionPro-Regular"/>
          <w:sz w:val="20"/>
        </w:rPr>
        <w:t xml:space="preserve">ntre 2 y 5 años </w:t>
      </w:r>
      <w:r>
        <w:rPr>
          <w:rFonts w:ascii="MinionPro-Regular" w:hAnsi="MinionPro-Regular"/>
          <w:sz w:val="20"/>
        </w:rPr>
        <w:t xml:space="preserve">el </w:t>
      </w:r>
      <w:r w:rsidRPr="008C3BEF">
        <w:rPr>
          <w:rFonts w:ascii="MinionPro-Regular" w:hAnsi="MinionPro-Regular"/>
          <w:sz w:val="20"/>
        </w:rPr>
        <w:t>4%</w:t>
      </w:r>
      <w:r>
        <w:rPr>
          <w:rFonts w:ascii="MinionPro-Regular" w:hAnsi="MinionPro-Regular"/>
          <w:sz w:val="20"/>
        </w:rPr>
        <w:t xml:space="preserve">; menos de </w:t>
      </w:r>
      <w:r w:rsidRPr="001C2926">
        <w:rPr>
          <w:rFonts w:ascii="MinionPro-Regular" w:hAnsi="MinionPro-Regular"/>
          <w:sz w:val="20"/>
        </w:rPr>
        <w:t xml:space="preserve">2 años </w:t>
      </w:r>
      <w:r>
        <w:rPr>
          <w:rFonts w:ascii="MinionPro-Regular" w:hAnsi="MinionPro-Regular"/>
          <w:sz w:val="20"/>
        </w:rPr>
        <w:t xml:space="preserve">el </w:t>
      </w:r>
      <w:r w:rsidRPr="001C2926">
        <w:rPr>
          <w:rFonts w:ascii="MinionPro-Regular" w:hAnsi="MinionPro-Regular"/>
          <w:sz w:val="20"/>
        </w:rPr>
        <w:t>0%</w:t>
      </w:r>
      <w:r>
        <w:rPr>
          <w:rFonts w:ascii="MinionPro-Regular" w:hAnsi="MinionPro-Regular"/>
          <w:sz w:val="20"/>
        </w:rPr>
        <w:t xml:space="preserve">. </w:t>
      </w:r>
      <w:r w:rsidRPr="001C2926">
        <w:rPr>
          <w:rFonts w:ascii="MinionPro-Regular" w:hAnsi="MinionPro-Regular"/>
          <w:sz w:val="20"/>
        </w:rPr>
        <w:t xml:space="preserve">Vida laboral en el CEE: </w:t>
      </w:r>
      <w:r w:rsidRPr="008C3BEF">
        <w:rPr>
          <w:rFonts w:ascii="MinionPro-Regular" w:hAnsi="MinionPro-Regular"/>
          <w:sz w:val="20"/>
        </w:rPr>
        <w:t xml:space="preserve">más de 10 años el </w:t>
      </w:r>
      <w:r w:rsidRPr="001C2926">
        <w:rPr>
          <w:rFonts w:ascii="MinionPro-Regular" w:hAnsi="MinionPro-Regular"/>
          <w:sz w:val="20"/>
        </w:rPr>
        <w:t>24</w:t>
      </w:r>
      <w:r w:rsidRPr="008C3BEF">
        <w:rPr>
          <w:rFonts w:ascii="MinionPro-Regular" w:hAnsi="MinionPro-Regular"/>
          <w:sz w:val="20"/>
        </w:rPr>
        <w:t xml:space="preserve">%; entre 5 y 10 años el </w:t>
      </w:r>
      <w:r>
        <w:rPr>
          <w:rFonts w:ascii="MinionPro-Regular" w:hAnsi="MinionPro-Regular"/>
          <w:sz w:val="20"/>
        </w:rPr>
        <w:t>31</w:t>
      </w:r>
      <w:r w:rsidRPr="008C3BEF">
        <w:rPr>
          <w:rFonts w:ascii="MinionPro-Regular" w:hAnsi="MinionPro-Regular"/>
          <w:sz w:val="20"/>
        </w:rPr>
        <w:t>%</w:t>
      </w:r>
      <w:r>
        <w:rPr>
          <w:rFonts w:ascii="MinionPro-Regular" w:hAnsi="MinionPro-Regular"/>
          <w:sz w:val="20"/>
        </w:rPr>
        <w:t>; e</w:t>
      </w:r>
      <w:r w:rsidRPr="008C3BEF">
        <w:rPr>
          <w:rFonts w:ascii="MinionPro-Regular" w:hAnsi="MinionPro-Regular"/>
          <w:sz w:val="20"/>
        </w:rPr>
        <w:t xml:space="preserve">ntre 2 y 5 años </w:t>
      </w:r>
      <w:r>
        <w:rPr>
          <w:rFonts w:ascii="MinionPro-Regular" w:hAnsi="MinionPro-Regular"/>
          <w:sz w:val="20"/>
        </w:rPr>
        <w:t>el 28</w:t>
      </w:r>
      <w:r w:rsidRPr="008C3BEF">
        <w:rPr>
          <w:rFonts w:ascii="MinionPro-Regular" w:hAnsi="MinionPro-Regular"/>
          <w:sz w:val="20"/>
        </w:rPr>
        <w:t>%</w:t>
      </w:r>
      <w:r>
        <w:rPr>
          <w:rFonts w:ascii="MinionPro-Regular" w:hAnsi="MinionPro-Regular"/>
          <w:sz w:val="20"/>
        </w:rPr>
        <w:t xml:space="preserve">; menos de </w:t>
      </w:r>
      <w:r w:rsidRPr="008C3BEF">
        <w:rPr>
          <w:rFonts w:ascii="MinionPro-Regular" w:hAnsi="MinionPro-Regular"/>
          <w:sz w:val="20"/>
        </w:rPr>
        <w:t xml:space="preserve">2 años </w:t>
      </w:r>
      <w:r>
        <w:rPr>
          <w:rFonts w:ascii="MinionPro-Regular" w:hAnsi="MinionPro-Regular"/>
          <w:sz w:val="20"/>
        </w:rPr>
        <w:t>el 17</w:t>
      </w:r>
      <w:r w:rsidRPr="008C3BEF">
        <w:rPr>
          <w:rFonts w:ascii="MinionPro-Regular" w:hAnsi="MinionPro-Regular"/>
          <w:sz w:val="20"/>
        </w:rPr>
        <w:t>%</w:t>
      </w:r>
      <w:r>
        <w:rPr>
          <w:rFonts w:ascii="MinionPro-Regular" w:hAnsi="MinionPro-Regular"/>
          <w:sz w:val="20"/>
        </w:rPr>
        <w:t xml:space="preserve">. </w:t>
      </w:r>
      <w:r w:rsidRPr="001C2926">
        <w:rPr>
          <w:rFonts w:ascii="MinionPro-Regular" w:hAnsi="MinionPro-Regular"/>
          <w:sz w:val="20"/>
        </w:rPr>
        <w:t xml:space="preserve">Primer empleo: No el 89%; Sí el 11%. </w:t>
      </w:r>
      <w:r w:rsidRPr="008C3BEF">
        <w:rPr>
          <w:rFonts w:ascii="MinionPro-Regular" w:hAnsi="MinionPro-Regular"/>
          <w:sz w:val="20"/>
        </w:rPr>
        <w:t>Número de trabajos anteriores</w:t>
      </w:r>
      <w:r>
        <w:rPr>
          <w:rFonts w:ascii="MinionPro-Regular" w:hAnsi="MinionPro-Regular"/>
          <w:sz w:val="20"/>
        </w:rPr>
        <w:t xml:space="preserve">: Más de 5 trabajos el </w:t>
      </w:r>
      <w:r w:rsidRPr="001C2926">
        <w:rPr>
          <w:rFonts w:ascii="MinionPro-Regular" w:hAnsi="MinionPro-Regular"/>
          <w:sz w:val="20"/>
        </w:rPr>
        <w:t>35%</w:t>
      </w:r>
      <w:r>
        <w:rPr>
          <w:rFonts w:ascii="MinionPro-Regular" w:hAnsi="MinionPro-Regular"/>
          <w:sz w:val="20"/>
        </w:rPr>
        <w:t>; E</w:t>
      </w:r>
      <w:r w:rsidRPr="008C3BEF">
        <w:rPr>
          <w:rFonts w:ascii="MinionPro-Regular" w:hAnsi="MinionPro-Regular"/>
          <w:sz w:val="20"/>
        </w:rPr>
        <w:t>ntre 2 y 5 trabajos</w:t>
      </w:r>
      <w:r>
        <w:rPr>
          <w:rFonts w:ascii="MinionPro-Regular" w:hAnsi="MinionPro-Regular"/>
          <w:sz w:val="20"/>
        </w:rPr>
        <w:t xml:space="preserve"> el </w:t>
      </w:r>
      <w:r w:rsidRPr="008C3BEF">
        <w:rPr>
          <w:rFonts w:ascii="MinionPro-Regular" w:hAnsi="MinionPro-Regular"/>
          <w:sz w:val="20"/>
        </w:rPr>
        <w:t>40%</w:t>
      </w:r>
      <w:r>
        <w:rPr>
          <w:rFonts w:ascii="MinionPro-Regular" w:hAnsi="MinionPro-Regular"/>
          <w:sz w:val="20"/>
        </w:rPr>
        <w:t>; E</w:t>
      </w:r>
      <w:r w:rsidRPr="008C3BEF">
        <w:rPr>
          <w:rFonts w:ascii="MinionPro-Regular" w:hAnsi="MinionPro-Regular"/>
          <w:sz w:val="20"/>
        </w:rPr>
        <w:t xml:space="preserve">ntre 1 y 2 trabajos </w:t>
      </w:r>
      <w:r>
        <w:rPr>
          <w:rFonts w:ascii="MinionPro-Regular" w:hAnsi="MinionPro-Regular"/>
          <w:sz w:val="20"/>
        </w:rPr>
        <w:t xml:space="preserve">el </w:t>
      </w:r>
      <w:r w:rsidRPr="008C3BEF">
        <w:rPr>
          <w:rFonts w:ascii="MinionPro-Regular" w:hAnsi="MinionPro-Regular"/>
          <w:sz w:val="20"/>
        </w:rPr>
        <w:t>15%</w:t>
      </w:r>
      <w:r>
        <w:rPr>
          <w:rFonts w:ascii="MinionPro-Regular" w:hAnsi="MinionPro-Regular"/>
          <w:sz w:val="20"/>
        </w:rPr>
        <w:t>; Primer trabajo el 10%.</w:t>
      </w:r>
    </w:p>
    <w:p w:rsidR="00E2336B" w:rsidRDefault="00E2336B" w:rsidP="004B21DB">
      <w:pPr>
        <w:autoSpaceDE w:val="0"/>
        <w:autoSpaceDN w:val="0"/>
        <w:spacing w:line="360" w:lineRule="auto"/>
        <w:jc w:val="both"/>
        <w:rPr>
          <w:rFonts w:ascii="MinionPro-Regular" w:hAnsi="MinionPro-Regular"/>
          <w:b/>
          <w:sz w:val="24"/>
          <w:szCs w:val="24"/>
          <w:lang w:val="es-ES_tradnl"/>
        </w:rPr>
      </w:pPr>
    </w:p>
    <w:p w:rsidR="002959F0" w:rsidRDefault="00E2336B" w:rsidP="0007541A">
      <w:pPr>
        <w:pStyle w:val="Ttulo3"/>
        <w:numPr>
          <w:ilvl w:val="2"/>
          <w:numId w:val="3"/>
        </w:numPr>
        <w:rPr>
          <w:lang w:val="es-ES_tradnl"/>
        </w:rPr>
      </w:pPr>
      <w:bookmarkStart w:id="170" w:name="_Toc352773560"/>
      <w:r w:rsidRPr="00A24A22">
        <w:rPr>
          <w:lang w:val="es-ES_tradnl"/>
        </w:rPr>
        <w:t>La formación en los centros, un área de mejora</w:t>
      </w:r>
      <w:bookmarkEnd w:id="170"/>
    </w:p>
    <w:p w:rsidR="00E2336B" w:rsidRDefault="00E2336B" w:rsidP="004B21DB">
      <w:pPr>
        <w:autoSpaceDE w:val="0"/>
        <w:autoSpaceDN w:val="0"/>
        <w:spacing w:line="360" w:lineRule="auto"/>
        <w:jc w:val="both"/>
        <w:rPr>
          <w:rFonts w:ascii="MinionPro-Regular" w:hAnsi="MinionPro-Regular"/>
          <w:sz w:val="24"/>
          <w:szCs w:val="24"/>
          <w:lang w:val="es-ES_tradnl"/>
        </w:rPr>
      </w:pPr>
    </w:p>
    <w:p w:rsidR="00E2336B" w:rsidRDefault="00E2336B" w:rsidP="004B21DB">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lastRenderedPageBreak/>
        <w:t>El 12% de las personas entrevistadas no ha recibido ningún tipo de formación y c</w:t>
      </w:r>
      <w:r w:rsidRPr="008B461D">
        <w:rPr>
          <w:rFonts w:ascii="MinionPro-Regular" w:hAnsi="MinionPro-Regular"/>
          <w:sz w:val="24"/>
          <w:szCs w:val="24"/>
          <w:lang w:val="es-ES_tradnl"/>
        </w:rPr>
        <w:t>asi la mitad</w:t>
      </w:r>
      <w:r w:rsidRPr="00B44100">
        <w:rPr>
          <w:rFonts w:ascii="MinionPro-Regular" w:hAnsi="MinionPro-Regular"/>
          <w:sz w:val="24"/>
          <w:szCs w:val="24"/>
          <w:lang w:val="es-ES_tradnl"/>
        </w:rPr>
        <w:t xml:space="preserve"> de </w:t>
      </w:r>
      <w:r>
        <w:rPr>
          <w:rFonts w:ascii="MinionPro-Regular" w:hAnsi="MinionPro-Regular"/>
          <w:sz w:val="24"/>
          <w:szCs w:val="24"/>
          <w:lang w:val="es-ES_tradnl"/>
        </w:rPr>
        <w:t>ellos (el 47%) ha recibido formación puntual. La percepción de las personas que recibían formación fue que la formación recibida era escasa y que éste constituía un claro aspecto de mejora</w:t>
      </w:r>
      <w:r w:rsidRPr="00B44100">
        <w:rPr>
          <w:rFonts w:ascii="MinionPro-Regular" w:hAnsi="MinionPro-Regular"/>
          <w:sz w:val="24"/>
          <w:szCs w:val="24"/>
          <w:lang w:val="es-ES_tradnl"/>
        </w:rPr>
        <w:t xml:space="preserve">. </w:t>
      </w:r>
      <w:r>
        <w:rPr>
          <w:rFonts w:ascii="MinionPro-Regular" w:hAnsi="MinionPro-Regular"/>
          <w:sz w:val="24"/>
          <w:szCs w:val="24"/>
          <w:lang w:val="es-ES_tradnl"/>
        </w:rPr>
        <w:t xml:space="preserve">Esta circunstancia pone de manifiesto la necesidad de eliminar la dualidad entre los servicios de ajuste y las unidades de apoyo, de reformular su función y de asegurar que su existencia responde al objetivo de mejorar la empleabilidad de las personas. </w:t>
      </w:r>
    </w:p>
    <w:p w:rsidR="00E2336B" w:rsidRDefault="00E2336B" w:rsidP="004B21DB">
      <w:pPr>
        <w:autoSpaceDE w:val="0"/>
        <w:autoSpaceDN w:val="0"/>
        <w:spacing w:line="360" w:lineRule="auto"/>
        <w:jc w:val="both"/>
        <w:rPr>
          <w:rFonts w:ascii="MinionPro-Regular" w:hAnsi="MinionPro-Regular"/>
          <w:sz w:val="24"/>
          <w:szCs w:val="24"/>
          <w:lang w:val="es-ES_tradnl"/>
        </w:rPr>
      </w:pPr>
    </w:p>
    <w:p w:rsidR="00E2336B" w:rsidRPr="008B461D" w:rsidRDefault="00E2336B" w:rsidP="004B21DB">
      <w:pPr>
        <w:autoSpaceDE w:val="0"/>
        <w:autoSpaceDN w:val="0"/>
        <w:spacing w:line="360" w:lineRule="auto"/>
        <w:jc w:val="both"/>
        <w:rPr>
          <w:rFonts w:ascii="MinionPro-Regular" w:hAnsi="MinionPro-Regular"/>
          <w:sz w:val="24"/>
          <w:szCs w:val="24"/>
          <w:lang w:val="es-ES_tradnl"/>
        </w:rPr>
      </w:pPr>
      <w:r w:rsidRPr="00B44100">
        <w:rPr>
          <w:rFonts w:ascii="MinionPro-Regular" w:hAnsi="MinionPro-Regular"/>
          <w:sz w:val="24"/>
          <w:szCs w:val="24"/>
          <w:lang w:val="es-ES_tradnl"/>
        </w:rPr>
        <w:t>Aun así, la calidad de la formación recibida en los centros fue</w:t>
      </w:r>
      <w:r>
        <w:rPr>
          <w:rFonts w:ascii="MinionPro-Regular" w:hAnsi="MinionPro-Regular"/>
          <w:sz w:val="24"/>
          <w:szCs w:val="24"/>
          <w:lang w:val="es-ES_tradnl"/>
        </w:rPr>
        <w:t xml:space="preserve"> calificada como</w:t>
      </w:r>
      <w:r w:rsidRPr="00B44100">
        <w:rPr>
          <w:rFonts w:ascii="MinionPro-Regular" w:hAnsi="MinionPro-Regular"/>
          <w:sz w:val="24"/>
          <w:szCs w:val="24"/>
          <w:lang w:val="es-ES_tradnl"/>
        </w:rPr>
        <w:t xml:space="preserve"> buena</w:t>
      </w:r>
      <w:r>
        <w:rPr>
          <w:rFonts w:ascii="MinionPro-Regular" w:hAnsi="MinionPro-Regular"/>
          <w:sz w:val="24"/>
          <w:szCs w:val="24"/>
          <w:lang w:val="es-ES_tradnl"/>
        </w:rPr>
        <w:t xml:space="preserve"> en el 84% de los casos por aquellas personas a las que fue impartida</w:t>
      </w:r>
      <w:r w:rsidRPr="00B44100">
        <w:rPr>
          <w:rFonts w:ascii="MinionPro-Regular" w:hAnsi="MinionPro-Regular"/>
          <w:sz w:val="24"/>
          <w:szCs w:val="24"/>
          <w:lang w:val="es-ES_tradnl"/>
        </w:rPr>
        <w:t>.</w:t>
      </w:r>
    </w:p>
    <w:p w:rsidR="00E2336B" w:rsidRPr="008B461D" w:rsidRDefault="00E2336B" w:rsidP="004B21DB">
      <w:pPr>
        <w:autoSpaceDE w:val="0"/>
        <w:autoSpaceDN w:val="0"/>
        <w:spacing w:line="360" w:lineRule="auto"/>
        <w:jc w:val="both"/>
        <w:rPr>
          <w:rFonts w:ascii="MinionPro-Regular" w:hAnsi="MinionPro-Regular"/>
          <w:sz w:val="24"/>
          <w:szCs w:val="24"/>
          <w:lang w:val="es-ES_tradnl"/>
        </w:rPr>
      </w:pPr>
    </w:p>
    <w:p w:rsidR="00E2336B" w:rsidRDefault="00E2336B" w:rsidP="004B21DB">
      <w:pPr>
        <w:pBdr>
          <w:top w:val="single" w:sz="4" w:space="1" w:color="auto"/>
        </w:pBdr>
        <w:autoSpaceDE w:val="0"/>
        <w:autoSpaceDN w:val="0"/>
        <w:spacing w:line="360" w:lineRule="auto"/>
        <w:jc w:val="both"/>
        <w:rPr>
          <w:rFonts w:ascii="MinionPro-Regular" w:hAnsi="MinionPro-Regular"/>
          <w:sz w:val="20"/>
        </w:rPr>
      </w:pPr>
      <w:r>
        <w:rPr>
          <w:rFonts w:ascii="MinionPro-Regular" w:hAnsi="MinionPro-Regular"/>
          <w:sz w:val="20"/>
        </w:rPr>
        <w:t>Formación recibida y calidad de la formación</w:t>
      </w:r>
      <w:r w:rsidRPr="00B44100">
        <w:rPr>
          <w:rFonts w:ascii="MinionPro-Regular" w:hAnsi="MinionPro-Regular"/>
          <w:sz w:val="20"/>
        </w:rPr>
        <w:t>.</w:t>
      </w:r>
    </w:p>
    <w:p w:rsidR="00E2336B" w:rsidRDefault="00E1516B" w:rsidP="004B21DB">
      <w:pPr>
        <w:autoSpaceDE w:val="0"/>
        <w:autoSpaceDN w:val="0"/>
        <w:spacing w:line="360" w:lineRule="auto"/>
        <w:jc w:val="center"/>
        <w:rPr>
          <w:rFonts w:ascii="MinionPro-Regular" w:hAnsi="MinionPro-Regular"/>
          <w:i/>
          <w:sz w:val="24"/>
          <w:szCs w:val="24"/>
          <w:lang w:val="es-ES_tradnl"/>
        </w:rPr>
      </w:pPr>
      <w:r>
        <w:rPr>
          <w:noProof/>
          <w:szCs w:val="24"/>
          <w:lang w:eastAsia="es-ES"/>
        </w:rPr>
        <w:drawing>
          <wp:inline distT="0" distB="0" distL="0" distR="0">
            <wp:extent cx="2717165" cy="220853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78"/>
                    <a:srcRect/>
                    <a:stretch>
                      <a:fillRect/>
                    </a:stretch>
                  </pic:blipFill>
                  <pic:spPr bwMode="auto">
                    <a:xfrm>
                      <a:off x="0" y="0"/>
                      <a:ext cx="2717165" cy="2208530"/>
                    </a:xfrm>
                    <a:prstGeom prst="rect">
                      <a:avLst/>
                    </a:prstGeom>
                    <a:noFill/>
                    <a:ln w="9525">
                      <a:noFill/>
                      <a:miter lim="800000"/>
                      <a:headEnd/>
                      <a:tailEnd/>
                    </a:ln>
                  </pic:spPr>
                </pic:pic>
              </a:graphicData>
            </a:graphic>
          </wp:inline>
        </w:drawing>
      </w:r>
      <w:r w:rsidR="004420A6" w:rsidRPr="004420A6">
        <w:rPr>
          <w:rFonts w:ascii="MinionPro-Regular" w:hAnsi="MinionPro-Regular"/>
          <w:noProof/>
          <w:sz w:val="24"/>
          <w:szCs w:val="24"/>
          <w:lang w:eastAsia="es-ES"/>
        </w:rPr>
        <w:t xml:space="preserve"> </w:t>
      </w:r>
      <w:r>
        <w:rPr>
          <w:noProof/>
          <w:szCs w:val="24"/>
          <w:lang w:eastAsia="es-ES"/>
        </w:rPr>
        <w:drawing>
          <wp:inline distT="0" distB="0" distL="0" distR="0">
            <wp:extent cx="2596515" cy="208788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79"/>
                    <a:srcRect/>
                    <a:stretch>
                      <a:fillRect/>
                    </a:stretch>
                  </pic:blipFill>
                  <pic:spPr bwMode="auto">
                    <a:xfrm>
                      <a:off x="0" y="0"/>
                      <a:ext cx="2596515" cy="2087880"/>
                    </a:xfrm>
                    <a:prstGeom prst="rect">
                      <a:avLst/>
                    </a:prstGeom>
                    <a:noFill/>
                    <a:ln w="9525">
                      <a:noFill/>
                      <a:miter lim="800000"/>
                      <a:headEnd/>
                      <a:tailEnd/>
                    </a:ln>
                  </pic:spPr>
                </pic:pic>
              </a:graphicData>
            </a:graphic>
          </wp:inline>
        </w:drawing>
      </w:r>
    </w:p>
    <w:p w:rsidR="00E2336B" w:rsidRDefault="00E2336B" w:rsidP="004B21DB">
      <w:pPr>
        <w:pBdr>
          <w:bottom w:val="single" w:sz="4" w:space="1" w:color="auto"/>
        </w:pBdr>
        <w:autoSpaceDE w:val="0"/>
        <w:autoSpaceDN w:val="0"/>
        <w:spacing w:line="360" w:lineRule="auto"/>
        <w:rPr>
          <w:rFonts w:ascii="MinionPro-Regular" w:hAnsi="MinionPro-Regular"/>
          <w:sz w:val="20"/>
        </w:rPr>
      </w:pPr>
      <w:r w:rsidRPr="00B44100">
        <w:rPr>
          <w:rFonts w:ascii="MinionPro-Regular" w:hAnsi="MinionPro-Regular"/>
          <w:sz w:val="20"/>
        </w:rPr>
        <w:t xml:space="preserve">Fuente: Elaboración propia a partir de una encuesta realizada a personas con discapacidad en centros especiales de empleo. (Datos a </w:t>
      </w:r>
      <w:r>
        <w:rPr>
          <w:rFonts w:ascii="MinionPro-Regular" w:hAnsi="MinionPro-Regular"/>
          <w:sz w:val="20"/>
        </w:rPr>
        <w:t>o</w:t>
      </w:r>
      <w:r w:rsidRPr="00B44100">
        <w:rPr>
          <w:rFonts w:ascii="MinionPro-Regular" w:hAnsi="MinionPro-Regular"/>
          <w:sz w:val="20"/>
        </w:rPr>
        <w:t>ctubre de 2012).</w:t>
      </w:r>
    </w:p>
    <w:p w:rsidR="00E2336B" w:rsidRDefault="00E2336B" w:rsidP="004B21DB">
      <w:pPr>
        <w:pBdr>
          <w:bottom w:val="single" w:sz="4" w:space="1" w:color="auto"/>
        </w:pBdr>
        <w:autoSpaceDE w:val="0"/>
        <w:autoSpaceDN w:val="0"/>
        <w:spacing w:line="360" w:lineRule="auto"/>
        <w:rPr>
          <w:rFonts w:ascii="MinionPro-Regular" w:hAnsi="MinionPro-Regular"/>
          <w:sz w:val="20"/>
        </w:rPr>
      </w:pPr>
      <w:r w:rsidRPr="001B0FD3">
        <w:rPr>
          <w:rFonts w:ascii="MinionPro-Regular" w:hAnsi="MinionPro-Regular"/>
          <w:sz w:val="20"/>
          <w:szCs w:val="24"/>
        </w:rPr>
        <w:t>Nota explicativa de la</w:t>
      </w:r>
      <w:r>
        <w:rPr>
          <w:rFonts w:ascii="MinionPro-Regular" w:hAnsi="MinionPro-Regular"/>
          <w:sz w:val="20"/>
          <w:szCs w:val="24"/>
        </w:rPr>
        <w:t>s</w:t>
      </w:r>
      <w:r w:rsidRPr="001B0FD3">
        <w:rPr>
          <w:rFonts w:ascii="MinionPro-Regular" w:hAnsi="MinionPro-Regular"/>
          <w:sz w:val="20"/>
          <w:szCs w:val="24"/>
        </w:rPr>
        <w:t xml:space="preserve"> gráfica</w:t>
      </w:r>
      <w:r>
        <w:rPr>
          <w:rFonts w:ascii="MinionPro-Regular" w:hAnsi="MinionPro-Regular"/>
          <w:sz w:val="20"/>
          <w:szCs w:val="24"/>
        </w:rPr>
        <w:t>s.</w:t>
      </w:r>
      <w:r w:rsidRPr="001B0FD3">
        <w:rPr>
          <w:rFonts w:ascii="MinionPro-Regular" w:hAnsi="MinionPro-Regular"/>
          <w:sz w:val="20"/>
          <w:szCs w:val="24"/>
        </w:rPr>
        <w:t xml:space="preserve"> </w:t>
      </w:r>
      <w:r w:rsidRPr="001C2926">
        <w:rPr>
          <w:rFonts w:ascii="MinionPro-Regular" w:hAnsi="MinionPro-Regular"/>
          <w:sz w:val="20"/>
        </w:rPr>
        <w:t xml:space="preserve">Formación recibida en el CEE: Formación regular </w:t>
      </w:r>
      <w:r>
        <w:rPr>
          <w:rFonts w:ascii="MinionPro-Regular" w:hAnsi="MinionPro-Regular"/>
          <w:sz w:val="20"/>
        </w:rPr>
        <w:t xml:space="preserve">el </w:t>
      </w:r>
      <w:r w:rsidRPr="001C2926">
        <w:rPr>
          <w:rFonts w:ascii="MinionPro-Regular" w:hAnsi="MinionPro-Regular"/>
          <w:sz w:val="20"/>
        </w:rPr>
        <w:t xml:space="preserve">38%; </w:t>
      </w:r>
      <w:r w:rsidRPr="008C3BEF">
        <w:rPr>
          <w:rFonts w:ascii="MinionPro-Regular" w:hAnsi="MinionPro-Regular"/>
          <w:sz w:val="20"/>
        </w:rPr>
        <w:t xml:space="preserve">Cursos puntuales </w:t>
      </w:r>
      <w:r>
        <w:rPr>
          <w:rFonts w:ascii="MinionPro-Regular" w:hAnsi="MinionPro-Regular"/>
          <w:sz w:val="20"/>
        </w:rPr>
        <w:t xml:space="preserve">el </w:t>
      </w:r>
      <w:r w:rsidRPr="008C3BEF">
        <w:rPr>
          <w:rFonts w:ascii="MinionPro-Regular" w:hAnsi="MinionPro-Regular"/>
          <w:sz w:val="20"/>
        </w:rPr>
        <w:t>47%</w:t>
      </w:r>
      <w:r>
        <w:rPr>
          <w:rFonts w:ascii="MinionPro-Regular" w:hAnsi="MinionPro-Regular"/>
          <w:sz w:val="20"/>
        </w:rPr>
        <w:t xml:space="preserve">; Ninguna el 12%; Otros el 3%. </w:t>
      </w:r>
      <w:r w:rsidRPr="001C2926">
        <w:rPr>
          <w:rFonts w:ascii="MinionPro-Regular" w:hAnsi="MinionPro-Regular"/>
          <w:sz w:val="20"/>
        </w:rPr>
        <w:t>Calidad formación recibida en el CEE: Buena el 84%; Regular el 10%</w:t>
      </w:r>
      <w:r>
        <w:rPr>
          <w:rFonts w:ascii="MinionPro-Regular" w:hAnsi="MinionPro-Regular"/>
          <w:sz w:val="20"/>
        </w:rPr>
        <w:t>; Mala el 0%; Otros el 6%.</w:t>
      </w:r>
    </w:p>
    <w:p w:rsidR="00E2336B" w:rsidRDefault="00E2336B" w:rsidP="004B21DB">
      <w:pPr>
        <w:autoSpaceDE w:val="0"/>
        <w:autoSpaceDN w:val="0"/>
        <w:spacing w:line="360" w:lineRule="auto"/>
        <w:jc w:val="both"/>
        <w:rPr>
          <w:rFonts w:ascii="MinionPro-Regular" w:hAnsi="MinionPro-Regular"/>
          <w:sz w:val="24"/>
          <w:szCs w:val="24"/>
          <w:lang w:val="es-ES_tradnl"/>
        </w:rPr>
      </w:pPr>
    </w:p>
    <w:p w:rsidR="002959F0" w:rsidRDefault="00E2336B" w:rsidP="0007541A">
      <w:pPr>
        <w:pStyle w:val="Ttulo3"/>
        <w:numPr>
          <w:ilvl w:val="2"/>
          <w:numId w:val="3"/>
        </w:numPr>
        <w:rPr>
          <w:lang w:val="es-ES_tradnl"/>
        </w:rPr>
      </w:pPr>
      <w:bookmarkStart w:id="171" w:name="_Toc352773561"/>
      <w:r w:rsidRPr="00A24A22">
        <w:rPr>
          <w:lang w:val="es-ES_tradnl"/>
        </w:rPr>
        <w:lastRenderedPageBreak/>
        <w:t>La red asociativa, clave para el empleo</w:t>
      </w:r>
      <w:bookmarkEnd w:id="171"/>
    </w:p>
    <w:p w:rsidR="00E2336B" w:rsidRDefault="00E2336B" w:rsidP="004B21DB">
      <w:pPr>
        <w:autoSpaceDE w:val="0"/>
        <w:autoSpaceDN w:val="0"/>
        <w:spacing w:line="360" w:lineRule="auto"/>
        <w:jc w:val="both"/>
        <w:rPr>
          <w:rFonts w:ascii="MinionPro-Regular" w:hAnsi="MinionPro-Regular"/>
          <w:sz w:val="24"/>
          <w:szCs w:val="24"/>
          <w:lang w:val="es-ES_tradnl"/>
        </w:rPr>
      </w:pPr>
    </w:p>
    <w:p w:rsidR="00E2336B" w:rsidRPr="004420A6" w:rsidRDefault="00E2336B" w:rsidP="004420A6">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Para la población general,</w:t>
      </w:r>
      <w:r w:rsidRPr="00B44100">
        <w:rPr>
          <w:rFonts w:ascii="MinionPro-Regular" w:hAnsi="MinionPro-Regular"/>
          <w:sz w:val="24"/>
          <w:szCs w:val="24"/>
          <w:lang w:val="es-ES_tradnl"/>
        </w:rPr>
        <w:t xml:space="preserve"> la vía más común para conseguir un trabajo es la red de </w:t>
      </w:r>
      <w:r>
        <w:rPr>
          <w:rFonts w:ascii="MinionPro-Regular" w:hAnsi="MinionPro-Regular"/>
          <w:sz w:val="24"/>
          <w:szCs w:val="24"/>
          <w:lang w:val="es-ES_tradnl"/>
        </w:rPr>
        <w:t>relaciones personales y profesionales</w:t>
      </w:r>
      <w:r w:rsidRPr="00B44100">
        <w:rPr>
          <w:rFonts w:ascii="MinionPro-Regular" w:hAnsi="MinionPro-Regular"/>
          <w:sz w:val="24"/>
          <w:szCs w:val="24"/>
          <w:lang w:val="es-ES_tradnl"/>
        </w:rPr>
        <w:t xml:space="preserve"> que tenga esa persona. En el caso de las personas con discapacidad, muchas vece</w:t>
      </w:r>
      <w:r>
        <w:rPr>
          <w:rFonts w:ascii="MinionPro-Regular" w:hAnsi="MinionPro-Regular"/>
          <w:sz w:val="24"/>
          <w:szCs w:val="24"/>
          <w:lang w:val="es-ES_tradnl"/>
        </w:rPr>
        <w:t>s esta red es menos tupida,</w:t>
      </w:r>
      <w:r w:rsidRPr="00B44100">
        <w:rPr>
          <w:rFonts w:ascii="MinionPro-Regular" w:hAnsi="MinionPro-Regular"/>
          <w:sz w:val="24"/>
          <w:szCs w:val="24"/>
          <w:lang w:val="es-ES_tradnl"/>
        </w:rPr>
        <w:t xml:space="preserve"> </w:t>
      </w:r>
      <w:r>
        <w:rPr>
          <w:rFonts w:ascii="MinionPro-Regular" w:hAnsi="MinionPro-Regular"/>
          <w:sz w:val="24"/>
          <w:szCs w:val="24"/>
          <w:lang w:val="es-ES_tradnl"/>
        </w:rPr>
        <w:t xml:space="preserve">lo que añade  dificultades </w:t>
      </w:r>
      <w:r w:rsidRPr="00B44100">
        <w:rPr>
          <w:rFonts w:ascii="MinionPro-Regular" w:hAnsi="MinionPro-Regular"/>
          <w:sz w:val="24"/>
          <w:szCs w:val="24"/>
          <w:lang w:val="es-ES_tradnl"/>
        </w:rPr>
        <w:t xml:space="preserve"> a la hora de conseguir un empleo. Sin embargo</w:t>
      </w:r>
      <w:r>
        <w:rPr>
          <w:rFonts w:ascii="MinionPro-Regular" w:hAnsi="MinionPro-Regular"/>
          <w:sz w:val="24"/>
          <w:szCs w:val="24"/>
          <w:lang w:val="es-ES_tradnl"/>
        </w:rPr>
        <w:t>, esta dificultad de partida se ve compensada gracias al trabajo desarrollado por la red asociativa. E</w:t>
      </w:r>
      <w:r w:rsidRPr="00B44100">
        <w:rPr>
          <w:rFonts w:ascii="MinionPro-Regular" w:hAnsi="MinionPro-Regular"/>
          <w:sz w:val="24"/>
          <w:szCs w:val="24"/>
          <w:lang w:val="es-ES_tradnl"/>
        </w:rPr>
        <w:t xml:space="preserve">l 34% de las personas </w:t>
      </w:r>
      <w:r>
        <w:rPr>
          <w:rFonts w:ascii="MinionPro-Regular" w:hAnsi="MinionPro-Regular"/>
          <w:sz w:val="24"/>
          <w:szCs w:val="24"/>
          <w:lang w:val="es-ES_tradnl"/>
        </w:rPr>
        <w:t xml:space="preserve">consultadas </w:t>
      </w:r>
      <w:r w:rsidRPr="00B44100">
        <w:rPr>
          <w:rFonts w:ascii="MinionPro-Regular" w:hAnsi="MinionPro-Regular"/>
          <w:sz w:val="24"/>
          <w:szCs w:val="24"/>
          <w:lang w:val="es-ES_tradnl"/>
        </w:rPr>
        <w:t xml:space="preserve">obtuvo su empleo a través </w:t>
      </w:r>
      <w:r>
        <w:rPr>
          <w:rFonts w:ascii="MinionPro-Regular" w:hAnsi="MinionPro-Regular"/>
          <w:sz w:val="24"/>
          <w:szCs w:val="24"/>
          <w:lang w:val="es-ES_tradnl"/>
        </w:rPr>
        <w:t>de la misma</w:t>
      </w:r>
      <w:r w:rsidRPr="00B44100">
        <w:rPr>
          <w:rFonts w:ascii="MinionPro-Regular" w:hAnsi="MinionPro-Regular"/>
          <w:sz w:val="24"/>
          <w:szCs w:val="24"/>
          <w:lang w:val="es-ES_tradnl"/>
        </w:rPr>
        <w:t>. Esta información soporta la tesis de que las personas que forman parte de una asociación tienen más facilidades a la hora de encontrar un empleo</w:t>
      </w:r>
      <w:r>
        <w:rPr>
          <w:rFonts w:ascii="MinionPro-Regular" w:hAnsi="MinionPro-Regular"/>
          <w:sz w:val="24"/>
          <w:szCs w:val="24"/>
          <w:lang w:val="es-ES_tradnl"/>
        </w:rPr>
        <w:t xml:space="preserve"> y pone de manifiesto la necesidad de reforzar el papel de los servicios públicos en el apoyo laboral a las personas con discapacidad</w:t>
      </w:r>
      <w:r w:rsidRPr="00B44100">
        <w:rPr>
          <w:rFonts w:ascii="MinionPro-Regular" w:hAnsi="MinionPro-Regular"/>
          <w:sz w:val="24"/>
          <w:szCs w:val="24"/>
          <w:lang w:val="es-ES_tradnl"/>
        </w:rPr>
        <w:t>.</w:t>
      </w:r>
      <w:r>
        <w:rPr>
          <w:rFonts w:ascii="MinionPro-Regular" w:hAnsi="MinionPro-Regular"/>
          <w:sz w:val="24"/>
          <w:szCs w:val="24"/>
          <w:lang w:val="es-ES_tradnl"/>
        </w:rPr>
        <w:t xml:space="preserve"> Esto es  especialmente reseñable teniendo en cuenta que tan sólo el 11% las personas con discapacidad entrevistadas manifestó haber accedido a su trabajo a través de los servicios públicos de empleo.</w:t>
      </w:r>
    </w:p>
    <w:p w:rsidR="00E2336B" w:rsidRDefault="00E2336B" w:rsidP="004B21DB">
      <w:pPr>
        <w:autoSpaceDE w:val="0"/>
        <w:autoSpaceDN w:val="0"/>
        <w:spacing w:line="360" w:lineRule="auto"/>
        <w:rPr>
          <w:rFonts w:ascii="MinionPro-Regular" w:hAnsi="MinionPro-Regular"/>
          <w:sz w:val="20"/>
          <w:lang w:val="es-ES_tradnl"/>
        </w:rPr>
      </w:pPr>
    </w:p>
    <w:p w:rsidR="00E2336B" w:rsidRDefault="00E2336B" w:rsidP="004B21DB">
      <w:pPr>
        <w:pBdr>
          <w:top w:val="single" w:sz="4" w:space="1" w:color="auto"/>
        </w:pBdr>
        <w:autoSpaceDE w:val="0"/>
        <w:autoSpaceDN w:val="0"/>
        <w:spacing w:line="360" w:lineRule="auto"/>
        <w:rPr>
          <w:rFonts w:ascii="MinionPro-Regular" w:hAnsi="MinionPro-Regular"/>
          <w:sz w:val="20"/>
          <w:lang w:val="es-ES_tradnl"/>
        </w:rPr>
      </w:pPr>
      <w:r w:rsidRPr="00B44100">
        <w:rPr>
          <w:rFonts w:ascii="MinionPro-Regular" w:hAnsi="MinionPro-Regular"/>
          <w:sz w:val="20"/>
          <w:lang w:val="es-ES_tradnl"/>
        </w:rPr>
        <w:t>Vía de obtención del trabajo actual de las personas entrevistadas</w:t>
      </w:r>
    </w:p>
    <w:p w:rsidR="00E2336B" w:rsidRDefault="00E1516B" w:rsidP="004B21DB">
      <w:pPr>
        <w:autoSpaceDE w:val="0"/>
        <w:autoSpaceDN w:val="0"/>
        <w:spacing w:line="360" w:lineRule="auto"/>
        <w:rPr>
          <w:rFonts w:ascii="MinionPro-Regular" w:hAnsi="MinionPro-Regular"/>
          <w:sz w:val="24"/>
          <w:szCs w:val="24"/>
          <w:lang w:val="es-ES_tradnl"/>
        </w:rPr>
      </w:pPr>
      <w:r>
        <w:rPr>
          <w:rFonts w:ascii="MinionPro-Regular" w:hAnsi="MinionPro-Regular"/>
          <w:noProof/>
          <w:sz w:val="24"/>
          <w:szCs w:val="24"/>
          <w:lang w:eastAsia="es-ES"/>
        </w:rPr>
        <w:drawing>
          <wp:inline distT="0" distB="0" distL="0" distR="0">
            <wp:extent cx="3148330" cy="2216785"/>
            <wp:effectExtent l="0" t="0" r="0" b="0"/>
            <wp:docPr id="56" name="Picture 5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rsidR="00E2336B" w:rsidRDefault="00E2336B" w:rsidP="004B21DB">
      <w:pPr>
        <w:pBdr>
          <w:bottom w:val="single" w:sz="4" w:space="1" w:color="auto"/>
        </w:pBdr>
        <w:autoSpaceDE w:val="0"/>
        <w:autoSpaceDN w:val="0"/>
        <w:spacing w:line="360" w:lineRule="auto"/>
        <w:jc w:val="both"/>
        <w:rPr>
          <w:rFonts w:ascii="MinionPro-Regular" w:hAnsi="MinionPro-Regular"/>
          <w:sz w:val="20"/>
          <w:lang w:val="es-ES_tradnl"/>
        </w:rPr>
      </w:pPr>
      <w:r w:rsidRPr="00B44100">
        <w:rPr>
          <w:rFonts w:ascii="MinionPro-Regular" w:hAnsi="MinionPro-Regular"/>
          <w:sz w:val="20"/>
          <w:lang w:val="es-ES_tradnl"/>
        </w:rPr>
        <w:t xml:space="preserve">Fuente: Elaboración propia a partir de una encuesta realizada a personas con discapacidad en centros especiales de empleo. (Datos a </w:t>
      </w:r>
      <w:r>
        <w:rPr>
          <w:rFonts w:ascii="MinionPro-Regular" w:hAnsi="MinionPro-Regular"/>
          <w:sz w:val="20"/>
          <w:lang w:val="es-ES_tradnl"/>
        </w:rPr>
        <w:t>o</w:t>
      </w:r>
      <w:r w:rsidRPr="00B44100">
        <w:rPr>
          <w:rFonts w:ascii="MinionPro-Regular" w:hAnsi="MinionPro-Regular"/>
          <w:sz w:val="20"/>
          <w:lang w:val="es-ES_tradnl"/>
        </w:rPr>
        <w:t>ctubre de 2012).</w:t>
      </w:r>
      <w:r>
        <w:rPr>
          <w:rFonts w:ascii="MinionPro-Regular" w:hAnsi="MinionPro-Regular"/>
          <w:sz w:val="20"/>
          <w:lang w:val="es-ES_tradnl"/>
        </w:rPr>
        <w:t xml:space="preserve"> </w:t>
      </w:r>
    </w:p>
    <w:p w:rsidR="00E2336B" w:rsidRDefault="00E2336B" w:rsidP="004B21DB">
      <w:pPr>
        <w:pBdr>
          <w:bottom w:val="single" w:sz="4" w:space="1" w:color="auto"/>
        </w:pBdr>
        <w:autoSpaceDE w:val="0"/>
        <w:autoSpaceDN w:val="0"/>
        <w:spacing w:line="360" w:lineRule="auto"/>
        <w:jc w:val="both"/>
        <w:rPr>
          <w:rFonts w:ascii="MinionPro-Regular" w:hAnsi="MinionPro-Regular"/>
          <w:sz w:val="20"/>
        </w:rPr>
      </w:pPr>
      <w:r w:rsidRPr="006C036F">
        <w:rPr>
          <w:rFonts w:ascii="MinionPro-Regular" w:hAnsi="MinionPro-Regular"/>
          <w:sz w:val="20"/>
        </w:rPr>
        <w:lastRenderedPageBreak/>
        <w:t>Nota explicativa de las gráficas. Vía de obtención del trabajo actual de las personas entrevistadas</w:t>
      </w:r>
      <w:r>
        <w:rPr>
          <w:rFonts w:ascii="MinionPro-Regular" w:hAnsi="MinionPro-Regular"/>
          <w:sz w:val="20"/>
        </w:rPr>
        <w:t xml:space="preserve">: </w:t>
      </w:r>
      <w:r w:rsidRPr="006C036F">
        <w:rPr>
          <w:rFonts w:ascii="MinionPro-Regular" w:hAnsi="MinionPro-Regular"/>
          <w:sz w:val="20"/>
        </w:rPr>
        <w:t xml:space="preserve">Asociación a la que perteneces </w:t>
      </w:r>
      <w:r>
        <w:rPr>
          <w:rFonts w:ascii="MinionPro-Regular" w:hAnsi="MinionPro-Regular"/>
          <w:sz w:val="20"/>
        </w:rPr>
        <w:t xml:space="preserve">el </w:t>
      </w:r>
      <w:r w:rsidRPr="006C036F">
        <w:rPr>
          <w:rFonts w:ascii="MinionPro-Regular" w:hAnsi="MinionPro-Regular"/>
          <w:sz w:val="20"/>
        </w:rPr>
        <w:t>34%</w:t>
      </w:r>
      <w:r>
        <w:rPr>
          <w:rFonts w:ascii="MinionPro-Regular" w:hAnsi="MinionPro-Regular"/>
          <w:sz w:val="20"/>
        </w:rPr>
        <w:t xml:space="preserve">; </w:t>
      </w:r>
      <w:r w:rsidRPr="006C036F">
        <w:rPr>
          <w:rFonts w:ascii="MinionPro-Regular" w:hAnsi="MinionPro-Regular"/>
          <w:sz w:val="20"/>
        </w:rPr>
        <w:t>Amigos o familiares</w:t>
      </w:r>
      <w:r>
        <w:rPr>
          <w:rFonts w:ascii="MinionPro-Regular" w:hAnsi="MinionPro-Regular"/>
          <w:sz w:val="20"/>
        </w:rPr>
        <w:t xml:space="preserve"> el </w:t>
      </w:r>
      <w:r w:rsidRPr="006C036F">
        <w:rPr>
          <w:rFonts w:ascii="MinionPro-Regular" w:hAnsi="MinionPro-Regular"/>
          <w:sz w:val="20"/>
        </w:rPr>
        <w:t>21%</w:t>
      </w:r>
      <w:r>
        <w:rPr>
          <w:rFonts w:ascii="MinionPro-Regular" w:hAnsi="MinionPro-Regular"/>
          <w:sz w:val="20"/>
        </w:rPr>
        <w:t xml:space="preserve">; </w:t>
      </w:r>
      <w:r w:rsidRPr="006C036F">
        <w:rPr>
          <w:rFonts w:ascii="MinionPro-Regular" w:hAnsi="MinionPro-Regular"/>
          <w:sz w:val="20"/>
        </w:rPr>
        <w:t xml:space="preserve">Servicio Público de Empleo </w:t>
      </w:r>
      <w:r>
        <w:rPr>
          <w:rFonts w:ascii="MinionPro-Regular" w:hAnsi="MinionPro-Regular"/>
          <w:sz w:val="20"/>
        </w:rPr>
        <w:t xml:space="preserve">el </w:t>
      </w:r>
      <w:r w:rsidRPr="006C036F">
        <w:rPr>
          <w:rFonts w:ascii="MinionPro-Regular" w:hAnsi="MinionPro-Regular"/>
          <w:sz w:val="20"/>
        </w:rPr>
        <w:t>11%</w:t>
      </w:r>
      <w:r>
        <w:rPr>
          <w:rFonts w:ascii="MinionPro-Regular" w:hAnsi="MinionPro-Regular"/>
          <w:sz w:val="20"/>
        </w:rPr>
        <w:t xml:space="preserve">; </w:t>
      </w:r>
      <w:r w:rsidRPr="006C036F">
        <w:rPr>
          <w:rFonts w:ascii="MinionPro-Regular" w:hAnsi="MinionPro-Regular"/>
          <w:sz w:val="20"/>
        </w:rPr>
        <w:t xml:space="preserve">Anuncio en internet </w:t>
      </w:r>
      <w:r>
        <w:rPr>
          <w:rFonts w:ascii="MinionPro-Regular" w:hAnsi="MinionPro-Regular"/>
          <w:sz w:val="20"/>
        </w:rPr>
        <w:t xml:space="preserve">el </w:t>
      </w:r>
      <w:r w:rsidRPr="006C036F">
        <w:rPr>
          <w:rFonts w:ascii="MinionPro-Regular" w:hAnsi="MinionPro-Regular"/>
          <w:sz w:val="20"/>
        </w:rPr>
        <w:t>8%</w:t>
      </w:r>
      <w:r>
        <w:rPr>
          <w:rFonts w:ascii="MinionPro-Regular" w:hAnsi="MinionPro-Regular"/>
          <w:sz w:val="20"/>
        </w:rPr>
        <w:t xml:space="preserve">; </w:t>
      </w:r>
      <w:r w:rsidRPr="006C036F">
        <w:rPr>
          <w:rFonts w:ascii="MinionPro-Regular" w:hAnsi="MinionPro-Regular"/>
          <w:sz w:val="20"/>
        </w:rPr>
        <w:t xml:space="preserve">Anuncio en otras vías: periódico, carteles </w:t>
      </w:r>
      <w:r>
        <w:rPr>
          <w:rFonts w:ascii="MinionPro-Regular" w:hAnsi="MinionPro-Regular"/>
          <w:sz w:val="20"/>
        </w:rPr>
        <w:t xml:space="preserve">el </w:t>
      </w:r>
      <w:r w:rsidRPr="006C036F">
        <w:rPr>
          <w:rFonts w:ascii="MinionPro-Regular" w:hAnsi="MinionPro-Regular"/>
          <w:sz w:val="20"/>
        </w:rPr>
        <w:t>2%</w:t>
      </w:r>
      <w:r>
        <w:rPr>
          <w:rFonts w:ascii="MinionPro-Regular" w:hAnsi="MinionPro-Regular"/>
          <w:sz w:val="20"/>
        </w:rPr>
        <w:t xml:space="preserve">; </w:t>
      </w:r>
      <w:r w:rsidRPr="006C036F">
        <w:rPr>
          <w:rFonts w:ascii="MinionPro-Regular" w:hAnsi="MinionPro-Regular"/>
          <w:sz w:val="20"/>
        </w:rPr>
        <w:t xml:space="preserve">Otros </w:t>
      </w:r>
      <w:r>
        <w:rPr>
          <w:rFonts w:ascii="MinionPro-Regular" w:hAnsi="MinionPro-Regular"/>
          <w:sz w:val="20"/>
        </w:rPr>
        <w:t xml:space="preserve">el </w:t>
      </w:r>
      <w:r w:rsidRPr="006C036F">
        <w:rPr>
          <w:rFonts w:ascii="MinionPro-Regular" w:hAnsi="MinionPro-Regular"/>
          <w:sz w:val="20"/>
        </w:rPr>
        <w:t>24%</w:t>
      </w:r>
      <w:r>
        <w:rPr>
          <w:rFonts w:ascii="MinionPro-Regular" w:hAnsi="MinionPro-Regular"/>
          <w:sz w:val="20"/>
        </w:rPr>
        <w:t>.</w:t>
      </w:r>
    </w:p>
    <w:p w:rsidR="00E2336B" w:rsidRDefault="00E2336B" w:rsidP="004B21DB">
      <w:pPr>
        <w:autoSpaceDE w:val="0"/>
        <w:autoSpaceDN w:val="0"/>
        <w:spacing w:line="360" w:lineRule="auto"/>
        <w:jc w:val="both"/>
        <w:rPr>
          <w:rFonts w:ascii="MinionPro-Regular" w:hAnsi="MinionPro-Regular"/>
          <w:sz w:val="20"/>
          <w:lang w:val="es-ES_tradnl"/>
        </w:rPr>
      </w:pPr>
    </w:p>
    <w:p w:rsidR="002959F0" w:rsidRDefault="00E2336B" w:rsidP="0007541A">
      <w:pPr>
        <w:pStyle w:val="Ttulo3"/>
        <w:numPr>
          <w:ilvl w:val="2"/>
          <w:numId w:val="3"/>
        </w:numPr>
        <w:rPr>
          <w:lang w:val="es-ES_tradnl"/>
        </w:rPr>
      </w:pPr>
      <w:bookmarkStart w:id="172" w:name="_Toc352773562"/>
      <w:r w:rsidRPr="00A24A22">
        <w:rPr>
          <w:lang w:val="es-ES_tradnl"/>
        </w:rPr>
        <w:t xml:space="preserve">Un 45% de </w:t>
      </w:r>
      <w:r>
        <w:rPr>
          <w:lang w:val="es-ES_tradnl"/>
        </w:rPr>
        <w:t>las personas proceden del desempleo</w:t>
      </w:r>
      <w:bookmarkEnd w:id="172"/>
    </w:p>
    <w:p w:rsidR="00E2336B" w:rsidRDefault="00E2336B" w:rsidP="004B21DB">
      <w:pPr>
        <w:autoSpaceDE w:val="0"/>
        <w:autoSpaceDN w:val="0"/>
        <w:spacing w:line="360" w:lineRule="auto"/>
        <w:jc w:val="both"/>
        <w:rPr>
          <w:rFonts w:ascii="MinionPro-Regular" w:hAnsi="MinionPro-Regular"/>
          <w:sz w:val="24"/>
          <w:szCs w:val="24"/>
          <w:lang w:val="es-ES_tradnl"/>
        </w:rPr>
      </w:pPr>
    </w:p>
    <w:p w:rsidR="00E2336B" w:rsidRDefault="00E2336B" w:rsidP="004B21DB">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El 45% de los empleados consultados estaba en situación de desempleo antes de su entrada en el centro especial de empleo. Por su parte, el 13% se encontraba estudiando y el 4% trabajaba en un centro ocupacional antes de comenzar su actividad.</w:t>
      </w:r>
    </w:p>
    <w:p w:rsidR="00E2336B" w:rsidRPr="008B461D" w:rsidRDefault="00E2336B" w:rsidP="004B21DB">
      <w:pPr>
        <w:autoSpaceDE w:val="0"/>
        <w:autoSpaceDN w:val="0"/>
        <w:spacing w:line="360" w:lineRule="auto"/>
        <w:jc w:val="both"/>
        <w:rPr>
          <w:rFonts w:ascii="MinionPro-Regular" w:hAnsi="MinionPro-Regular"/>
          <w:sz w:val="24"/>
          <w:szCs w:val="24"/>
          <w:lang w:val="es-ES_tradnl"/>
        </w:rPr>
      </w:pPr>
    </w:p>
    <w:p w:rsidR="00E2336B" w:rsidRDefault="00E2336B" w:rsidP="004B21DB">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U</w:t>
      </w:r>
      <w:r w:rsidRPr="00B44100">
        <w:rPr>
          <w:rFonts w:ascii="MinionPro-Regular" w:hAnsi="MinionPro-Regular"/>
          <w:sz w:val="24"/>
          <w:szCs w:val="24"/>
          <w:lang w:val="es-ES_tradnl"/>
        </w:rPr>
        <w:t xml:space="preserve">n 20% de los entrevistados </w:t>
      </w:r>
      <w:r>
        <w:rPr>
          <w:rFonts w:ascii="MinionPro-Regular" w:hAnsi="MinionPro-Regular"/>
          <w:sz w:val="24"/>
          <w:szCs w:val="24"/>
          <w:lang w:val="es-ES_tradnl"/>
        </w:rPr>
        <w:t>trabajaba</w:t>
      </w:r>
      <w:r w:rsidRPr="00B44100">
        <w:rPr>
          <w:rFonts w:ascii="MinionPro-Regular" w:hAnsi="MinionPro-Regular"/>
          <w:sz w:val="24"/>
          <w:szCs w:val="24"/>
          <w:lang w:val="es-ES_tradnl"/>
        </w:rPr>
        <w:t xml:space="preserve"> </w:t>
      </w:r>
      <w:r>
        <w:rPr>
          <w:rFonts w:ascii="MinionPro-Regular" w:hAnsi="MinionPro-Regular"/>
          <w:sz w:val="24"/>
          <w:szCs w:val="24"/>
          <w:lang w:val="es-ES_tradnl"/>
        </w:rPr>
        <w:t xml:space="preserve">antes </w:t>
      </w:r>
      <w:r w:rsidRPr="00B44100">
        <w:rPr>
          <w:rFonts w:ascii="MinionPro-Regular" w:hAnsi="MinionPro-Regular"/>
          <w:sz w:val="24"/>
          <w:szCs w:val="24"/>
          <w:lang w:val="es-ES_tradnl"/>
        </w:rPr>
        <w:t xml:space="preserve">en empleos ordinarios. </w:t>
      </w:r>
      <w:r>
        <w:rPr>
          <w:rFonts w:ascii="MinionPro-Regular" w:hAnsi="MinionPro-Regular"/>
          <w:sz w:val="24"/>
          <w:szCs w:val="24"/>
          <w:lang w:val="es-ES_tradnl"/>
        </w:rPr>
        <w:t>La percepción de las personas indica que el entorno de trabajo en un centro especial de empleo es muy similar al del empleo ordinario. Las personas no</w:t>
      </w:r>
      <w:r w:rsidRPr="00B44100">
        <w:rPr>
          <w:rFonts w:ascii="MinionPro-Regular" w:hAnsi="MinionPro-Regular"/>
          <w:sz w:val="24"/>
          <w:szCs w:val="24"/>
          <w:lang w:val="es-ES_tradnl"/>
        </w:rPr>
        <w:t xml:space="preserve"> siente</w:t>
      </w:r>
      <w:r>
        <w:rPr>
          <w:rFonts w:ascii="MinionPro-Regular" w:hAnsi="MinionPro-Regular"/>
          <w:sz w:val="24"/>
          <w:szCs w:val="24"/>
          <w:lang w:val="es-ES_tradnl"/>
        </w:rPr>
        <w:t>n</w:t>
      </w:r>
      <w:r w:rsidRPr="00B44100">
        <w:rPr>
          <w:rFonts w:ascii="MinionPro-Regular" w:hAnsi="MinionPro-Regular"/>
          <w:sz w:val="24"/>
          <w:szCs w:val="24"/>
          <w:lang w:val="es-ES_tradnl"/>
        </w:rPr>
        <w:t xml:space="preserve"> la necesidad, en general, de realizar </w:t>
      </w:r>
      <w:r>
        <w:rPr>
          <w:rFonts w:ascii="MinionPro-Regular" w:hAnsi="MinionPro-Regular"/>
          <w:sz w:val="24"/>
          <w:szCs w:val="24"/>
          <w:lang w:val="es-ES_tradnl"/>
        </w:rPr>
        <w:t>la transición hacia el mercado ordinario de empleo</w:t>
      </w:r>
      <w:r w:rsidRPr="00B44100">
        <w:rPr>
          <w:rFonts w:ascii="MinionPro-Regular" w:hAnsi="MinionPro-Regular"/>
          <w:sz w:val="24"/>
          <w:szCs w:val="24"/>
          <w:lang w:val="es-ES_tradnl"/>
        </w:rPr>
        <w:t>.</w:t>
      </w:r>
      <w:r>
        <w:rPr>
          <w:rFonts w:ascii="MinionPro-Regular" w:hAnsi="MinionPro-Regular"/>
          <w:sz w:val="24"/>
          <w:szCs w:val="24"/>
          <w:lang w:val="es-ES_tradnl"/>
        </w:rPr>
        <w:t xml:space="preserve"> Hasta un 59% de las personas entrevistadas manifestó que no contemplaba la posibilidad de cambiar su empleo actual por uno en el empleo ordinario.</w:t>
      </w:r>
    </w:p>
    <w:p w:rsidR="00E2336B" w:rsidRDefault="00E2336B" w:rsidP="004B21DB">
      <w:pPr>
        <w:autoSpaceDE w:val="0"/>
        <w:autoSpaceDN w:val="0"/>
        <w:spacing w:line="360" w:lineRule="auto"/>
        <w:jc w:val="both"/>
        <w:rPr>
          <w:rFonts w:ascii="MinionPro-Regular" w:hAnsi="MinionPro-Regular"/>
          <w:i/>
          <w:sz w:val="24"/>
          <w:szCs w:val="24"/>
          <w:lang w:val="es-ES_tradnl"/>
        </w:rPr>
      </w:pPr>
    </w:p>
    <w:p w:rsidR="00E2336B" w:rsidRPr="00B612C5" w:rsidRDefault="00E2336B" w:rsidP="004B21DB">
      <w:pPr>
        <w:autoSpaceDE w:val="0"/>
        <w:autoSpaceDN w:val="0"/>
        <w:spacing w:line="360" w:lineRule="auto"/>
        <w:jc w:val="both"/>
        <w:rPr>
          <w:rFonts w:ascii="MinionPro-Regular" w:hAnsi="MinionPro-Regular"/>
          <w:i/>
          <w:sz w:val="24"/>
          <w:szCs w:val="24"/>
          <w:lang w:val="es-ES_tradnl"/>
        </w:rPr>
      </w:pPr>
    </w:p>
    <w:p w:rsidR="00E2336B" w:rsidRDefault="00E2336B" w:rsidP="004B21DB">
      <w:pPr>
        <w:pBdr>
          <w:top w:val="single" w:sz="4" w:space="1" w:color="auto"/>
        </w:pBdr>
        <w:autoSpaceDE w:val="0"/>
        <w:autoSpaceDN w:val="0"/>
        <w:spacing w:line="360" w:lineRule="auto"/>
        <w:jc w:val="both"/>
        <w:rPr>
          <w:rFonts w:ascii="MinionPro-Regular" w:hAnsi="MinionPro-Regular"/>
          <w:sz w:val="20"/>
          <w:lang w:val="es-ES_tradnl"/>
        </w:rPr>
      </w:pPr>
      <w:r w:rsidRPr="00B44100">
        <w:rPr>
          <w:rFonts w:ascii="MinionPro-Regular" w:hAnsi="MinionPro-Regular"/>
          <w:sz w:val="20"/>
        </w:rPr>
        <w:t xml:space="preserve">Ocupación de las personas con discapacidad antes de entrar en el </w:t>
      </w:r>
      <w:r w:rsidRPr="00A75D50">
        <w:rPr>
          <w:rFonts w:ascii="MinionPro-Regular" w:hAnsi="MinionPro-Regular"/>
          <w:sz w:val="20"/>
        </w:rPr>
        <w:t>centro</w:t>
      </w:r>
      <w:r>
        <w:rPr>
          <w:rFonts w:ascii="MinionPro-Regular" w:hAnsi="MinionPro-Regular"/>
          <w:sz w:val="20"/>
        </w:rPr>
        <w:t xml:space="preserve"> especial</w:t>
      </w:r>
      <w:r w:rsidRPr="00A75D50">
        <w:rPr>
          <w:rFonts w:ascii="MinionPro-Regular" w:hAnsi="MinionPro-Regular"/>
          <w:sz w:val="20"/>
        </w:rPr>
        <w:t xml:space="preserve"> de empleo </w:t>
      </w:r>
      <w:r w:rsidRPr="00B44100">
        <w:rPr>
          <w:rFonts w:ascii="MinionPro-Regular" w:hAnsi="MinionPro-Regular"/>
          <w:sz w:val="20"/>
        </w:rPr>
        <w:t>y consideración de realización del traspaso al empleo ordinario.</w:t>
      </w:r>
    </w:p>
    <w:p w:rsidR="00E2336B" w:rsidRDefault="00E1516B" w:rsidP="004B21DB">
      <w:pPr>
        <w:autoSpaceDE w:val="0"/>
        <w:autoSpaceDN w:val="0"/>
        <w:spacing w:line="360" w:lineRule="auto"/>
        <w:jc w:val="center"/>
        <w:rPr>
          <w:noProof/>
          <w:lang w:eastAsia="es-ES"/>
        </w:rPr>
      </w:pPr>
      <w:r>
        <w:rPr>
          <w:noProof/>
          <w:szCs w:val="24"/>
          <w:lang w:eastAsia="es-ES"/>
        </w:rPr>
        <w:drawing>
          <wp:inline distT="0" distB="0" distL="0" distR="0">
            <wp:extent cx="2441575" cy="1716405"/>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81"/>
                    <a:srcRect/>
                    <a:stretch>
                      <a:fillRect/>
                    </a:stretch>
                  </pic:blipFill>
                  <pic:spPr bwMode="auto">
                    <a:xfrm>
                      <a:off x="0" y="0"/>
                      <a:ext cx="2441575" cy="1716405"/>
                    </a:xfrm>
                    <a:prstGeom prst="rect">
                      <a:avLst/>
                    </a:prstGeom>
                    <a:noFill/>
                    <a:ln w="9525">
                      <a:noFill/>
                      <a:miter lim="800000"/>
                      <a:headEnd/>
                      <a:tailEnd/>
                    </a:ln>
                  </pic:spPr>
                </pic:pic>
              </a:graphicData>
            </a:graphic>
          </wp:inline>
        </w:drawing>
      </w:r>
      <w:r w:rsidR="007553D4" w:rsidRPr="007553D4">
        <w:rPr>
          <w:rFonts w:ascii="MinionPro-Regular" w:hAnsi="MinionPro-Regular"/>
          <w:noProof/>
          <w:sz w:val="24"/>
          <w:szCs w:val="24"/>
          <w:lang w:eastAsia="es-ES"/>
        </w:rPr>
        <w:t xml:space="preserve"> </w:t>
      </w:r>
      <w:r>
        <w:rPr>
          <w:noProof/>
          <w:szCs w:val="24"/>
          <w:lang w:eastAsia="es-ES"/>
        </w:rPr>
        <w:drawing>
          <wp:inline distT="0" distB="0" distL="0" distR="0">
            <wp:extent cx="2717165" cy="179451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82"/>
                    <a:srcRect/>
                    <a:stretch>
                      <a:fillRect/>
                    </a:stretch>
                  </pic:blipFill>
                  <pic:spPr bwMode="auto">
                    <a:xfrm>
                      <a:off x="0" y="0"/>
                      <a:ext cx="2717165" cy="1794510"/>
                    </a:xfrm>
                    <a:prstGeom prst="rect">
                      <a:avLst/>
                    </a:prstGeom>
                    <a:noFill/>
                    <a:ln w="9525">
                      <a:noFill/>
                      <a:miter lim="800000"/>
                      <a:headEnd/>
                      <a:tailEnd/>
                    </a:ln>
                  </pic:spPr>
                </pic:pic>
              </a:graphicData>
            </a:graphic>
          </wp:inline>
        </w:drawing>
      </w:r>
    </w:p>
    <w:p w:rsidR="00E2336B" w:rsidRDefault="00E2336B" w:rsidP="004B21DB">
      <w:pPr>
        <w:pBdr>
          <w:bottom w:val="single" w:sz="4" w:space="1" w:color="auto"/>
        </w:pBdr>
        <w:autoSpaceDE w:val="0"/>
        <w:autoSpaceDN w:val="0"/>
        <w:spacing w:line="360" w:lineRule="auto"/>
        <w:jc w:val="both"/>
        <w:rPr>
          <w:rFonts w:ascii="MinionPro-Regular" w:hAnsi="MinionPro-Regular"/>
          <w:sz w:val="20"/>
        </w:rPr>
      </w:pPr>
      <w:r w:rsidRPr="00B44100">
        <w:rPr>
          <w:rFonts w:ascii="MinionPro-Regular" w:hAnsi="MinionPro-Regular"/>
          <w:sz w:val="20"/>
        </w:rPr>
        <w:lastRenderedPageBreak/>
        <w:t xml:space="preserve">Fuente: Elaboración propia a partir de una encuesta realizada a personas con discapacidad en centros especiales de empleo. (Datos a </w:t>
      </w:r>
      <w:r>
        <w:rPr>
          <w:rFonts w:ascii="MinionPro-Regular" w:hAnsi="MinionPro-Regular"/>
          <w:sz w:val="20"/>
        </w:rPr>
        <w:t>o</w:t>
      </w:r>
      <w:r w:rsidRPr="00B44100">
        <w:rPr>
          <w:rFonts w:ascii="MinionPro-Regular" w:hAnsi="MinionPro-Regular"/>
          <w:sz w:val="20"/>
        </w:rPr>
        <w:t>ctubre de 2012).</w:t>
      </w:r>
    </w:p>
    <w:p w:rsidR="00E2336B" w:rsidRDefault="00E2336B" w:rsidP="004B21DB">
      <w:pPr>
        <w:pBdr>
          <w:bottom w:val="single" w:sz="4" w:space="1" w:color="auto"/>
        </w:pBdr>
        <w:autoSpaceDE w:val="0"/>
        <w:autoSpaceDN w:val="0"/>
        <w:spacing w:line="360" w:lineRule="auto"/>
        <w:jc w:val="both"/>
        <w:rPr>
          <w:rFonts w:ascii="MinionPro-Regular" w:hAnsi="MinionPro-Regular"/>
          <w:sz w:val="20"/>
        </w:rPr>
      </w:pPr>
      <w:r w:rsidRPr="006C036F">
        <w:rPr>
          <w:rFonts w:ascii="MinionPro-Regular" w:hAnsi="MinionPro-Regular"/>
          <w:sz w:val="20"/>
        </w:rPr>
        <w:t xml:space="preserve">Nota explicativa de las gráficas. </w:t>
      </w:r>
      <w:r w:rsidRPr="001C2926">
        <w:rPr>
          <w:rFonts w:ascii="MinionPro-Regular" w:hAnsi="MinionPro-Regular"/>
          <w:sz w:val="20"/>
        </w:rPr>
        <w:t>Ocupac</w:t>
      </w:r>
      <w:r>
        <w:rPr>
          <w:rFonts w:ascii="MinionPro-Regular" w:hAnsi="MinionPro-Regular"/>
          <w:sz w:val="20"/>
        </w:rPr>
        <w:t>i</w:t>
      </w:r>
      <w:r w:rsidRPr="001C2926">
        <w:rPr>
          <w:rFonts w:ascii="MinionPro-Regular" w:hAnsi="MinionPro-Regular"/>
          <w:sz w:val="20"/>
        </w:rPr>
        <w:t>ón antes de entrar en CEE</w:t>
      </w:r>
      <w:r>
        <w:rPr>
          <w:rFonts w:ascii="MinionPro-Regular" w:hAnsi="MinionPro-Regular"/>
          <w:sz w:val="20"/>
        </w:rPr>
        <w:t xml:space="preserve">: </w:t>
      </w:r>
      <w:r w:rsidRPr="006C036F">
        <w:rPr>
          <w:rFonts w:ascii="MinionPro-Regular" w:hAnsi="MinionPro-Regular"/>
          <w:sz w:val="20"/>
        </w:rPr>
        <w:t>Empleo ordinario</w:t>
      </w:r>
      <w:r>
        <w:rPr>
          <w:rFonts w:ascii="MinionPro-Regular" w:hAnsi="MinionPro-Regular"/>
          <w:sz w:val="20"/>
        </w:rPr>
        <w:t xml:space="preserve"> el </w:t>
      </w:r>
      <w:r w:rsidRPr="006C036F">
        <w:rPr>
          <w:rFonts w:ascii="MinionPro-Regular" w:hAnsi="MinionPro-Regular"/>
          <w:sz w:val="20"/>
        </w:rPr>
        <w:t>20%</w:t>
      </w:r>
      <w:r>
        <w:rPr>
          <w:rFonts w:ascii="MinionPro-Regular" w:hAnsi="MinionPro-Regular"/>
          <w:sz w:val="20"/>
        </w:rPr>
        <w:t xml:space="preserve">; </w:t>
      </w:r>
      <w:r w:rsidRPr="006C036F">
        <w:rPr>
          <w:rFonts w:ascii="MinionPro-Regular" w:hAnsi="MinionPro-Regular"/>
          <w:sz w:val="20"/>
        </w:rPr>
        <w:t>Otro CEE</w:t>
      </w:r>
      <w:r>
        <w:rPr>
          <w:rFonts w:ascii="MinionPro-Regular" w:hAnsi="MinionPro-Regular"/>
          <w:sz w:val="20"/>
        </w:rPr>
        <w:t xml:space="preserve"> el </w:t>
      </w:r>
      <w:r w:rsidRPr="006C036F">
        <w:rPr>
          <w:rFonts w:ascii="MinionPro-Regular" w:hAnsi="MinionPro-Regular"/>
          <w:sz w:val="20"/>
        </w:rPr>
        <w:t>6%</w:t>
      </w:r>
      <w:r>
        <w:rPr>
          <w:rFonts w:ascii="MinionPro-Regular" w:hAnsi="MinionPro-Regular"/>
          <w:sz w:val="20"/>
        </w:rPr>
        <w:t xml:space="preserve">; </w:t>
      </w:r>
      <w:r w:rsidRPr="006C036F">
        <w:rPr>
          <w:rFonts w:ascii="MinionPro-Regular" w:hAnsi="MinionPro-Regular"/>
          <w:sz w:val="20"/>
        </w:rPr>
        <w:t>Centro Ocupacional</w:t>
      </w:r>
      <w:r>
        <w:rPr>
          <w:rFonts w:ascii="MinionPro-Regular" w:hAnsi="MinionPro-Regular"/>
          <w:sz w:val="20"/>
        </w:rPr>
        <w:t xml:space="preserve"> el </w:t>
      </w:r>
      <w:r w:rsidRPr="006C036F">
        <w:rPr>
          <w:rFonts w:ascii="MinionPro-Regular" w:hAnsi="MinionPro-Regular"/>
          <w:sz w:val="20"/>
        </w:rPr>
        <w:t>4%</w:t>
      </w:r>
      <w:r>
        <w:rPr>
          <w:rFonts w:ascii="MinionPro-Regular" w:hAnsi="MinionPro-Regular"/>
          <w:sz w:val="20"/>
        </w:rPr>
        <w:t xml:space="preserve">; Estudiando el 13%; Paro el 45%; Otros el 12%. </w:t>
      </w:r>
      <w:r w:rsidRPr="001C2926">
        <w:rPr>
          <w:rFonts w:ascii="MinionPro-Regular" w:hAnsi="MinionPro-Regular"/>
          <w:sz w:val="20"/>
        </w:rPr>
        <w:t>Consideración de cambio al empleo ordinario: Sí el 30%;  No el 59</w:t>
      </w:r>
      <w:r>
        <w:rPr>
          <w:rFonts w:ascii="MinionPro-Regular" w:hAnsi="MinionPro-Regular"/>
          <w:sz w:val="20"/>
        </w:rPr>
        <w:t>%; No sabe el 11%.</w:t>
      </w:r>
    </w:p>
    <w:p w:rsidR="00E2336B" w:rsidRPr="008B461D" w:rsidRDefault="00E2336B" w:rsidP="004B21DB">
      <w:pPr>
        <w:autoSpaceDE w:val="0"/>
        <w:autoSpaceDN w:val="0"/>
        <w:spacing w:line="360" w:lineRule="auto"/>
        <w:jc w:val="both"/>
        <w:rPr>
          <w:rFonts w:ascii="MinionPro-Regular" w:hAnsi="MinionPro-Regular"/>
          <w:sz w:val="24"/>
          <w:szCs w:val="24"/>
          <w:lang w:val="es-ES_tradnl"/>
        </w:rPr>
      </w:pPr>
    </w:p>
    <w:p w:rsidR="002959F0" w:rsidRDefault="00E2336B" w:rsidP="0007541A">
      <w:pPr>
        <w:pStyle w:val="Ttulo3"/>
        <w:numPr>
          <w:ilvl w:val="2"/>
          <w:numId w:val="3"/>
        </w:numPr>
        <w:rPr>
          <w:lang w:val="es-ES_tradnl"/>
        </w:rPr>
      </w:pPr>
      <w:bookmarkStart w:id="173" w:name="_Toc352773563"/>
      <w:r w:rsidRPr="00A24A22">
        <w:rPr>
          <w:lang w:val="es-ES_tradnl"/>
        </w:rPr>
        <w:t>El salario y el deseo de aprender, las principales motivaciones al cambio</w:t>
      </w:r>
      <w:bookmarkEnd w:id="173"/>
    </w:p>
    <w:p w:rsidR="00E2336B" w:rsidRDefault="00E2336B" w:rsidP="004B21DB">
      <w:pPr>
        <w:autoSpaceDE w:val="0"/>
        <w:autoSpaceDN w:val="0"/>
        <w:spacing w:line="360" w:lineRule="auto"/>
        <w:rPr>
          <w:rFonts w:ascii="MinionPro-Regular" w:hAnsi="MinionPro-Regular"/>
          <w:b/>
          <w:sz w:val="24"/>
          <w:szCs w:val="24"/>
          <w:lang w:val="es-ES_tradnl"/>
        </w:rPr>
      </w:pPr>
    </w:p>
    <w:p w:rsidR="00E2336B" w:rsidRDefault="00E2336B" w:rsidP="004B21DB">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En lo que se refiere a las posibles motivaciones a un cambio de empleo, las respuestas ponen de manifiesto la necesidad de reforzar la capacidad de los centros de retener el talento a través de la formación y la convergencia salarial. Un 34% de las personas que manifestaron estar dispuestos a cambiar de empleo lo harían por aprender cosas diferentes y el 27% para obtener un mejor salario. En el 24% de los casos les gustaría tener una mayor responsabilidad y el 12% considera que las tareas que se realiza son muy rutinarias.</w:t>
      </w:r>
    </w:p>
    <w:p w:rsidR="00E2336B" w:rsidRDefault="00E2336B" w:rsidP="004B21DB">
      <w:pPr>
        <w:autoSpaceDE w:val="0"/>
        <w:autoSpaceDN w:val="0"/>
        <w:spacing w:line="360" w:lineRule="auto"/>
        <w:jc w:val="both"/>
        <w:rPr>
          <w:rFonts w:ascii="MinionPro-Regular" w:hAnsi="MinionPro-Regular"/>
          <w:sz w:val="24"/>
          <w:szCs w:val="24"/>
          <w:lang w:val="es-ES_tradnl"/>
        </w:rPr>
      </w:pPr>
    </w:p>
    <w:p w:rsidR="0075670B" w:rsidRDefault="0075670B" w:rsidP="004B21DB">
      <w:pPr>
        <w:autoSpaceDE w:val="0"/>
        <w:autoSpaceDN w:val="0"/>
        <w:spacing w:line="360" w:lineRule="auto"/>
        <w:jc w:val="both"/>
        <w:rPr>
          <w:rFonts w:ascii="MinionPro-Regular" w:hAnsi="MinionPro-Regular"/>
          <w:sz w:val="24"/>
          <w:szCs w:val="24"/>
          <w:lang w:val="es-ES_tradnl"/>
        </w:rPr>
      </w:pPr>
    </w:p>
    <w:p w:rsidR="0075670B" w:rsidRDefault="0075670B" w:rsidP="004B21DB">
      <w:pPr>
        <w:autoSpaceDE w:val="0"/>
        <w:autoSpaceDN w:val="0"/>
        <w:spacing w:line="360" w:lineRule="auto"/>
        <w:jc w:val="both"/>
        <w:rPr>
          <w:rFonts w:ascii="MinionPro-Regular" w:hAnsi="MinionPro-Regular"/>
          <w:sz w:val="24"/>
          <w:szCs w:val="24"/>
          <w:lang w:val="es-ES_tradnl"/>
        </w:rPr>
      </w:pPr>
    </w:p>
    <w:p w:rsidR="0075670B" w:rsidRDefault="0075670B" w:rsidP="004B21DB">
      <w:pPr>
        <w:autoSpaceDE w:val="0"/>
        <w:autoSpaceDN w:val="0"/>
        <w:spacing w:line="360" w:lineRule="auto"/>
        <w:jc w:val="both"/>
        <w:rPr>
          <w:rFonts w:ascii="MinionPro-Regular" w:hAnsi="MinionPro-Regular"/>
          <w:sz w:val="24"/>
          <w:szCs w:val="24"/>
          <w:lang w:val="es-ES_tradnl"/>
        </w:rPr>
      </w:pPr>
    </w:p>
    <w:p w:rsidR="0075670B" w:rsidRDefault="0075670B" w:rsidP="004B21DB">
      <w:pPr>
        <w:autoSpaceDE w:val="0"/>
        <w:autoSpaceDN w:val="0"/>
        <w:spacing w:line="360" w:lineRule="auto"/>
        <w:jc w:val="both"/>
        <w:rPr>
          <w:rFonts w:ascii="MinionPro-Regular" w:hAnsi="MinionPro-Regular"/>
          <w:sz w:val="24"/>
          <w:szCs w:val="24"/>
          <w:lang w:val="es-ES_tradnl"/>
        </w:rPr>
      </w:pPr>
    </w:p>
    <w:p w:rsidR="00E2336B" w:rsidRPr="008B461D" w:rsidRDefault="00E2336B" w:rsidP="004B21DB">
      <w:pPr>
        <w:autoSpaceDE w:val="0"/>
        <w:autoSpaceDN w:val="0"/>
        <w:spacing w:line="360" w:lineRule="auto"/>
        <w:jc w:val="both"/>
        <w:rPr>
          <w:rFonts w:ascii="MinionPro-Regular" w:hAnsi="MinionPro-Regular"/>
          <w:sz w:val="24"/>
          <w:szCs w:val="24"/>
          <w:lang w:val="es-ES_tradnl"/>
        </w:rPr>
      </w:pPr>
    </w:p>
    <w:p w:rsidR="00E2336B" w:rsidRDefault="00E2336B" w:rsidP="004B21DB">
      <w:pPr>
        <w:pBdr>
          <w:top w:val="single" w:sz="4" w:space="1" w:color="auto"/>
        </w:pBdr>
        <w:autoSpaceDE w:val="0"/>
        <w:autoSpaceDN w:val="0"/>
        <w:spacing w:line="360" w:lineRule="auto"/>
        <w:jc w:val="both"/>
        <w:rPr>
          <w:rFonts w:ascii="MinionPro-Regular" w:hAnsi="MinionPro-Regular"/>
          <w:sz w:val="20"/>
          <w:lang w:val="es-ES_tradnl"/>
        </w:rPr>
      </w:pPr>
      <w:r w:rsidRPr="00B44100">
        <w:rPr>
          <w:rFonts w:ascii="MinionPro-Regular" w:hAnsi="MinionPro-Regular"/>
          <w:sz w:val="20"/>
        </w:rPr>
        <w:t>Motivaciones para cambiar o no cambiar de trabajo de las personas entrevistadas</w:t>
      </w:r>
    </w:p>
    <w:p w:rsidR="00E2336B" w:rsidRDefault="00E1516B" w:rsidP="004B21DB">
      <w:pPr>
        <w:autoSpaceDE w:val="0"/>
        <w:autoSpaceDN w:val="0"/>
        <w:spacing w:line="360" w:lineRule="auto"/>
        <w:jc w:val="center"/>
        <w:rPr>
          <w:noProof/>
          <w:lang w:eastAsia="es-ES"/>
        </w:rPr>
      </w:pPr>
      <w:r>
        <w:rPr>
          <w:noProof/>
          <w:szCs w:val="24"/>
          <w:lang w:eastAsia="es-ES"/>
        </w:rPr>
        <w:lastRenderedPageBreak/>
        <w:drawing>
          <wp:inline distT="0" distB="0" distL="0" distR="0">
            <wp:extent cx="2665730" cy="186309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83"/>
                    <a:srcRect/>
                    <a:stretch>
                      <a:fillRect/>
                    </a:stretch>
                  </pic:blipFill>
                  <pic:spPr bwMode="auto">
                    <a:xfrm>
                      <a:off x="0" y="0"/>
                      <a:ext cx="2665730" cy="1863090"/>
                    </a:xfrm>
                    <a:prstGeom prst="rect">
                      <a:avLst/>
                    </a:prstGeom>
                    <a:noFill/>
                    <a:ln w="9525">
                      <a:noFill/>
                      <a:miter lim="800000"/>
                      <a:headEnd/>
                      <a:tailEnd/>
                    </a:ln>
                  </pic:spPr>
                </pic:pic>
              </a:graphicData>
            </a:graphic>
          </wp:inline>
        </w:drawing>
      </w:r>
      <w:r w:rsidR="007553D4" w:rsidRPr="007553D4">
        <w:rPr>
          <w:rFonts w:ascii="MinionPro-Regular" w:hAnsi="MinionPro-Regular"/>
          <w:noProof/>
          <w:sz w:val="24"/>
          <w:szCs w:val="24"/>
          <w:lang w:eastAsia="es-ES"/>
        </w:rPr>
        <w:t xml:space="preserve"> </w:t>
      </w:r>
      <w:r>
        <w:rPr>
          <w:noProof/>
          <w:szCs w:val="24"/>
          <w:lang w:eastAsia="es-ES"/>
        </w:rPr>
        <w:drawing>
          <wp:inline distT="0" distB="0" distL="0" distR="0">
            <wp:extent cx="2682875" cy="1889125"/>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84"/>
                    <a:srcRect/>
                    <a:stretch>
                      <a:fillRect/>
                    </a:stretch>
                  </pic:blipFill>
                  <pic:spPr bwMode="auto">
                    <a:xfrm>
                      <a:off x="0" y="0"/>
                      <a:ext cx="2682875" cy="1889125"/>
                    </a:xfrm>
                    <a:prstGeom prst="rect">
                      <a:avLst/>
                    </a:prstGeom>
                    <a:noFill/>
                    <a:ln w="9525">
                      <a:noFill/>
                      <a:miter lim="800000"/>
                      <a:headEnd/>
                      <a:tailEnd/>
                    </a:ln>
                  </pic:spPr>
                </pic:pic>
              </a:graphicData>
            </a:graphic>
          </wp:inline>
        </w:drawing>
      </w:r>
    </w:p>
    <w:p w:rsidR="00E2336B" w:rsidRDefault="00E2336B" w:rsidP="004B21DB">
      <w:pPr>
        <w:pBdr>
          <w:bottom w:val="single" w:sz="4" w:space="1" w:color="auto"/>
        </w:pBdr>
        <w:autoSpaceDE w:val="0"/>
        <w:autoSpaceDN w:val="0"/>
        <w:spacing w:line="360" w:lineRule="auto"/>
        <w:jc w:val="both"/>
        <w:rPr>
          <w:rFonts w:ascii="MinionPro-Regular" w:hAnsi="MinionPro-Regular"/>
          <w:sz w:val="20"/>
        </w:rPr>
      </w:pPr>
    </w:p>
    <w:p w:rsidR="00E2336B" w:rsidRDefault="00E2336B" w:rsidP="004B21DB">
      <w:pPr>
        <w:pBdr>
          <w:bottom w:val="single" w:sz="4" w:space="1" w:color="auto"/>
        </w:pBdr>
        <w:autoSpaceDE w:val="0"/>
        <w:autoSpaceDN w:val="0"/>
        <w:spacing w:line="360" w:lineRule="auto"/>
        <w:jc w:val="both"/>
        <w:rPr>
          <w:rFonts w:ascii="MinionPro-Regular" w:hAnsi="MinionPro-Regular"/>
          <w:sz w:val="20"/>
        </w:rPr>
      </w:pPr>
      <w:r w:rsidRPr="00B44100">
        <w:rPr>
          <w:rFonts w:ascii="MinionPro-Regular" w:hAnsi="MinionPro-Regular"/>
          <w:sz w:val="20"/>
        </w:rPr>
        <w:t xml:space="preserve">Fuente: Elaboración propia a partir de una encuesta realizada a personas con discapacidad en centros especiales de empleo. (Datos a </w:t>
      </w:r>
      <w:r>
        <w:rPr>
          <w:rFonts w:ascii="MinionPro-Regular" w:hAnsi="MinionPro-Regular"/>
          <w:sz w:val="20"/>
        </w:rPr>
        <w:t>o</w:t>
      </w:r>
      <w:r w:rsidRPr="00B44100">
        <w:rPr>
          <w:rFonts w:ascii="MinionPro-Regular" w:hAnsi="MinionPro-Regular"/>
          <w:sz w:val="20"/>
        </w:rPr>
        <w:t>ctubre de 2012).</w:t>
      </w:r>
    </w:p>
    <w:p w:rsidR="00E2336B" w:rsidRDefault="00E2336B" w:rsidP="004B21DB">
      <w:pPr>
        <w:pBdr>
          <w:bottom w:val="single" w:sz="4" w:space="1" w:color="auto"/>
        </w:pBdr>
        <w:autoSpaceDE w:val="0"/>
        <w:autoSpaceDN w:val="0"/>
        <w:spacing w:line="360" w:lineRule="auto"/>
        <w:jc w:val="both"/>
        <w:rPr>
          <w:rFonts w:ascii="MinionPro-Regular" w:hAnsi="MinionPro-Regular"/>
          <w:sz w:val="20"/>
        </w:rPr>
      </w:pPr>
      <w:r w:rsidRPr="006C036F">
        <w:rPr>
          <w:rFonts w:ascii="MinionPro-Regular" w:hAnsi="MinionPro-Regular"/>
          <w:sz w:val="20"/>
        </w:rPr>
        <w:t xml:space="preserve">Nota explicativa de las gráficas. </w:t>
      </w:r>
      <w:r w:rsidRPr="001C2926">
        <w:rPr>
          <w:rFonts w:ascii="MinionPro-Regular" w:hAnsi="MinionPro-Regular"/>
          <w:sz w:val="20"/>
        </w:rPr>
        <w:t>Motivación para el cambio de trabajo</w:t>
      </w:r>
      <w:r>
        <w:rPr>
          <w:rFonts w:ascii="MinionPro-Regular" w:hAnsi="MinionPro-Regular"/>
          <w:sz w:val="20"/>
        </w:rPr>
        <w:t xml:space="preserve">: </w:t>
      </w:r>
      <w:r w:rsidRPr="006C036F">
        <w:rPr>
          <w:rFonts w:ascii="MinionPro-Regular" w:hAnsi="MinionPro-Regular"/>
          <w:sz w:val="20"/>
        </w:rPr>
        <w:t xml:space="preserve">Mejor salario </w:t>
      </w:r>
      <w:r>
        <w:rPr>
          <w:rFonts w:ascii="MinionPro-Regular" w:hAnsi="MinionPro-Regular"/>
          <w:sz w:val="20"/>
        </w:rPr>
        <w:t xml:space="preserve">el </w:t>
      </w:r>
      <w:r w:rsidRPr="006C036F">
        <w:rPr>
          <w:rFonts w:ascii="MinionPro-Regular" w:hAnsi="MinionPro-Regular"/>
          <w:sz w:val="20"/>
        </w:rPr>
        <w:t>27%</w:t>
      </w:r>
      <w:r>
        <w:rPr>
          <w:rFonts w:ascii="MinionPro-Regular" w:hAnsi="MinionPro-Regular"/>
          <w:sz w:val="20"/>
        </w:rPr>
        <w:t xml:space="preserve">; </w:t>
      </w:r>
      <w:r w:rsidRPr="006C036F">
        <w:rPr>
          <w:rFonts w:ascii="MinionPro-Regular" w:hAnsi="MinionPro-Regular"/>
          <w:sz w:val="20"/>
        </w:rPr>
        <w:t>Más responsabilidad</w:t>
      </w:r>
      <w:r>
        <w:rPr>
          <w:rFonts w:ascii="MinionPro-Regular" w:hAnsi="MinionPro-Regular"/>
          <w:sz w:val="20"/>
        </w:rPr>
        <w:t xml:space="preserve"> el </w:t>
      </w:r>
      <w:r w:rsidRPr="006C036F">
        <w:rPr>
          <w:rFonts w:ascii="MinionPro-Regular" w:hAnsi="MinionPro-Regular"/>
          <w:sz w:val="20"/>
        </w:rPr>
        <w:t>24%</w:t>
      </w:r>
      <w:r>
        <w:rPr>
          <w:rFonts w:ascii="MinionPro-Regular" w:hAnsi="MinionPro-Regular"/>
          <w:sz w:val="20"/>
        </w:rPr>
        <w:t xml:space="preserve">; </w:t>
      </w:r>
      <w:r w:rsidRPr="006C036F">
        <w:rPr>
          <w:rFonts w:ascii="MinionPro-Regular" w:hAnsi="MinionPro-Regular"/>
          <w:sz w:val="20"/>
        </w:rPr>
        <w:t xml:space="preserve">Aprender cosas diferentes </w:t>
      </w:r>
      <w:r>
        <w:rPr>
          <w:rFonts w:ascii="MinionPro-Regular" w:hAnsi="MinionPro-Regular"/>
          <w:sz w:val="20"/>
        </w:rPr>
        <w:t xml:space="preserve">el </w:t>
      </w:r>
      <w:r w:rsidRPr="006C036F">
        <w:rPr>
          <w:rFonts w:ascii="MinionPro-Regular" w:hAnsi="MinionPro-Regular"/>
          <w:sz w:val="20"/>
        </w:rPr>
        <w:t>34%</w:t>
      </w:r>
      <w:r>
        <w:rPr>
          <w:rFonts w:ascii="MinionPro-Regular" w:hAnsi="MinionPro-Regular"/>
          <w:sz w:val="20"/>
        </w:rPr>
        <w:t xml:space="preserve">; </w:t>
      </w:r>
      <w:r w:rsidRPr="006C036F">
        <w:rPr>
          <w:rFonts w:ascii="MinionPro-Regular" w:hAnsi="MinionPro-Regular"/>
          <w:sz w:val="20"/>
        </w:rPr>
        <w:t>Tareas rutinarias</w:t>
      </w:r>
      <w:r>
        <w:rPr>
          <w:rFonts w:ascii="MinionPro-Regular" w:hAnsi="MinionPro-Regular"/>
          <w:sz w:val="20"/>
        </w:rPr>
        <w:t xml:space="preserve"> el </w:t>
      </w:r>
      <w:r w:rsidRPr="006C036F">
        <w:rPr>
          <w:rFonts w:ascii="MinionPro-Regular" w:hAnsi="MinionPro-Regular"/>
          <w:sz w:val="20"/>
        </w:rPr>
        <w:t>12%</w:t>
      </w:r>
      <w:r>
        <w:rPr>
          <w:rFonts w:ascii="MinionPro-Regular" w:hAnsi="MinionPro-Regular"/>
          <w:sz w:val="20"/>
        </w:rPr>
        <w:t xml:space="preserve"> y Otros el 3%. </w:t>
      </w:r>
      <w:r w:rsidRPr="001C2926">
        <w:rPr>
          <w:rFonts w:ascii="MinionPro-Regular" w:hAnsi="MinionPro-Regular"/>
          <w:sz w:val="20"/>
        </w:rPr>
        <w:t xml:space="preserve">Motivación para no cambiar de trabajo: Te gusta el trabajo el 96%; </w:t>
      </w:r>
      <w:r w:rsidRPr="006C036F">
        <w:rPr>
          <w:rFonts w:ascii="MinionPro-Regular" w:hAnsi="MinionPro-Regular"/>
          <w:sz w:val="20"/>
        </w:rPr>
        <w:t>Miedo a cambiar</w:t>
      </w:r>
      <w:r>
        <w:rPr>
          <w:rFonts w:ascii="MinionPro-Regular" w:hAnsi="MinionPro-Regular"/>
          <w:sz w:val="20"/>
        </w:rPr>
        <w:t xml:space="preserve"> el </w:t>
      </w:r>
      <w:r w:rsidRPr="006C036F">
        <w:rPr>
          <w:rFonts w:ascii="MinionPro-Regular" w:hAnsi="MinionPro-Regular"/>
          <w:sz w:val="20"/>
        </w:rPr>
        <w:t>4%</w:t>
      </w:r>
      <w:r>
        <w:rPr>
          <w:rFonts w:ascii="MinionPro-Regular" w:hAnsi="MinionPro-Regular"/>
          <w:sz w:val="20"/>
        </w:rPr>
        <w:t>; Buenos compañeros el 0%; Otros el 0%.</w:t>
      </w:r>
    </w:p>
    <w:p w:rsidR="00E2336B" w:rsidRPr="008B461D" w:rsidRDefault="00E2336B" w:rsidP="004B21DB">
      <w:pPr>
        <w:autoSpaceDE w:val="0"/>
        <w:autoSpaceDN w:val="0"/>
        <w:spacing w:line="360" w:lineRule="auto"/>
        <w:jc w:val="both"/>
        <w:rPr>
          <w:rFonts w:ascii="MinionPro-Regular" w:hAnsi="MinionPro-Regular"/>
          <w:sz w:val="24"/>
          <w:szCs w:val="24"/>
          <w:lang w:val="es-ES_tradnl"/>
        </w:rPr>
      </w:pPr>
    </w:p>
    <w:p w:rsidR="002959F0" w:rsidRDefault="00E2336B" w:rsidP="0007541A">
      <w:pPr>
        <w:pStyle w:val="Ttulo3"/>
        <w:numPr>
          <w:ilvl w:val="2"/>
          <w:numId w:val="3"/>
        </w:numPr>
        <w:rPr>
          <w:lang w:val="es-ES_tradnl"/>
        </w:rPr>
      </w:pPr>
      <w:bookmarkStart w:id="174" w:name="_Toc352773564"/>
      <w:r w:rsidRPr="00A24A22">
        <w:rPr>
          <w:lang w:val="es-ES_tradnl"/>
        </w:rPr>
        <w:t>Un salario insuficiente</w:t>
      </w:r>
      <w:bookmarkEnd w:id="174"/>
    </w:p>
    <w:p w:rsidR="00E2336B" w:rsidRDefault="00E2336B" w:rsidP="004B21DB">
      <w:pPr>
        <w:autoSpaceDE w:val="0"/>
        <w:autoSpaceDN w:val="0"/>
        <w:spacing w:line="360" w:lineRule="auto"/>
        <w:jc w:val="both"/>
        <w:rPr>
          <w:rFonts w:ascii="MinionPro-Regular" w:hAnsi="MinionPro-Regular"/>
          <w:sz w:val="24"/>
          <w:szCs w:val="24"/>
          <w:lang w:val="es-ES_tradnl"/>
        </w:rPr>
      </w:pPr>
    </w:p>
    <w:p w:rsidR="00456F1A" w:rsidRDefault="00E2336B" w:rsidP="004B21DB">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El</w:t>
      </w:r>
      <w:r w:rsidRPr="00B44100">
        <w:rPr>
          <w:rFonts w:ascii="MinionPro-Regular" w:hAnsi="MinionPro-Regular"/>
          <w:sz w:val="24"/>
          <w:szCs w:val="24"/>
          <w:lang w:val="es-ES_tradnl"/>
        </w:rPr>
        <w:t xml:space="preserve"> 90% de l</w:t>
      </w:r>
      <w:r>
        <w:rPr>
          <w:rFonts w:ascii="MinionPro-Regular" w:hAnsi="MinionPro-Regular"/>
          <w:sz w:val="24"/>
          <w:szCs w:val="24"/>
          <w:lang w:val="es-ES_tradnl"/>
        </w:rPr>
        <w:t xml:space="preserve">as personas que participaron en el proceso </w:t>
      </w:r>
      <w:r w:rsidRPr="00B44100">
        <w:rPr>
          <w:rFonts w:ascii="MinionPro-Regular" w:hAnsi="MinionPro-Regular"/>
          <w:sz w:val="24"/>
          <w:szCs w:val="24"/>
          <w:lang w:val="es-ES_tradnl"/>
        </w:rPr>
        <w:t>trabaja a jornada completa</w:t>
      </w:r>
      <w:r>
        <w:rPr>
          <w:rFonts w:ascii="MinionPro-Regular" w:hAnsi="MinionPro-Regular"/>
          <w:sz w:val="24"/>
          <w:szCs w:val="24"/>
          <w:lang w:val="es-ES_tradnl"/>
        </w:rPr>
        <w:t>. E</w:t>
      </w:r>
      <w:r w:rsidRPr="00B44100">
        <w:rPr>
          <w:rFonts w:ascii="MinionPro-Regular" w:hAnsi="MinionPro-Regular"/>
          <w:sz w:val="24"/>
          <w:szCs w:val="24"/>
          <w:lang w:val="es-ES_tradnl"/>
        </w:rPr>
        <w:t xml:space="preserve">l </w:t>
      </w:r>
      <w:r>
        <w:rPr>
          <w:rFonts w:ascii="MinionPro-Regular" w:hAnsi="MinionPro-Regular"/>
          <w:sz w:val="24"/>
          <w:szCs w:val="24"/>
          <w:lang w:val="es-ES_tradnl"/>
        </w:rPr>
        <w:t>66% de ellos percibe entre un salario inferior a 1.000 euros</w:t>
      </w:r>
      <w:r w:rsidR="008D0C1E">
        <w:rPr>
          <w:rFonts w:ascii="MinionPro-Regular" w:hAnsi="MinionPro-Regular"/>
          <w:sz w:val="24"/>
          <w:szCs w:val="24"/>
          <w:lang w:val="es-ES_tradnl"/>
        </w:rPr>
        <w:t>/mes</w:t>
      </w:r>
      <w:r>
        <w:rPr>
          <w:rFonts w:ascii="MinionPro-Regular" w:hAnsi="MinionPro-Regular"/>
          <w:sz w:val="24"/>
          <w:szCs w:val="24"/>
          <w:lang w:val="es-ES_tradnl"/>
        </w:rPr>
        <w:t>.  Un 87% de las personas consultadas manifiesta no poder ahorrar.</w:t>
      </w:r>
      <w:r w:rsidR="008D0C1E">
        <w:rPr>
          <w:rFonts w:ascii="MinionPro-Regular" w:hAnsi="MinionPro-Regular"/>
          <w:sz w:val="24"/>
          <w:szCs w:val="24"/>
          <w:lang w:val="es-ES_tradnl"/>
        </w:rPr>
        <w:t xml:space="preserve"> </w:t>
      </w:r>
      <w:r w:rsidR="007553D4" w:rsidRPr="00456F1A">
        <w:rPr>
          <w:rFonts w:ascii="MinionPro-Regular" w:hAnsi="MinionPro-Regular"/>
          <w:sz w:val="24"/>
          <w:szCs w:val="24"/>
          <w:lang w:val="es-ES_tradnl"/>
        </w:rPr>
        <w:t>En cuanto a la población en general, según la última Encues</w:t>
      </w:r>
      <w:r w:rsidR="008D0C1E" w:rsidRPr="00456F1A">
        <w:rPr>
          <w:rFonts w:ascii="MinionPro-Regular" w:hAnsi="MinionPro-Regular"/>
          <w:sz w:val="24"/>
          <w:szCs w:val="24"/>
          <w:lang w:val="es-ES_tradnl"/>
        </w:rPr>
        <w:t xml:space="preserve">ta de Estructura Salarial 2010 </w:t>
      </w:r>
      <w:r w:rsidR="007553D4" w:rsidRPr="00456F1A">
        <w:rPr>
          <w:rFonts w:ascii="MinionPro-Regular" w:hAnsi="MinionPro-Regular"/>
          <w:sz w:val="24"/>
          <w:szCs w:val="24"/>
          <w:lang w:val="es-ES_tradnl"/>
        </w:rPr>
        <w:t>(INE)</w:t>
      </w:r>
      <w:r w:rsidR="008D0C1E" w:rsidRPr="00456F1A">
        <w:rPr>
          <w:rFonts w:ascii="MinionPro-Regular" w:hAnsi="MinionPro-Regular"/>
          <w:sz w:val="24"/>
          <w:szCs w:val="24"/>
          <w:lang w:val="es-ES_tradnl"/>
        </w:rPr>
        <w:t>,</w:t>
      </w:r>
      <w:r w:rsidR="007553D4" w:rsidRPr="00456F1A">
        <w:rPr>
          <w:rFonts w:ascii="MinionPro-Regular" w:hAnsi="MinionPro-Regular"/>
          <w:sz w:val="24"/>
          <w:szCs w:val="24"/>
          <w:lang w:val="es-ES_tradnl"/>
        </w:rPr>
        <w:t xml:space="preserve"> el salario bruto medio anual </w:t>
      </w:r>
      <w:r w:rsidR="00456F1A" w:rsidRPr="00456F1A">
        <w:rPr>
          <w:rFonts w:ascii="MinionPro-Regular" w:hAnsi="MinionPro-Regular"/>
          <w:sz w:val="24"/>
          <w:szCs w:val="24"/>
          <w:lang w:val="es-ES_tradnl"/>
        </w:rPr>
        <w:t xml:space="preserve">en España </w:t>
      </w:r>
      <w:r w:rsidR="007553D4" w:rsidRPr="00456F1A">
        <w:rPr>
          <w:rFonts w:ascii="MinionPro-Regular" w:hAnsi="MinionPro-Regular"/>
          <w:sz w:val="24"/>
          <w:szCs w:val="24"/>
          <w:lang w:val="es-ES_tradnl"/>
        </w:rPr>
        <w:t>fue de 2</w:t>
      </w:r>
      <w:r w:rsidR="008D0C1E" w:rsidRPr="00456F1A">
        <w:rPr>
          <w:rFonts w:ascii="MinionPro-Regular" w:hAnsi="MinionPro-Regular"/>
          <w:sz w:val="24"/>
          <w:szCs w:val="24"/>
          <w:lang w:val="es-ES_tradnl"/>
        </w:rPr>
        <w:t xml:space="preserve">2.790,20 euros por trabajador. </w:t>
      </w:r>
    </w:p>
    <w:p w:rsidR="0075670B" w:rsidRDefault="0075670B" w:rsidP="004B21DB">
      <w:pPr>
        <w:autoSpaceDE w:val="0"/>
        <w:autoSpaceDN w:val="0"/>
        <w:spacing w:line="360" w:lineRule="auto"/>
        <w:jc w:val="both"/>
        <w:rPr>
          <w:rFonts w:ascii="MinionPro-Regular" w:hAnsi="MinionPro-Regular"/>
          <w:sz w:val="24"/>
          <w:szCs w:val="24"/>
          <w:lang w:val="es-ES_tradnl"/>
        </w:rPr>
      </w:pPr>
    </w:p>
    <w:p w:rsidR="0075670B" w:rsidRDefault="0075670B" w:rsidP="004B21DB">
      <w:pPr>
        <w:autoSpaceDE w:val="0"/>
        <w:autoSpaceDN w:val="0"/>
        <w:spacing w:line="360" w:lineRule="auto"/>
        <w:jc w:val="both"/>
        <w:rPr>
          <w:rFonts w:ascii="MinionPro-Regular" w:hAnsi="MinionPro-Regular"/>
          <w:sz w:val="24"/>
          <w:szCs w:val="24"/>
          <w:lang w:val="es-ES_tradnl"/>
        </w:rPr>
      </w:pPr>
    </w:p>
    <w:p w:rsidR="0075670B" w:rsidRDefault="0075670B" w:rsidP="004B21DB">
      <w:pPr>
        <w:autoSpaceDE w:val="0"/>
        <w:autoSpaceDN w:val="0"/>
        <w:spacing w:line="360" w:lineRule="auto"/>
        <w:jc w:val="both"/>
        <w:rPr>
          <w:rFonts w:ascii="MinionPro-Regular" w:hAnsi="MinionPro-Regular"/>
          <w:sz w:val="24"/>
          <w:szCs w:val="24"/>
          <w:lang w:val="es-ES_tradnl"/>
        </w:rPr>
      </w:pPr>
    </w:p>
    <w:p w:rsidR="0075670B" w:rsidRDefault="0075670B" w:rsidP="004B21DB">
      <w:pPr>
        <w:autoSpaceDE w:val="0"/>
        <w:autoSpaceDN w:val="0"/>
        <w:spacing w:line="360" w:lineRule="auto"/>
        <w:jc w:val="both"/>
        <w:rPr>
          <w:rFonts w:ascii="MinionPro-Regular" w:hAnsi="MinionPro-Regular"/>
          <w:sz w:val="24"/>
          <w:szCs w:val="24"/>
          <w:lang w:val="es-ES_tradnl"/>
        </w:rPr>
      </w:pPr>
    </w:p>
    <w:p w:rsidR="0075670B" w:rsidRDefault="0075670B" w:rsidP="004B21DB">
      <w:pPr>
        <w:autoSpaceDE w:val="0"/>
        <w:autoSpaceDN w:val="0"/>
        <w:spacing w:line="360" w:lineRule="auto"/>
        <w:jc w:val="both"/>
        <w:rPr>
          <w:rFonts w:ascii="MinionPro-Regular" w:hAnsi="MinionPro-Regular"/>
          <w:sz w:val="24"/>
          <w:szCs w:val="24"/>
          <w:lang w:val="es-ES_tradnl"/>
        </w:rPr>
      </w:pPr>
    </w:p>
    <w:p w:rsidR="0075670B" w:rsidRDefault="0075670B" w:rsidP="004B21DB">
      <w:pPr>
        <w:autoSpaceDE w:val="0"/>
        <w:autoSpaceDN w:val="0"/>
        <w:spacing w:line="360" w:lineRule="auto"/>
        <w:jc w:val="both"/>
        <w:rPr>
          <w:rFonts w:ascii="MinionPro-Regular" w:hAnsi="MinionPro-Regular"/>
          <w:color w:val="4F81BD" w:themeColor="accent1"/>
          <w:sz w:val="24"/>
          <w:szCs w:val="24"/>
          <w:lang w:val="es-ES_tradnl"/>
        </w:rPr>
      </w:pPr>
    </w:p>
    <w:p w:rsidR="00456F1A" w:rsidRPr="008D0C1E" w:rsidRDefault="00456F1A" w:rsidP="004B21DB">
      <w:pPr>
        <w:autoSpaceDE w:val="0"/>
        <w:autoSpaceDN w:val="0"/>
        <w:spacing w:line="360" w:lineRule="auto"/>
        <w:jc w:val="both"/>
        <w:rPr>
          <w:rFonts w:ascii="MinionPro-Regular" w:hAnsi="MinionPro-Regular"/>
          <w:strike/>
          <w:sz w:val="24"/>
          <w:szCs w:val="24"/>
          <w:lang w:val="es-ES_tradnl"/>
        </w:rPr>
      </w:pPr>
    </w:p>
    <w:p w:rsidR="00E2336B" w:rsidRDefault="00E2336B" w:rsidP="004B21DB">
      <w:pPr>
        <w:pBdr>
          <w:top w:val="single" w:sz="4" w:space="1" w:color="auto"/>
        </w:pBdr>
        <w:autoSpaceDE w:val="0"/>
        <w:autoSpaceDN w:val="0"/>
        <w:spacing w:line="360" w:lineRule="auto"/>
        <w:jc w:val="both"/>
        <w:rPr>
          <w:rFonts w:ascii="MinionPro-Regular" w:hAnsi="MinionPro-Regular"/>
          <w:sz w:val="20"/>
          <w:lang w:val="es-ES_tradnl"/>
        </w:rPr>
      </w:pPr>
      <w:r w:rsidRPr="00B44100">
        <w:rPr>
          <w:rFonts w:ascii="MinionPro-Regular" w:hAnsi="MinionPro-Regular"/>
          <w:sz w:val="20"/>
        </w:rPr>
        <w:t>Salario percibido por las personas entrevistadas y dedicación de dicho salario.</w:t>
      </w:r>
    </w:p>
    <w:p w:rsidR="00E2336B" w:rsidRDefault="00E1516B" w:rsidP="004B21DB">
      <w:pPr>
        <w:autoSpaceDE w:val="0"/>
        <w:autoSpaceDN w:val="0"/>
        <w:spacing w:line="360" w:lineRule="auto"/>
        <w:jc w:val="center"/>
        <w:rPr>
          <w:noProof/>
          <w:lang w:eastAsia="es-ES"/>
        </w:rPr>
      </w:pPr>
      <w:r>
        <w:rPr>
          <w:noProof/>
          <w:szCs w:val="24"/>
          <w:lang w:eastAsia="es-ES"/>
        </w:rPr>
        <w:drawing>
          <wp:inline distT="0" distB="0" distL="0" distR="0">
            <wp:extent cx="2519045" cy="2148205"/>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85"/>
                    <a:srcRect/>
                    <a:stretch>
                      <a:fillRect/>
                    </a:stretch>
                  </pic:blipFill>
                  <pic:spPr bwMode="auto">
                    <a:xfrm>
                      <a:off x="0" y="0"/>
                      <a:ext cx="2519045" cy="2148205"/>
                    </a:xfrm>
                    <a:prstGeom prst="rect">
                      <a:avLst/>
                    </a:prstGeom>
                    <a:noFill/>
                    <a:ln w="9525">
                      <a:noFill/>
                      <a:miter lim="800000"/>
                      <a:headEnd/>
                      <a:tailEnd/>
                    </a:ln>
                  </pic:spPr>
                </pic:pic>
              </a:graphicData>
            </a:graphic>
          </wp:inline>
        </w:drawing>
      </w:r>
      <w:r w:rsidR="008D0C1E" w:rsidRPr="008D0C1E">
        <w:rPr>
          <w:rFonts w:ascii="MinionPro-Regular" w:hAnsi="MinionPro-Regular"/>
          <w:noProof/>
          <w:sz w:val="24"/>
          <w:szCs w:val="24"/>
          <w:lang w:eastAsia="es-ES"/>
        </w:rPr>
        <w:t xml:space="preserve"> </w:t>
      </w:r>
      <w:r>
        <w:rPr>
          <w:noProof/>
          <w:szCs w:val="24"/>
          <w:lang w:eastAsia="es-ES"/>
        </w:rPr>
        <w:drawing>
          <wp:inline distT="0" distB="0" distL="0" distR="0">
            <wp:extent cx="2743200" cy="1966595"/>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86"/>
                    <a:srcRect/>
                    <a:stretch>
                      <a:fillRect/>
                    </a:stretch>
                  </pic:blipFill>
                  <pic:spPr bwMode="auto">
                    <a:xfrm>
                      <a:off x="0" y="0"/>
                      <a:ext cx="2743200" cy="1966595"/>
                    </a:xfrm>
                    <a:prstGeom prst="rect">
                      <a:avLst/>
                    </a:prstGeom>
                    <a:noFill/>
                    <a:ln w="9525">
                      <a:noFill/>
                      <a:miter lim="800000"/>
                      <a:headEnd/>
                      <a:tailEnd/>
                    </a:ln>
                  </pic:spPr>
                </pic:pic>
              </a:graphicData>
            </a:graphic>
          </wp:inline>
        </w:drawing>
      </w:r>
    </w:p>
    <w:p w:rsidR="00E2336B" w:rsidRDefault="00E2336B" w:rsidP="004B21DB">
      <w:pPr>
        <w:pBdr>
          <w:bottom w:val="single" w:sz="4" w:space="1" w:color="auto"/>
        </w:pBdr>
        <w:autoSpaceDE w:val="0"/>
        <w:autoSpaceDN w:val="0"/>
        <w:spacing w:line="360" w:lineRule="auto"/>
        <w:jc w:val="both"/>
        <w:rPr>
          <w:rFonts w:ascii="MinionPro-Regular" w:hAnsi="MinionPro-Regular"/>
          <w:sz w:val="20"/>
        </w:rPr>
      </w:pPr>
    </w:p>
    <w:p w:rsidR="00E2336B" w:rsidRDefault="00E2336B" w:rsidP="004B21DB">
      <w:pPr>
        <w:pBdr>
          <w:bottom w:val="single" w:sz="4" w:space="1" w:color="auto"/>
        </w:pBdr>
        <w:autoSpaceDE w:val="0"/>
        <w:autoSpaceDN w:val="0"/>
        <w:spacing w:line="360" w:lineRule="auto"/>
        <w:jc w:val="both"/>
        <w:rPr>
          <w:rFonts w:ascii="MinionPro-Regular" w:hAnsi="MinionPro-Regular"/>
          <w:sz w:val="20"/>
        </w:rPr>
      </w:pPr>
      <w:r w:rsidRPr="00B44100">
        <w:rPr>
          <w:rFonts w:ascii="MinionPro-Regular" w:hAnsi="MinionPro-Regular"/>
          <w:sz w:val="20"/>
        </w:rPr>
        <w:t xml:space="preserve">Fuente: Elaboración propia a partir de una encuesta realizada a personas con discapacidad en centros especiales de empleo. (Datos a </w:t>
      </w:r>
      <w:r>
        <w:rPr>
          <w:rFonts w:ascii="MinionPro-Regular" w:hAnsi="MinionPro-Regular"/>
          <w:sz w:val="20"/>
        </w:rPr>
        <w:t>o</w:t>
      </w:r>
      <w:r w:rsidRPr="00B44100">
        <w:rPr>
          <w:rFonts w:ascii="MinionPro-Regular" w:hAnsi="MinionPro-Regular"/>
          <w:sz w:val="20"/>
        </w:rPr>
        <w:t>ctubre de 2012).</w:t>
      </w:r>
    </w:p>
    <w:p w:rsidR="00E2336B" w:rsidRDefault="00E2336B" w:rsidP="004B21DB">
      <w:pPr>
        <w:pBdr>
          <w:bottom w:val="single" w:sz="4" w:space="1" w:color="auto"/>
        </w:pBdr>
        <w:autoSpaceDE w:val="0"/>
        <w:autoSpaceDN w:val="0"/>
        <w:spacing w:line="360" w:lineRule="auto"/>
        <w:jc w:val="both"/>
        <w:rPr>
          <w:rFonts w:ascii="MinionPro-Regular" w:hAnsi="MinionPro-Regular"/>
          <w:sz w:val="20"/>
        </w:rPr>
      </w:pPr>
      <w:r w:rsidRPr="006C036F">
        <w:rPr>
          <w:rFonts w:ascii="MinionPro-Regular" w:hAnsi="MinionPro-Regular"/>
          <w:sz w:val="20"/>
        </w:rPr>
        <w:t xml:space="preserve">Nota explicativa de las gráficas. </w:t>
      </w:r>
      <w:r w:rsidRPr="001C2926">
        <w:rPr>
          <w:rFonts w:ascii="MinionPro-Regular" w:hAnsi="MinionPro-Regular"/>
          <w:sz w:val="20"/>
        </w:rPr>
        <w:t xml:space="preserve">Salario mensual: </w:t>
      </w:r>
      <w:r>
        <w:rPr>
          <w:rFonts w:ascii="MinionPro-Regular" w:hAnsi="MinionPro-Regular"/>
          <w:sz w:val="20"/>
        </w:rPr>
        <w:t xml:space="preserve">Más de 1500 euros el 3%; </w:t>
      </w:r>
      <w:r w:rsidRPr="001C2926">
        <w:rPr>
          <w:rFonts w:ascii="MinionPro-Regular" w:hAnsi="MinionPro-Regular"/>
          <w:sz w:val="20"/>
        </w:rPr>
        <w:t>Entre 1000 y 1500 euros el 20%</w:t>
      </w:r>
      <w:r>
        <w:rPr>
          <w:rFonts w:ascii="MinionPro-Regular" w:hAnsi="MinionPro-Regular"/>
          <w:sz w:val="20"/>
        </w:rPr>
        <w:t xml:space="preserve">; </w:t>
      </w:r>
      <w:r w:rsidRPr="006C036F">
        <w:rPr>
          <w:rFonts w:ascii="MinionPro-Regular" w:hAnsi="MinionPro-Regular"/>
          <w:sz w:val="20"/>
        </w:rPr>
        <w:t>Entre 800 y 1000 euros</w:t>
      </w:r>
      <w:r>
        <w:rPr>
          <w:rFonts w:ascii="MinionPro-Regular" w:hAnsi="MinionPro-Regular"/>
          <w:sz w:val="20"/>
        </w:rPr>
        <w:t xml:space="preserve"> el </w:t>
      </w:r>
      <w:r w:rsidRPr="006C036F">
        <w:rPr>
          <w:rFonts w:ascii="MinionPro-Regular" w:hAnsi="MinionPro-Regular"/>
          <w:sz w:val="20"/>
        </w:rPr>
        <w:t>31%</w:t>
      </w:r>
      <w:r>
        <w:rPr>
          <w:rFonts w:ascii="MinionPro-Regular" w:hAnsi="MinionPro-Regular"/>
          <w:sz w:val="20"/>
        </w:rPr>
        <w:t xml:space="preserve">; </w:t>
      </w:r>
      <w:r w:rsidRPr="006C036F">
        <w:rPr>
          <w:rFonts w:ascii="MinionPro-Regular" w:hAnsi="MinionPro-Regular"/>
          <w:sz w:val="20"/>
        </w:rPr>
        <w:t xml:space="preserve">Entre 600 y 800 euros </w:t>
      </w:r>
      <w:r>
        <w:rPr>
          <w:rFonts w:ascii="MinionPro-Regular" w:hAnsi="MinionPro-Regular"/>
          <w:sz w:val="20"/>
        </w:rPr>
        <w:t xml:space="preserve">el </w:t>
      </w:r>
      <w:r w:rsidRPr="006C036F">
        <w:rPr>
          <w:rFonts w:ascii="MinionPro-Regular" w:hAnsi="MinionPro-Regular"/>
          <w:sz w:val="20"/>
        </w:rPr>
        <w:t>35%</w:t>
      </w:r>
      <w:r>
        <w:rPr>
          <w:rFonts w:ascii="MinionPro-Regular" w:hAnsi="MinionPro-Regular"/>
          <w:sz w:val="20"/>
        </w:rPr>
        <w:t xml:space="preserve">; </w:t>
      </w:r>
      <w:r w:rsidRPr="006C036F">
        <w:rPr>
          <w:rFonts w:ascii="MinionPro-Regular" w:hAnsi="MinionPro-Regular"/>
          <w:sz w:val="20"/>
        </w:rPr>
        <w:t>Entre 400 y 600 euros</w:t>
      </w:r>
      <w:r>
        <w:rPr>
          <w:rFonts w:ascii="MinionPro-Regular" w:hAnsi="MinionPro-Regular"/>
          <w:sz w:val="20"/>
        </w:rPr>
        <w:t xml:space="preserve"> el </w:t>
      </w:r>
      <w:r w:rsidRPr="006C036F">
        <w:rPr>
          <w:rFonts w:ascii="MinionPro-Regular" w:hAnsi="MinionPro-Regular"/>
          <w:sz w:val="20"/>
        </w:rPr>
        <w:t>6%</w:t>
      </w:r>
      <w:r>
        <w:rPr>
          <w:rFonts w:ascii="MinionPro-Regular" w:hAnsi="MinionPro-Regular"/>
          <w:sz w:val="20"/>
        </w:rPr>
        <w:t xml:space="preserve">; Menos de 400 euros el 3%; </w:t>
      </w:r>
      <w:r w:rsidRPr="005941AA">
        <w:rPr>
          <w:rFonts w:ascii="MinionPro-Regular" w:hAnsi="MinionPro-Regular"/>
          <w:sz w:val="20"/>
        </w:rPr>
        <w:t>No lo sabe, se lo administra otra persona</w:t>
      </w:r>
      <w:r>
        <w:rPr>
          <w:rFonts w:ascii="MinionPro-Regular" w:hAnsi="MinionPro-Regular"/>
          <w:sz w:val="20"/>
        </w:rPr>
        <w:t xml:space="preserve"> el </w:t>
      </w:r>
      <w:r w:rsidRPr="005941AA">
        <w:rPr>
          <w:rFonts w:ascii="MinionPro-Regular" w:hAnsi="MinionPro-Regular"/>
          <w:sz w:val="20"/>
        </w:rPr>
        <w:t>2%</w:t>
      </w:r>
      <w:r>
        <w:rPr>
          <w:rFonts w:ascii="MinionPro-Regular" w:hAnsi="MinionPro-Regular"/>
          <w:sz w:val="20"/>
        </w:rPr>
        <w:t xml:space="preserve">. </w:t>
      </w:r>
      <w:r w:rsidRPr="001C2926">
        <w:rPr>
          <w:rFonts w:ascii="MinionPro-Regular" w:hAnsi="MinionPro-Regular"/>
          <w:sz w:val="20"/>
        </w:rPr>
        <w:t xml:space="preserve">Dedicación salario: Ahorro para coche, casa... el 13%; Gastos básicos y ocio </w:t>
      </w:r>
      <w:r>
        <w:rPr>
          <w:rFonts w:ascii="MinionPro-Regular" w:hAnsi="MinionPro-Regular"/>
          <w:sz w:val="20"/>
        </w:rPr>
        <w:t xml:space="preserve">el </w:t>
      </w:r>
      <w:r w:rsidRPr="001C2926">
        <w:rPr>
          <w:rFonts w:ascii="MinionPro-Regular" w:hAnsi="MinionPro-Regular"/>
          <w:sz w:val="20"/>
        </w:rPr>
        <w:t xml:space="preserve">20%; </w:t>
      </w:r>
      <w:r w:rsidRPr="005941AA">
        <w:rPr>
          <w:rFonts w:ascii="MinionPro-Regular" w:hAnsi="MinionPro-Regular"/>
          <w:sz w:val="20"/>
        </w:rPr>
        <w:t xml:space="preserve">Gastos básicos </w:t>
      </w:r>
      <w:r>
        <w:rPr>
          <w:rFonts w:ascii="MinionPro-Regular" w:hAnsi="MinionPro-Regular"/>
          <w:sz w:val="20"/>
        </w:rPr>
        <w:t xml:space="preserve">el </w:t>
      </w:r>
      <w:r w:rsidRPr="005941AA">
        <w:rPr>
          <w:rFonts w:ascii="MinionPro-Regular" w:hAnsi="MinionPro-Regular"/>
          <w:sz w:val="20"/>
        </w:rPr>
        <w:t>38%</w:t>
      </w:r>
      <w:r>
        <w:rPr>
          <w:rFonts w:ascii="MinionPro-Regular" w:hAnsi="MinionPro-Regular"/>
          <w:sz w:val="20"/>
        </w:rPr>
        <w:t xml:space="preserve">; </w:t>
      </w:r>
      <w:r w:rsidRPr="005941AA">
        <w:rPr>
          <w:rFonts w:ascii="MinionPro-Regular" w:hAnsi="MinionPro-Regular"/>
          <w:sz w:val="20"/>
        </w:rPr>
        <w:t xml:space="preserve">No cubres tus gastos </w:t>
      </w:r>
      <w:r>
        <w:rPr>
          <w:rFonts w:ascii="MinionPro-Regular" w:hAnsi="MinionPro-Regular"/>
          <w:sz w:val="20"/>
        </w:rPr>
        <w:t xml:space="preserve">el </w:t>
      </w:r>
      <w:r w:rsidRPr="005941AA">
        <w:rPr>
          <w:rFonts w:ascii="MinionPro-Regular" w:hAnsi="MinionPro-Regular"/>
          <w:sz w:val="20"/>
        </w:rPr>
        <w:t>24%</w:t>
      </w:r>
      <w:r>
        <w:rPr>
          <w:rFonts w:ascii="MinionPro-Regular" w:hAnsi="MinionPro-Regular"/>
          <w:sz w:val="20"/>
        </w:rPr>
        <w:t xml:space="preserve">; </w:t>
      </w:r>
      <w:r w:rsidRPr="005941AA">
        <w:rPr>
          <w:rFonts w:ascii="MinionPro-Regular" w:hAnsi="MinionPro-Regular"/>
          <w:sz w:val="20"/>
        </w:rPr>
        <w:t xml:space="preserve">Se lo administra otra persona </w:t>
      </w:r>
      <w:r>
        <w:rPr>
          <w:rFonts w:ascii="MinionPro-Regular" w:hAnsi="MinionPro-Regular"/>
          <w:sz w:val="20"/>
        </w:rPr>
        <w:t xml:space="preserve">el </w:t>
      </w:r>
      <w:r w:rsidRPr="005941AA">
        <w:rPr>
          <w:rFonts w:ascii="MinionPro-Regular" w:hAnsi="MinionPro-Regular"/>
          <w:sz w:val="20"/>
        </w:rPr>
        <w:t>5%</w:t>
      </w:r>
      <w:r>
        <w:rPr>
          <w:rFonts w:ascii="MinionPro-Regular" w:hAnsi="MinionPro-Regular"/>
          <w:sz w:val="20"/>
        </w:rPr>
        <w:t>.</w:t>
      </w:r>
    </w:p>
    <w:p w:rsidR="008D0C1E" w:rsidRDefault="008D0C1E" w:rsidP="004B21DB">
      <w:pPr>
        <w:autoSpaceDE w:val="0"/>
        <w:autoSpaceDN w:val="0"/>
        <w:spacing w:line="360" w:lineRule="auto"/>
        <w:jc w:val="both"/>
        <w:rPr>
          <w:rFonts w:ascii="MinionPro-Regular" w:hAnsi="MinionPro-Regular"/>
          <w:sz w:val="24"/>
          <w:szCs w:val="24"/>
          <w:lang w:val="es-ES_tradnl"/>
        </w:rPr>
      </w:pPr>
    </w:p>
    <w:p w:rsidR="008D0C1E" w:rsidRPr="008B461D" w:rsidRDefault="008D0C1E" w:rsidP="004B21DB">
      <w:pPr>
        <w:autoSpaceDE w:val="0"/>
        <w:autoSpaceDN w:val="0"/>
        <w:spacing w:line="360" w:lineRule="auto"/>
        <w:jc w:val="both"/>
        <w:rPr>
          <w:rFonts w:ascii="MinionPro-Regular" w:hAnsi="MinionPro-Regular"/>
          <w:sz w:val="24"/>
          <w:szCs w:val="24"/>
          <w:lang w:val="es-ES_tradnl"/>
        </w:rPr>
      </w:pPr>
    </w:p>
    <w:p w:rsidR="00E2336B" w:rsidRDefault="00E2336B" w:rsidP="004B21DB">
      <w:pPr>
        <w:pBdr>
          <w:top w:val="single" w:sz="4" w:space="1" w:color="auto"/>
        </w:pBdr>
        <w:autoSpaceDE w:val="0"/>
        <w:autoSpaceDN w:val="0"/>
        <w:spacing w:line="360" w:lineRule="auto"/>
        <w:jc w:val="both"/>
        <w:rPr>
          <w:rFonts w:ascii="MinionPro-Regular" w:hAnsi="MinionPro-Regular"/>
          <w:sz w:val="20"/>
        </w:rPr>
      </w:pPr>
      <w:r w:rsidRPr="00B44100">
        <w:rPr>
          <w:rFonts w:ascii="MinionPro-Regular" w:hAnsi="MinionPro-Regular"/>
          <w:sz w:val="20"/>
        </w:rPr>
        <w:t>Con quién viven las personas entrevistadas</w:t>
      </w:r>
    </w:p>
    <w:p w:rsidR="00E2336B" w:rsidRDefault="00E1516B" w:rsidP="004B21DB">
      <w:pPr>
        <w:autoSpaceDE w:val="0"/>
        <w:autoSpaceDN w:val="0"/>
        <w:spacing w:line="360" w:lineRule="auto"/>
        <w:rPr>
          <w:rFonts w:ascii="MinionPro-Regular" w:hAnsi="MinionPro-Regular"/>
          <w:sz w:val="24"/>
          <w:szCs w:val="24"/>
          <w:lang w:val="es-ES_tradnl"/>
        </w:rPr>
      </w:pPr>
      <w:r>
        <w:rPr>
          <w:rFonts w:ascii="MinionPro-Regular" w:hAnsi="MinionPro-Regular"/>
          <w:noProof/>
          <w:sz w:val="24"/>
          <w:szCs w:val="24"/>
          <w:lang w:eastAsia="es-ES"/>
        </w:rPr>
        <w:lastRenderedPageBreak/>
        <w:drawing>
          <wp:inline distT="0" distB="0" distL="0" distR="0">
            <wp:extent cx="2363470" cy="1854835"/>
            <wp:effectExtent l="0" t="0" r="0" b="0"/>
            <wp:docPr id="63" name="Picture 6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inline>
        </w:drawing>
      </w:r>
    </w:p>
    <w:p w:rsidR="00E2336B" w:rsidRDefault="00E2336B" w:rsidP="004B21DB">
      <w:pPr>
        <w:pBdr>
          <w:bottom w:val="single" w:sz="4" w:space="1" w:color="auto"/>
        </w:pBdr>
        <w:autoSpaceDE w:val="0"/>
        <w:autoSpaceDN w:val="0"/>
        <w:spacing w:line="360" w:lineRule="auto"/>
        <w:jc w:val="both"/>
        <w:rPr>
          <w:rFonts w:ascii="MinionPro-Regular" w:hAnsi="MinionPro-Regular"/>
          <w:sz w:val="20"/>
        </w:rPr>
      </w:pPr>
    </w:p>
    <w:p w:rsidR="00E2336B" w:rsidRDefault="00E2336B" w:rsidP="004B21DB">
      <w:pPr>
        <w:pBdr>
          <w:bottom w:val="single" w:sz="4" w:space="1" w:color="auto"/>
        </w:pBdr>
        <w:autoSpaceDE w:val="0"/>
        <w:autoSpaceDN w:val="0"/>
        <w:spacing w:line="360" w:lineRule="auto"/>
        <w:jc w:val="both"/>
        <w:rPr>
          <w:rFonts w:ascii="MinionPro-Regular" w:hAnsi="MinionPro-Regular"/>
          <w:sz w:val="20"/>
        </w:rPr>
      </w:pPr>
      <w:r w:rsidRPr="00B44100">
        <w:rPr>
          <w:rFonts w:ascii="MinionPro-Regular" w:hAnsi="MinionPro-Regular"/>
          <w:sz w:val="20"/>
        </w:rPr>
        <w:t>Fuente: Elaboración propia a partir de una encuesta realizada a personas con discapacidad en centros especiale</w:t>
      </w:r>
      <w:r>
        <w:rPr>
          <w:rFonts w:ascii="MinionPro-Regular" w:hAnsi="MinionPro-Regular"/>
          <w:sz w:val="20"/>
        </w:rPr>
        <w:t>s</w:t>
      </w:r>
      <w:r w:rsidRPr="00B44100">
        <w:rPr>
          <w:rFonts w:ascii="MinionPro-Regular" w:hAnsi="MinionPro-Regular"/>
          <w:sz w:val="20"/>
        </w:rPr>
        <w:t xml:space="preserve"> de empleo. (Datos a </w:t>
      </w:r>
      <w:r>
        <w:rPr>
          <w:rFonts w:ascii="MinionPro-Regular" w:hAnsi="MinionPro-Regular"/>
          <w:sz w:val="20"/>
        </w:rPr>
        <w:t>o</w:t>
      </w:r>
      <w:r w:rsidRPr="00B44100">
        <w:rPr>
          <w:rFonts w:ascii="MinionPro-Regular" w:hAnsi="MinionPro-Regular"/>
          <w:sz w:val="20"/>
        </w:rPr>
        <w:t>ctubre de 2012).</w:t>
      </w:r>
    </w:p>
    <w:p w:rsidR="00E2336B" w:rsidRPr="00BF6D54" w:rsidRDefault="00E2336B" w:rsidP="004B21DB">
      <w:pPr>
        <w:pBdr>
          <w:bottom w:val="single" w:sz="4" w:space="1" w:color="auto"/>
        </w:pBdr>
        <w:autoSpaceDE w:val="0"/>
        <w:autoSpaceDN w:val="0"/>
        <w:spacing w:line="360" w:lineRule="auto"/>
        <w:jc w:val="both"/>
        <w:rPr>
          <w:rFonts w:ascii="MinionPro-Regular" w:hAnsi="MinionPro-Regular"/>
          <w:b/>
          <w:sz w:val="24"/>
          <w:szCs w:val="24"/>
        </w:rPr>
      </w:pPr>
      <w:r w:rsidRPr="006C036F">
        <w:rPr>
          <w:rFonts w:ascii="MinionPro-Regular" w:hAnsi="MinionPro-Regular"/>
          <w:sz w:val="20"/>
        </w:rPr>
        <w:t xml:space="preserve">Nota explicativa de las gráficas. </w:t>
      </w:r>
      <w:r w:rsidRPr="0093079D">
        <w:rPr>
          <w:rFonts w:ascii="MinionPro-Regular" w:hAnsi="MinionPro-Regular"/>
          <w:sz w:val="20"/>
        </w:rPr>
        <w:t>Con quién viven las personas entrevistadas</w:t>
      </w:r>
      <w:r>
        <w:rPr>
          <w:rFonts w:ascii="MinionPro-Regular" w:hAnsi="MinionPro-Regular"/>
          <w:sz w:val="20"/>
        </w:rPr>
        <w:t xml:space="preserve">: </w:t>
      </w:r>
      <w:r w:rsidRPr="0093079D">
        <w:rPr>
          <w:rFonts w:ascii="MinionPro-Regular" w:hAnsi="MinionPro-Regular"/>
          <w:sz w:val="20"/>
        </w:rPr>
        <w:t>Con hijos</w:t>
      </w:r>
      <w:r>
        <w:rPr>
          <w:rFonts w:ascii="MinionPro-Regular" w:hAnsi="MinionPro-Regular"/>
          <w:sz w:val="20"/>
        </w:rPr>
        <w:t xml:space="preserve"> el </w:t>
      </w:r>
      <w:r w:rsidRPr="0093079D">
        <w:rPr>
          <w:rFonts w:ascii="MinionPro-Regular" w:hAnsi="MinionPro-Regular"/>
          <w:sz w:val="20"/>
        </w:rPr>
        <w:t>18%</w:t>
      </w:r>
      <w:r>
        <w:rPr>
          <w:rFonts w:ascii="MinionPro-Regular" w:hAnsi="MinionPro-Regular"/>
          <w:sz w:val="20"/>
        </w:rPr>
        <w:t xml:space="preserve">; </w:t>
      </w:r>
      <w:r w:rsidRPr="0093079D">
        <w:rPr>
          <w:rFonts w:ascii="MinionPro-Regular" w:hAnsi="MinionPro-Regular"/>
          <w:sz w:val="20"/>
        </w:rPr>
        <w:t xml:space="preserve">Con amigos/pareja </w:t>
      </w:r>
      <w:r>
        <w:rPr>
          <w:rFonts w:ascii="MinionPro-Regular" w:hAnsi="MinionPro-Regular"/>
          <w:sz w:val="20"/>
        </w:rPr>
        <w:t xml:space="preserve">el </w:t>
      </w:r>
      <w:r w:rsidRPr="0093079D">
        <w:rPr>
          <w:rFonts w:ascii="MinionPro-Regular" w:hAnsi="MinionPro-Regular"/>
          <w:sz w:val="20"/>
        </w:rPr>
        <w:t>39%</w:t>
      </w:r>
      <w:r>
        <w:rPr>
          <w:rFonts w:ascii="MinionPro-Regular" w:hAnsi="MinionPro-Regular"/>
          <w:sz w:val="20"/>
        </w:rPr>
        <w:t xml:space="preserve">; </w:t>
      </w:r>
      <w:r w:rsidRPr="0093079D">
        <w:rPr>
          <w:rFonts w:ascii="MinionPro-Regular" w:hAnsi="MinionPro-Regular"/>
          <w:sz w:val="20"/>
        </w:rPr>
        <w:t>Solo</w:t>
      </w:r>
      <w:r>
        <w:rPr>
          <w:rFonts w:ascii="MinionPro-Regular" w:hAnsi="MinionPro-Regular"/>
          <w:sz w:val="20"/>
        </w:rPr>
        <w:t xml:space="preserve"> el </w:t>
      </w:r>
      <w:r w:rsidRPr="0093079D">
        <w:rPr>
          <w:rFonts w:ascii="MinionPro-Regular" w:hAnsi="MinionPro-Regular"/>
          <w:sz w:val="20"/>
        </w:rPr>
        <w:t>11%</w:t>
      </w:r>
      <w:r>
        <w:rPr>
          <w:rFonts w:ascii="MinionPro-Regular" w:hAnsi="MinionPro-Regular"/>
          <w:sz w:val="20"/>
        </w:rPr>
        <w:t xml:space="preserve">; </w:t>
      </w:r>
      <w:r w:rsidRPr="0093079D">
        <w:rPr>
          <w:rFonts w:ascii="MinionPro-Regular" w:hAnsi="MinionPro-Regular"/>
          <w:sz w:val="20"/>
        </w:rPr>
        <w:t xml:space="preserve">En un centro/residencia </w:t>
      </w:r>
      <w:r>
        <w:rPr>
          <w:rFonts w:ascii="MinionPro-Regular" w:hAnsi="MinionPro-Regular"/>
          <w:sz w:val="20"/>
        </w:rPr>
        <w:t xml:space="preserve">el </w:t>
      </w:r>
      <w:r w:rsidRPr="0093079D">
        <w:rPr>
          <w:rFonts w:ascii="MinionPro-Regular" w:hAnsi="MinionPro-Regular"/>
          <w:sz w:val="20"/>
        </w:rPr>
        <w:t>0%</w:t>
      </w:r>
      <w:r>
        <w:rPr>
          <w:rFonts w:ascii="MinionPro-Regular" w:hAnsi="MinionPro-Regular"/>
          <w:sz w:val="20"/>
        </w:rPr>
        <w:t>; Con los padres el 32%; Otros el 0%.</w:t>
      </w:r>
    </w:p>
    <w:p w:rsidR="002959F0" w:rsidRDefault="00E2336B" w:rsidP="0007541A">
      <w:pPr>
        <w:pStyle w:val="Ttulo3"/>
        <w:numPr>
          <w:ilvl w:val="2"/>
          <w:numId w:val="3"/>
        </w:numPr>
        <w:jc w:val="both"/>
        <w:rPr>
          <w:lang w:val="es-ES_tradnl"/>
        </w:rPr>
      </w:pPr>
      <w:bookmarkStart w:id="175" w:name="_Toc352773565"/>
      <w:r>
        <w:rPr>
          <w:lang w:val="es-ES_tradnl"/>
        </w:rPr>
        <w:t>La importancia del transporte</w:t>
      </w:r>
      <w:bookmarkEnd w:id="175"/>
    </w:p>
    <w:p w:rsidR="00E2336B" w:rsidRPr="008B461D" w:rsidRDefault="00E2336B" w:rsidP="004B21DB">
      <w:pPr>
        <w:autoSpaceDE w:val="0"/>
        <w:autoSpaceDN w:val="0"/>
        <w:spacing w:line="360" w:lineRule="auto"/>
        <w:jc w:val="both"/>
        <w:rPr>
          <w:rFonts w:ascii="MinionPro-Regular" w:hAnsi="MinionPro-Regular"/>
          <w:sz w:val="24"/>
          <w:szCs w:val="24"/>
          <w:lang w:val="es-ES_tradnl"/>
        </w:rPr>
      </w:pPr>
    </w:p>
    <w:p w:rsidR="00E2336B" w:rsidRDefault="00E2336B" w:rsidP="004B21DB">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Un 82% de las personas consultadas no necesita ayuda para desempeñar su trabajo</w:t>
      </w:r>
      <w:r w:rsidRPr="00B44100">
        <w:rPr>
          <w:rFonts w:ascii="MinionPro-Regular" w:hAnsi="MinionPro-Regular"/>
          <w:sz w:val="24"/>
          <w:szCs w:val="24"/>
          <w:lang w:val="es-ES_tradnl"/>
        </w:rPr>
        <w:t xml:space="preserve">. </w:t>
      </w:r>
    </w:p>
    <w:p w:rsidR="00E2336B" w:rsidRDefault="00E2336B" w:rsidP="004B21DB">
      <w:pPr>
        <w:autoSpaceDE w:val="0"/>
        <w:autoSpaceDN w:val="0"/>
        <w:spacing w:line="360" w:lineRule="auto"/>
        <w:jc w:val="both"/>
        <w:rPr>
          <w:rFonts w:ascii="MinionPro-Regular" w:hAnsi="MinionPro-Regular"/>
          <w:sz w:val="24"/>
          <w:szCs w:val="24"/>
          <w:lang w:val="es-ES_tradnl"/>
        </w:rPr>
      </w:pPr>
    </w:p>
    <w:p w:rsidR="00E2336B" w:rsidRDefault="00E2336B" w:rsidP="004B21DB">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El</w:t>
      </w:r>
      <w:r w:rsidRPr="00B44100">
        <w:rPr>
          <w:rFonts w:ascii="MinionPro-Regular" w:hAnsi="MinionPro-Regular"/>
          <w:sz w:val="24"/>
          <w:szCs w:val="24"/>
          <w:lang w:val="es-ES_tradnl"/>
        </w:rPr>
        <w:t xml:space="preserve"> 7</w:t>
      </w:r>
      <w:r>
        <w:rPr>
          <w:rFonts w:ascii="MinionPro-Regular" w:hAnsi="MinionPro-Regular"/>
          <w:sz w:val="24"/>
          <w:szCs w:val="24"/>
          <w:lang w:val="es-ES_tradnl"/>
        </w:rPr>
        <w:t>9</w:t>
      </w:r>
      <w:r w:rsidRPr="00B44100">
        <w:rPr>
          <w:rFonts w:ascii="MinionPro-Regular" w:hAnsi="MinionPro-Regular"/>
          <w:sz w:val="24"/>
          <w:szCs w:val="24"/>
          <w:lang w:val="es-ES_tradnl"/>
        </w:rPr>
        <w:t xml:space="preserve">% de los entrevistados </w:t>
      </w:r>
      <w:r>
        <w:rPr>
          <w:rFonts w:ascii="MinionPro-Regular" w:hAnsi="MinionPro-Regular"/>
          <w:sz w:val="24"/>
          <w:szCs w:val="24"/>
          <w:lang w:val="es-ES_tradnl"/>
        </w:rPr>
        <w:t>afirma ir</w:t>
      </w:r>
      <w:r w:rsidRPr="00B44100">
        <w:rPr>
          <w:rFonts w:ascii="MinionPro-Regular" w:hAnsi="MinionPro-Regular"/>
          <w:sz w:val="24"/>
          <w:szCs w:val="24"/>
          <w:lang w:val="es-ES_tradnl"/>
        </w:rPr>
        <w:t xml:space="preserve"> a trabajar en su propio vehículo.</w:t>
      </w:r>
      <w:r w:rsidRPr="008B461D">
        <w:rPr>
          <w:rFonts w:ascii="MinionPro-Regular" w:hAnsi="MinionPro-Regular"/>
          <w:sz w:val="24"/>
          <w:szCs w:val="24"/>
          <w:lang w:val="es-ES_tradnl"/>
        </w:rPr>
        <w:t xml:space="preserve"> Probablemente este dato es un reflejo de que las personas </w:t>
      </w:r>
      <w:r>
        <w:rPr>
          <w:rFonts w:ascii="MinionPro-Regular" w:hAnsi="MinionPro-Regular"/>
          <w:sz w:val="24"/>
          <w:szCs w:val="24"/>
          <w:lang w:val="es-ES_tradnl"/>
        </w:rPr>
        <w:t xml:space="preserve">con discapacidad </w:t>
      </w:r>
      <w:r w:rsidRPr="008B461D">
        <w:rPr>
          <w:rFonts w:ascii="MinionPro-Regular" w:hAnsi="MinionPro-Regular"/>
          <w:sz w:val="24"/>
          <w:szCs w:val="24"/>
          <w:lang w:val="es-ES_tradnl"/>
        </w:rPr>
        <w:t>que trabajan son las que más acceso tienen al transporte</w:t>
      </w:r>
      <w:r>
        <w:rPr>
          <w:rFonts w:ascii="MinionPro-Regular" w:hAnsi="MinionPro-Regular"/>
          <w:sz w:val="24"/>
          <w:szCs w:val="24"/>
          <w:lang w:val="es-ES_tradnl"/>
        </w:rPr>
        <w:t xml:space="preserve"> y, por lo tanto, de la importancia de las alternativas de transporte para el acceso al empleo de las personas con discapacidad.</w:t>
      </w:r>
    </w:p>
    <w:p w:rsidR="00E2336B" w:rsidRDefault="00E2336B" w:rsidP="004B21DB">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 xml:space="preserve"> </w:t>
      </w:r>
    </w:p>
    <w:p w:rsidR="003E1DC5" w:rsidRDefault="003E1DC5" w:rsidP="004B21DB">
      <w:pPr>
        <w:autoSpaceDE w:val="0"/>
        <w:autoSpaceDN w:val="0"/>
        <w:spacing w:line="360" w:lineRule="auto"/>
        <w:jc w:val="both"/>
        <w:rPr>
          <w:rFonts w:ascii="MinionPro-Regular" w:hAnsi="MinionPro-Regular"/>
          <w:sz w:val="24"/>
          <w:szCs w:val="24"/>
          <w:lang w:val="es-ES_tradnl"/>
        </w:rPr>
      </w:pPr>
    </w:p>
    <w:p w:rsidR="00E2336B" w:rsidRDefault="00E2336B" w:rsidP="004B21DB">
      <w:pPr>
        <w:pBdr>
          <w:top w:val="single" w:sz="4" w:space="1" w:color="auto"/>
        </w:pBdr>
        <w:autoSpaceDE w:val="0"/>
        <w:autoSpaceDN w:val="0"/>
        <w:spacing w:line="360" w:lineRule="auto"/>
        <w:jc w:val="both"/>
        <w:rPr>
          <w:rFonts w:ascii="MinionPro-Regular" w:hAnsi="MinionPro-Regular"/>
          <w:sz w:val="24"/>
          <w:szCs w:val="24"/>
          <w:lang w:val="es-ES_tradnl"/>
        </w:rPr>
      </w:pPr>
      <w:r w:rsidRPr="00B44100">
        <w:rPr>
          <w:rFonts w:ascii="MinionPro-Regular" w:hAnsi="MinionPro-Regular"/>
          <w:sz w:val="20"/>
          <w:szCs w:val="24"/>
          <w:lang w:val="es-ES_tradnl"/>
        </w:rPr>
        <w:t>Formas de transporte al trabajo de las personas entrevistadas</w:t>
      </w:r>
      <w:r>
        <w:rPr>
          <w:rFonts w:ascii="MinionPro-Regular" w:hAnsi="MinionPro-Regular"/>
          <w:sz w:val="20"/>
          <w:szCs w:val="24"/>
          <w:lang w:val="es-ES_tradnl"/>
        </w:rPr>
        <w:t xml:space="preserve"> y tipos de ayuda necesarias</w:t>
      </w:r>
    </w:p>
    <w:p w:rsidR="00E2336B" w:rsidRDefault="00E1516B" w:rsidP="004B21DB">
      <w:pPr>
        <w:autoSpaceDE w:val="0"/>
        <w:autoSpaceDN w:val="0"/>
        <w:spacing w:line="360" w:lineRule="auto"/>
        <w:rPr>
          <w:rFonts w:ascii="MinionPro-Regular" w:hAnsi="MinionPro-Regular"/>
          <w:sz w:val="24"/>
          <w:szCs w:val="24"/>
          <w:lang w:val="es-ES_tradnl"/>
        </w:rPr>
      </w:pPr>
      <w:r>
        <w:rPr>
          <w:noProof/>
          <w:szCs w:val="24"/>
          <w:lang w:eastAsia="es-ES"/>
        </w:rPr>
        <w:lastRenderedPageBreak/>
        <w:drawing>
          <wp:inline distT="0" distB="0" distL="0" distR="0">
            <wp:extent cx="2595038" cy="1708030"/>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88"/>
                    <a:srcRect/>
                    <a:stretch>
                      <a:fillRect/>
                    </a:stretch>
                  </pic:blipFill>
                  <pic:spPr bwMode="auto">
                    <a:xfrm>
                      <a:off x="0" y="0"/>
                      <a:ext cx="2595178" cy="1708122"/>
                    </a:xfrm>
                    <a:prstGeom prst="rect">
                      <a:avLst/>
                    </a:prstGeom>
                    <a:noFill/>
                    <a:ln w="9525">
                      <a:noFill/>
                      <a:miter lim="800000"/>
                      <a:headEnd/>
                      <a:tailEnd/>
                    </a:ln>
                  </pic:spPr>
                </pic:pic>
              </a:graphicData>
            </a:graphic>
          </wp:inline>
        </w:drawing>
      </w:r>
      <w:r w:rsidR="00E2336B" w:rsidRPr="00191E13">
        <w:rPr>
          <w:noProof/>
          <w:lang w:eastAsia="es-ES"/>
        </w:rPr>
        <w:t xml:space="preserve"> </w:t>
      </w:r>
      <w:r>
        <w:rPr>
          <w:noProof/>
          <w:szCs w:val="24"/>
          <w:lang w:eastAsia="es-ES"/>
        </w:rPr>
        <w:drawing>
          <wp:inline distT="0" distB="0" distL="0" distR="0">
            <wp:extent cx="2714605" cy="1794294"/>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89"/>
                    <a:srcRect/>
                    <a:stretch>
                      <a:fillRect/>
                    </a:stretch>
                  </pic:blipFill>
                  <pic:spPr bwMode="auto">
                    <a:xfrm>
                      <a:off x="0" y="0"/>
                      <a:ext cx="2714605" cy="1794294"/>
                    </a:xfrm>
                    <a:prstGeom prst="rect">
                      <a:avLst/>
                    </a:prstGeom>
                    <a:noFill/>
                    <a:ln w="9525">
                      <a:noFill/>
                      <a:miter lim="800000"/>
                      <a:headEnd/>
                      <a:tailEnd/>
                    </a:ln>
                  </pic:spPr>
                </pic:pic>
              </a:graphicData>
            </a:graphic>
          </wp:inline>
        </w:drawing>
      </w:r>
    </w:p>
    <w:p w:rsidR="00E2336B" w:rsidRDefault="00E2336B" w:rsidP="004B21DB">
      <w:pPr>
        <w:pBdr>
          <w:bottom w:val="single" w:sz="4" w:space="1" w:color="auto"/>
        </w:pBdr>
        <w:autoSpaceDE w:val="0"/>
        <w:autoSpaceDN w:val="0"/>
        <w:spacing w:line="360" w:lineRule="auto"/>
        <w:jc w:val="both"/>
        <w:rPr>
          <w:rFonts w:ascii="MinionPro-Regular" w:hAnsi="MinionPro-Regular"/>
          <w:sz w:val="20"/>
          <w:szCs w:val="24"/>
        </w:rPr>
      </w:pPr>
      <w:r w:rsidRPr="00B44100">
        <w:rPr>
          <w:rFonts w:ascii="MinionPro-Regular" w:hAnsi="MinionPro-Regular"/>
          <w:sz w:val="20"/>
          <w:szCs w:val="24"/>
        </w:rPr>
        <w:t xml:space="preserve">Fuente: Elaboración propia a partir de una encuesta realizada a personas con discapacidad en centros especiales de empleo. (Datos a </w:t>
      </w:r>
      <w:r>
        <w:rPr>
          <w:rFonts w:ascii="MinionPro-Regular" w:hAnsi="MinionPro-Regular"/>
          <w:sz w:val="20"/>
          <w:szCs w:val="24"/>
        </w:rPr>
        <w:t>o</w:t>
      </w:r>
      <w:r w:rsidRPr="00B44100">
        <w:rPr>
          <w:rFonts w:ascii="MinionPro-Regular" w:hAnsi="MinionPro-Regular"/>
          <w:sz w:val="20"/>
          <w:szCs w:val="24"/>
        </w:rPr>
        <w:t>ctubre de 2012).</w:t>
      </w:r>
    </w:p>
    <w:p w:rsidR="00E2336B" w:rsidRDefault="00E2336B" w:rsidP="004B21DB">
      <w:pPr>
        <w:pBdr>
          <w:bottom w:val="single" w:sz="4" w:space="1" w:color="auto"/>
        </w:pBdr>
        <w:autoSpaceDE w:val="0"/>
        <w:autoSpaceDN w:val="0"/>
        <w:spacing w:line="360" w:lineRule="auto"/>
        <w:jc w:val="both"/>
        <w:rPr>
          <w:rFonts w:ascii="MinionPro-Regular" w:hAnsi="MinionPro-Regular"/>
          <w:sz w:val="20"/>
          <w:szCs w:val="24"/>
        </w:rPr>
      </w:pPr>
      <w:r w:rsidRPr="006C036F">
        <w:rPr>
          <w:rFonts w:ascii="MinionPro-Regular" w:hAnsi="MinionPro-Regular"/>
          <w:sz w:val="20"/>
        </w:rPr>
        <w:t xml:space="preserve">Nota explicativa de las gráficas. </w:t>
      </w:r>
      <w:r w:rsidRPr="001C2926">
        <w:rPr>
          <w:rFonts w:ascii="MinionPro-Regular" w:hAnsi="MinionPro-Regular"/>
          <w:sz w:val="20"/>
        </w:rPr>
        <w:t xml:space="preserve">Transporte hacia el trabajo: Vehículo propio por sí mismo </w:t>
      </w:r>
      <w:r>
        <w:rPr>
          <w:rFonts w:ascii="MinionPro-Regular" w:hAnsi="MinionPro-Regular"/>
          <w:sz w:val="20"/>
        </w:rPr>
        <w:t xml:space="preserve">el </w:t>
      </w:r>
      <w:r w:rsidRPr="001C2926">
        <w:rPr>
          <w:rFonts w:ascii="MinionPro-Regular" w:hAnsi="MinionPro-Regular"/>
          <w:sz w:val="20"/>
        </w:rPr>
        <w:t xml:space="preserve">79%; </w:t>
      </w:r>
      <w:r w:rsidRPr="0093079D">
        <w:rPr>
          <w:rFonts w:ascii="MinionPro-Regular" w:hAnsi="MinionPro-Regular"/>
          <w:sz w:val="20"/>
        </w:rPr>
        <w:t xml:space="preserve">Le ayudan o acompañan </w:t>
      </w:r>
      <w:r>
        <w:rPr>
          <w:rFonts w:ascii="MinionPro-Regular" w:hAnsi="MinionPro-Regular"/>
          <w:sz w:val="20"/>
        </w:rPr>
        <w:t xml:space="preserve">el </w:t>
      </w:r>
      <w:r w:rsidRPr="0093079D">
        <w:rPr>
          <w:rFonts w:ascii="MinionPro-Regular" w:hAnsi="MinionPro-Regular"/>
          <w:sz w:val="20"/>
        </w:rPr>
        <w:t>4%</w:t>
      </w:r>
      <w:r>
        <w:rPr>
          <w:rFonts w:ascii="MinionPro-Regular" w:hAnsi="MinionPro-Regular"/>
          <w:sz w:val="20"/>
        </w:rPr>
        <w:t xml:space="preserve">; </w:t>
      </w:r>
      <w:r w:rsidRPr="0093079D">
        <w:rPr>
          <w:rFonts w:ascii="MinionPro-Regular" w:hAnsi="MinionPro-Regular"/>
          <w:sz w:val="20"/>
        </w:rPr>
        <w:t xml:space="preserve">No necesita transporte </w:t>
      </w:r>
      <w:r>
        <w:rPr>
          <w:rFonts w:ascii="MinionPro-Regular" w:hAnsi="MinionPro-Regular"/>
          <w:sz w:val="20"/>
        </w:rPr>
        <w:t xml:space="preserve">el </w:t>
      </w:r>
      <w:r w:rsidRPr="0093079D">
        <w:rPr>
          <w:rFonts w:ascii="MinionPro-Regular" w:hAnsi="MinionPro-Regular"/>
          <w:sz w:val="20"/>
        </w:rPr>
        <w:t>2%</w:t>
      </w:r>
      <w:r>
        <w:rPr>
          <w:rFonts w:ascii="MinionPro-Regular" w:hAnsi="MinionPro-Regular"/>
          <w:sz w:val="20"/>
        </w:rPr>
        <w:t xml:space="preserve">; Teletrabaja el </w:t>
      </w:r>
      <w:r w:rsidRPr="0093079D">
        <w:rPr>
          <w:rFonts w:ascii="MinionPro-Regular" w:hAnsi="MinionPro-Regular"/>
          <w:sz w:val="20"/>
        </w:rPr>
        <w:t>1%</w:t>
      </w:r>
      <w:r>
        <w:rPr>
          <w:rFonts w:ascii="MinionPro-Regular" w:hAnsi="MinionPro-Regular"/>
          <w:sz w:val="20"/>
        </w:rPr>
        <w:t xml:space="preserve">; Otros el 14%. </w:t>
      </w:r>
      <w:r w:rsidRPr="001C2926">
        <w:rPr>
          <w:rFonts w:ascii="MinionPro-Regular" w:hAnsi="MinionPro-Regular"/>
          <w:sz w:val="20"/>
        </w:rPr>
        <w:t>Tipo de ayuda: Una persona el 9%; Máquinas o herramientas especiales el 5%;</w:t>
      </w:r>
      <w:r w:rsidRPr="0093079D">
        <w:t xml:space="preserve"> </w:t>
      </w:r>
      <w:r w:rsidRPr="0093079D">
        <w:rPr>
          <w:rFonts w:ascii="MinionPro-Regular" w:hAnsi="MinionPro-Regular"/>
          <w:sz w:val="20"/>
        </w:rPr>
        <w:t>Tiempos adaptados</w:t>
      </w:r>
      <w:r>
        <w:rPr>
          <w:rFonts w:ascii="MinionPro-Regular" w:hAnsi="MinionPro-Regular"/>
          <w:sz w:val="20"/>
        </w:rPr>
        <w:t xml:space="preserve"> el </w:t>
      </w:r>
      <w:r w:rsidRPr="0093079D">
        <w:rPr>
          <w:rFonts w:ascii="MinionPro-Regular" w:hAnsi="MinionPro-Regular"/>
          <w:sz w:val="20"/>
        </w:rPr>
        <w:t>1%</w:t>
      </w:r>
      <w:r>
        <w:rPr>
          <w:rFonts w:ascii="MinionPro-Regular" w:hAnsi="MinionPro-Regular"/>
          <w:sz w:val="20"/>
        </w:rPr>
        <w:t xml:space="preserve">; </w:t>
      </w:r>
      <w:r w:rsidRPr="0093079D">
        <w:rPr>
          <w:rFonts w:ascii="MinionPro-Regular" w:hAnsi="MinionPro-Regular"/>
          <w:sz w:val="20"/>
        </w:rPr>
        <w:t xml:space="preserve">Ayudas de accesibilidad </w:t>
      </w:r>
      <w:r>
        <w:rPr>
          <w:rFonts w:ascii="MinionPro-Regular" w:hAnsi="MinionPro-Regular"/>
          <w:sz w:val="20"/>
        </w:rPr>
        <w:t xml:space="preserve">el </w:t>
      </w:r>
      <w:r w:rsidRPr="0093079D">
        <w:rPr>
          <w:rFonts w:ascii="MinionPro-Regular" w:hAnsi="MinionPro-Regular"/>
          <w:sz w:val="20"/>
        </w:rPr>
        <w:t>3%</w:t>
      </w:r>
      <w:r>
        <w:rPr>
          <w:rFonts w:ascii="MinionPro-Regular" w:hAnsi="MinionPro-Regular"/>
          <w:sz w:val="20"/>
        </w:rPr>
        <w:t xml:space="preserve">; </w:t>
      </w:r>
      <w:r w:rsidRPr="0093079D">
        <w:rPr>
          <w:rFonts w:ascii="MinionPro-Regular" w:hAnsi="MinionPro-Regular"/>
          <w:sz w:val="20"/>
        </w:rPr>
        <w:t xml:space="preserve">Ninguna </w:t>
      </w:r>
      <w:r>
        <w:rPr>
          <w:rFonts w:ascii="MinionPro-Regular" w:hAnsi="MinionPro-Regular"/>
          <w:sz w:val="20"/>
        </w:rPr>
        <w:t xml:space="preserve">el </w:t>
      </w:r>
      <w:r w:rsidRPr="0093079D">
        <w:rPr>
          <w:rFonts w:ascii="MinionPro-Regular" w:hAnsi="MinionPro-Regular"/>
          <w:sz w:val="20"/>
        </w:rPr>
        <w:t>82%</w:t>
      </w:r>
      <w:r>
        <w:rPr>
          <w:rFonts w:ascii="MinionPro-Regular" w:hAnsi="MinionPro-Regular"/>
          <w:sz w:val="20"/>
        </w:rPr>
        <w:t>.</w:t>
      </w:r>
    </w:p>
    <w:p w:rsidR="00E2336B" w:rsidRDefault="00E2336B" w:rsidP="004B21DB">
      <w:pPr>
        <w:autoSpaceDE w:val="0"/>
        <w:autoSpaceDN w:val="0"/>
        <w:spacing w:line="360" w:lineRule="auto"/>
        <w:jc w:val="both"/>
        <w:rPr>
          <w:rFonts w:ascii="MinionPro-Regular" w:hAnsi="MinionPro-Regular"/>
          <w:b/>
          <w:sz w:val="24"/>
          <w:szCs w:val="24"/>
          <w:lang w:val="es-ES_tradnl"/>
        </w:rPr>
      </w:pPr>
    </w:p>
    <w:p w:rsidR="00E2336B" w:rsidRDefault="00E2336B" w:rsidP="004B21DB">
      <w:pPr>
        <w:autoSpaceDE w:val="0"/>
        <w:autoSpaceDN w:val="0"/>
        <w:spacing w:line="360" w:lineRule="auto"/>
        <w:jc w:val="both"/>
        <w:rPr>
          <w:rFonts w:ascii="MinionPro-Regular" w:hAnsi="MinionPro-Regular"/>
          <w:b/>
          <w:sz w:val="24"/>
          <w:szCs w:val="24"/>
          <w:lang w:val="es-ES_tradnl"/>
        </w:rPr>
      </w:pPr>
    </w:p>
    <w:p w:rsidR="002959F0" w:rsidRDefault="00E2336B" w:rsidP="0007541A">
      <w:pPr>
        <w:pStyle w:val="Ttulo3"/>
        <w:numPr>
          <w:ilvl w:val="2"/>
          <w:numId w:val="3"/>
        </w:numPr>
        <w:rPr>
          <w:lang w:val="es-ES_tradnl"/>
        </w:rPr>
      </w:pPr>
      <w:bookmarkStart w:id="176" w:name="_Toc352773566"/>
      <w:r>
        <w:rPr>
          <w:lang w:val="es-ES_tradnl"/>
        </w:rPr>
        <w:t>Autonomía, autoestima y el buen clima laboral, las principales m</w:t>
      </w:r>
      <w:r w:rsidRPr="00A24A22">
        <w:rPr>
          <w:lang w:val="es-ES_tradnl"/>
        </w:rPr>
        <w:t>otivaciones que aporta el trabajo</w:t>
      </w:r>
      <w:bookmarkEnd w:id="176"/>
    </w:p>
    <w:p w:rsidR="00E2336B" w:rsidRDefault="00E2336B" w:rsidP="004B21DB">
      <w:pPr>
        <w:autoSpaceDE w:val="0"/>
        <w:autoSpaceDN w:val="0"/>
        <w:spacing w:line="360" w:lineRule="auto"/>
        <w:jc w:val="both"/>
        <w:rPr>
          <w:rFonts w:ascii="MinionPro-Regular" w:hAnsi="MinionPro-Regular"/>
          <w:sz w:val="24"/>
          <w:szCs w:val="24"/>
          <w:lang w:val="es-ES_tradnl"/>
        </w:rPr>
      </w:pPr>
    </w:p>
    <w:p w:rsidR="00E2336B" w:rsidRDefault="00E2336B" w:rsidP="008266E8">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Buena parte de las personas entrevistadas manifestaron que el trabajo es también para ellos una herramienta de socialización. Una mayoría</w:t>
      </w:r>
      <w:r w:rsidRPr="00B44100">
        <w:rPr>
          <w:rFonts w:ascii="MinionPro-Regular" w:hAnsi="MinionPro-Regular"/>
          <w:sz w:val="24"/>
          <w:szCs w:val="24"/>
          <w:lang w:val="es-ES_tradnl"/>
        </w:rPr>
        <w:t xml:space="preserve"> realizan actividades con la gente del trabajo, fuera del trabajo y el 91% de ellos afirm</w:t>
      </w:r>
      <w:r>
        <w:rPr>
          <w:rFonts w:ascii="MinionPro-Regular" w:hAnsi="MinionPro-Regular"/>
          <w:sz w:val="24"/>
          <w:szCs w:val="24"/>
          <w:lang w:val="es-ES_tradnl"/>
        </w:rPr>
        <w:t>a</w:t>
      </w:r>
      <w:r w:rsidRPr="00B44100">
        <w:rPr>
          <w:rFonts w:ascii="MinionPro-Regular" w:hAnsi="MinionPro-Regular"/>
          <w:sz w:val="24"/>
          <w:szCs w:val="24"/>
          <w:lang w:val="es-ES_tradnl"/>
        </w:rPr>
        <w:t xml:space="preserve"> que recibe ayuda de sus compañeros</w:t>
      </w:r>
      <w:r>
        <w:rPr>
          <w:rFonts w:ascii="MinionPro-Regular" w:hAnsi="MinionPro-Regular"/>
          <w:sz w:val="24"/>
          <w:szCs w:val="24"/>
          <w:lang w:val="es-ES_tradnl"/>
        </w:rPr>
        <w:t xml:space="preserve"> cuando lo necesita</w:t>
      </w:r>
      <w:r w:rsidRPr="00B44100">
        <w:rPr>
          <w:rFonts w:ascii="MinionPro-Regular" w:hAnsi="MinionPro-Regular"/>
          <w:sz w:val="24"/>
          <w:szCs w:val="24"/>
          <w:lang w:val="es-ES_tradnl"/>
        </w:rPr>
        <w:t>.</w:t>
      </w:r>
      <w:r>
        <w:rPr>
          <w:rFonts w:ascii="MinionPro-Regular" w:hAnsi="MinionPro-Regular"/>
          <w:sz w:val="24"/>
          <w:szCs w:val="24"/>
          <w:lang w:val="es-ES_tradnl"/>
        </w:rPr>
        <w:t xml:space="preserve"> El buen clima laboral se pone de manifiesto dado que l</w:t>
      </w:r>
      <w:r w:rsidRPr="00B44100">
        <w:rPr>
          <w:rFonts w:ascii="MinionPro-Regular" w:hAnsi="MinionPro-Regular"/>
          <w:sz w:val="24"/>
          <w:szCs w:val="24"/>
          <w:lang w:val="es-ES_tradnl"/>
        </w:rPr>
        <w:t>as personas</w:t>
      </w:r>
      <w:r>
        <w:rPr>
          <w:rFonts w:ascii="MinionPro-Regular" w:hAnsi="MinionPro-Regular"/>
          <w:sz w:val="24"/>
          <w:szCs w:val="24"/>
          <w:lang w:val="es-ES_tradnl"/>
        </w:rPr>
        <w:t xml:space="preserve"> entrevistadas</w:t>
      </w:r>
      <w:r w:rsidRPr="00B44100">
        <w:rPr>
          <w:rFonts w:ascii="MinionPro-Regular" w:hAnsi="MinionPro-Regular"/>
          <w:sz w:val="24"/>
          <w:szCs w:val="24"/>
          <w:lang w:val="es-ES_tradnl"/>
        </w:rPr>
        <w:t xml:space="preserve"> </w:t>
      </w:r>
      <w:r>
        <w:rPr>
          <w:rFonts w:ascii="MinionPro-Regular" w:hAnsi="MinionPro-Regular"/>
          <w:sz w:val="24"/>
          <w:szCs w:val="24"/>
          <w:lang w:val="es-ES_tradnl"/>
        </w:rPr>
        <w:t>afirmaron que seguirían trabajando aún en el caso de recibir</w:t>
      </w:r>
      <w:r w:rsidRPr="00B44100">
        <w:rPr>
          <w:rFonts w:ascii="MinionPro-Regular" w:hAnsi="MinionPro-Regular"/>
          <w:sz w:val="24"/>
          <w:szCs w:val="24"/>
          <w:lang w:val="es-ES_tradnl"/>
        </w:rPr>
        <w:t xml:space="preserve"> una ayuda similar al salario que </w:t>
      </w:r>
      <w:r>
        <w:rPr>
          <w:rFonts w:ascii="MinionPro-Regular" w:hAnsi="MinionPro-Regular"/>
          <w:sz w:val="24"/>
          <w:szCs w:val="24"/>
          <w:lang w:val="es-ES_tradnl"/>
        </w:rPr>
        <w:t>perciben</w:t>
      </w:r>
      <w:r w:rsidRPr="00B44100">
        <w:rPr>
          <w:rFonts w:ascii="MinionPro-Regular" w:hAnsi="MinionPro-Regular"/>
          <w:sz w:val="24"/>
          <w:szCs w:val="24"/>
          <w:lang w:val="es-ES_tradnl"/>
        </w:rPr>
        <w:t xml:space="preserve"> en el centro especial de empleo. </w:t>
      </w:r>
    </w:p>
    <w:p w:rsidR="00E2336B" w:rsidRDefault="00E2336B" w:rsidP="004B21DB">
      <w:pPr>
        <w:autoSpaceDE w:val="0"/>
        <w:autoSpaceDN w:val="0"/>
        <w:spacing w:line="360" w:lineRule="auto"/>
        <w:jc w:val="both"/>
        <w:rPr>
          <w:rFonts w:ascii="MinionPro-Regular" w:hAnsi="MinionPro-Regular"/>
          <w:sz w:val="24"/>
          <w:szCs w:val="24"/>
          <w:lang w:val="es-ES_tradnl"/>
        </w:rPr>
      </w:pPr>
    </w:p>
    <w:p w:rsidR="00E2336B" w:rsidRDefault="00E2336B" w:rsidP="004B21DB">
      <w:pPr>
        <w:pBdr>
          <w:top w:val="single" w:sz="4" w:space="1" w:color="auto"/>
        </w:pBdr>
        <w:autoSpaceDE w:val="0"/>
        <w:autoSpaceDN w:val="0"/>
        <w:spacing w:line="360" w:lineRule="auto"/>
        <w:jc w:val="both"/>
        <w:rPr>
          <w:rFonts w:ascii="MinionPro-Regular" w:hAnsi="MinionPro-Regular"/>
          <w:sz w:val="24"/>
          <w:szCs w:val="24"/>
          <w:lang w:val="es-ES_tradnl"/>
        </w:rPr>
      </w:pPr>
      <w:r>
        <w:rPr>
          <w:rFonts w:ascii="MinionPro-Regular" w:hAnsi="MinionPro-Regular"/>
          <w:sz w:val="20"/>
          <w:szCs w:val="24"/>
          <w:lang w:val="es-ES_tradnl"/>
        </w:rPr>
        <w:t>Aspectos que supone el trabajo para las personas con discapacidad</w:t>
      </w:r>
    </w:p>
    <w:p w:rsidR="00E2336B" w:rsidRDefault="00E2336B" w:rsidP="004B21DB">
      <w:pPr>
        <w:autoSpaceDE w:val="0"/>
        <w:autoSpaceDN w:val="0"/>
        <w:spacing w:line="360" w:lineRule="auto"/>
        <w:rPr>
          <w:rFonts w:ascii="MinionPro-Regular" w:hAnsi="MinionPro-Regular"/>
          <w:sz w:val="24"/>
          <w:szCs w:val="24"/>
          <w:lang w:val="es-ES_tradnl"/>
        </w:rPr>
      </w:pPr>
      <w:r w:rsidRPr="00191E13">
        <w:rPr>
          <w:noProof/>
          <w:lang w:eastAsia="es-ES"/>
        </w:rPr>
        <w:lastRenderedPageBreak/>
        <w:t xml:space="preserve"> </w:t>
      </w:r>
      <w:r w:rsidR="00E1516B">
        <w:rPr>
          <w:noProof/>
          <w:lang w:eastAsia="es-ES"/>
        </w:rPr>
        <w:drawing>
          <wp:inline distT="0" distB="0" distL="0" distR="0">
            <wp:extent cx="4235450" cy="2829560"/>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90"/>
                    <a:srcRect/>
                    <a:stretch>
                      <a:fillRect/>
                    </a:stretch>
                  </pic:blipFill>
                  <pic:spPr bwMode="auto">
                    <a:xfrm>
                      <a:off x="0" y="0"/>
                      <a:ext cx="4235450" cy="2829560"/>
                    </a:xfrm>
                    <a:prstGeom prst="rect">
                      <a:avLst/>
                    </a:prstGeom>
                    <a:noFill/>
                    <a:ln w="9525">
                      <a:noFill/>
                      <a:miter lim="800000"/>
                      <a:headEnd/>
                      <a:tailEnd/>
                    </a:ln>
                  </pic:spPr>
                </pic:pic>
              </a:graphicData>
            </a:graphic>
          </wp:inline>
        </w:drawing>
      </w:r>
    </w:p>
    <w:p w:rsidR="00E2336B" w:rsidRDefault="00E2336B" w:rsidP="004B21DB">
      <w:pPr>
        <w:pBdr>
          <w:bottom w:val="single" w:sz="4" w:space="0" w:color="auto"/>
        </w:pBdr>
        <w:autoSpaceDE w:val="0"/>
        <w:autoSpaceDN w:val="0"/>
        <w:spacing w:line="360" w:lineRule="auto"/>
        <w:jc w:val="both"/>
        <w:rPr>
          <w:rFonts w:ascii="MinionPro-Regular" w:hAnsi="MinionPro-Regular"/>
          <w:sz w:val="20"/>
          <w:szCs w:val="24"/>
        </w:rPr>
      </w:pPr>
      <w:r w:rsidRPr="00B44100">
        <w:rPr>
          <w:rFonts w:ascii="MinionPro-Regular" w:hAnsi="MinionPro-Regular"/>
          <w:sz w:val="20"/>
          <w:szCs w:val="24"/>
        </w:rPr>
        <w:t xml:space="preserve">Fuente: Elaboración propia a partir de una encuesta realizada a personas con discapacidad en centros especiales de empleo. (Datos a </w:t>
      </w:r>
      <w:r>
        <w:rPr>
          <w:rFonts w:ascii="MinionPro-Regular" w:hAnsi="MinionPro-Regular"/>
          <w:sz w:val="20"/>
          <w:szCs w:val="24"/>
        </w:rPr>
        <w:t>o</w:t>
      </w:r>
      <w:r w:rsidRPr="00B44100">
        <w:rPr>
          <w:rFonts w:ascii="MinionPro-Regular" w:hAnsi="MinionPro-Regular"/>
          <w:sz w:val="20"/>
          <w:szCs w:val="24"/>
        </w:rPr>
        <w:t>ctubre de 2012).</w:t>
      </w:r>
    </w:p>
    <w:p w:rsidR="00E2336B" w:rsidRPr="0093079D" w:rsidRDefault="00E2336B" w:rsidP="004B21DB">
      <w:pPr>
        <w:pBdr>
          <w:bottom w:val="single" w:sz="4" w:space="0" w:color="auto"/>
        </w:pBdr>
        <w:autoSpaceDE w:val="0"/>
        <w:autoSpaceDN w:val="0"/>
        <w:spacing w:line="360" w:lineRule="auto"/>
        <w:jc w:val="both"/>
        <w:rPr>
          <w:rFonts w:ascii="MinionPro-Regular" w:hAnsi="MinionPro-Regular"/>
          <w:sz w:val="20"/>
        </w:rPr>
      </w:pPr>
      <w:r w:rsidRPr="0093079D">
        <w:rPr>
          <w:rFonts w:ascii="MinionPro-Regular" w:hAnsi="MinionPro-Regular"/>
          <w:sz w:val="20"/>
          <w:szCs w:val="24"/>
        </w:rPr>
        <w:t xml:space="preserve">Nota explicativa de las gráficas. </w:t>
      </w:r>
      <w:r w:rsidRPr="001C2926">
        <w:rPr>
          <w:rFonts w:ascii="MinionPro-Regular" w:hAnsi="MinionPro-Regular"/>
          <w:sz w:val="20"/>
        </w:rPr>
        <w:t>Intangibles del trabajo: Sentimiento de utilidad</w:t>
      </w:r>
      <w:r>
        <w:rPr>
          <w:rFonts w:ascii="MinionPro-Regular" w:hAnsi="MinionPro-Regular"/>
          <w:sz w:val="20"/>
        </w:rPr>
        <w:t xml:space="preserve"> el </w:t>
      </w:r>
      <w:r w:rsidRPr="001C2926">
        <w:rPr>
          <w:rFonts w:ascii="MinionPro-Regular" w:hAnsi="MinionPro-Regular"/>
          <w:sz w:val="20"/>
        </w:rPr>
        <w:t xml:space="preserve">25%; </w:t>
      </w:r>
      <w:r w:rsidRPr="0093079D">
        <w:rPr>
          <w:rFonts w:ascii="MinionPro-Regular" w:hAnsi="MinionPro-Regular"/>
          <w:sz w:val="20"/>
        </w:rPr>
        <w:t>Autonomía</w:t>
      </w:r>
      <w:r>
        <w:rPr>
          <w:rFonts w:ascii="MinionPro-Regular" w:hAnsi="MinionPro-Regular"/>
          <w:sz w:val="20"/>
        </w:rPr>
        <w:t xml:space="preserve"> el </w:t>
      </w:r>
    </w:p>
    <w:p w:rsidR="00E2336B" w:rsidRDefault="00E2336B" w:rsidP="004B21DB">
      <w:pPr>
        <w:pBdr>
          <w:bottom w:val="single" w:sz="4" w:space="0" w:color="auto"/>
        </w:pBdr>
        <w:autoSpaceDE w:val="0"/>
        <w:autoSpaceDN w:val="0"/>
        <w:spacing w:line="360" w:lineRule="auto"/>
        <w:jc w:val="both"/>
        <w:rPr>
          <w:rFonts w:ascii="MinionPro-Regular" w:hAnsi="MinionPro-Regular"/>
          <w:sz w:val="20"/>
          <w:szCs w:val="24"/>
        </w:rPr>
      </w:pPr>
      <w:r w:rsidRPr="0093079D">
        <w:rPr>
          <w:rFonts w:ascii="MinionPro-Regular" w:hAnsi="MinionPro-Regular"/>
          <w:sz w:val="20"/>
        </w:rPr>
        <w:t>29%</w:t>
      </w:r>
      <w:r>
        <w:rPr>
          <w:rFonts w:ascii="MinionPro-Regular" w:hAnsi="MinionPro-Regular"/>
          <w:sz w:val="20"/>
        </w:rPr>
        <w:t xml:space="preserve">; </w:t>
      </w:r>
      <w:r w:rsidRPr="0093079D">
        <w:rPr>
          <w:rFonts w:ascii="MinionPro-Regular" w:hAnsi="MinionPro-Regular"/>
          <w:sz w:val="20"/>
        </w:rPr>
        <w:t>Estabilidad</w:t>
      </w:r>
      <w:r>
        <w:rPr>
          <w:rFonts w:ascii="MinionPro-Regular" w:hAnsi="MinionPro-Regular"/>
          <w:sz w:val="20"/>
        </w:rPr>
        <w:t xml:space="preserve"> el </w:t>
      </w:r>
      <w:r w:rsidRPr="0093079D">
        <w:rPr>
          <w:rFonts w:ascii="MinionPro-Regular" w:hAnsi="MinionPro-Regular"/>
          <w:sz w:val="20"/>
        </w:rPr>
        <w:t>3%</w:t>
      </w:r>
      <w:r>
        <w:rPr>
          <w:rFonts w:ascii="MinionPro-Regular" w:hAnsi="MinionPro-Regular"/>
          <w:sz w:val="20"/>
        </w:rPr>
        <w:t xml:space="preserve">; </w:t>
      </w:r>
      <w:r w:rsidRPr="0093079D">
        <w:rPr>
          <w:rFonts w:ascii="MinionPro-Regular" w:hAnsi="MinionPro-Regular"/>
          <w:sz w:val="20"/>
        </w:rPr>
        <w:t>Desarrollo profesional</w:t>
      </w:r>
      <w:r>
        <w:rPr>
          <w:rFonts w:ascii="MinionPro-Regular" w:hAnsi="MinionPro-Regular"/>
          <w:sz w:val="20"/>
        </w:rPr>
        <w:t xml:space="preserve"> el </w:t>
      </w:r>
      <w:r w:rsidRPr="0093079D">
        <w:rPr>
          <w:rFonts w:ascii="MinionPro-Regular" w:hAnsi="MinionPro-Regular"/>
          <w:sz w:val="20"/>
        </w:rPr>
        <w:t>1%</w:t>
      </w:r>
      <w:r>
        <w:rPr>
          <w:rFonts w:ascii="MinionPro-Regular" w:hAnsi="MinionPro-Regular"/>
          <w:sz w:val="20"/>
        </w:rPr>
        <w:t xml:space="preserve">; </w:t>
      </w:r>
      <w:r w:rsidRPr="0093079D">
        <w:rPr>
          <w:rFonts w:ascii="MinionPro-Regular" w:hAnsi="MinionPro-Regular"/>
          <w:sz w:val="20"/>
        </w:rPr>
        <w:t>Realización personal</w:t>
      </w:r>
      <w:r>
        <w:rPr>
          <w:rFonts w:ascii="MinionPro-Regular" w:hAnsi="MinionPro-Regular"/>
          <w:sz w:val="20"/>
        </w:rPr>
        <w:t xml:space="preserve"> el </w:t>
      </w:r>
      <w:r w:rsidRPr="0093079D">
        <w:rPr>
          <w:rFonts w:ascii="MinionPro-Regular" w:hAnsi="MinionPro-Regular"/>
          <w:sz w:val="20"/>
        </w:rPr>
        <w:t>6%</w:t>
      </w:r>
      <w:r>
        <w:rPr>
          <w:rFonts w:ascii="MinionPro-Regular" w:hAnsi="MinionPro-Regular"/>
          <w:sz w:val="20"/>
        </w:rPr>
        <w:t xml:space="preserve">; </w:t>
      </w:r>
      <w:r w:rsidRPr="0093079D">
        <w:rPr>
          <w:rFonts w:ascii="MinionPro-Regular" w:hAnsi="MinionPro-Regular"/>
          <w:sz w:val="20"/>
        </w:rPr>
        <w:t>Responsabilidad y disciplina</w:t>
      </w:r>
      <w:r>
        <w:rPr>
          <w:rFonts w:ascii="MinionPro-Regular" w:hAnsi="MinionPro-Regular"/>
          <w:sz w:val="20"/>
        </w:rPr>
        <w:t xml:space="preserve"> el </w:t>
      </w:r>
      <w:r w:rsidRPr="0093079D">
        <w:rPr>
          <w:rFonts w:ascii="MinionPro-Regular" w:hAnsi="MinionPro-Regular"/>
          <w:sz w:val="20"/>
        </w:rPr>
        <w:t>12%</w:t>
      </w:r>
      <w:r>
        <w:rPr>
          <w:rFonts w:ascii="MinionPro-Regular" w:hAnsi="MinionPro-Regular"/>
          <w:sz w:val="20"/>
        </w:rPr>
        <w:t xml:space="preserve">; </w:t>
      </w:r>
      <w:r w:rsidRPr="0093079D">
        <w:rPr>
          <w:rFonts w:ascii="MinionPro-Regular" w:hAnsi="MinionPro-Regular"/>
          <w:sz w:val="20"/>
        </w:rPr>
        <w:t>Trabajo en equipo</w:t>
      </w:r>
      <w:r>
        <w:rPr>
          <w:rFonts w:ascii="MinionPro-Regular" w:hAnsi="MinionPro-Regular"/>
          <w:sz w:val="20"/>
        </w:rPr>
        <w:t xml:space="preserve"> el </w:t>
      </w:r>
      <w:r w:rsidRPr="0093079D">
        <w:rPr>
          <w:rFonts w:ascii="MinionPro-Regular" w:hAnsi="MinionPro-Regular"/>
          <w:sz w:val="20"/>
        </w:rPr>
        <w:t>1%</w:t>
      </w:r>
      <w:r>
        <w:rPr>
          <w:rFonts w:ascii="MinionPro-Regular" w:hAnsi="MinionPro-Regular"/>
          <w:sz w:val="20"/>
        </w:rPr>
        <w:t xml:space="preserve">; </w:t>
      </w:r>
      <w:r w:rsidRPr="0093079D">
        <w:rPr>
          <w:rFonts w:ascii="MinionPro-Regular" w:hAnsi="MinionPro-Regular"/>
          <w:sz w:val="20"/>
        </w:rPr>
        <w:t>Relaciones sociales</w:t>
      </w:r>
      <w:r>
        <w:rPr>
          <w:rFonts w:ascii="MinionPro-Regular" w:hAnsi="MinionPro-Regular"/>
          <w:sz w:val="20"/>
        </w:rPr>
        <w:t xml:space="preserve"> el </w:t>
      </w:r>
      <w:r w:rsidRPr="0093079D">
        <w:rPr>
          <w:rFonts w:ascii="MinionPro-Regular" w:hAnsi="MinionPro-Regular"/>
          <w:sz w:val="20"/>
        </w:rPr>
        <w:t>9%</w:t>
      </w:r>
      <w:r>
        <w:rPr>
          <w:rFonts w:ascii="MinionPro-Regular" w:hAnsi="MinionPro-Regular"/>
          <w:sz w:val="20"/>
        </w:rPr>
        <w:t xml:space="preserve">; </w:t>
      </w:r>
      <w:r w:rsidRPr="0093079D">
        <w:rPr>
          <w:rFonts w:ascii="MinionPro-Regular" w:hAnsi="MinionPro-Regular"/>
          <w:sz w:val="20"/>
        </w:rPr>
        <w:t xml:space="preserve">No siente que haya cambiado nada en su vida </w:t>
      </w:r>
      <w:r>
        <w:rPr>
          <w:rFonts w:ascii="MinionPro-Regular" w:hAnsi="MinionPro-Regular"/>
          <w:sz w:val="20"/>
        </w:rPr>
        <w:t xml:space="preserve">el </w:t>
      </w:r>
      <w:r w:rsidRPr="0093079D">
        <w:rPr>
          <w:rFonts w:ascii="MinionPro-Regular" w:hAnsi="MinionPro-Regular"/>
          <w:sz w:val="20"/>
        </w:rPr>
        <w:t>1%</w:t>
      </w:r>
      <w:r>
        <w:rPr>
          <w:rFonts w:ascii="MinionPro-Regular" w:hAnsi="MinionPro-Regular"/>
          <w:sz w:val="20"/>
        </w:rPr>
        <w:t xml:space="preserve">; </w:t>
      </w:r>
      <w:r w:rsidRPr="0093079D">
        <w:rPr>
          <w:rFonts w:ascii="MinionPro-Regular" w:hAnsi="MinionPro-Regular"/>
          <w:sz w:val="20"/>
        </w:rPr>
        <w:t>Calidad de vida</w:t>
      </w:r>
      <w:r>
        <w:rPr>
          <w:rFonts w:ascii="MinionPro-Regular" w:hAnsi="MinionPro-Regular"/>
          <w:sz w:val="20"/>
        </w:rPr>
        <w:t xml:space="preserve"> el </w:t>
      </w:r>
      <w:r w:rsidRPr="0093079D">
        <w:rPr>
          <w:rFonts w:ascii="MinionPro-Regular" w:hAnsi="MinionPro-Regular"/>
          <w:sz w:val="20"/>
        </w:rPr>
        <w:t>1%</w:t>
      </w:r>
      <w:r>
        <w:rPr>
          <w:rFonts w:ascii="MinionPro-Regular" w:hAnsi="MinionPro-Regular"/>
          <w:sz w:val="20"/>
        </w:rPr>
        <w:t xml:space="preserve">; </w:t>
      </w:r>
      <w:r w:rsidRPr="0093079D">
        <w:rPr>
          <w:rFonts w:ascii="MinionPro-Regular" w:hAnsi="MinionPro-Regular"/>
          <w:sz w:val="20"/>
        </w:rPr>
        <w:t>No sabe/No contesta</w:t>
      </w:r>
      <w:r>
        <w:rPr>
          <w:rFonts w:ascii="MinionPro-Regular" w:hAnsi="MinionPro-Regular"/>
          <w:sz w:val="20"/>
        </w:rPr>
        <w:t xml:space="preserve"> el </w:t>
      </w:r>
      <w:r w:rsidRPr="0093079D">
        <w:rPr>
          <w:rFonts w:ascii="MinionPro-Regular" w:hAnsi="MinionPro-Regular"/>
          <w:sz w:val="20"/>
        </w:rPr>
        <w:t>6%</w:t>
      </w:r>
      <w:r>
        <w:rPr>
          <w:rFonts w:ascii="MinionPro-Regular" w:hAnsi="MinionPro-Regular"/>
          <w:sz w:val="20"/>
        </w:rPr>
        <w:t>.</w:t>
      </w:r>
    </w:p>
    <w:p w:rsidR="00E2336B" w:rsidRDefault="00E2336B" w:rsidP="004B21DB">
      <w:pPr>
        <w:pBdr>
          <w:bottom w:val="single" w:sz="4" w:space="1" w:color="auto"/>
        </w:pBdr>
        <w:autoSpaceDE w:val="0"/>
        <w:autoSpaceDN w:val="0"/>
        <w:spacing w:line="360" w:lineRule="auto"/>
        <w:jc w:val="both"/>
        <w:rPr>
          <w:rFonts w:ascii="MinionPro-Regular" w:hAnsi="MinionPro-Regular"/>
          <w:sz w:val="24"/>
          <w:szCs w:val="24"/>
          <w:lang w:val="es-ES_tradnl"/>
        </w:rPr>
      </w:pPr>
    </w:p>
    <w:p w:rsidR="003E1DC5" w:rsidRDefault="003E1DC5" w:rsidP="004B21DB">
      <w:pPr>
        <w:pBdr>
          <w:bottom w:val="single" w:sz="4" w:space="1" w:color="auto"/>
        </w:pBdr>
        <w:autoSpaceDE w:val="0"/>
        <w:autoSpaceDN w:val="0"/>
        <w:spacing w:line="360" w:lineRule="auto"/>
        <w:jc w:val="both"/>
        <w:rPr>
          <w:rFonts w:ascii="MinionPro-Regular" w:hAnsi="MinionPro-Regular"/>
          <w:sz w:val="24"/>
          <w:szCs w:val="24"/>
          <w:lang w:val="es-ES_tradnl"/>
        </w:rPr>
      </w:pPr>
    </w:p>
    <w:p w:rsidR="0075670B" w:rsidRDefault="0075670B" w:rsidP="004B21DB">
      <w:pPr>
        <w:pBdr>
          <w:bottom w:val="single" w:sz="4" w:space="1" w:color="auto"/>
        </w:pBdr>
        <w:autoSpaceDE w:val="0"/>
        <w:autoSpaceDN w:val="0"/>
        <w:spacing w:line="360" w:lineRule="auto"/>
        <w:jc w:val="both"/>
        <w:rPr>
          <w:rFonts w:ascii="MinionPro-Regular" w:hAnsi="MinionPro-Regular"/>
          <w:sz w:val="24"/>
          <w:szCs w:val="24"/>
          <w:lang w:val="es-ES_tradnl"/>
        </w:rPr>
      </w:pPr>
    </w:p>
    <w:p w:rsidR="0075670B" w:rsidRDefault="0075670B" w:rsidP="004B21DB">
      <w:pPr>
        <w:pBdr>
          <w:bottom w:val="single" w:sz="4" w:space="1" w:color="auto"/>
        </w:pBdr>
        <w:autoSpaceDE w:val="0"/>
        <w:autoSpaceDN w:val="0"/>
        <w:spacing w:line="360" w:lineRule="auto"/>
        <w:jc w:val="both"/>
        <w:rPr>
          <w:rFonts w:ascii="MinionPro-Regular" w:hAnsi="MinionPro-Regular"/>
          <w:sz w:val="24"/>
          <w:szCs w:val="24"/>
          <w:lang w:val="es-ES_tradnl"/>
        </w:rPr>
      </w:pPr>
    </w:p>
    <w:p w:rsidR="00E2336B" w:rsidRDefault="00E1516B" w:rsidP="004B21DB">
      <w:pPr>
        <w:autoSpaceDE w:val="0"/>
        <w:autoSpaceDN w:val="0"/>
        <w:spacing w:line="360" w:lineRule="auto"/>
        <w:rPr>
          <w:rFonts w:ascii="MinionPro-Regular" w:hAnsi="MinionPro-Regular"/>
          <w:sz w:val="24"/>
          <w:szCs w:val="24"/>
          <w:lang w:val="es-ES_tradnl"/>
        </w:rPr>
      </w:pPr>
      <w:r>
        <w:rPr>
          <w:noProof/>
          <w:lang w:eastAsia="es-ES"/>
        </w:rPr>
        <w:drawing>
          <wp:inline distT="0" distB="0" distL="0" distR="0">
            <wp:extent cx="2907030" cy="2130425"/>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91"/>
                    <a:srcRect/>
                    <a:stretch>
                      <a:fillRect/>
                    </a:stretch>
                  </pic:blipFill>
                  <pic:spPr bwMode="auto">
                    <a:xfrm>
                      <a:off x="0" y="0"/>
                      <a:ext cx="2907030" cy="2130425"/>
                    </a:xfrm>
                    <a:prstGeom prst="rect">
                      <a:avLst/>
                    </a:prstGeom>
                    <a:noFill/>
                    <a:ln w="9525">
                      <a:noFill/>
                      <a:miter lim="800000"/>
                      <a:headEnd/>
                      <a:tailEnd/>
                    </a:ln>
                  </pic:spPr>
                </pic:pic>
              </a:graphicData>
            </a:graphic>
          </wp:inline>
        </w:drawing>
      </w:r>
    </w:p>
    <w:p w:rsidR="00E2336B" w:rsidRDefault="00E2336B" w:rsidP="004B21DB">
      <w:pPr>
        <w:pBdr>
          <w:bottom w:val="single" w:sz="4" w:space="0" w:color="auto"/>
        </w:pBdr>
        <w:autoSpaceDE w:val="0"/>
        <w:autoSpaceDN w:val="0"/>
        <w:spacing w:line="360" w:lineRule="auto"/>
        <w:jc w:val="both"/>
        <w:rPr>
          <w:rFonts w:ascii="MinionPro-Regular" w:hAnsi="MinionPro-Regular"/>
          <w:sz w:val="20"/>
          <w:szCs w:val="24"/>
        </w:rPr>
      </w:pPr>
      <w:r w:rsidRPr="00B44100">
        <w:rPr>
          <w:rFonts w:ascii="MinionPro-Regular" w:hAnsi="MinionPro-Regular"/>
          <w:sz w:val="20"/>
          <w:szCs w:val="24"/>
        </w:rPr>
        <w:lastRenderedPageBreak/>
        <w:t xml:space="preserve">Fuente: Elaboración propia a partir de una encuesta realizada a personas con discapacidad en centros especiales de empleo. (Datos a </w:t>
      </w:r>
      <w:r>
        <w:rPr>
          <w:rFonts w:ascii="MinionPro-Regular" w:hAnsi="MinionPro-Regular"/>
          <w:sz w:val="20"/>
          <w:szCs w:val="24"/>
        </w:rPr>
        <w:t>o</w:t>
      </w:r>
      <w:r w:rsidRPr="00B44100">
        <w:rPr>
          <w:rFonts w:ascii="MinionPro-Regular" w:hAnsi="MinionPro-Regular"/>
          <w:sz w:val="20"/>
          <w:szCs w:val="24"/>
        </w:rPr>
        <w:t>ctubre de 2012).</w:t>
      </w:r>
    </w:p>
    <w:p w:rsidR="00E2336B" w:rsidRDefault="00E2336B" w:rsidP="004B21DB">
      <w:pPr>
        <w:pBdr>
          <w:bottom w:val="single" w:sz="4" w:space="0" w:color="auto"/>
        </w:pBdr>
        <w:autoSpaceDE w:val="0"/>
        <w:autoSpaceDN w:val="0"/>
        <w:spacing w:line="360" w:lineRule="auto"/>
        <w:jc w:val="both"/>
        <w:rPr>
          <w:rFonts w:ascii="MinionPro-Regular" w:hAnsi="MinionPro-Regular"/>
          <w:sz w:val="20"/>
          <w:szCs w:val="24"/>
        </w:rPr>
      </w:pPr>
      <w:r w:rsidRPr="0093079D">
        <w:rPr>
          <w:rFonts w:ascii="MinionPro-Regular" w:hAnsi="MinionPro-Regular"/>
          <w:sz w:val="20"/>
          <w:szCs w:val="24"/>
        </w:rPr>
        <w:t xml:space="preserve">Nota explicativa de las gráficas. </w:t>
      </w:r>
      <w:r w:rsidRPr="001C2926">
        <w:rPr>
          <w:rFonts w:ascii="MinionPro-Regular" w:hAnsi="MinionPro-Regular"/>
          <w:sz w:val="20"/>
        </w:rPr>
        <w:t>Si recibiera una ayuda social igual a su salario, ¿seguiría trabajando?</w:t>
      </w:r>
      <w:r>
        <w:rPr>
          <w:rFonts w:ascii="MinionPro-Regular" w:hAnsi="MinionPro-Regular"/>
          <w:sz w:val="20"/>
        </w:rPr>
        <w:t>: Sí el 77%; No el 23%.</w:t>
      </w:r>
    </w:p>
    <w:p w:rsidR="00E2336B" w:rsidRDefault="00E2336B" w:rsidP="004B21DB">
      <w:pPr>
        <w:autoSpaceDE w:val="0"/>
        <w:autoSpaceDN w:val="0"/>
        <w:spacing w:line="360" w:lineRule="auto"/>
        <w:jc w:val="both"/>
        <w:rPr>
          <w:rFonts w:ascii="MinionPro-Regular" w:hAnsi="MinionPro-Regular"/>
          <w:sz w:val="24"/>
          <w:szCs w:val="24"/>
          <w:lang w:val="es-ES_tradnl"/>
        </w:rPr>
      </w:pPr>
    </w:p>
    <w:p w:rsidR="002959F0" w:rsidRDefault="00E2336B" w:rsidP="0007541A">
      <w:pPr>
        <w:pStyle w:val="Ttulo2"/>
        <w:numPr>
          <w:ilvl w:val="1"/>
          <w:numId w:val="3"/>
        </w:numPr>
        <w:ind w:left="0"/>
        <w:rPr>
          <w:lang w:val="es-ES_tradnl"/>
        </w:rPr>
      </w:pPr>
      <w:bookmarkStart w:id="177" w:name="_Toc346126203"/>
      <w:bookmarkStart w:id="178" w:name="_Toc347173517"/>
      <w:bookmarkStart w:id="179" w:name="_Toc347257520"/>
      <w:bookmarkStart w:id="180" w:name="_Toc347654294"/>
      <w:bookmarkStart w:id="181" w:name="_Toc347667902"/>
      <w:bookmarkStart w:id="182" w:name="_Toc352773567"/>
      <w:bookmarkEnd w:id="177"/>
      <w:bookmarkEnd w:id="178"/>
      <w:bookmarkEnd w:id="179"/>
      <w:bookmarkEnd w:id="180"/>
      <w:bookmarkEnd w:id="181"/>
      <w:r>
        <w:rPr>
          <w:lang w:val="es-ES_tradnl"/>
        </w:rPr>
        <w:t>La opinión de los gestores de centros especiales de empleo</w:t>
      </w:r>
      <w:bookmarkEnd w:id="182"/>
      <w:r>
        <w:rPr>
          <w:lang w:val="es-ES_tradnl"/>
        </w:rPr>
        <w:t xml:space="preserve"> </w:t>
      </w:r>
    </w:p>
    <w:p w:rsidR="00E2336B" w:rsidRDefault="00E2336B" w:rsidP="004B21DB">
      <w:pPr>
        <w:autoSpaceDE w:val="0"/>
        <w:autoSpaceDN w:val="0"/>
        <w:spacing w:line="360" w:lineRule="auto"/>
        <w:jc w:val="both"/>
        <w:rPr>
          <w:rFonts w:ascii="MinionPro-Regular" w:hAnsi="MinionPro-Regular"/>
          <w:sz w:val="24"/>
          <w:szCs w:val="24"/>
          <w:lang w:val="es-ES_tradnl"/>
        </w:rPr>
      </w:pPr>
    </w:p>
    <w:p w:rsidR="00E2336B" w:rsidRDefault="00E2336B">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En el marco de este estudio, también fueron consultados los responsables de los centros especiales de empleo. La fórmula fue una consulta online, dividida en distintos módulos, dirigida a los gestores o directores de los centros especiales de empleo. La consulta fue dirigida a los centros especiales de empleo incluidos en FEACEM y CONACEE, cuyos datos son accesibles a través de sus páginas web.</w:t>
      </w:r>
    </w:p>
    <w:p w:rsidR="00E2336B" w:rsidRDefault="00E2336B" w:rsidP="004B21DB">
      <w:pPr>
        <w:autoSpaceDE w:val="0"/>
        <w:autoSpaceDN w:val="0"/>
        <w:spacing w:line="360" w:lineRule="auto"/>
        <w:jc w:val="both"/>
        <w:rPr>
          <w:rFonts w:ascii="MinionPro-Regular" w:hAnsi="MinionPro-Regular"/>
          <w:sz w:val="24"/>
          <w:szCs w:val="24"/>
          <w:lang w:val="es-ES_tradnl"/>
        </w:rPr>
      </w:pPr>
    </w:p>
    <w:p w:rsidR="00E2336B" w:rsidRDefault="00E2336B" w:rsidP="004B21DB">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El listado fue completado con centros que aparecían en los listados autonómicos de centros especiales de empleo.</w:t>
      </w:r>
    </w:p>
    <w:p w:rsidR="00E2336B" w:rsidRDefault="00E2336B" w:rsidP="004B21DB">
      <w:pPr>
        <w:autoSpaceDE w:val="0"/>
        <w:autoSpaceDN w:val="0"/>
        <w:spacing w:line="360" w:lineRule="auto"/>
        <w:jc w:val="both"/>
        <w:rPr>
          <w:rFonts w:ascii="MinionPro-Regular" w:hAnsi="MinionPro-Regular"/>
          <w:sz w:val="24"/>
          <w:szCs w:val="24"/>
          <w:lang w:val="es-ES_tradnl"/>
        </w:rPr>
      </w:pPr>
    </w:p>
    <w:p w:rsidR="002959F0" w:rsidRDefault="00E2336B">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Fueron invitados a participar</w:t>
      </w:r>
      <w:r w:rsidRPr="00004456">
        <w:rPr>
          <w:rFonts w:ascii="MinionPro-Regular" w:hAnsi="MinionPro-Regular"/>
          <w:sz w:val="24"/>
          <w:szCs w:val="24"/>
          <w:lang w:val="es-ES_tradnl"/>
        </w:rPr>
        <w:t xml:space="preserve"> 787 centros especiales de empleo</w:t>
      </w:r>
      <w:r>
        <w:rPr>
          <w:rFonts w:ascii="MinionPro-Regular" w:hAnsi="MinionPro-Regular"/>
          <w:sz w:val="24"/>
          <w:szCs w:val="24"/>
          <w:lang w:val="es-ES_tradnl"/>
        </w:rPr>
        <w:t xml:space="preserve">. Finalmente, completaron la consulta, total o parcialmente, 207 de ellos. La consulta no requería la aportación de soportes documentales. Por esta razón, los datos deben ser considerados ilustrativos del sector. </w:t>
      </w:r>
    </w:p>
    <w:p w:rsidR="002959F0" w:rsidRDefault="002959F0">
      <w:pPr>
        <w:autoSpaceDE w:val="0"/>
        <w:autoSpaceDN w:val="0"/>
        <w:spacing w:line="360" w:lineRule="auto"/>
        <w:jc w:val="both"/>
        <w:rPr>
          <w:rFonts w:ascii="MinionPro-Regular" w:hAnsi="MinionPro-Regular"/>
          <w:sz w:val="24"/>
          <w:szCs w:val="24"/>
          <w:lang w:val="es-ES_tradnl"/>
        </w:rPr>
      </w:pPr>
    </w:p>
    <w:p w:rsidR="002959F0" w:rsidRDefault="00E2336B">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 xml:space="preserve">Andalucía, Madrid y Cataluña son las comunidades autónomas cuyos centros especiales de empleo respondieron más activamente. </w:t>
      </w:r>
    </w:p>
    <w:p w:rsidR="002959F0" w:rsidRDefault="002959F0">
      <w:pPr>
        <w:autoSpaceDE w:val="0"/>
        <w:autoSpaceDN w:val="0"/>
        <w:spacing w:line="360" w:lineRule="auto"/>
        <w:jc w:val="both"/>
        <w:rPr>
          <w:rFonts w:ascii="MinionPro-Regular" w:hAnsi="MinionPro-Regular"/>
          <w:sz w:val="24"/>
          <w:szCs w:val="24"/>
          <w:lang w:val="es-ES_tradnl"/>
        </w:rPr>
      </w:pPr>
    </w:p>
    <w:p w:rsidR="002959F0" w:rsidRDefault="002959F0">
      <w:pPr>
        <w:autoSpaceDE w:val="0"/>
        <w:autoSpaceDN w:val="0"/>
        <w:spacing w:line="360" w:lineRule="auto"/>
        <w:jc w:val="both"/>
        <w:rPr>
          <w:rFonts w:ascii="MinionPro-Regular" w:hAnsi="MinionPro-Regular"/>
          <w:sz w:val="24"/>
          <w:szCs w:val="24"/>
          <w:lang w:val="es-ES_tradnl"/>
        </w:rPr>
      </w:pPr>
    </w:p>
    <w:p w:rsidR="00E2336B" w:rsidRDefault="00E2336B" w:rsidP="00AD7B28">
      <w:pPr>
        <w:pBdr>
          <w:top w:val="single" w:sz="4" w:space="1" w:color="auto"/>
        </w:pBdr>
        <w:autoSpaceDE w:val="0"/>
        <w:autoSpaceDN w:val="0"/>
        <w:spacing w:line="360" w:lineRule="auto"/>
        <w:jc w:val="both"/>
        <w:rPr>
          <w:rFonts w:ascii="MinionPro-Regular" w:hAnsi="MinionPro-Regular"/>
          <w:sz w:val="20"/>
          <w:szCs w:val="24"/>
          <w:lang w:val="es-ES_tradnl"/>
        </w:rPr>
      </w:pPr>
      <w:r>
        <w:rPr>
          <w:rFonts w:ascii="MinionPro-Regular" w:hAnsi="MinionPro-Regular"/>
          <w:sz w:val="20"/>
          <w:szCs w:val="24"/>
          <w:lang w:val="es-ES_tradnl"/>
        </w:rPr>
        <w:t>Respuestas registradas a la encuesta online (%), por comunidad autónoma.</w:t>
      </w:r>
    </w:p>
    <w:p w:rsidR="002959F0" w:rsidRDefault="00E1516B">
      <w:pPr>
        <w:pBdr>
          <w:top w:val="single" w:sz="4" w:space="1" w:color="auto"/>
        </w:pBdr>
        <w:autoSpaceDE w:val="0"/>
        <w:autoSpaceDN w:val="0"/>
        <w:spacing w:line="360" w:lineRule="auto"/>
        <w:rPr>
          <w:rFonts w:ascii="MinionPro-Regular" w:hAnsi="MinionPro-Regular"/>
          <w:sz w:val="24"/>
          <w:szCs w:val="24"/>
          <w:lang w:val="es-ES_tradnl"/>
        </w:rPr>
      </w:pPr>
      <w:r>
        <w:rPr>
          <w:rFonts w:ascii="MinionPro-Regular" w:hAnsi="MinionPro-Regular"/>
          <w:noProof/>
          <w:sz w:val="24"/>
          <w:szCs w:val="24"/>
          <w:lang w:eastAsia="es-ES"/>
        </w:rPr>
        <w:lastRenderedPageBreak/>
        <w:drawing>
          <wp:inline distT="0" distB="0" distL="0" distR="0">
            <wp:extent cx="5184775" cy="3321050"/>
            <wp:effectExtent l="0" t="0" r="0" b="0"/>
            <wp:docPr id="68" name="Picture 6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2"/>
              </a:graphicData>
            </a:graphic>
          </wp:inline>
        </w:drawing>
      </w:r>
    </w:p>
    <w:p w:rsidR="002959F0" w:rsidRDefault="00E2336B">
      <w:pPr>
        <w:pBdr>
          <w:bottom w:val="single" w:sz="4" w:space="1" w:color="auto"/>
        </w:pBdr>
        <w:autoSpaceDE w:val="0"/>
        <w:autoSpaceDN w:val="0"/>
        <w:spacing w:line="360" w:lineRule="auto"/>
        <w:jc w:val="both"/>
        <w:rPr>
          <w:rFonts w:ascii="MinionPro-Regular" w:hAnsi="MinionPro-Regular"/>
          <w:sz w:val="20"/>
          <w:szCs w:val="24"/>
        </w:rPr>
      </w:pPr>
      <w:r>
        <w:rPr>
          <w:rFonts w:ascii="MinionPro-Regular" w:hAnsi="MinionPro-Regular"/>
          <w:sz w:val="20"/>
          <w:szCs w:val="24"/>
        </w:rPr>
        <w:t>Fuente: Elaboración propia.</w:t>
      </w:r>
    </w:p>
    <w:p w:rsidR="002959F0" w:rsidRDefault="00E2336B">
      <w:pPr>
        <w:pBdr>
          <w:bottom w:val="single" w:sz="4" w:space="1" w:color="auto"/>
        </w:pBdr>
        <w:autoSpaceDE w:val="0"/>
        <w:autoSpaceDN w:val="0"/>
        <w:spacing w:line="360" w:lineRule="auto"/>
        <w:jc w:val="both"/>
        <w:rPr>
          <w:rFonts w:ascii="MinionPro-Regular" w:hAnsi="MinionPro-Regular"/>
          <w:sz w:val="20"/>
          <w:szCs w:val="24"/>
        </w:rPr>
      </w:pPr>
      <w:r>
        <w:rPr>
          <w:rFonts w:ascii="MinionPro-Regular" w:hAnsi="MinionPro-Regular"/>
          <w:sz w:val="20"/>
          <w:szCs w:val="24"/>
        </w:rPr>
        <w:t>Nota explicativa de la gráfica</w:t>
      </w:r>
      <w:r w:rsidRPr="0093079D">
        <w:rPr>
          <w:rFonts w:ascii="MinionPro-Regular" w:hAnsi="MinionPro-Regular"/>
          <w:sz w:val="20"/>
          <w:szCs w:val="24"/>
        </w:rPr>
        <w:t xml:space="preserve">. </w:t>
      </w:r>
      <w:r>
        <w:rPr>
          <w:rFonts w:ascii="MinionPro-Regular" w:hAnsi="MinionPro-Regular"/>
          <w:sz w:val="20"/>
        </w:rPr>
        <w:t xml:space="preserve">Eje </w:t>
      </w:r>
      <w:r w:rsidRPr="00AD7B28">
        <w:rPr>
          <w:rFonts w:ascii="MinionPro-Regular" w:hAnsi="MinionPro-Regular"/>
          <w:sz w:val="20"/>
          <w:szCs w:val="24"/>
        </w:rPr>
        <w:t>vert</w:t>
      </w:r>
      <w:r w:rsidR="00F23441" w:rsidRPr="00F23441">
        <w:rPr>
          <w:rFonts w:ascii="MinionPro-Regular" w:hAnsi="MinionPro-Regular"/>
          <w:sz w:val="20"/>
          <w:szCs w:val="24"/>
        </w:rPr>
        <w:t>ical, respuestas a la encuesta online</w:t>
      </w:r>
      <w:r>
        <w:rPr>
          <w:rFonts w:ascii="MinionPro-Regular" w:hAnsi="MinionPro-Regular"/>
          <w:sz w:val="20"/>
          <w:szCs w:val="24"/>
        </w:rPr>
        <w:t xml:space="preserve"> </w:t>
      </w:r>
      <w:r w:rsidR="00F23441" w:rsidRPr="00F23441">
        <w:rPr>
          <w:rFonts w:ascii="MinionPro-Regular" w:hAnsi="MinionPro-Regular"/>
          <w:sz w:val="20"/>
          <w:szCs w:val="24"/>
        </w:rPr>
        <w:t>(%)</w:t>
      </w:r>
      <w:r>
        <w:rPr>
          <w:rFonts w:ascii="MinionPro-Regular" w:hAnsi="MinionPro-Regular"/>
          <w:sz w:val="20"/>
          <w:szCs w:val="24"/>
        </w:rPr>
        <w:t>. Eje horizontal: comunidades autónomas. Los datos son los siguientes: Andalucía (21,3%), Madrid (17,4%), Cataluña (15,5%), Castilla La Mancha (5,3%), País Vasco (5,3%), Castilla y León (4,8%), Comunidad Valenciana (4,8%), Aragón (4,3%), Extremadura (3,9%), Canarias (2,9%), Navarra (2,9%), Galicia (2,4%), La Rioja (2,4%), Murcia (2,4%), Asturias (1,9%), Cantabria (1,9%), Baleares (0,5%), Ceuta y Melilla (0%).</w:t>
      </w:r>
    </w:p>
    <w:p w:rsidR="00E2336B" w:rsidRDefault="00E2336B" w:rsidP="004B21DB">
      <w:pPr>
        <w:autoSpaceDE w:val="0"/>
        <w:autoSpaceDN w:val="0"/>
        <w:spacing w:line="360" w:lineRule="auto"/>
        <w:jc w:val="both"/>
        <w:rPr>
          <w:rFonts w:ascii="MinionPro-Regular" w:hAnsi="MinionPro-Regular"/>
          <w:sz w:val="24"/>
          <w:szCs w:val="24"/>
          <w:lang w:val="es-ES_tradnl"/>
        </w:rPr>
      </w:pPr>
    </w:p>
    <w:p w:rsidR="00E2336B" w:rsidRDefault="00E2336B">
      <w:pPr>
        <w:pStyle w:val="Textoindependiente"/>
        <w:spacing w:line="360" w:lineRule="auto"/>
        <w:rPr>
          <w:rFonts w:ascii="MinionPro-Regular" w:hAnsi="MinionPro-Regular"/>
          <w:sz w:val="24"/>
          <w:szCs w:val="24"/>
          <w:lang w:val="es-ES_tradnl"/>
        </w:rPr>
      </w:pPr>
      <w:r>
        <w:rPr>
          <w:rFonts w:ascii="MinionPro-Regular" w:hAnsi="MinionPro-Regular"/>
          <w:sz w:val="24"/>
          <w:szCs w:val="24"/>
          <w:lang w:val="es-ES_tradnl"/>
        </w:rPr>
        <w:t>En relación con su fecha de constitución, los principales años son 1982, 1998, y 2000. Las fechas son significativas respecto del impacto de la normativa sobre la actividad de los centros. dado que las fechas mencionadas son coincidentes con la publicación de la LISMI (Ley 13/1982, de 7 de abril, de integración social de minusválidos), las bases reguladoras para la concesión de ayudas y subvenciones destinadas al fomento de la integración de las personas con discapacidad en centros especiales de empleo (</w:t>
      </w:r>
      <w:r w:rsidRPr="00784C7C">
        <w:rPr>
          <w:rFonts w:ascii="MinionPro-Regular" w:hAnsi="MinionPro-Regular"/>
          <w:sz w:val="24"/>
          <w:szCs w:val="24"/>
          <w:lang w:val="es-ES_tradnl"/>
        </w:rPr>
        <w:t>Orden del Ministerio de Trabajo y Asuntos Sociales, de 16 de octubre de 1998</w:t>
      </w:r>
      <w:r>
        <w:rPr>
          <w:rFonts w:ascii="MinionPro-Regular" w:hAnsi="MinionPro-Regular"/>
          <w:sz w:val="24"/>
          <w:szCs w:val="24"/>
          <w:lang w:val="es-ES_tradnl"/>
        </w:rPr>
        <w:t xml:space="preserve">) y medidas alternativas de carácter excepcional al cumplimiento de la cuota de reserva del 2 por 100 </w:t>
      </w:r>
      <w:r>
        <w:rPr>
          <w:rFonts w:ascii="MinionPro-Regular" w:hAnsi="MinionPro-Regular"/>
          <w:sz w:val="24"/>
          <w:szCs w:val="24"/>
          <w:lang w:val="es-ES_tradnl"/>
        </w:rPr>
        <w:lastRenderedPageBreak/>
        <w:t xml:space="preserve">a favor de trabajadores discapacitados en empresas de 50 o más trabajadores (Real Decreto 27/2000, de 14 de enero). </w:t>
      </w:r>
    </w:p>
    <w:p w:rsidR="00E2336B" w:rsidRDefault="00E2336B" w:rsidP="00B33285">
      <w:pPr>
        <w:pBdr>
          <w:top w:val="single" w:sz="4" w:space="1" w:color="auto"/>
        </w:pBdr>
        <w:autoSpaceDE w:val="0"/>
        <w:autoSpaceDN w:val="0"/>
        <w:spacing w:line="360" w:lineRule="auto"/>
        <w:jc w:val="both"/>
        <w:rPr>
          <w:rFonts w:ascii="MinionPro-Regular" w:hAnsi="MinionPro-Regular"/>
          <w:sz w:val="20"/>
          <w:szCs w:val="24"/>
          <w:lang w:val="es-ES_tradnl"/>
        </w:rPr>
      </w:pPr>
      <w:r>
        <w:rPr>
          <w:rFonts w:ascii="MinionPro-Regular" w:hAnsi="MinionPro-Regular"/>
          <w:sz w:val="20"/>
          <w:szCs w:val="24"/>
          <w:lang w:val="es-ES_tradnl"/>
        </w:rPr>
        <w:t>Respuestas registradas a la encuesta online (%), por comunidad autónoma.</w:t>
      </w:r>
    </w:p>
    <w:p w:rsidR="00E2336B" w:rsidRDefault="00E1516B">
      <w:pPr>
        <w:pStyle w:val="Textoindependiente"/>
        <w:spacing w:line="360" w:lineRule="auto"/>
        <w:rPr>
          <w:rFonts w:ascii="MinionPro-Regular" w:hAnsi="MinionPro-Regular"/>
          <w:sz w:val="24"/>
          <w:szCs w:val="24"/>
          <w:lang w:val="es-ES_tradnl"/>
        </w:rPr>
      </w:pPr>
      <w:r>
        <w:rPr>
          <w:rFonts w:ascii="MinionPro-Regular" w:hAnsi="MinionPro-Regular"/>
          <w:noProof/>
          <w:sz w:val="24"/>
          <w:szCs w:val="24"/>
          <w:lang w:eastAsia="es-ES"/>
        </w:rPr>
        <w:drawing>
          <wp:inline distT="0" distB="0" distL="0" distR="0">
            <wp:extent cx="5236210" cy="3838575"/>
            <wp:effectExtent l="0" t="0" r="0" b="0"/>
            <wp:docPr id="69" name="Picture 6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3"/>
              </a:graphicData>
            </a:graphic>
          </wp:inline>
        </w:drawing>
      </w:r>
    </w:p>
    <w:p w:rsidR="00E2336B" w:rsidRDefault="00E2336B" w:rsidP="00B33285">
      <w:pPr>
        <w:pBdr>
          <w:bottom w:val="single" w:sz="4" w:space="1" w:color="auto"/>
        </w:pBdr>
        <w:autoSpaceDE w:val="0"/>
        <w:autoSpaceDN w:val="0"/>
        <w:spacing w:line="360" w:lineRule="auto"/>
        <w:jc w:val="both"/>
        <w:rPr>
          <w:rFonts w:ascii="MinionPro-Regular" w:hAnsi="MinionPro-Regular"/>
          <w:sz w:val="20"/>
          <w:szCs w:val="24"/>
        </w:rPr>
      </w:pPr>
      <w:r>
        <w:rPr>
          <w:rFonts w:ascii="MinionPro-Regular" w:hAnsi="MinionPro-Regular"/>
          <w:sz w:val="20"/>
          <w:szCs w:val="24"/>
        </w:rPr>
        <w:t>Fuente: Elaboración propia.</w:t>
      </w:r>
    </w:p>
    <w:p w:rsidR="00E2336B" w:rsidRPr="0075670B" w:rsidRDefault="00E2336B" w:rsidP="0075670B">
      <w:pPr>
        <w:pBdr>
          <w:bottom w:val="single" w:sz="4" w:space="1" w:color="auto"/>
        </w:pBdr>
        <w:autoSpaceDE w:val="0"/>
        <w:autoSpaceDN w:val="0"/>
        <w:spacing w:line="360" w:lineRule="auto"/>
        <w:jc w:val="both"/>
        <w:rPr>
          <w:rFonts w:ascii="MinionPro-Regular" w:hAnsi="MinionPro-Regular"/>
          <w:sz w:val="20"/>
          <w:szCs w:val="24"/>
        </w:rPr>
      </w:pPr>
      <w:r>
        <w:rPr>
          <w:rFonts w:ascii="MinionPro-Regular" w:hAnsi="MinionPro-Regular"/>
          <w:sz w:val="20"/>
          <w:szCs w:val="24"/>
        </w:rPr>
        <w:t>Nota explicativa de la gráfica</w:t>
      </w:r>
      <w:r w:rsidRPr="0093079D">
        <w:rPr>
          <w:rFonts w:ascii="MinionPro-Regular" w:hAnsi="MinionPro-Regular"/>
          <w:sz w:val="20"/>
          <w:szCs w:val="24"/>
        </w:rPr>
        <w:t xml:space="preserve">. </w:t>
      </w:r>
      <w:r>
        <w:rPr>
          <w:rFonts w:ascii="MinionPro-Regular" w:hAnsi="MinionPro-Regular"/>
          <w:sz w:val="20"/>
        </w:rPr>
        <w:t xml:space="preserve">Eje </w:t>
      </w:r>
      <w:r w:rsidRPr="00AD7B28">
        <w:rPr>
          <w:rFonts w:ascii="MinionPro-Regular" w:hAnsi="MinionPro-Regular"/>
          <w:sz w:val="20"/>
          <w:szCs w:val="24"/>
        </w:rPr>
        <w:t xml:space="preserve">vertical, </w:t>
      </w:r>
      <w:r>
        <w:rPr>
          <w:rFonts w:ascii="MinionPro-Regular" w:hAnsi="MinionPro-Regular"/>
          <w:sz w:val="20"/>
          <w:szCs w:val="24"/>
        </w:rPr>
        <w:t xml:space="preserve">apertura de centros especiales de empleo </w:t>
      </w:r>
      <w:r w:rsidRPr="00AD7B28">
        <w:rPr>
          <w:rFonts w:ascii="MinionPro-Regular" w:hAnsi="MinionPro-Regular"/>
          <w:sz w:val="20"/>
          <w:szCs w:val="24"/>
        </w:rPr>
        <w:t>(%)</w:t>
      </w:r>
      <w:r>
        <w:rPr>
          <w:rFonts w:ascii="MinionPro-Regular" w:hAnsi="MinionPro-Regular"/>
          <w:sz w:val="20"/>
          <w:szCs w:val="24"/>
        </w:rPr>
        <w:t>. Eje horizontal: años desde 1982 hasta 2011. Los datos son los siguientes. (Solo se muestran los años que figuran en las respuestas registradas): año 1982 (7,9%), año 1983 (0,5%), año 1984 (0,5%), año 1986 (1,1%), año 1987 (2,6%), año 1988 (1,6%), año 1989 (1,6%), año 1990 (3,2%), año 1991 (4,2%), año 1992 (4,2%), año 1993 (1,6%), año 1994 (2,6%), año 1995 (2,6%), año 1996 (4,2%), año 1997 (3,7%), año 1998 (10,0%), año 1999 (6,3%), año 2000 (9,5%), año 2001 (2,6%), año 2002 (4,2%), año 2003 (4,2%), año 2004 (3,2%), año 2005 (2,1%), año 2006 (3,2%), año 2007 (2,6%), año 2008 (2,6%), año 2009 (2,6%), año 2010 (2,1) y año 2011 (2,6%).</w:t>
      </w:r>
    </w:p>
    <w:p w:rsidR="00E2336B" w:rsidRDefault="00E2336B" w:rsidP="004B21DB">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lastRenderedPageBreak/>
        <w:t xml:space="preserve">En cuanto a los datos de plantilla, predominan los hombres (56%) frente a las mujeres (44%). El porcentaje de empleados de más de 45 años multiplica por tres al de menores de 30. </w:t>
      </w:r>
    </w:p>
    <w:p w:rsidR="00E2336B" w:rsidRDefault="00E2336B">
      <w:pPr>
        <w:pBdr>
          <w:bottom w:val="single" w:sz="4" w:space="1" w:color="auto"/>
        </w:pBdr>
        <w:autoSpaceDE w:val="0"/>
        <w:autoSpaceDN w:val="0"/>
        <w:spacing w:line="360" w:lineRule="auto"/>
        <w:jc w:val="both"/>
        <w:rPr>
          <w:rFonts w:ascii="MinionPro-Regular" w:hAnsi="MinionPro-Regular"/>
          <w:sz w:val="20"/>
          <w:szCs w:val="24"/>
          <w:lang w:val="es-ES_tradnl"/>
        </w:rPr>
      </w:pPr>
    </w:p>
    <w:p w:rsidR="000134A5" w:rsidRDefault="000134A5">
      <w:pPr>
        <w:autoSpaceDE w:val="0"/>
        <w:autoSpaceDN w:val="0"/>
        <w:spacing w:line="360" w:lineRule="auto"/>
        <w:jc w:val="both"/>
        <w:rPr>
          <w:szCs w:val="24"/>
        </w:rPr>
      </w:pPr>
    </w:p>
    <w:p w:rsidR="00E2336B" w:rsidRDefault="00E1516B">
      <w:pPr>
        <w:autoSpaceDE w:val="0"/>
        <w:autoSpaceDN w:val="0"/>
        <w:spacing w:line="360" w:lineRule="auto"/>
        <w:jc w:val="both"/>
        <w:rPr>
          <w:rFonts w:ascii="MinionPro-Regular" w:hAnsi="MinionPro-Regular"/>
          <w:sz w:val="24"/>
          <w:szCs w:val="24"/>
          <w:lang w:val="es-ES_tradnl"/>
        </w:rPr>
      </w:pPr>
      <w:r>
        <w:rPr>
          <w:noProof/>
          <w:szCs w:val="24"/>
          <w:lang w:eastAsia="es-ES"/>
        </w:rPr>
        <w:drawing>
          <wp:inline distT="0" distB="0" distL="0" distR="0">
            <wp:extent cx="2536190" cy="165608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94"/>
                    <a:srcRect l="10504" t="4465" r="12555" b="14394"/>
                    <a:stretch>
                      <a:fillRect/>
                    </a:stretch>
                  </pic:blipFill>
                  <pic:spPr bwMode="auto">
                    <a:xfrm>
                      <a:off x="0" y="0"/>
                      <a:ext cx="2536190" cy="1656080"/>
                    </a:xfrm>
                    <a:prstGeom prst="rect">
                      <a:avLst/>
                    </a:prstGeom>
                    <a:noFill/>
                    <a:ln w="9525">
                      <a:noFill/>
                      <a:miter lim="800000"/>
                      <a:headEnd/>
                      <a:tailEnd/>
                    </a:ln>
                  </pic:spPr>
                </pic:pic>
              </a:graphicData>
            </a:graphic>
          </wp:inline>
        </w:drawing>
      </w:r>
      <w:r w:rsidR="00F23441" w:rsidRPr="00F23441">
        <w:rPr>
          <w:noProof/>
          <w:lang w:val="es-ES_tradnl"/>
        </w:rPr>
        <w:t xml:space="preserve"> </w:t>
      </w:r>
      <w:r>
        <w:rPr>
          <w:noProof/>
          <w:lang w:eastAsia="es-ES"/>
        </w:rPr>
        <w:drawing>
          <wp:inline distT="0" distB="0" distL="0" distR="0">
            <wp:extent cx="2545080" cy="1630680"/>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95"/>
                    <a:srcRect l="9616" t="13046" r="9877" b="11206"/>
                    <a:stretch>
                      <a:fillRect/>
                    </a:stretch>
                  </pic:blipFill>
                  <pic:spPr bwMode="auto">
                    <a:xfrm>
                      <a:off x="0" y="0"/>
                      <a:ext cx="2545080" cy="1630680"/>
                    </a:xfrm>
                    <a:prstGeom prst="rect">
                      <a:avLst/>
                    </a:prstGeom>
                    <a:noFill/>
                    <a:ln w="9525">
                      <a:noFill/>
                      <a:miter lim="800000"/>
                      <a:headEnd/>
                      <a:tailEnd/>
                    </a:ln>
                  </pic:spPr>
                </pic:pic>
              </a:graphicData>
            </a:graphic>
          </wp:inline>
        </w:drawing>
      </w:r>
    </w:p>
    <w:p w:rsidR="00E2336B" w:rsidRDefault="00F23441">
      <w:pPr>
        <w:pBdr>
          <w:bottom w:val="single" w:sz="4" w:space="1" w:color="auto"/>
        </w:pBdr>
        <w:tabs>
          <w:tab w:val="right" w:pos="8505"/>
        </w:tabs>
        <w:autoSpaceDE w:val="0"/>
        <w:autoSpaceDN w:val="0"/>
        <w:spacing w:line="360" w:lineRule="auto"/>
        <w:jc w:val="both"/>
        <w:rPr>
          <w:rFonts w:ascii="MinionPro-Regular" w:hAnsi="MinionPro-Regular"/>
          <w:sz w:val="20"/>
          <w:szCs w:val="24"/>
          <w:lang w:val="es-ES_tradnl"/>
        </w:rPr>
      </w:pPr>
      <w:r w:rsidRPr="00F23441">
        <w:rPr>
          <w:rFonts w:ascii="MinionPro-Regular" w:hAnsi="MinionPro-Regular"/>
          <w:sz w:val="20"/>
          <w:szCs w:val="24"/>
          <w:lang w:val="es-ES_tradnl"/>
        </w:rPr>
        <w:t>Fuente: Elaboración propia</w:t>
      </w:r>
    </w:p>
    <w:p w:rsidR="00E2336B" w:rsidRPr="00E2336B" w:rsidRDefault="00E2336B">
      <w:pPr>
        <w:pBdr>
          <w:bottom w:val="single" w:sz="4" w:space="1" w:color="auto"/>
        </w:pBdr>
        <w:tabs>
          <w:tab w:val="right" w:pos="8505"/>
        </w:tabs>
        <w:autoSpaceDE w:val="0"/>
        <w:autoSpaceDN w:val="0"/>
        <w:spacing w:line="360" w:lineRule="auto"/>
        <w:jc w:val="both"/>
        <w:rPr>
          <w:rFonts w:ascii="MinionPro-Regular" w:hAnsi="MinionPro-Regular"/>
          <w:sz w:val="20"/>
          <w:lang w:val="es-ES_tradnl"/>
        </w:rPr>
      </w:pPr>
      <w:r>
        <w:rPr>
          <w:rFonts w:ascii="MinionPro-Regular" w:hAnsi="MinionPro-Regular"/>
          <w:sz w:val="20"/>
          <w:szCs w:val="24"/>
          <w:lang w:val="es-ES_tradnl"/>
        </w:rPr>
        <w:t xml:space="preserve">Nota explicativa de las gráficas circulares. Gráfica de la izquierda: </w:t>
      </w:r>
      <w:r>
        <w:rPr>
          <w:rFonts w:ascii="MinionPro-Regular" w:hAnsi="MinionPro-Regular"/>
          <w:sz w:val="20"/>
          <w:lang w:val="es-ES_tradnl"/>
        </w:rPr>
        <w:t>Distribución de emple</w:t>
      </w:r>
      <w:r w:rsidR="00F23441" w:rsidRPr="00F23441">
        <w:rPr>
          <w:rFonts w:ascii="MinionPro-Regular" w:hAnsi="MinionPro-Regular"/>
          <w:sz w:val="20"/>
          <w:lang w:val="es-ES_tradnl"/>
        </w:rPr>
        <w:t>ados de los centros especiales de empleo en l</w:t>
      </w:r>
      <w:r>
        <w:rPr>
          <w:rFonts w:ascii="MinionPro-Regular" w:hAnsi="MinionPro-Regular"/>
          <w:sz w:val="20"/>
          <w:lang w:val="es-ES_tradnl"/>
        </w:rPr>
        <w:t xml:space="preserve">a encuesta online, según género. Datos: mujeres (44%) y hombres (56%). </w:t>
      </w:r>
      <w:r>
        <w:rPr>
          <w:rFonts w:ascii="MinionPro-Regular" w:hAnsi="MinionPro-Regular"/>
          <w:sz w:val="20"/>
          <w:szCs w:val="24"/>
          <w:lang w:val="es-ES_tradnl"/>
        </w:rPr>
        <w:t xml:space="preserve">Gráfica de la derecha: </w:t>
      </w:r>
      <w:r w:rsidR="00F23441" w:rsidRPr="00F23441">
        <w:rPr>
          <w:rFonts w:ascii="MinionPro-Regular" w:hAnsi="MinionPro-Regular"/>
          <w:sz w:val="20"/>
          <w:lang w:val="es-ES_tradnl"/>
        </w:rPr>
        <w:t>Distribución de empleados de los centros especiales de empleo  en la encuesta online, según grupo de edad</w:t>
      </w:r>
      <w:r>
        <w:rPr>
          <w:rFonts w:ascii="MinionPro-Regular" w:hAnsi="MinionPro-Regular"/>
          <w:sz w:val="20"/>
          <w:lang w:val="es-ES_tradnl"/>
        </w:rPr>
        <w:t>. Datos: Menos de 30 años (12%), de 31 a 45 años (52%) y más de 45 años (36%).</w:t>
      </w:r>
      <w:r>
        <w:rPr>
          <w:rFonts w:ascii="MinionPro-Regular" w:hAnsi="MinionPro-Regular"/>
          <w:sz w:val="20"/>
          <w:szCs w:val="24"/>
          <w:lang w:val="es-ES_tradnl"/>
        </w:rPr>
        <w:tab/>
      </w:r>
    </w:p>
    <w:p w:rsidR="00E2336B" w:rsidRDefault="00E2336B" w:rsidP="004B21DB">
      <w:pPr>
        <w:autoSpaceDE w:val="0"/>
        <w:autoSpaceDN w:val="0"/>
        <w:spacing w:line="360" w:lineRule="auto"/>
        <w:jc w:val="both"/>
        <w:rPr>
          <w:rFonts w:ascii="MinionPro-Regular" w:hAnsi="MinionPro-Regular"/>
          <w:sz w:val="24"/>
          <w:szCs w:val="24"/>
          <w:lang w:val="es-ES_tradnl"/>
        </w:rPr>
      </w:pPr>
    </w:p>
    <w:p w:rsidR="00E2336B" w:rsidRDefault="00E2336B" w:rsidP="00C477E0">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En cuanto al grado y tipo de discapacidad que presentan los trabajadores de los centros especiales de empleo cabe destacar que a medida que aumenta el grado de discapacidad, se eleva el porcentaje de trabajadores con discapacidad física. Lo contrario sucede con la enfermedad mental.</w:t>
      </w:r>
    </w:p>
    <w:p w:rsidR="00E2336B" w:rsidRDefault="00E2336B">
      <w:pPr>
        <w:pBdr>
          <w:bottom w:val="single" w:sz="4" w:space="1" w:color="auto"/>
        </w:pBdr>
        <w:autoSpaceDE w:val="0"/>
        <w:autoSpaceDN w:val="0"/>
        <w:spacing w:line="360" w:lineRule="auto"/>
        <w:jc w:val="both"/>
        <w:rPr>
          <w:rFonts w:ascii="MinionPro-Regular" w:hAnsi="MinionPro-Regular"/>
          <w:sz w:val="24"/>
          <w:szCs w:val="24"/>
          <w:lang w:val="es-ES_tradnl"/>
        </w:rPr>
      </w:pPr>
    </w:p>
    <w:p w:rsidR="003E1DC5" w:rsidRDefault="003E1DC5">
      <w:pPr>
        <w:pBdr>
          <w:bottom w:val="single" w:sz="4" w:space="1" w:color="auto"/>
        </w:pBdr>
        <w:autoSpaceDE w:val="0"/>
        <w:autoSpaceDN w:val="0"/>
        <w:spacing w:line="360" w:lineRule="auto"/>
        <w:jc w:val="both"/>
        <w:rPr>
          <w:rFonts w:ascii="MinionPro-Regular" w:hAnsi="MinionPro-Regular"/>
          <w:sz w:val="24"/>
          <w:szCs w:val="24"/>
          <w:lang w:val="es-ES_tradnl"/>
        </w:rPr>
      </w:pPr>
    </w:p>
    <w:p w:rsidR="000134A5" w:rsidRDefault="000134A5">
      <w:pPr>
        <w:pBdr>
          <w:bottom w:val="single" w:sz="4" w:space="1" w:color="auto"/>
        </w:pBdr>
        <w:autoSpaceDE w:val="0"/>
        <w:autoSpaceDN w:val="0"/>
        <w:spacing w:line="360" w:lineRule="auto"/>
        <w:jc w:val="both"/>
        <w:rPr>
          <w:rFonts w:ascii="MinionPro-Regular" w:hAnsi="MinionPro-Regular"/>
          <w:sz w:val="24"/>
          <w:szCs w:val="24"/>
          <w:lang w:val="es-ES_tradnl"/>
        </w:rPr>
      </w:pPr>
    </w:p>
    <w:p w:rsidR="000134A5" w:rsidRDefault="000134A5">
      <w:pPr>
        <w:pBdr>
          <w:bottom w:val="single" w:sz="4" w:space="1" w:color="auto"/>
        </w:pBdr>
        <w:autoSpaceDE w:val="0"/>
        <w:autoSpaceDN w:val="0"/>
        <w:spacing w:line="360" w:lineRule="auto"/>
        <w:jc w:val="both"/>
        <w:rPr>
          <w:rFonts w:ascii="MinionPro-Regular" w:hAnsi="MinionPro-Regular"/>
          <w:sz w:val="24"/>
          <w:szCs w:val="24"/>
          <w:lang w:val="es-ES_tradnl"/>
        </w:rPr>
      </w:pPr>
    </w:p>
    <w:p w:rsidR="000134A5" w:rsidRDefault="000134A5">
      <w:pPr>
        <w:pBdr>
          <w:bottom w:val="single" w:sz="4" w:space="1" w:color="auto"/>
        </w:pBdr>
        <w:autoSpaceDE w:val="0"/>
        <w:autoSpaceDN w:val="0"/>
        <w:spacing w:line="360" w:lineRule="auto"/>
        <w:jc w:val="both"/>
        <w:rPr>
          <w:rFonts w:ascii="MinionPro-Regular" w:hAnsi="MinionPro-Regular"/>
          <w:sz w:val="24"/>
          <w:szCs w:val="24"/>
          <w:lang w:val="es-ES_tradnl"/>
        </w:rPr>
      </w:pPr>
    </w:p>
    <w:p w:rsidR="0075670B" w:rsidRDefault="0075670B">
      <w:pPr>
        <w:pBdr>
          <w:bottom w:val="single" w:sz="4" w:space="1" w:color="auto"/>
        </w:pBdr>
        <w:autoSpaceDE w:val="0"/>
        <w:autoSpaceDN w:val="0"/>
        <w:spacing w:line="360" w:lineRule="auto"/>
        <w:jc w:val="both"/>
        <w:rPr>
          <w:rFonts w:ascii="MinionPro-Regular" w:hAnsi="MinionPro-Regular"/>
          <w:sz w:val="24"/>
          <w:szCs w:val="24"/>
          <w:lang w:val="es-ES_tradnl"/>
        </w:rPr>
      </w:pPr>
    </w:p>
    <w:p w:rsidR="0075670B" w:rsidRDefault="0075670B">
      <w:pPr>
        <w:pBdr>
          <w:bottom w:val="single" w:sz="4" w:space="1" w:color="auto"/>
        </w:pBdr>
        <w:autoSpaceDE w:val="0"/>
        <w:autoSpaceDN w:val="0"/>
        <w:spacing w:line="360" w:lineRule="auto"/>
        <w:jc w:val="both"/>
        <w:rPr>
          <w:rFonts w:ascii="MinionPro-Regular" w:hAnsi="MinionPro-Regular"/>
          <w:sz w:val="24"/>
          <w:szCs w:val="24"/>
          <w:lang w:val="es-ES_tradnl"/>
        </w:rPr>
      </w:pPr>
    </w:p>
    <w:p w:rsidR="0075670B" w:rsidRDefault="0075670B">
      <w:pPr>
        <w:pBdr>
          <w:bottom w:val="single" w:sz="4" w:space="1" w:color="auto"/>
        </w:pBdr>
        <w:autoSpaceDE w:val="0"/>
        <w:autoSpaceDN w:val="0"/>
        <w:spacing w:line="360" w:lineRule="auto"/>
        <w:jc w:val="both"/>
        <w:rPr>
          <w:rFonts w:ascii="MinionPro-Regular" w:hAnsi="MinionPro-Regular"/>
          <w:sz w:val="24"/>
          <w:szCs w:val="24"/>
          <w:lang w:val="es-ES_tradnl"/>
        </w:rPr>
      </w:pPr>
    </w:p>
    <w:p w:rsidR="000134A5" w:rsidRDefault="000134A5">
      <w:pPr>
        <w:pBdr>
          <w:bottom w:val="single" w:sz="4" w:space="1" w:color="auto"/>
        </w:pBdr>
        <w:autoSpaceDE w:val="0"/>
        <w:autoSpaceDN w:val="0"/>
        <w:spacing w:line="360" w:lineRule="auto"/>
        <w:jc w:val="both"/>
        <w:rPr>
          <w:rFonts w:ascii="MinionPro-Regular" w:hAnsi="MinionPro-Regular"/>
          <w:sz w:val="24"/>
          <w:szCs w:val="24"/>
          <w:lang w:val="es-ES_tradnl"/>
        </w:rPr>
      </w:pPr>
    </w:p>
    <w:p w:rsidR="00E2336B" w:rsidRPr="00E2336B" w:rsidRDefault="00E1516B">
      <w:pPr>
        <w:autoSpaceDE w:val="0"/>
        <w:autoSpaceDN w:val="0"/>
        <w:spacing w:line="360" w:lineRule="auto"/>
        <w:jc w:val="both"/>
        <w:rPr>
          <w:noProof/>
          <w:lang w:val="es-ES_tradnl"/>
        </w:rPr>
      </w:pPr>
      <w:r>
        <w:rPr>
          <w:noProof/>
          <w:szCs w:val="24"/>
          <w:lang w:eastAsia="es-ES"/>
        </w:rPr>
        <w:drawing>
          <wp:inline distT="0" distB="0" distL="0" distR="0">
            <wp:extent cx="2743200" cy="2026920"/>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96"/>
                    <a:srcRect l="16446" r="9853" b="13545"/>
                    <a:stretch>
                      <a:fillRect/>
                    </a:stretch>
                  </pic:blipFill>
                  <pic:spPr bwMode="auto">
                    <a:xfrm>
                      <a:off x="0" y="0"/>
                      <a:ext cx="2743200" cy="2026920"/>
                    </a:xfrm>
                    <a:prstGeom prst="rect">
                      <a:avLst/>
                    </a:prstGeom>
                    <a:noFill/>
                    <a:ln w="9525">
                      <a:noFill/>
                      <a:miter lim="800000"/>
                      <a:headEnd/>
                      <a:tailEnd/>
                    </a:ln>
                  </pic:spPr>
                </pic:pic>
              </a:graphicData>
            </a:graphic>
          </wp:inline>
        </w:drawing>
      </w:r>
      <w:r w:rsidR="00F23441" w:rsidRPr="00F23441">
        <w:rPr>
          <w:noProof/>
          <w:lang w:val="es-ES_tradnl"/>
        </w:rPr>
        <w:t xml:space="preserve"> </w:t>
      </w:r>
      <w:r>
        <w:rPr>
          <w:noProof/>
          <w:szCs w:val="24"/>
          <w:lang w:eastAsia="es-ES"/>
        </w:rPr>
        <w:drawing>
          <wp:inline distT="0" distB="0" distL="0" distR="0">
            <wp:extent cx="2380615" cy="2044700"/>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97"/>
                    <a:srcRect l="17599" r="17400" b="16052"/>
                    <a:stretch>
                      <a:fillRect/>
                    </a:stretch>
                  </pic:blipFill>
                  <pic:spPr bwMode="auto">
                    <a:xfrm>
                      <a:off x="0" y="0"/>
                      <a:ext cx="2380615" cy="2044700"/>
                    </a:xfrm>
                    <a:prstGeom prst="rect">
                      <a:avLst/>
                    </a:prstGeom>
                    <a:noFill/>
                    <a:ln w="9525">
                      <a:noFill/>
                      <a:miter lim="800000"/>
                      <a:headEnd/>
                      <a:tailEnd/>
                    </a:ln>
                  </pic:spPr>
                </pic:pic>
              </a:graphicData>
            </a:graphic>
          </wp:inline>
        </w:drawing>
      </w:r>
    </w:p>
    <w:p w:rsidR="00E2336B" w:rsidRDefault="00F23441">
      <w:pPr>
        <w:pBdr>
          <w:bottom w:val="single" w:sz="4" w:space="1" w:color="auto"/>
        </w:pBdr>
        <w:tabs>
          <w:tab w:val="right" w:pos="8505"/>
        </w:tabs>
        <w:autoSpaceDE w:val="0"/>
        <w:autoSpaceDN w:val="0"/>
        <w:spacing w:line="360" w:lineRule="auto"/>
        <w:jc w:val="both"/>
        <w:rPr>
          <w:rFonts w:ascii="MinionPro-Regular" w:hAnsi="MinionPro-Regular"/>
          <w:sz w:val="20"/>
          <w:szCs w:val="24"/>
          <w:lang w:val="es-ES_tradnl"/>
        </w:rPr>
      </w:pPr>
      <w:r w:rsidRPr="00F23441">
        <w:rPr>
          <w:rFonts w:ascii="MinionPro-Regular" w:hAnsi="MinionPro-Regular"/>
          <w:sz w:val="20"/>
          <w:szCs w:val="24"/>
          <w:lang w:val="es-ES_tradnl"/>
        </w:rPr>
        <w:t>Fuente: Elaboración propia</w:t>
      </w:r>
    </w:p>
    <w:p w:rsidR="00E2336B" w:rsidRPr="00E2336B" w:rsidRDefault="00E2336B">
      <w:pPr>
        <w:pBdr>
          <w:bottom w:val="single" w:sz="4" w:space="1" w:color="auto"/>
        </w:pBdr>
        <w:tabs>
          <w:tab w:val="right" w:pos="8505"/>
        </w:tabs>
        <w:autoSpaceDE w:val="0"/>
        <w:autoSpaceDN w:val="0"/>
        <w:spacing w:line="360" w:lineRule="auto"/>
        <w:jc w:val="both"/>
        <w:rPr>
          <w:rFonts w:ascii="MinionPro-Regular" w:hAnsi="MinionPro-Regular"/>
          <w:sz w:val="20"/>
          <w:szCs w:val="24"/>
          <w:lang w:val="es-ES_tradnl"/>
        </w:rPr>
      </w:pPr>
      <w:r>
        <w:rPr>
          <w:rFonts w:ascii="MinionPro-Regular" w:hAnsi="MinionPro-Regular"/>
          <w:sz w:val="20"/>
          <w:szCs w:val="24"/>
          <w:lang w:val="es-ES_tradnl"/>
        </w:rPr>
        <w:t>Nota explicativa de las gráficas circulares. Gráfica de la izquierda: Grado de discapacidad entre 33% y 65%. Datos: Enfermedad mental (56%), discapacidad intelectual (6%), discapacidad física (23%), discapacidad visual (14%), discapacidad sensorial auditiva (1%). Gráfica de la derecha: Grado de discapacidad superior al 65%. Datos: Enfermedad mental (17%), discapacidad intelectual (12%), discapacidad física (55%), discapacidad visual (13%), discapacidad sensorial auditiva (3%).</w:t>
      </w:r>
    </w:p>
    <w:p w:rsidR="00E2336B" w:rsidRDefault="00E2336B" w:rsidP="004B21DB">
      <w:pPr>
        <w:autoSpaceDE w:val="0"/>
        <w:autoSpaceDN w:val="0"/>
        <w:spacing w:line="360" w:lineRule="auto"/>
        <w:jc w:val="both"/>
        <w:rPr>
          <w:rFonts w:ascii="MinionPro-Regular" w:hAnsi="MinionPro-Regular"/>
          <w:sz w:val="24"/>
          <w:szCs w:val="24"/>
          <w:lang w:val="es-ES_tradnl"/>
        </w:rPr>
      </w:pPr>
    </w:p>
    <w:p w:rsidR="00E2336B" w:rsidRDefault="00E2336B" w:rsidP="004B21DB">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 xml:space="preserve">Los  centros especiales de empleo deben contar con un plan de ajuste personal y social, que proporcione atención a las personas que requieren más ayuda en su lugar de trabajo. Un 79% de los gestores afirman disponer de tales planes. Este dato puede indicar la necesidad de mejorar el control sobre estos instrumentos.  </w:t>
      </w:r>
    </w:p>
    <w:p w:rsidR="0075670B" w:rsidRDefault="0075670B" w:rsidP="004B21DB">
      <w:pPr>
        <w:autoSpaceDE w:val="0"/>
        <w:autoSpaceDN w:val="0"/>
        <w:spacing w:line="360" w:lineRule="auto"/>
        <w:jc w:val="both"/>
        <w:rPr>
          <w:rFonts w:ascii="MinionPro-Regular" w:hAnsi="MinionPro-Regular"/>
          <w:sz w:val="24"/>
          <w:szCs w:val="24"/>
          <w:lang w:val="es-ES_tradnl"/>
        </w:rPr>
      </w:pPr>
    </w:p>
    <w:p w:rsidR="00E2336B" w:rsidRDefault="00E2336B" w:rsidP="0075670B">
      <w:pPr>
        <w:pStyle w:val="Textoindependiente"/>
        <w:spacing w:line="360" w:lineRule="auto"/>
        <w:rPr>
          <w:rFonts w:ascii="MinionPro-Regular" w:hAnsi="MinionPro-Regular"/>
          <w:sz w:val="24"/>
          <w:szCs w:val="24"/>
          <w:lang w:val="es-ES_tradnl"/>
        </w:rPr>
      </w:pPr>
      <w:r>
        <w:rPr>
          <w:rFonts w:ascii="MinionPro-Regular" w:hAnsi="MinionPro-Regular"/>
          <w:sz w:val="24"/>
          <w:szCs w:val="24"/>
          <w:lang w:val="es-ES_tradnl"/>
        </w:rPr>
        <w:t xml:space="preserve">Más adelante, en el año </w:t>
      </w:r>
      <w:r w:rsidR="00F23441" w:rsidRPr="00F23441">
        <w:rPr>
          <w:rFonts w:ascii="MinionPro-Regular" w:hAnsi="MinionPro-Regular"/>
          <w:sz w:val="24"/>
          <w:szCs w:val="24"/>
          <w:lang w:val="es-ES_tradnl"/>
        </w:rPr>
        <w:t>2006</w:t>
      </w:r>
      <w:r>
        <w:rPr>
          <w:rFonts w:ascii="MinionPro-Regular" w:hAnsi="MinionPro-Regular"/>
          <w:sz w:val="24"/>
          <w:szCs w:val="24"/>
          <w:lang w:val="es-ES_tradnl"/>
        </w:rPr>
        <w:t xml:space="preserve">, a modo de refuerzo de los planes de ajuste personal y social, surgieron a través del Real Decreto 469/2006, de 21 de abril, las denominadas </w:t>
      </w:r>
      <w:r>
        <w:rPr>
          <w:rFonts w:ascii="MinionPro-Regular" w:hAnsi="MinionPro-Regular"/>
          <w:sz w:val="24"/>
          <w:szCs w:val="24"/>
          <w:lang w:val="es-ES_tradnl"/>
        </w:rPr>
        <w:lastRenderedPageBreak/>
        <w:t xml:space="preserve">unidades de apoyo. La ley prevé numerosas funciones de este equipo de ayuda a las personas con mayores discapacidades en su lugar de trabajo. </w:t>
      </w:r>
    </w:p>
    <w:p w:rsidR="0075670B" w:rsidRDefault="0075670B" w:rsidP="0075670B">
      <w:pPr>
        <w:pStyle w:val="Textoindependiente"/>
        <w:spacing w:line="360" w:lineRule="auto"/>
        <w:rPr>
          <w:rFonts w:ascii="MinionPro-Regular" w:hAnsi="MinionPro-Regular"/>
          <w:sz w:val="24"/>
          <w:szCs w:val="24"/>
          <w:lang w:val="es-ES_tradnl"/>
        </w:rPr>
      </w:pPr>
    </w:p>
    <w:p w:rsidR="00E2336B" w:rsidRDefault="00E2336B" w:rsidP="004B21DB">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Aunque existe una ayuda específica dedicada a cubrir los gastos del personal de apoyo, en los últimos años han existido ciertas dificultades en la percepción de estas ayudas. Ello, sin duda, dificulta que los centros especiales de empleo puedan constituir unidades de apoyo. El 44% de los gestores consultados afirmaron que en sus centros no disponían de unidades de apoyo.</w:t>
      </w:r>
    </w:p>
    <w:p w:rsidR="00E2336B" w:rsidRDefault="00E2336B" w:rsidP="00A92198">
      <w:pPr>
        <w:autoSpaceDE w:val="0"/>
        <w:autoSpaceDN w:val="0"/>
        <w:spacing w:line="360" w:lineRule="auto"/>
        <w:jc w:val="both"/>
        <w:rPr>
          <w:rFonts w:ascii="MinionPro-Regular" w:hAnsi="MinionPro-Regular"/>
          <w:sz w:val="24"/>
          <w:szCs w:val="24"/>
          <w:lang w:val="es-ES_tradnl"/>
        </w:rPr>
      </w:pPr>
    </w:p>
    <w:p w:rsidR="00E2336B" w:rsidRDefault="00E2336B" w:rsidP="00A92198">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Los centros especiales de empleo, según su definición, deben funcionar como garantes de la estabilidad en el empleo de las personas con discapacidad. En la encuesta, más del 80% de los gestores está de acuerdo con tal afirmación.</w:t>
      </w:r>
    </w:p>
    <w:p w:rsidR="00E2336B" w:rsidRDefault="00E2336B" w:rsidP="00A92198">
      <w:pPr>
        <w:autoSpaceDE w:val="0"/>
        <w:autoSpaceDN w:val="0"/>
        <w:spacing w:line="360" w:lineRule="auto"/>
        <w:jc w:val="both"/>
        <w:rPr>
          <w:rFonts w:ascii="MinionPro-Regular" w:hAnsi="MinionPro-Regular"/>
          <w:sz w:val="24"/>
          <w:szCs w:val="24"/>
          <w:lang w:val="es-ES_tradnl"/>
        </w:rPr>
      </w:pPr>
    </w:p>
    <w:p w:rsidR="00E2336B" w:rsidRDefault="00E2336B" w:rsidP="00A92198">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Un aspecto importante reside en la facturación de los centros especiales de empleo, reflejo de su actividad económica y de su viabilidad, sobre todo a corto plazo.</w:t>
      </w:r>
    </w:p>
    <w:p w:rsidR="00E2336B" w:rsidRDefault="00E2336B" w:rsidP="00A92198">
      <w:pPr>
        <w:autoSpaceDE w:val="0"/>
        <w:autoSpaceDN w:val="0"/>
        <w:spacing w:line="360" w:lineRule="auto"/>
        <w:jc w:val="both"/>
        <w:rPr>
          <w:rFonts w:ascii="MinionPro-Regular" w:hAnsi="MinionPro-Regular"/>
          <w:sz w:val="24"/>
          <w:szCs w:val="24"/>
          <w:lang w:val="es-ES_tradnl"/>
        </w:rPr>
      </w:pPr>
    </w:p>
    <w:p w:rsidR="00E2336B" w:rsidRDefault="00E2336B" w:rsidP="00A92198">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En la encuesta se solicitaba especificar el dato de facturación del último ejercicio. Los resultados son los siguientes:</w:t>
      </w:r>
    </w:p>
    <w:p w:rsidR="00E2336B" w:rsidRDefault="00E2336B" w:rsidP="00A92198">
      <w:pPr>
        <w:autoSpaceDE w:val="0"/>
        <w:autoSpaceDN w:val="0"/>
        <w:spacing w:line="360" w:lineRule="auto"/>
        <w:jc w:val="both"/>
        <w:rPr>
          <w:rFonts w:ascii="MinionPro-Regular" w:hAnsi="MinionPro-Regular"/>
          <w:sz w:val="24"/>
          <w:szCs w:val="24"/>
          <w:lang w:val="es-ES_tradnl"/>
        </w:rPr>
      </w:pPr>
    </w:p>
    <w:p w:rsidR="00E2336B" w:rsidRDefault="00E2336B">
      <w:pPr>
        <w:pBdr>
          <w:top w:val="single" w:sz="4" w:space="1" w:color="auto"/>
        </w:pBdr>
        <w:autoSpaceDE w:val="0"/>
        <w:autoSpaceDN w:val="0"/>
        <w:spacing w:line="360" w:lineRule="auto"/>
        <w:jc w:val="both"/>
        <w:rPr>
          <w:rFonts w:ascii="MinionPro-Regular" w:hAnsi="MinionPro-Regular"/>
          <w:sz w:val="24"/>
          <w:szCs w:val="24"/>
          <w:lang w:val="es-ES_tradnl"/>
        </w:rPr>
      </w:pPr>
    </w:p>
    <w:tbl>
      <w:tblPr>
        <w:tblW w:w="8838" w:type="dxa"/>
        <w:tblBorders>
          <w:bottom w:val="single" w:sz="12" w:space="0" w:color="409DAD"/>
        </w:tblBorders>
        <w:tblCellMar>
          <w:top w:w="28" w:type="dxa"/>
          <w:left w:w="28" w:type="dxa"/>
          <w:bottom w:w="28" w:type="dxa"/>
          <w:right w:w="28" w:type="dxa"/>
        </w:tblCellMar>
        <w:tblLook w:val="00A0"/>
      </w:tblPr>
      <w:tblGrid>
        <w:gridCol w:w="5661"/>
        <w:gridCol w:w="3177"/>
      </w:tblGrid>
      <w:tr w:rsidR="00E2336B" w:rsidRPr="002E5BEA" w:rsidTr="00A62C1C">
        <w:trPr>
          <w:trHeight w:val="255"/>
        </w:trPr>
        <w:tc>
          <w:tcPr>
            <w:tcW w:w="5661" w:type="dxa"/>
            <w:shd w:val="clear" w:color="auto" w:fill="409DAD"/>
            <w:noWrap/>
            <w:vAlign w:val="center"/>
          </w:tcPr>
          <w:p w:rsidR="00E2336B" w:rsidRPr="00A62C1C" w:rsidRDefault="00E2336B" w:rsidP="00A62C1C">
            <w:pPr>
              <w:spacing w:line="180" w:lineRule="atLeast"/>
              <w:jc w:val="center"/>
              <w:rPr>
                <w:rFonts w:ascii="MinionPro-Regular" w:hAnsi="MinionPro-Regular" w:cs="Microsoft Sans Serif"/>
                <w:b/>
                <w:bCs/>
                <w:color w:val="FFFFFF"/>
                <w:sz w:val="20"/>
                <w:lang w:val="en-US"/>
              </w:rPr>
            </w:pPr>
            <w:r w:rsidRPr="00A62C1C">
              <w:rPr>
                <w:rFonts w:ascii="MinionPro-Regular" w:hAnsi="MinionPro-Regular" w:cs="Microsoft Sans Serif"/>
                <w:b/>
                <w:bCs/>
                <w:color w:val="FFFFFF"/>
                <w:sz w:val="20"/>
                <w:lang w:val="en-US"/>
              </w:rPr>
              <w:t>Facturación ejercicio 2011 (euros)</w:t>
            </w:r>
          </w:p>
        </w:tc>
        <w:tc>
          <w:tcPr>
            <w:tcW w:w="3177" w:type="dxa"/>
            <w:shd w:val="clear" w:color="auto" w:fill="409DAD"/>
            <w:noWrap/>
            <w:vAlign w:val="center"/>
          </w:tcPr>
          <w:p w:rsidR="00E2336B" w:rsidRPr="00A62C1C" w:rsidRDefault="00E2336B" w:rsidP="00A62C1C">
            <w:pPr>
              <w:spacing w:line="180" w:lineRule="atLeast"/>
              <w:jc w:val="center"/>
              <w:rPr>
                <w:rFonts w:ascii="MinionPro-Regular" w:hAnsi="MinionPro-Regular" w:cs="Microsoft Sans Serif"/>
                <w:b/>
                <w:bCs/>
                <w:color w:val="FFFFFF"/>
                <w:sz w:val="20"/>
                <w:lang w:val="en-US"/>
              </w:rPr>
            </w:pPr>
            <w:r w:rsidRPr="00A62C1C">
              <w:rPr>
                <w:rFonts w:ascii="MinionPro-Regular" w:hAnsi="MinionPro-Regular" w:cs="Microsoft Sans Serif"/>
                <w:b/>
                <w:bCs/>
                <w:color w:val="FFFFFF"/>
                <w:sz w:val="20"/>
                <w:lang w:val="en-US"/>
              </w:rPr>
              <w:t>Respuestas recibidas (%)</w:t>
            </w:r>
          </w:p>
        </w:tc>
      </w:tr>
      <w:tr w:rsidR="00E2336B" w:rsidRPr="002E5BEA" w:rsidTr="00A62C1C">
        <w:trPr>
          <w:trHeight w:val="255"/>
        </w:trPr>
        <w:tc>
          <w:tcPr>
            <w:tcW w:w="5661" w:type="dxa"/>
            <w:noWrap/>
            <w:vAlign w:val="center"/>
          </w:tcPr>
          <w:p w:rsidR="00E2336B" w:rsidRPr="00A62C1C" w:rsidRDefault="00E2336B" w:rsidP="00A62C1C">
            <w:pPr>
              <w:spacing w:line="180" w:lineRule="atLeast"/>
              <w:rPr>
                <w:rFonts w:ascii="MinionPro-Regular" w:hAnsi="MinionPro-Regular" w:cs="Microsoft Sans Serif"/>
                <w:sz w:val="20"/>
                <w:lang w:val="en-US"/>
              </w:rPr>
            </w:pPr>
            <w:r w:rsidRPr="00A62C1C">
              <w:rPr>
                <w:rFonts w:ascii="MinionPro-Regular" w:hAnsi="MinionPro-Regular" w:cs="Microsoft Sans Serif"/>
                <w:sz w:val="20"/>
                <w:lang w:val="en-US"/>
              </w:rPr>
              <w:t>Hasta 150.000</w:t>
            </w:r>
          </w:p>
        </w:tc>
        <w:tc>
          <w:tcPr>
            <w:tcW w:w="3177" w:type="dxa"/>
            <w:noWrap/>
            <w:vAlign w:val="center"/>
          </w:tcPr>
          <w:p w:rsidR="00E2336B" w:rsidRPr="00A62C1C" w:rsidRDefault="00E2336B" w:rsidP="00A62C1C">
            <w:pPr>
              <w:spacing w:line="180" w:lineRule="atLeast"/>
              <w:jc w:val="center"/>
              <w:rPr>
                <w:rFonts w:ascii="MinionPro-Regular" w:hAnsi="MinionPro-Regular" w:cs="Microsoft Sans Serif"/>
                <w:sz w:val="20"/>
                <w:lang w:val="en-US"/>
              </w:rPr>
            </w:pPr>
            <w:r w:rsidRPr="00A62C1C">
              <w:rPr>
                <w:rFonts w:ascii="MinionPro-Regular" w:hAnsi="MinionPro-Regular" w:cs="Microsoft Sans Serif"/>
                <w:sz w:val="20"/>
                <w:lang w:val="en-US"/>
              </w:rPr>
              <w:t>18%</w:t>
            </w:r>
          </w:p>
        </w:tc>
      </w:tr>
      <w:tr w:rsidR="00E2336B" w:rsidRPr="002E5BEA" w:rsidTr="00A62C1C">
        <w:trPr>
          <w:trHeight w:val="255"/>
        </w:trPr>
        <w:tc>
          <w:tcPr>
            <w:tcW w:w="5661" w:type="dxa"/>
            <w:noWrap/>
            <w:vAlign w:val="center"/>
          </w:tcPr>
          <w:p w:rsidR="00E2336B" w:rsidRPr="00A62C1C" w:rsidRDefault="00E2336B" w:rsidP="00A62C1C">
            <w:pPr>
              <w:spacing w:line="180" w:lineRule="atLeast"/>
              <w:rPr>
                <w:rFonts w:ascii="MinionPro-Regular" w:hAnsi="MinionPro-Regular" w:cs="Microsoft Sans Serif"/>
                <w:sz w:val="20"/>
                <w:lang w:val="en-US"/>
              </w:rPr>
            </w:pPr>
            <w:r w:rsidRPr="00A62C1C">
              <w:rPr>
                <w:rFonts w:ascii="MinionPro-Regular" w:hAnsi="MinionPro-Regular" w:cs="Microsoft Sans Serif"/>
                <w:sz w:val="20"/>
                <w:lang w:val="en-US"/>
              </w:rPr>
              <w:t>De 150.001 a 1.000.000</w:t>
            </w:r>
          </w:p>
        </w:tc>
        <w:tc>
          <w:tcPr>
            <w:tcW w:w="3177" w:type="dxa"/>
            <w:noWrap/>
            <w:vAlign w:val="center"/>
          </w:tcPr>
          <w:p w:rsidR="00E2336B" w:rsidRPr="00A62C1C" w:rsidRDefault="00E2336B" w:rsidP="00A62C1C">
            <w:pPr>
              <w:spacing w:line="180" w:lineRule="atLeast"/>
              <w:jc w:val="center"/>
              <w:rPr>
                <w:rFonts w:ascii="MinionPro-Regular" w:hAnsi="MinionPro-Regular" w:cs="Microsoft Sans Serif"/>
                <w:sz w:val="20"/>
                <w:lang w:val="en-US"/>
              </w:rPr>
            </w:pPr>
            <w:r w:rsidRPr="00A62C1C">
              <w:rPr>
                <w:rFonts w:ascii="MinionPro-Regular" w:hAnsi="MinionPro-Regular" w:cs="Microsoft Sans Serif"/>
                <w:sz w:val="20"/>
                <w:lang w:val="en-US"/>
              </w:rPr>
              <w:t>35%</w:t>
            </w:r>
          </w:p>
        </w:tc>
      </w:tr>
      <w:tr w:rsidR="00E2336B" w:rsidRPr="002E5BEA" w:rsidTr="00A62C1C">
        <w:trPr>
          <w:trHeight w:val="255"/>
        </w:trPr>
        <w:tc>
          <w:tcPr>
            <w:tcW w:w="5661" w:type="dxa"/>
            <w:noWrap/>
            <w:vAlign w:val="center"/>
          </w:tcPr>
          <w:p w:rsidR="00E2336B" w:rsidRPr="00A62C1C" w:rsidRDefault="00E2336B" w:rsidP="00A62C1C">
            <w:pPr>
              <w:spacing w:line="180" w:lineRule="atLeast"/>
              <w:rPr>
                <w:rFonts w:ascii="MinionPro-Regular" w:hAnsi="MinionPro-Regular" w:cs="Microsoft Sans Serif"/>
                <w:sz w:val="20"/>
                <w:lang w:val="en-US"/>
              </w:rPr>
            </w:pPr>
            <w:r w:rsidRPr="00A62C1C">
              <w:rPr>
                <w:rFonts w:ascii="MinionPro-Regular" w:hAnsi="MinionPro-Regular" w:cs="Microsoft Sans Serif"/>
                <w:sz w:val="20"/>
                <w:lang w:val="en-US"/>
              </w:rPr>
              <w:t>Más de 1.000.000</w:t>
            </w:r>
          </w:p>
        </w:tc>
        <w:tc>
          <w:tcPr>
            <w:tcW w:w="3177" w:type="dxa"/>
            <w:noWrap/>
            <w:vAlign w:val="center"/>
          </w:tcPr>
          <w:p w:rsidR="00E2336B" w:rsidRPr="00A62C1C" w:rsidRDefault="00E2336B" w:rsidP="00A62C1C">
            <w:pPr>
              <w:spacing w:line="180" w:lineRule="atLeast"/>
              <w:jc w:val="center"/>
              <w:rPr>
                <w:rFonts w:ascii="MinionPro-Regular" w:hAnsi="MinionPro-Regular" w:cs="Microsoft Sans Serif"/>
                <w:sz w:val="20"/>
                <w:lang w:val="en-US"/>
              </w:rPr>
            </w:pPr>
            <w:r w:rsidRPr="00A62C1C">
              <w:rPr>
                <w:rFonts w:ascii="MinionPro-Regular" w:hAnsi="MinionPro-Regular" w:cs="Microsoft Sans Serif"/>
                <w:sz w:val="20"/>
                <w:lang w:val="en-US"/>
              </w:rPr>
              <w:t>40%</w:t>
            </w:r>
          </w:p>
        </w:tc>
      </w:tr>
      <w:tr w:rsidR="00E2336B" w:rsidRPr="002E5BEA" w:rsidTr="00A62C1C">
        <w:trPr>
          <w:trHeight w:val="255"/>
        </w:trPr>
        <w:tc>
          <w:tcPr>
            <w:tcW w:w="5661" w:type="dxa"/>
            <w:tcBorders>
              <w:bottom w:val="single" w:sz="12" w:space="0" w:color="409DAD"/>
            </w:tcBorders>
            <w:noWrap/>
            <w:vAlign w:val="center"/>
          </w:tcPr>
          <w:p w:rsidR="00E2336B" w:rsidRPr="00A62C1C" w:rsidRDefault="00E2336B" w:rsidP="00A62C1C">
            <w:pPr>
              <w:spacing w:line="180" w:lineRule="atLeast"/>
              <w:rPr>
                <w:rFonts w:ascii="MinionPro-Regular" w:hAnsi="MinionPro-Regular" w:cs="Microsoft Sans Serif"/>
                <w:sz w:val="20"/>
                <w:lang w:val="en-US"/>
              </w:rPr>
            </w:pPr>
            <w:r w:rsidRPr="00A62C1C">
              <w:rPr>
                <w:rFonts w:ascii="MinionPro-Regular" w:hAnsi="MinionPro-Regular" w:cs="Microsoft Sans Serif"/>
                <w:sz w:val="20"/>
                <w:lang w:val="en-US"/>
              </w:rPr>
              <w:t>Mediana</w:t>
            </w:r>
          </w:p>
        </w:tc>
        <w:tc>
          <w:tcPr>
            <w:tcW w:w="3177" w:type="dxa"/>
            <w:tcBorders>
              <w:bottom w:val="single" w:sz="12" w:space="0" w:color="409DAD"/>
            </w:tcBorders>
            <w:noWrap/>
            <w:vAlign w:val="center"/>
          </w:tcPr>
          <w:p w:rsidR="00E2336B" w:rsidRPr="00A62C1C" w:rsidRDefault="00E2336B" w:rsidP="00A62C1C">
            <w:pPr>
              <w:spacing w:line="180" w:lineRule="atLeast"/>
              <w:jc w:val="center"/>
              <w:rPr>
                <w:rFonts w:ascii="MinionPro-Regular" w:hAnsi="MinionPro-Regular" w:cs="Microsoft Sans Serif"/>
                <w:sz w:val="20"/>
                <w:lang w:val="en-US"/>
              </w:rPr>
            </w:pPr>
            <w:r w:rsidRPr="00A62C1C">
              <w:rPr>
                <w:rFonts w:ascii="MinionPro-Regular" w:hAnsi="MinionPro-Regular" w:cs="Microsoft Sans Serif"/>
                <w:sz w:val="20"/>
                <w:lang w:val="en-US"/>
              </w:rPr>
              <w:t>710.500 euros</w:t>
            </w:r>
          </w:p>
        </w:tc>
      </w:tr>
    </w:tbl>
    <w:p w:rsidR="00E2336B" w:rsidRDefault="00E2336B" w:rsidP="00A92198">
      <w:pPr>
        <w:pBdr>
          <w:bottom w:val="single" w:sz="4" w:space="1" w:color="auto"/>
        </w:pBdr>
        <w:autoSpaceDE w:val="0"/>
        <w:autoSpaceDN w:val="0"/>
        <w:spacing w:line="360" w:lineRule="auto"/>
        <w:jc w:val="both"/>
        <w:rPr>
          <w:rFonts w:ascii="MinionPro-Regular" w:hAnsi="MinionPro-Regular"/>
          <w:sz w:val="20"/>
          <w:szCs w:val="24"/>
        </w:rPr>
      </w:pPr>
      <w:r>
        <w:rPr>
          <w:rFonts w:ascii="MinionPro-Regular" w:hAnsi="MinionPro-Regular"/>
          <w:sz w:val="20"/>
          <w:szCs w:val="24"/>
        </w:rPr>
        <w:t>Fuente: Elaboración propia.</w:t>
      </w:r>
    </w:p>
    <w:p w:rsidR="00E2336B" w:rsidRDefault="00E2336B" w:rsidP="00A92198">
      <w:pPr>
        <w:autoSpaceDE w:val="0"/>
        <w:autoSpaceDN w:val="0"/>
        <w:spacing w:line="360" w:lineRule="auto"/>
        <w:jc w:val="both"/>
        <w:rPr>
          <w:rFonts w:ascii="MinionPro-Regular" w:hAnsi="MinionPro-Regular"/>
          <w:sz w:val="24"/>
          <w:szCs w:val="24"/>
          <w:lang w:val="es-ES_tradnl"/>
        </w:rPr>
      </w:pPr>
    </w:p>
    <w:p w:rsidR="00E2336B" w:rsidRDefault="00E2336B" w:rsidP="00E96491">
      <w:pPr>
        <w:autoSpaceDE w:val="0"/>
        <w:autoSpaceDN w:val="0"/>
        <w:spacing w:line="360" w:lineRule="auto"/>
        <w:jc w:val="both"/>
        <w:rPr>
          <w:rFonts w:ascii="MinionPro-Regular" w:hAnsi="MinionPro-Regular"/>
          <w:sz w:val="24"/>
          <w:szCs w:val="24"/>
        </w:rPr>
      </w:pPr>
      <w:r>
        <w:rPr>
          <w:rFonts w:ascii="MinionPro-Regular" w:hAnsi="MinionPro-Regular"/>
          <w:sz w:val="24"/>
          <w:szCs w:val="24"/>
        </w:rPr>
        <w:t xml:space="preserve">Respecto del destino de los retornos obtenidos con la actividad económica, la práctica totalidad de los gestores indicó que se reinvierten en el propio centro o en sus trabajadores. </w:t>
      </w:r>
    </w:p>
    <w:p w:rsidR="00E2336B" w:rsidRDefault="00E2336B" w:rsidP="00E96491">
      <w:pPr>
        <w:autoSpaceDE w:val="0"/>
        <w:autoSpaceDN w:val="0"/>
        <w:spacing w:line="360" w:lineRule="auto"/>
        <w:jc w:val="both"/>
        <w:rPr>
          <w:rFonts w:ascii="MinionPro-Regular" w:hAnsi="MinionPro-Regular"/>
          <w:sz w:val="24"/>
          <w:szCs w:val="24"/>
        </w:rPr>
      </w:pPr>
    </w:p>
    <w:p w:rsidR="00E2336B" w:rsidRPr="00B33285" w:rsidRDefault="00E2336B" w:rsidP="00E96491">
      <w:pPr>
        <w:autoSpaceDE w:val="0"/>
        <w:autoSpaceDN w:val="0"/>
        <w:spacing w:line="360" w:lineRule="auto"/>
        <w:jc w:val="both"/>
        <w:rPr>
          <w:rFonts w:ascii="MinionPro-Regular" w:hAnsi="MinionPro-Regular"/>
          <w:sz w:val="24"/>
          <w:szCs w:val="24"/>
        </w:rPr>
      </w:pPr>
      <w:r>
        <w:rPr>
          <w:rFonts w:ascii="MinionPro-Regular" w:hAnsi="MinionPro-Regular"/>
          <w:sz w:val="24"/>
          <w:szCs w:val="24"/>
        </w:rPr>
        <w:t xml:space="preserve">En la tabla que se muestra a continuación, aparecen las respuestas más frecuentes a la pregunta sobre la actividad principal del centro especial empleo, que coinciden significativamente con los datos según las ayudas otorgadas por sectores de actividad. </w:t>
      </w:r>
    </w:p>
    <w:p w:rsidR="00E2336B" w:rsidRDefault="00E2336B" w:rsidP="00E96491">
      <w:pPr>
        <w:pBdr>
          <w:bottom w:val="single" w:sz="4" w:space="1" w:color="auto"/>
        </w:pBdr>
        <w:autoSpaceDE w:val="0"/>
        <w:autoSpaceDN w:val="0"/>
        <w:spacing w:line="360" w:lineRule="auto"/>
        <w:jc w:val="both"/>
        <w:rPr>
          <w:rFonts w:ascii="MinionPro-Regular" w:hAnsi="MinionPro-Regular"/>
          <w:sz w:val="24"/>
          <w:szCs w:val="24"/>
          <w:lang w:val="es-ES_tradnl"/>
        </w:rPr>
      </w:pPr>
    </w:p>
    <w:p w:rsidR="000134A5" w:rsidRDefault="000134A5" w:rsidP="00E96491">
      <w:pPr>
        <w:pBdr>
          <w:bottom w:val="single" w:sz="4" w:space="1" w:color="auto"/>
        </w:pBdr>
        <w:autoSpaceDE w:val="0"/>
        <w:autoSpaceDN w:val="0"/>
        <w:spacing w:line="360" w:lineRule="auto"/>
        <w:jc w:val="both"/>
        <w:rPr>
          <w:rFonts w:ascii="MinionPro-Regular" w:hAnsi="MinionPro-Regular"/>
          <w:sz w:val="24"/>
          <w:szCs w:val="24"/>
          <w:lang w:val="es-ES_tradnl"/>
        </w:rPr>
      </w:pPr>
    </w:p>
    <w:p w:rsidR="000134A5" w:rsidRDefault="000134A5" w:rsidP="00E96491">
      <w:pPr>
        <w:pBdr>
          <w:bottom w:val="single" w:sz="4" w:space="1" w:color="auto"/>
        </w:pBdr>
        <w:autoSpaceDE w:val="0"/>
        <w:autoSpaceDN w:val="0"/>
        <w:spacing w:line="360" w:lineRule="auto"/>
        <w:jc w:val="both"/>
        <w:rPr>
          <w:rFonts w:ascii="MinionPro-Regular" w:hAnsi="MinionPro-Regular"/>
          <w:sz w:val="24"/>
          <w:szCs w:val="24"/>
          <w:lang w:val="es-ES_tradnl"/>
        </w:rPr>
      </w:pPr>
    </w:p>
    <w:p w:rsidR="000134A5" w:rsidRDefault="000134A5" w:rsidP="00E96491">
      <w:pPr>
        <w:pBdr>
          <w:bottom w:val="single" w:sz="4" w:space="1" w:color="auto"/>
        </w:pBdr>
        <w:autoSpaceDE w:val="0"/>
        <w:autoSpaceDN w:val="0"/>
        <w:spacing w:line="360" w:lineRule="auto"/>
        <w:jc w:val="both"/>
        <w:rPr>
          <w:rFonts w:ascii="MinionPro-Regular" w:hAnsi="MinionPro-Regular"/>
          <w:sz w:val="24"/>
          <w:szCs w:val="24"/>
          <w:lang w:val="es-ES_tradnl"/>
        </w:rPr>
      </w:pPr>
    </w:p>
    <w:p w:rsidR="000134A5" w:rsidRDefault="000134A5" w:rsidP="00E96491">
      <w:pPr>
        <w:pBdr>
          <w:bottom w:val="single" w:sz="4" w:space="1" w:color="auto"/>
        </w:pBdr>
        <w:autoSpaceDE w:val="0"/>
        <w:autoSpaceDN w:val="0"/>
        <w:spacing w:line="360" w:lineRule="auto"/>
        <w:jc w:val="both"/>
        <w:rPr>
          <w:rFonts w:ascii="MinionPro-Regular" w:hAnsi="MinionPro-Regular"/>
          <w:sz w:val="24"/>
          <w:szCs w:val="24"/>
          <w:lang w:val="es-ES_tradnl"/>
        </w:rPr>
      </w:pPr>
    </w:p>
    <w:p w:rsidR="000134A5" w:rsidRDefault="000134A5" w:rsidP="00E96491">
      <w:pPr>
        <w:pBdr>
          <w:bottom w:val="single" w:sz="4" w:space="1" w:color="auto"/>
        </w:pBdr>
        <w:autoSpaceDE w:val="0"/>
        <w:autoSpaceDN w:val="0"/>
        <w:spacing w:line="360" w:lineRule="auto"/>
        <w:jc w:val="both"/>
        <w:rPr>
          <w:rFonts w:ascii="MinionPro-Regular" w:hAnsi="MinionPro-Regular"/>
          <w:sz w:val="24"/>
          <w:szCs w:val="24"/>
          <w:lang w:val="es-ES_tradnl"/>
        </w:rPr>
      </w:pPr>
    </w:p>
    <w:p w:rsidR="00E2336B" w:rsidRDefault="00E2336B" w:rsidP="00E96491">
      <w:pPr>
        <w:autoSpaceDE w:val="0"/>
        <w:autoSpaceDN w:val="0"/>
        <w:spacing w:line="360" w:lineRule="auto"/>
        <w:jc w:val="both"/>
        <w:rPr>
          <w:rFonts w:ascii="MinionPro-Regular" w:hAnsi="MinionPro-Regular"/>
          <w:sz w:val="24"/>
          <w:szCs w:val="24"/>
          <w:lang w:val="es-ES_tradnl"/>
        </w:rPr>
      </w:pPr>
    </w:p>
    <w:tbl>
      <w:tblPr>
        <w:tblW w:w="8838" w:type="dxa"/>
        <w:tblBorders>
          <w:bottom w:val="single" w:sz="12" w:space="0" w:color="409DAD"/>
        </w:tblBorders>
        <w:tblCellMar>
          <w:top w:w="28" w:type="dxa"/>
          <w:left w:w="28" w:type="dxa"/>
          <w:bottom w:w="28" w:type="dxa"/>
          <w:right w:w="28" w:type="dxa"/>
        </w:tblCellMar>
        <w:tblLook w:val="00A0"/>
      </w:tblPr>
      <w:tblGrid>
        <w:gridCol w:w="5661"/>
        <w:gridCol w:w="3177"/>
      </w:tblGrid>
      <w:tr w:rsidR="00E2336B" w:rsidRPr="002E5BEA" w:rsidTr="00A62C1C">
        <w:trPr>
          <w:trHeight w:val="255"/>
        </w:trPr>
        <w:tc>
          <w:tcPr>
            <w:tcW w:w="5661" w:type="dxa"/>
            <w:shd w:val="clear" w:color="auto" w:fill="409DAD"/>
            <w:noWrap/>
            <w:vAlign w:val="center"/>
          </w:tcPr>
          <w:p w:rsidR="00E2336B" w:rsidRPr="00A62C1C" w:rsidRDefault="00E2336B" w:rsidP="00A62C1C">
            <w:pPr>
              <w:spacing w:line="180" w:lineRule="atLeast"/>
              <w:jc w:val="center"/>
              <w:rPr>
                <w:rFonts w:ascii="MinionPro-Regular" w:hAnsi="MinionPro-Regular" w:cs="Microsoft Sans Serif"/>
                <w:b/>
                <w:bCs/>
                <w:color w:val="FFFFFF"/>
                <w:sz w:val="20"/>
                <w:lang w:val="en-US"/>
              </w:rPr>
            </w:pPr>
            <w:r w:rsidRPr="00A62C1C">
              <w:rPr>
                <w:rFonts w:ascii="MinionPro-Regular" w:hAnsi="MinionPro-Regular" w:cs="Microsoft Sans Serif"/>
                <w:b/>
                <w:bCs/>
                <w:color w:val="FFFFFF"/>
                <w:sz w:val="20"/>
                <w:lang w:val="en-US"/>
              </w:rPr>
              <w:t>Actividad principal del centro</w:t>
            </w:r>
          </w:p>
        </w:tc>
        <w:tc>
          <w:tcPr>
            <w:tcW w:w="3177" w:type="dxa"/>
            <w:shd w:val="clear" w:color="auto" w:fill="409DAD"/>
            <w:noWrap/>
            <w:vAlign w:val="center"/>
          </w:tcPr>
          <w:p w:rsidR="00E2336B" w:rsidRPr="00A62C1C" w:rsidRDefault="00E2336B" w:rsidP="00A62C1C">
            <w:pPr>
              <w:spacing w:line="180" w:lineRule="atLeast"/>
              <w:jc w:val="center"/>
              <w:rPr>
                <w:rFonts w:ascii="MinionPro-Regular" w:hAnsi="MinionPro-Regular" w:cs="Microsoft Sans Serif"/>
                <w:b/>
                <w:bCs/>
                <w:color w:val="FFFFFF"/>
                <w:sz w:val="20"/>
                <w:lang w:val="en-US"/>
              </w:rPr>
            </w:pPr>
            <w:r w:rsidRPr="00A62C1C">
              <w:rPr>
                <w:rFonts w:ascii="MinionPro-Regular" w:hAnsi="MinionPro-Regular" w:cs="Microsoft Sans Serif"/>
                <w:b/>
                <w:bCs/>
                <w:color w:val="FFFFFF"/>
                <w:sz w:val="20"/>
                <w:lang w:val="en-US"/>
              </w:rPr>
              <w:t>Respuestas recibidas (%)</w:t>
            </w:r>
          </w:p>
        </w:tc>
      </w:tr>
      <w:tr w:rsidR="00E2336B" w:rsidRPr="002E5BEA" w:rsidTr="00A62C1C">
        <w:trPr>
          <w:trHeight w:val="255"/>
        </w:trPr>
        <w:tc>
          <w:tcPr>
            <w:tcW w:w="5661" w:type="dxa"/>
            <w:noWrap/>
            <w:vAlign w:val="center"/>
          </w:tcPr>
          <w:p w:rsidR="00E2336B" w:rsidRPr="00A62C1C" w:rsidRDefault="00E2336B" w:rsidP="00A62C1C">
            <w:pPr>
              <w:spacing w:line="180" w:lineRule="atLeast"/>
              <w:rPr>
                <w:rFonts w:ascii="MinionPro-Regular" w:hAnsi="MinionPro-Regular" w:cs="Microsoft Sans Serif"/>
                <w:sz w:val="20"/>
                <w:lang w:val="en-US"/>
              </w:rPr>
            </w:pPr>
            <w:r w:rsidRPr="00A62C1C">
              <w:rPr>
                <w:rFonts w:ascii="MinionPro-Regular" w:hAnsi="MinionPro-Regular" w:cs="Microsoft Sans Serif"/>
                <w:sz w:val="20"/>
                <w:lang w:val="en-US"/>
              </w:rPr>
              <w:t>Limpieza (edificios, vía pública…)</w:t>
            </w:r>
          </w:p>
        </w:tc>
        <w:tc>
          <w:tcPr>
            <w:tcW w:w="3177" w:type="dxa"/>
            <w:noWrap/>
            <w:vAlign w:val="center"/>
          </w:tcPr>
          <w:p w:rsidR="00E2336B" w:rsidRPr="00A62C1C" w:rsidRDefault="00E2336B" w:rsidP="00A62C1C">
            <w:pPr>
              <w:spacing w:line="180" w:lineRule="atLeast"/>
              <w:jc w:val="center"/>
              <w:rPr>
                <w:rFonts w:ascii="MinionPro-Regular" w:hAnsi="MinionPro-Regular" w:cs="Microsoft Sans Serif"/>
                <w:sz w:val="20"/>
                <w:lang w:val="en-US"/>
              </w:rPr>
            </w:pPr>
            <w:r w:rsidRPr="00A62C1C">
              <w:rPr>
                <w:rFonts w:ascii="MinionPro-Regular" w:hAnsi="MinionPro-Regular" w:cs="Microsoft Sans Serif"/>
                <w:sz w:val="20"/>
                <w:lang w:val="en-US"/>
              </w:rPr>
              <w:t>15%</w:t>
            </w:r>
          </w:p>
        </w:tc>
      </w:tr>
      <w:tr w:rsidR="00E2336B" w:rsidRPr="002E5BEA" w:rsidTr="00A62C1C">
        <w:trPr>
          <w:trHeight w:val="255"/>
        </w:trPr>
        <w:tc>
          <w:tcPr>
            <w:tcW w:w="5661" w:type="dxa"/>
            <w:noWrap/>
            <w:vAlign w:val="center"/>
          </w:tcPr>
          <w:p w:rsidR="00E2336B" w:rsidRPr="00A62C1C" w:rsidRDefault="00E2336B" w:rsidP="00A62C1C">
            <w:pPr>
              <w:spacing w:line="180" w:lineRule="atLeast"/>
              <w:rPr>
                <w:rFonts w:ascii="MinionPro-Regular" w:hAnsi="MinionPro-Regular" w:cs="Microsoft Sans Serif"/>
                <w:sz w:val="20"/>
                <w:lang w:val="en-US"/>
              </w:rPr>
            </w:pPr>
            <w:r w:rsidRPr="00A62C1C">
              <w:rPr>
                <w:rFonts w:ascii="MinionPro-Regular" w:hAnsi="MinionPro-Regular" w:cs="Microsoft Sans Serif"/>
                <w:sz w:val="20"/>
                <w:lang w:val="en-US"/>
              </w:rPr>
              <w:t>Lavandería</w:t>
            </w:r>
          </w:p>
        </w:tc>
        <w:tc>
          <w:tcPr>
            <w:tcW w:w="3177" w:type="dxa"/>
            <w:noWrap/>
            <w:vAlign w:val="center"/>
          </w:tcPr>
          <w:p w:rsidR="00E2336B" w:rsidRPr="00A62C1C" w:rsidRDefault="00E2336B" w:rsidP="00A62C1C">
            <w:pPr>
              <w:spacing w:line="180" w:lineRule="atLeast"/>
              <w:jc w:val="center"/>
              <w:rPr>
                <w:rFonts w:ascii="MinionPro-Regular" w:hAnsi="MinionPro-Regular" w:cs="Microsoft Sans Serif"/>
                <w:sz w:val="20"/>
                <w:lang w:val="en-US"/>
              </w:rPr>
            </w:pPr>
            <w:r w:rsidRPr="00A62C1C">
              <w:rPr>
                <w:rFonts w:ascii="MinionPro-Regular" w:hAnsi="MinionPro-Regular" w:cs="Microsoft Sans Serif"/>
                <w:sz w:val="20"/>
                <w:lang w:val="en-US"/>
              </w:rPr>
              <w:t>15%</w:t>
            </w:r>
          </w:p>
        </w:tc>
      </w:tr>
      <w:tr w:rsidR="00E2336B" w:rsidRPr="002E5BEA" w:rsidTr="00A62C1C">
        <w:trPr>
          <w:trHeight w:val="255"/>
        </w:trPr>
        <w:tc>
          <w:tcPr>
            <w:tcW w:w="5661" w:type="dxa"/>
            <w:noWrap/>
            <w:vAlign w:val="center"/>
          </w:tcPr>
          <w:p w:rsidR="00E2336B" w:rsidRPr="00A62C1C" w:rsidRDefault="00E2336B" w:rsidP="00A62C1C">
            <w:pPr>
              <w:spacing w:line="180" w:lineRule="atLeast"/>
              <w:rPr>
                <w:rFonts w:ascii="MinionPro-Regular" w:hAnsi="MinionPro-Regular" w:cs="Microsoft Sans Serif"/>
                <w:sz w:val="20"/>
                <w:lang w:val="en-US"/>
              </w:rPr>
            </w:pPr>
            <w:r w:rsidRPr="00A62C1C">
              <w:rPr>
                <w:rFonts w:ascii="MinionPro-Regular" w:hAnsi="MinionPro-Regular" w:cs="Microsoft Sans Serif"/>
                <w:sz w:val="20"/>
                <w:lang w:val="en-US"/>
              </w:rPr>
              <w:t>Jardinería</w:t>
            </w:r>
          </w:p>
        </w:tc>
        <w:tc>
          <w:tcPr>
            <w:tcW w:w="3177" w:type="dxa"/>
            <w:noWrap/>
            <w:vAlign w:val="center"/>
          </w:tcPr>
          <w:p w:rsidR="00E2336B" w:rsidRPr="00A62C1C" w:rsidRDefault="00E2336B" w:rsidP="00A62C1C">
            <w:pPr>
              <w:spacing w:line="180" w:lineRule="atLeast"/>
              <w:jc w:val="center"/>
              <w:rPr>
                <w:rFonts w:ascii="MinionPro-Regular" w:hAnsi="MinionPro-Regular" w:cs="Microsoft Sans Serif"/>
                <w:sz w:val="20"/>
                <w:lang w:val="en-US"/>
              </w:rPr>
            </w:pPr>
            <w:r w:rsidRPr="00A62C1C">
              <w:rPr>
                <w:rFonts w:ascii="MinionPro-Regular" w:hAnsi="MinionPro-Regular" w:cs="Microsoft Sans Serif"/>
                <w:sz w:val="20"/>
                <w:lang w:val="en-US"/>
              </w:rPr>
              <w:t>8%</w:t>
            </w:r>
          </w:p>
        </w:tc>
      </w:tr>
      <w:tr w:rsidR="00E2336B" w:rsidRPr="002E5BEA" w:rsidTr="00A62C1C">
        <w:trPr>
          <w:trHeight w:val="255"/>
        </w:trPr>
        <w:tc>
          <w:tcPr>
            <w:tcW w:w="5661" w:type="dxa"/>
            <w:noWrap/>
            <w:vAlign w:val="center"/>
          </w:tcPr>
          <w:p w:rsidR="00E2336B" w:rsidRPr="00A62C1C" w:rsidRDefault="00E2336B" w:rsidP="00A62C1C">
            <w:pPr>
              <w:spacing w:line="180" w:lineRule="atLeast"/>
              <w:rPr>
                <w:rFonts w:ascii="MinionPro-Regular" w:hAnsi="MinionPro-Regular" w:cs="Microsoft Sans Serif"/>
                <w:sz w:val="20"/>
                <w:lang w:val="en-US"/>
              </w:rPr>
            </w:pPr>
            <w:r w:rsidRPr="00A62C1C">
              <w:rPr>
                <w:rFonts w:ascii="MinionPro-Regular" w:hAnsi="MinionPro-Regular" w:cs="Microsoft Sans Serif"/>
                <w:sz w:val="20"/>
                <w:lang w:val="en-US"/>
              </w:rPr>
              <w:t>Asistencia Social</w:t>
            </w:r>
          </w:p>
        </w:tc>
        <w:tc>
          <w:tcPr>
            <w:tcW w:w="3177" w:type="dxa"/>
            <w:noWrap/>
            <w:vAlign w:val="center"/>
          </w:tcPr>
          <w:p w:rsidR="00E2336B" w:rsidRPr="00A62C1C" w:rsidRDefault="00E2336B" w:rsidP="00A62C1C">
            <w:pPr>
              <w:spacing w:line="180" w:lineRule="atLeast"/>
              <w:jc w:val="center"/>
              <w:rPr>
                <w:rFonts w:ascii="MinionPro-Regular" w:hAnsi="MinionPro-Regular" w:cs="Microsoft Sans Serif"/>
                <w:sz w:val="20"/>
                <w:lang w:val="en-US"/>
              </w:rPr>
            </w:pPr>
            <w:r w:rsidRPr="00A62C1C">
              <w:rPr>
                <w:rFonts w:ascii="MinionPro-Regular" w:hAnsi="MinionPro-Regular" w:cs="Microsoft Sans Serif"/>
                <w:sz w:val="20"/>
                <w:lang w:val="en-US"/>
              </w:rPr>
              <w:t>4%</w:t>
            </w:r>
          </w:p>
        </w:tc>
      </w:tr>
      <w:tr w:rsidR="00E2336B" w:rsidRPr="002E5BEA" w:rsidTr="00A62C1C">
        <w:trPr>
          <w:trHeight w:val="255"/>
        </w:trPr>
        <w:tc>
          <w:tcPr>
            <w:tcW w:w="5661" w:type="dxa"/>
            <w:noWrap/>
            <w:vAlign w:val="center"/>
          </w:tcPr>
          <w:p w:rsidR="00E2336B" w:rsidRPr="00A62C1C" w:rsidRDefault="00E2336B" w:rsidP="00A62C1C">
            <w:pPr>
              <w:spacing w:line="180" w:lineRule="atLeast"/>
              <w:rPr>
                <w:rFonts w:ascii="MinionPro-Regular" w:hAnsi="MinionPro-Regular" w:cs="Microsoft Sans Serif"/>
                <w:sz w:val="20"/>
                <w:lang w:val="en-US"/>
              </w:rPr>
            </w:pPr>
            <w:r w:rsidRPr="00A62C1C">
              <w:rPr>
                <w:rFonts w:ascii="MinionPro-Regular" w:hAnsi="MinionPro-Regular" w:cs="Microsoft Sans Serif"/>
                <w:sz w:val="20"/>
                <w:lang w:val="en-US"/>
              </w:rPr>
              <w:t>Manufactura (otras industrias)</w:t>
            </w:r>
          </w:p>
        </w:tc>
        <w:tc>
          <w:tcPr>
            <w:tcW w:w="3177" w:type="dxa"/>
            <w:noWrap/>
            <w:vAlign w:val="center"/>
          </w:tcPr>
          <w:p w:rsidR="00E2336B" w:rsidRPr="00A62C1C" w:rsidRDefault="00E2336B" w:rsidP="00A62C1C">
            <w:pPr>
              <w:spacing w:line="180" w:lineRule="atLeast"/>
              <w:jc w:val="center"/>
              <w:rPr>
                <w:rFonts w:ascii="MinionPro-Regular" w:hAnsi="MinionPro-Regular" w:cs="Microsoft Sans Serif"/>
                <w:sz w:val="20"/>
                <w:lang w:val="en-US"/>
              </w:rPr>
            </w:pPr>
            <w:r w:rsidRPr="00A62C1C">
              <w:rPr>
                <w:rFonts w:ascii="MinionPro-Regular" w:hAnsi="MinionPro-Regular" w:cs="Microsoft Sans Serif"/>
                <w:sz w:val="20"/>
                <w:lang w:val="en-US"/>
              </w:rPr>
              <w:t>4%</w:t>
            </w:r>
          </w:p>
        </w:tc>
      </w:tr>
      <w:tr w:rsidR="00E2336B" w:rsidRPr="002E5BEA" w:rsidTr="00A62C1C">
        <w:trPr>
          <w:trHeight w:val="255"/>
        </w:trPr>
        <w:tc>
          <w:tcPr>
            <w:tcW w:w="5661" w:type="dxa"/>
            <w:noWrap/>
            <w:vAlign w:val="center"/>
          </w:tcPr>
          <w:p w:rsidR="00E2336B" w:rsidRPr="00A62C1C" w:rsidRDefault="00E2336B" w:rsidP="00A62C1C">
            <w:pPr>
              <w:spacing w:line="180" w:lineRule="atLeast"/>
              <w:rPr>
                <w:rFonts w:ascii="MinionPro-Regular" w:hAnsi="MinionPro-Regular" w:cs="Microsoft Sans Serif"/>
                <w:sz w:val="20"/>
                <w:lang w:val="es-ES_tradnl"/>
              </w:rPr>
            </w:pPr>
            <w:r w:rsidRPr="00A62C1C">
              <w:rPr>
                <w:rFonts w:ascii="MinionPro-Regular" w:hAnsi="MinionPro-Regular" w:cs="Microsoft Sans Serif"/>
                <w:sz w:val="20"/>
                <w:lang w:val="es-ES_tradnl"/>
              </w:rPr>
              <w:t>Reciclado (papel cartón, punto limpio, RAEEs, residuos sanitarios...)</w:t>
            </w:r>
          </w:p>
        </w:tc>
        <w:tc>
          <w:tcPr>
            <w:tcW w:w="3177" w:type="dxa"/>
            <w:noWrap/>
            <w:vAlign w:val="center"/>
          </w:tcPr>
          <w:p w:rsidR="00E2336B" w:rsidRPr="00A62C1C" w:rsidRDefault="00E2336B" w:rsidP="00A62C1C">
            <w:pPr>
              <w:spacing w:line="180" w:lineRule="atLeast"/>
              <w:jc w:val="center"/>
              <w:rPr>
                <w:rFonts w:ascii="MinionPro-Regular" w:hAnsi="MinionPro-Regular" w:cs="Microsoft Sans Serif"/>
                <w:sz w:val="20"/>
                <w:lang w:val="en-US"/>
              </w:rPr>
            </w:pPr>
            <w:r w:rsidRPr="00A62C1C">
              <w:rPr>
                <w:rFonts w:ascii="MinionPro-Regular" w:hAnsi="MinionPro-Regular" w:cs="Microsoft Sans Serif"/>
                <w:sz w:val="20"/>
                <w:lang w:val="en-US"/>
              </w:rPr>
              <w:t>4%</w:t>
            </w:r>
          </w:p>
        </w:tc>
      </w:tr>
      <w:tr w:rsidR="00E2336B" w:rsidRPr="002E5BEA" w:rsidTr="00A62C1C">
        <w:trPr>
          <w:trHeight w:val="255"/>
        </w:trPr>
        <w:tc>
          <w:tcPr>
            <w:tcW w:w="5661" w:type="dxa"/>
            <w:noWrap/>
            <w:vAlign w:val="center"/>
          </w:tcPr>
          <w:p w:rsidR="00E2336B" w:rsidRPr="00A62C1C" w:rsidRDefault="00E2336B" w:rsidP="00A62C1C">
            <w:pPr>
              <w:spacing w:line="180" w:lineRule="atLeast"/>
              <w:rPr>
                <w:rFonts w:ascii="MinionPro-Regular" w:hAnsi="MinionPro-Regular" w:cs="Microsoft Sans Serif"/>
                <w:sz w:val="20"/>
                <w:lang w:val="es-ES_tradnl"/>
              </w:rPr>
            </w:pPr>
            <w:r w:rsidRPr="00A62C1C">
              <w:rPr>
                <w:rFonts w:ascii="MinionPro-Regular" w:hAnsi="MinionPro-Regular" w:cs="Microsoft Sans Serif"/>
                <w:sz w:val="20"/>
                <w:lang w:val="es-ES_tradnl"/>
              </w:rPr>
              <w:t>Copistería, imprenta y/o reprografía</w:t>
            </w:r>
          </w:p>
        </w:tc>
        <w:tc>
          <w:tcPr>
            <w:tcW w:w="3177" w:type="dxa"/>
            <w:noWrap/>
            <w:vAlign w:val="center"/>
          </w:tcPr>
          <w:p w:rsidR="00E2336B" w:rsidRPr="00A62C1C" w:rsidRDefault="00E2336B" w:rsidP="00A62C1C">
            <w:pPr>
              <w:spacing w:line="180" w:lineRule="atLeast"/>
              <w:jc w:val="center"/>
              <w:rPr>
                <w:rFonts w:ascii="MinionPro-Regular" w:hAnsi="MinionPro-Regular" w:cs="Microsoft Sans Serif"/>
                <w:sz w:val="20"/>
                <w:lang w:val="en-US"/>
              </w:rPr>
            </w:pPr>
            <w:r w:rsidRPr="00A62C1C">
              <w:rPr>
                <w:rFonts w:ascii="MinionPro-Regular" w:hAnsi="MinionPro-Regular" w:cs="Microsoft Sans Serif"/>
                <w:sz w:val="20"/>
                <w:lang w:val="en-US"/>
              </w:rPr>
              <w:t>3%</w:t>
            </w:r>
          </w:p>
        </w:tc>
      </w:tr>
      <w:tr w:rsidR="00E2336B" w:rsidRPr="002E5BEA" w:rsidTr="00A62C1C">
        <w:trPr>
          <w:trHeight w:val="255"/>
        </w:trPr>
        <w:tc>
          <w:tcPr>
            <w:tcW w:w="5661" w:type="dxa"/>
            <w:noWrap/>
            <w:vAlign w:val="center"/>
          </w:tcPr>
          <w:p w:rsidR="00E2336B" w:rsidRPr="00A62C1C" w:rsidRDefault="00E2336B" w:rsidP="00A62C1C">
            <w:pPr>
              <w:spacing w:line="180" w:lineRule="atLeast"/>
              <w:rPr>
                <w:rFonts w:ascii="MinionPro-Regular" w:hAnsi="MinionPro-Regular" w:cs="Microsoft Sans Serif"/>
                <w:sz w:val="20"/>
                <w:lang w:val="en-US"/>
              </w:rPr>
            </w:pPr>
            <w:r w:rsidRPr="00A62C1C">
              <w:rPr>
                <w:rFonts w:ascii="MinionPro-Regular" w:hAnsi="MinionPro-Regular" w:cs="Microsoft Sans Serif"/>
                <w:sz w:val="20"/>
                <w:lang w:val="en-US"/>
              </w:rPr>
              <w:t>Consultoría IT</w:t>
            </w:r>
          </w:p>
        </w:tc>
        <w:tc>
          <w:tcPr>
            <w:tcW w:w="3177" w:type="dxa"/>
            <w:noWrap/>
            <w:vAlign w:val="center"/>
          </w:tcPr>
          <w:p w:rsidR="00E2336B" w:rsidRPr="00A62C1C" w:rsidRDefault="00E2336B" w:rsidP="00A62C1C">
            <w:pPr>
              <w:spacing w:line="180" w:lineRule="atLeast"/>
              <w:jc w:val="center"/>
              <w:rPr>
                <w:rFonts w:ascii="MinionPro-Regular" w:hAnsi="MinionPro-Regular" w:cs="Microsoft Sans Serif"/>
                <w:sz w:val="20"/>
                <w:lang w:val="en-US"/>
              </w:rPr>
            </w:pPr>
            <w:r w:rsidRPr="00A62C1C">
              <w:rPr>
                <w:rFonts w:ascii="MinionPro-Regular" w:hAnsi="MinionPro-Regular" w:cs="Microsoft Sans Serif"/>
                <w:sz w:val="20"/>
                <w:lang w:val="en-US"/>
              </w:rPr>
              <w:t>3%</w:t>
            </w:r>
          </w:p>
        </w:tc>
      </w:tr>
      <w:tr w:rsidR="00E2336B" w:rsidRPr="002E5BEA" w:rsidTr="00A62C1C">
        <w:trPr>
          <w:trHeight w:val="255"/>
        </w:trPr>
        <w:tc>
          <w:tcPr>
            <w:tcW w:w="5661" w:type="dxa"/>
            <w:noWrap/>
            <w:vAlign w:val="center"/>
          </w:tcPr>
          <w:p w:rsidR="00E2336B" w:rsidRPr="00A62C1C" w:rsidRDefault="00E2336B" w:rsidP="00A62C1C">
            <w:pPr>
              <w:spacing w:line="180" w:lineRule="atLeast"/>
              <w:rPr>
                <w:rFonts w:ascii="MinionPro-Regular" w:hAnsi="MinionPro-Regular" w:cs="Microsoft Sans Serif"/>
                <w:sz w:val="20"/>
                <w:lang w:val="en-US"/>
              </w:rPr>
            </w:pPr>
            <w:r w:rsidRPr="00A62C1C">
              <w:rPr>
                <w:rFonts w:ascii="MinionPro-Regular" w:hAnsi="MinionPro-Regular" w:cs="Microsoft Sans Serif"/>
                <w:sz w:val="20"/>
                <w:lang w:val="en-US"/>
              </w:rPr>
              <w:t>Atención al publico</w:t>
            </w:r>
          </w:p>
        </w:tc>
        <w:tc>
          <w:tcPr>
            <w:tcW w:w="3177" w:type="dxa"/>
            <w:noWrap/>
            <w:vAlign w:val="center"/>
          </w:tcPr>
          <w:p w:rsidR="00E2336B" w:rsidRPr="00A62C1C" w:rsidRDefault="00E2336B" w:rsidP="00A62C1C">
            <w:pPr>
              <w:spacing w:line="180" w:lineRule="atLeast"/>
              <w:jc w:val="center"/>
              <w:rPr>
                <w:rFonts w:ascii="MinionPro-Regular" w:hAnsi="MinionPro-Regular" w:cs="Microsoft Sans Serif"/>
                <w:sz w:val="20"/>
                <w:lang w:val="en-US"/>
              </w:rPr>
            </w:pPr>
            <w:r w:rsidRPr="00A62C1C">
              <w:rPr>
                <w:rFonts w:ascii="MinionPro-Regular" w:hAnsi="MinionPro-Regular" w:cs="Microsoft Sans Serif"/>
                <w:sz w:val="20"/>
                <w:lang w:val="en-US"/>
              </w:rPr>
              <w:t>2%</w:t>
            </w:r>
          </w:p>
        </w:tc>
      </w:tr>
      <w:tr w:rsidR="00E2336B" w:rsidRPr="002E5BEA" w:rsidTr="00A62C1C">
        <w:trPr>
          <w:trHeight w:val="255"/>
        </w:trPr>
        <w:tc>
          <w:tcPr>
            <w:tcW w:w="5661" w:type="dxa"/>
            <w:noWrap/>
            <w:vAlign w:val="center"/>
          </w:tcPr>
          <w:p w:rsidR="00E2336B" w:rsidRPr="00A62C1C" w:rsidRDefault="00E2336B" w:rsidP="00A62C1C">
            <w:pPr>
              <w:spacing w:line="180" w:lineRule="atLeast"/>
              <w:rPr>
                <w:rFonts w:ascii="MinionPro-Regular" w:hAnsi="MinionPro-Regular" w:cs="Microsoft Sans Serif"/>
                <w:sz w:val="20"/>
                <w:lang w:val="en-US"/>
              </w:rPr>
            </w:pPr>
            <w:r w:rsidRPr="00A62C1C">
              <w:rPr>
                <w:rFonts w:ascii="MinionPro-Regular" w:hAnsi="MinionPro-Regular" w:cs="Microsoft Sans Serif"/>
                <w:sz w:val="20"/>
                <w:lang w:val="en-US"/>
              </w:rPr>
              <w:t>Telemarketing</w:t>
            </w:r>
          </w:p>
        </w:tc>
        <w:tc>
          <w:tcPr>
            <w:tcW w:w="3177" w:type="dxa"/>
            <w:noWrap/>
            <w:vAlign w:val="center"/>
          </w:tcPr>
          <w:p w:rsidR="00E2336B" w:rsidRPr="00A62C1C" w:rsidRDefault="00E2336B" w:rsidP="00A62C1C">
            <w:pPr>
              <w:spacing w:line="180" w:lineRule="atLeast"/>
              <w:jc w:val="center"/>
              <w:rPr>
                <w:rFonts w:ascii="MinionPro-Regular" w:hAnsi="MinionPro-Regular" w:cs="Microsoft Sans Serif"/>
                <w:sz w:val="20"/>
                <w:lang w:val="en-US"/>
              </w:rPr>
            </w:pPr>
            <w:r w:rsidRPr="00A62C1C">
              <w:rPr>
                <w:rFonts w:ascii="MinionPro-Regular" w:hAnsi="MinionPro-Regular" w:cs="Microsoft Sans Serif"/>
                <w:sz w:val="20"/>
                <w:lang w:val="en-US"/>
              </w:rPr>
              <w:t>2%</w:t>
            </w:r>
          </w:p>
        </w:tc>
      </w:tr>
      <w:tr w:rsidR="00E2336B" w:rsidRPr="002E5BEA" w:rsidTr="00A62C1C">
        <w:trPr>
          <w:trHeight w:val="255"/>
        </w:trPr>
        <w:tc>
          <w:tcPr>
            <w:tcW w:w="5661" w:type="dxa"/>
            <w:noWrap/>
            <w:vAlign w:val="center"/>
          </w:tcPr>
          <w:p w:rsidR="00E2336B" w:rsidRPr="00A62C1C" w:rsidRDefault="00E2336B" w:rsidP="00A62C1C">
            <w:pPr>
              <w:spacing w:line="180" w:lineRule="atLeast"/>
              <w:rPr>
                <w:rFonts w:ascii="MinionPro-Regular" w:hAnsi="MinionPro-Regular" w:cs="Microsoft Sans Serif"/>
                <w:sz w:val="20"/>
                <w:lang w:val="en-US"/>
              </w:rPr>
            </w:pPr>
            <w:r w:rsidRPr="00A62C1C">
              <w:rPr>
                <w:rFonts w:ascii="MinionPro-Regular" w:hAnsi="MinionPro-Regular" w:cs="Microsoft Sans Serif"/>
                <w:sz w:val="20"/>
                <w:lang w:val="en-US"/>
              </w:rPr>
              <w:t>Telecomunicaciones</w:t>
            </w:r>
          </w:p>
        </w:tc>
        <w:tc>
          <w:tcPr>
            <w:tcW w:w="3177" w:type="dxa"/>
            <w:noWrap/>
            <w:vAlign w:val="center"/>
          </w:tcPr>
          <w:p w:rsidR="00E2336B" w:rsidRPr="00A62C1C" w:rsidRDefault="00E2336B" w:rsidP="00A62C1C">
            <w:pPr>
              <w:spacing w:line="180" w:lineRule="atLeast"/>
              <w:jc w:val="center"/>
              <w:rPr>
                <w:rFonts w:ascii="MinionPro-Regular" w:hAnsi="MinionPro-Regular" w:cs="Microsoft Sans Serif"/>
                <w:sz w:val="20"/>
                <w:lang w:val="en-US"/>
              </w:rPr>
            </w:pPr>
            <w:r w:rsidRPr="00A62C1C">
              <w:rPr>
                <w:rFonts w:ascii="MinionPro-Regular" w:hAnsi="MinionPro-Regular" w:cs="Microsoft Sans Serif"/>
                <w:sz w:val="20"/>
                <w:lang w:val="en-US"/>
              </w:rPr>
              <w:t>2%</w:t>
            </w:r>
          </w:p>
        </w:tc>
      </w:tr>
      <w:tr w:rsidR="00E2336B" w:rsidRPr="002E5BEA" w:rsidTr="00A62C1C">
        <w:trPr>
          <w:trHeight w:val="255"/>
        </w:trPr>
        <w:tc>
          <w:tcPr>
            <w:tcW w:w="5661" w:type="dxa"/>
            <w:noWrap/>
            <w:vAlign w:val="center"/>
          </w:tcPr>
          <w:p w:rsidR="00E2336B" w:rsidRPr="00A62C1C" w:rsidRDefault="00E2336B" w:rsidP="00A62C1C">
            <w:pPr>
              <w:spacing w:line="180" w:lineRule="atLeast"/>
              <w:rPr>
                <w:rFonts w:ascii="MinionPro-Regular" w:hAnsi="MinionPro-Regular" w:cs="Microsoft Sans Serif"/>
                <w:sz w:val="20"/>
                <w:lang w:val="en-US"/>
              </w:rPr>
            </w:pPr>
            <w:r w:rsidRPr="00A62C1C">
              <w:rPr>
                <w:rFonts w:ascii="MinionPro-Regular" w:hAnsi="MinionPro-Regular" w:cs="Microsoft Sans Serif"/>
                <w:sz w:val="20"/>
                <w:lang w:val="en-US"/>
              </w:rPr>
              <w:t>Hostelería y Catering</w:t>
            </w:r>
          </w:p>
        </w:tc>
        <w:tc>
          <w:tcPr>
            <w:tcW w:w="3177" w:type="dxa"/>
            <w:noWrap/>
            <w:vAlign w:val="center"/>
          </w:tcPr>
          <w:p w:rsidR="00E2336B" w:rsidRPr="00A62C1C" w:rsidRDefault="00E2336B" w:rsidP="00A62C1C">
            <w:pPr>
              <w:spacing w:line="180" w:lineRule="atLeast"/>
              <w:jc w:val="center"/>
              <w:rPr>
                <w:rFonts w:ascii="MinionPro-Regular" w:hAnsi="MinionPro-Regular" w:cs="Microsoft Sans Serif"/>
                <w:sz w:val="20"/>
                <w:lang w:val="en-US"/>
              </w:rPr>
            </w:pPr>
            <w:r w:rsidRPr="00A62C1C">
              <w:rPr>
                <w:rFonts w:ascii="MinionPro-Regular" w:hAnsi="MinionPro-Regular" w:cs="Microsoft Sans Serif"/>
                <w:sz w:val="20"/>
                <w:lang w:val="en-US"/>
              </w:rPr>
              <w:t>2%</w:t>
            </w:r>
          </w:p>
        </w:tc>
      </w:tr>
      <w:tr w:rsidR="00E2336B" w:rsidRPr="002E5BEA" w:rsidTr="00A62C1C">
        <w:trPr>
          <w:trHeight w:val="255"/>
        </w:trPr>
        <w:tc>
          <w:tcPr>
            <w:tcW w:w="5661" w:type="dxa"/>
            <w:noWrap/>
            <w:vAlign w:val="center"/>
          </w:tcPr>
          <w:p w:rsidR="00E2336B" w:rsidRPr="00A62C1C" w:rsidRDefault="00E2336B" w:rsidP="00A62C1C">
            <w:pPr>
              <w:spacing w:line="180" w:lineRule="atLeast"/>
              <w:rPr>
                <w:rFonts w:ascii="MinionPro-Regular" w:hAnsi="MinionPro-Regular" w:cs="Microsoft Sans Serif"/>
                <w:sz w:val="20"/>
                <w:lang w:val="en-US"/>
              </w:rPr>
            </w:pPr>
            <w:r w:rsidRPr="00A62C1C">
              <w:rPr>
                <w:rFonts w:ascii="MinionPro-Regular" w:hAnsi="MinionPro-Regular" w:cs="Microsoft Sans Serif"/>
                <w:sz w:val="20"/>
                <w:lang w:val="en-US"/>
              </w:rPr>
              <w:t>Cerámica, artesanía,</w:t>
            </w:r>
          </w:p>
        </w:tc>
        <w:tc>
          <w:tcPr>
            <w:tcW w:w="3177" w:type="dxa"/>
            <w:noWrap/>
            <w:vAlign w:val="center"/>
          </w:tcPr>
          <w:p w:rsidR="00E2336B" w:rsidRPr="00A62C1C" w:rsidRDefault="00E2336B" w:rsidP="00A62C1C">
            <w:pPr>
              <w:spacing w:line="180" w:lineRule="atLeast"/>
              <w:jc w:val="center"/>
              <w:rPr>
                <w:rFonts w:ascii="MinionPro-Regular" w:hAnsi="MinionPro-Regular" w:cs="Microsoft Sans Serif"/>
                <w:sz w:val="20"/>
                <w:lang w:val="en-US"/>
              </w:rPr>
            </w:pPr>
            <w:r w:rsidRPr="00A62C1C">
              <w:rPr>
                <w:rFonts w:ascii="MinionPro-Regular" w:hAnsi="MinionPro-Regular" w:cs="Microsoft Sans Serif"/>
                <w:sz w:val="20"/>
                <w:lang w:val="en-US"/>
              </w:rPr>
              <w:t>2%</w:t>
            </w:r>
          </w:p>
        </w:tc>
      </w:tr>
      <w:tr w:rsidR="00E2336B" w:rsidRPr="002E5BEA" w:rsidTr="00A62C1C">
        <w:trPr>
          <w:trHeight w:val="255"/>
        </w:trPr>
        <w:tc>
          <w:tcPr>
            <w:tcW w:w="5661" w:type="dxa"/>
            <w:noWrap/>
            <w:vAlign w:val="center"/>
          </w:tcPr>
          <w:p w:rsidR="00E2336B" w:rsidRPr="00A62C1C" w:rsidRDefault="00E2336B" w:rsidP="00A62C1C">
            <w:pPr>
              <w:spacing w:line="180" w:lineRule="atLeast"/>
              <w:rPr>
                <w:rFonts w:ascii="MinionPro-Regular" w:hAnsi="MinionPro-Regular" w:cs="Microsoft Sans Serif"/>
                <w:sz w:val="20"/>
                <w:lang w:val="en-US"/>
              </w:rPr>
            </w:pPr>
            <w:r w:rsidRPr="00A62C1C">
              <w:rPr>
                <w:rFonts w:ascii="MinionPro-Regular" w:hAnsi="MinionPro-Regular" w:cs="Microsoft Sans Serif"/>
                <w:sz w:val="20"/>
                <w:lang w:val="en-US"/>
              </w:rPr>
              <w:t>Consultoría otros, asesoría</w:t>
            </w:r>
          </w:p>
        </w:tc>
        <w:tc>
          <w:tcPr>
            <w:tcW w:w="3177" w:type="dxa"/>
            <w:noWrap/>
            <w:vAlign w:val="center"/>
          </w:tcPr>
          <w:p w:rsidR="00E2336B" w:rsidRPr="00A62C1C" w:rsidRDefault="00E2336B" w:rsidP="00A62C1C">
            <w:pPr>
              <w:spacing w:line="180" w:lineRule="atLeast"/>
              <w:jc w:val="center"/>
              <w:rPr>
                <w:rFonts w:ascii="MinionPro-Regular" w:hAnsi="MinionPro-Regular" w:cs="Microsoft Sans Serif"/>
                <w:sz w:val="20"/>
                <w:lang w:val="en-US"/>
              </w:rPr>
            </w:pPr>
            <w:r w:rsidRPr="00A62C1C">
              <w:rPr>
                <w:rFonts w:ascii="MinionPro-Regular" w:hAnsi="MinionPro-Regular" w:cs="Microsoft Sans Serif"/>
                <w:sz w:val="20"/>
                <w:lang w:val="en-US"/>
              </w:rPr>
              <w:t>2%</w:t>
            </w:r>
          </w:p>
        </w:tc>
      </w:tr>
      <w:tr w:rsidR="00E2336B" w:rsidRPr="002E5BEA" w:rsidTr="00A62C1C">
        <w:trPr>
          <w:trHeight w:val="255"/>
        </w:trPr>
        <w:tc>
          <w:tcPr>
            <w:tcW w:w="5661" w:type="dxa"/>
            <w:tcBorders>
              <w:bottom w:val="single" w:sz="12" w:space="0" w:color="409DAD"/>
            </w:tcBorders>
            <w:noWrap/>
            <w:vAlign w:val="center"/>
          </w:tcPr>
          <w:p w:rsidR="00E2336B" w:rsidRPr="00A62C1C" w:rsidRDefault="00E2336B" w:rsidP="00A62C1C">
            <w:pPr>
              <w:spacing w:line="180" w:lineRule="atLeast"/>
              <w:rPr>
                <w:rFonts w:ascii="MinionPro-Regular" w:hAnsi="MinionPro-Regular" w:cs="Microsoft Sans Serif"/>
                <w:sz w:val="20"/>
                <w:lang w:val="en-US"/>
              </w:rPr>
            </w:pPr>
            <w:r w:rsidRPr="00A62C1C">
              <w:rPr>
                <w:rFonts w:ascii="MinionPro-Regular" w:hAnsi="MinionPro-Regular" w:cs="Microsoft Sans Serif"/>
                <w:sz w:val="20"/>
                <w:lang w:val="en-US"/>
              </w:rPr>
              <w:lastRenderedPageBreak/>
              <w:t>Carpintería</w:t>
            </w:r>
          </w:p>
        </w:tc>
        <w:tc>
          <w:tcPr>
            <w:tcW w:w="3177" w:type="dxa"/>
            <w:tcBorders>
              <w:bottom w:val="single" w:sz="12" w:space="0" w:color="409DAD"/>
            </w:tcBorders>
            <w:noWrap/>
            <w:vAlign w:val="center"/>
          </w:tcPr>
          <w:p w:rsidR="00E2336B" w:rsidRPr="00A62C1C" w:rsidRDefault="00E2336B" w:rsidP="00A62C1C">
            <w:pPr>
              <w:spacing w:line="180" w:lineRule="atLeast"/>
              <w:jc w:val="center"/>
              <w:rPr>
                <w:rFonts w:ascii="MinionPro-Regular" w:hAnsi="MinionPro-Regular" w:cs="Microsoft Sans Serif"/>
                <w:sz w:val="20"/>
                <w:lang w:val="en-US"/>
              </w:rPr>
            </w:pPr>
            <w:r w:rsidRPr="00A62C1C">
              <w:rPr>
                <w:rFonts w:ascii="MinionPro-Regular" w:hAnsi="MinionPro-Regular" w:cs="Microsoft Sans Serif"/>
                <w:sz w:val="20"/>
                <w:lang w:val="en-US"/>
              </w:rPr>
              <w:t>2%</w:t>
            </w:r>
          </w:p>
        </w:tc>
      </w:tr>
    </w:tbl>
    <w:p w:rsidR="00E2336B" w:rsidRDefault="00E2336B" w:rsidP="00E96491">
      <w:pPr>
        <w:pBdr>
          <w:bottom w:val="single" w:sz="4" w:space="1" w:color="auto"/>
        </w:pBdr>
        <w:autoSpaceDE w:val="0"/>
        <w:autoSpaceDN w:val="0"/>
        <w:spacing w:line="360" w:lineRule="auto"/>
        <w:jc w:val="both"/>
        <w:rPr>
          <w:rFonts w:ascii="MinionPro-Regular" w:hAnsi="MinionPro-Regular"/>
          <w:sz w:val="20"/>
          <w:szCs w:val="24"/>
        </w:rPr>
      </w:pPr>
      <w:r>
        <w:rPr>
          <w:rFonts w:ascii="MinionPro-Regular" w:hAnsi="MinionPro-Regular"/>
          <w:sz w:val="20"/>
          <w:szCs w:val="24"/>
        </w:rPr>
        <w:t>Fuente: Elaboración propia.</w:t>
      </w:r>
    </w:p>
    <w:p w:rsidR="00E2336B" w:rsidRPr="002E5BEA" w:rsidRDefault="00E2336B" w:rsidP="00E96491">
      <w:pPr>
        <w:autoSpaceDE w:val="0"/>
        <w:autoSpaceDN w:val="0"/>
        <w:spacing w:line="360" w:lineRule="auto"/>
        <w:jc w:val="both"/>
        <w:rPr>
          <w:rFonts w:ascii="MinionPro-Regular" w:hAnsi="MinionPro-Regular"/>
          <w:sz w:val="24"/>
          <w:szCs w:val="24"/>
        </w:rPr>
      </w:pPr>
    </w:p>
    <w:p w:rsidR="00E2336B" w:rsidRDefault="00E2336B" w:rsidP="00E96491">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Asimismo, en aquellos casos en los que su actividad no suponía el 100% de la facturación, las actividades secundarias más frecuentes siguen siendo la jardinería (21%) y lavandería (18%).</w:t>
      </w:r>
    </w:p>
    <w:p w:rsidR="00E2336B" w:rsidRDefault="00E2336B" w:rsidP="00E96491">
      <w:pPr>
        <w:autoSpaceDE w:val="0"/>
        <w:autoSpaceDN w:val="0"/>
        <w:spacing w:line="360" w:lineRule="auto"/>
        <w:jc w:val="both"/>
        <w:rPr>
          <w:rFonts w:ascii="MinionPro-Regular" w:hAnsi="MinionPro-Regular"/>
          <w:sz w:val="24"/>
          <w:szCs w:val="24"/>
          <w:lang w:val="es-ES_tradnl"/>
        </w:rPr>
      </w:pPr>
    </w:p>
    <w:p w:rsidR="00E2336B" w:rsidRDefault="00E2336B" w:rsidP="00E96491">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La actividad empresarial de los centros especiales está concentrada en sectores que podrían entenderse de bajo valor añadido. Esta circunstancia pone de manifiesto la necesidad de evolucionar los centros hacia sectores que mejoren su posición competitiva y que les permitan generar un mayor valor añadido que, a su vez, permita reforzar su inversión en investigación, desarrollo e innovación para encontrar otros mercados y sectores en los que competir.  En este sentido, los resultados de la encuesta muestran que los centros especiales de empleo se encuentran con limitaciones económicas para invertir en I+D+i.</w:t>
      </w:r>
    </w:p>
    <w:p w:rsidR="00E2336B" w:rsidRDefault="00E2336B" w:rsidP="00E96491">
      <w:pPr>
        <w:autoSpaceDE w:val="0"/>
        <w:autoSpaceDN w:val="0"/>
        <w:spacing w:line="360" w:lineRule="auto"/>
        <w:jc w:val="both"/>
        <w:rPr>
          <w:rFonts w:ascii="MinionPro-Regular" w:hAnsi="MinionPro-Regular"/>
          <w:sz w:val="24"/>
          <w:szCs w:val="24"/>
          <w:lang w:val="es-ES_tradnl"/>
        </w:rPr>
      </w:pPr>
    </w:p>
    <w:p w:rsidR="00E2336B" w:rsidRDefault="00E2336B" w:rsidP="00E96491">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 xml:space="preserve">La consulta </w:t>
      </w:r>
      <w:r w:rsidR="003E1DC5">
        <w:rPr>
          <w:rFonts w:ascii="MinionPro-Regular" w:hAnsi="MinionPro-Regular"/>
          <w:sz w:val="24"/>
          <w:szCs w:val="24"/>
          <w:lang w:val="es-ES_tradnl"/>
        </w:rPr>
        <w:t>planteó</w:t>
      </w:r>
      <w:r>
        <w:rPr>
          <w:rFonts w:ascii="MinionPro-Regular" w:hAnsi="MinionPro-Regular"/>
          <w:sz w:val="24"/>
          <w:szCs w:val="24"/>
          <w:lang w:val="es-ES_tradnl"/>
        </w:rPr>
        <w:t xml:space="preserve"> una pregunta abierta en la que se solicitaba opinión a los gestores acerca de las necesidades del centro en mejoras de desarrollo tecnológico e innovación. El 42% se mostraba optimista y piensa que la tecnología que disponen se adapta a las necesidades presentes y futuras que se puedan presentar. Por otra parte, el 17% de los centros afirma que o bien su actividad no requiere de alta tecnología o niveles de innovación elevados, o no disponen de recursos económicos suficientes para afrontar inversiones cuantiosas.  La mayor parte de las respuestas pone de manifiesto también el impacto de las dificultades económicas, lo que dificulta la</w:t>
      </w:r>
      <w:r w:rsidR="003E1DC5">
        <w:rPr>
          <w:rFonts w:ascii="MinionPro-Regular" w:hAnsi="MinionPro-Regular"/>
          <w:sz w:val="24"/>
          <w:szCs w:val="24"/>
          <w:lang w:val="es-ES_tradnl"/>
        </w:rPr>
        <w:t>s</w:t>
      </w:r>
      <w:r>
        <w:rPr>
          <w:rFonts w:ascii="MinionPro-Regular" w:hAnsi="MinionPro-Regular"/>
          <w:sz w:val="24"/>
          <w:szCs w:val="24"/>
          <w:lang w:val="es-ES_tradnl"/>
        </w:rPr>
        <w:t xml:space="preserve"> inversiones o establece que  su nivel de innovación está situado en parámetros muy similares a los del resto de competidores de los sectores productivos en los que operan.</w:t>
      </w:r>
    </w:p>
    <w:p w:rsidR="00E2336B" w:rsidRDefault="00E2336B" w:rsidP="004B21DB">
      <w:pPr>
        <w:autoSpaceDE w:val="0"/>
        <w:autoSpaceDN w:val="0"/>
        <w:spacing w:line="360" w:lineRule="auto"/>
        <w:jc w:val="both"/>
        <w:rPr>
          <w:rFonts w:ascii="MinionPro-Regular" w:hAnsi="MinionPro-Regular"/>
          <w:sz w:val="24"/>
          <w:szCs w:val="24"/>
          <w:lang w:val="es-ES_tradnl"/>
        </w:rPr>
      </w:pPr>
    </w:p>
    <w:p w:rsidR="00E2336B" w:rsidRDefault="00E2336B" w:rsidP="004B21DB">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 xml:space="preserve">Por otra parte, la consulta a los gestores pone también de manifiesto el uso por parte de los centros especiales de empleo de herramientas  de planificación estratégica. </w:t>
      </w:r>
    </w:p>
    <w:p w:rsidR="00E2336B" w:rsidRDefault="00E2336B" w:rsidP="004B21DB">
      <w:pPr>
        <w:autoSpaceDE w:val="0"/>
        <w:autoSpaceDN w:val="0"/>
        <w:spacing w:line="360" w:lineRule="auto"/>
        <w:jc w:val="both"/>
        <w:rPr>
          <w:rFonts w:ascii="MinionPro-Regular" w:hAnsi="MinionPro-Regular"/>
          <w:sz w:val="24"/>
          <w:szCs w:val="24"/>
          <w:lang w:val="es-ES_tradnl"/>
        </w:rPr>
      </w:pPr>
    </w:p>
    <w:p w:rsidR="00E2336B" w:rsidRDefault="00E1516B" w:rsidP="000134A5">
      <w:pPr>
        <w:pBdr>
          <w:top w:val="single" w:sz="4" w:space="1" w:color="auto"/>
        </w:pBdr>
        <w:autoSpaceDE w:val="0"/>
        <w:autoSpaceDN w:val="0"/>
        <w:spacing w:line="360" w:lineRule="auto"/>
        <w:rPr>
          <w:rFonts w:ascii="MinionPro-Regular" w:hAnsi="MinionPro-Regular"/>
          <w:sz w:val="24"/>
          <w:szCs w:val="24"/>
          <w:lang w:val="es-ES_tradnl"/>
        </w:rPr>
      </w:pPr>
      <w:r>
        <w:rPr>
          <w:noProof/>
          <w:szCs w:val="24"/>
          <w:lang w:eastAsia="es-ES"/>
        </w:rPr>
        <w:drawing>
          <wp:inline distT="0" distB="0" distL="0" distR="0">
            <wp:extent cx="3855720" cy="2423795"/>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98"/>
                    <a:srcRect/>
                    <a:stretch>
                      <a:fillRect/>
                    </a:stretch>
                  </pic:blipFill>
                  <pic:spPr bwMode="auto">
                    <a:xfrm>
                      <a:off x="0" y="0"/>
                      <a:ext cx="3855720" cy="2423795"/>
                    </a:xfrm>
                    <a:prstGeom prst="rect">
                      <a:avLst/>
                    </a:prstGeom>
                    <a:noFill/>
                    <a:ln w="9525">
                      <a:noFill/>
                      <a:miter lim="800000"/>
                      <a:headEnd/>
                      <a:tailEnd/>
                    </a:ln>
                  </pic:spPr>
                </pic:pic>
              </a:graphicData>
            </a:graphic>
          </wp:inline>
        </w:drawing>
      </w:r>
    </w:p>
    <w:p w:rsidR="00E2336B" w:rsidRDefault="00E2336B" w:rsidP="00EB6132">
      <w:pPr>
        <w:pBdr>
          <w:bottom w:val="single" w:sz="4" w:space="1" w:color="auto"/>
        </w:pBdr>
        <w:tabs>
          <w:tab w:val="right" w:pos="8505"/>
        </w:tabs>
        <w:autoSpaceDE w:val="0"/>
        <w:autoSpaceDN w:val="0"/>
        <w:spacing w:line="360" w:lineRule="auto"/>
        <w:jc w:val="both"/>
        <w:rPr>
          <w:rFonts w:ascii="MinionPro-Regular" w:hAnsi="MinionPro-Regular"/>
          <w:sz w:val="20"/>
          <w:szCs w:val="24"/>
          <w:lang w:val="es-ES_tradnl"/>
        </w:rPr>
      </w:pPr>
      <w:r w:rsidRPr="00DE6EA0">
        <w:rPr>
          <w:rFonts w:ascii="MinionPro-Regular" w:hAnsi="MinionPro-Regular"/>
          <w:sz w:val="20"/>
          <w:szCs w:val="24"/>
          <w:lang w:val="es-ES_tradnl"/>
        </w:rPr>
        <w:t>Fuente: Elaboración propia</w:t>
      </w:r>
    </w:p>
    <w:p w:rsidR="00E2336B" w:rsidRDefault="00E2336B">
      <w:pPr>
        <w:pBdr>
          <w:bottom w:val="single" w:sz="4" w:space="1" w:color="auto"/>
        </w:pBdr>
        <w:tabs>
          <w:tab w:val="right" w:pos="8505"/>
        </w:tabs>
        <w:autoSpaceDE w:val="0"/>
        <w:autoSpaceDN w:val="0"/>
        <w:spacing w:line="360" w:lineRule="auto"/>
        <w:jc w:val="both"/>
        <w:rPr>
          <w:rFonts w:ascii="MinionPro-Regular" w:hAnsi="MinionPro-Regular"/>
          <w:sz w:val="20"/>
          <w:szCs w:val="24"/>
          <w:lang w:val="es-ES_tradnl"/>
        </w:rPr>
      </w:pPr>
      <w:r>
        <w:rPr>
          <w:rFonts w:ascii="MinionPro-Regular" w:hAnsi="MinionPro-Regular"/>
          <w:sz w:val="20"/>
          <w:szCs w:val="24"/>
          <w:lang w:val="es-ES_tradnl"/>
        </w:rPr>
        <w:t>Nota explicativa de la gráfica circular. Respuesta a la pregunta: ¿dispone el centro especial de empleo de un plan de negocio? Sí, anual: 49%; sí, de 1 a 3 años: 27%; sí, de 3 a 5 años: 19%; sí, de más de 5 años: 5%; no: 0%.</w:t>
      </w:r>
    </w:p>
    <w:p w:rsidR="00E2336B" w:rsidRDefault="00E2336B">
      <w:pPr>
        <w:autoSpaceDE w:val="0"/>
        <w:autoSpaceDN w:val="0"/>
        <w:spacing w:line="360" w:lineRule="auto"/>
        <w:jc w:val="both"/>
        <w:rPr>
          <w:rFonts w:ascii="MinionPro-Regular" w:hAnsi="MinionPro-Regular"/>
          <w:sz w:val="24"/>
          <w:szCs w:val="24"/>
          <w:lang w:val="es-ES_tradnl"/>
        </w:rPr>
      </w:pPr>
    </w:p>
    <w:p w:rsidR="00E2336B" w:rsidRDefault="00E2336B" w:rsidP="004B21DB">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Por último, en cuanto a las ayudas y subvenciones públicas, se consultó a los gestores acerca de su percepción respecto del impacto de los centros especiales de empleo en las arcas públicas.  A este respecto, los gestores tienen la percepción de que efectivamente los centros especiales de empleo retornan a la administración pública más recursos de los que perciben.</w:t>
      </w:r>
    </w:p>
    <w:p w:rsidR="00E2336B" w:rsidRDefault="00E2336B" w:rsidP="00B82498">
      <w:pPr>
        <w:autoSpaceDE w:val="0"/>
        <w:autoSpaceDN w:val="0"/>
        <w:spacing w:line="360" w:lineRule="auto"/>
        <w:jc w:val="both"/>
        <w:rPr>
          <w:rFonts w:ascii="MinionPro-Regular" w:hAnsi="MinionPro-Regular"/>
          <w:sz w:val="20"/>
          <w:szCs w:val="24"/>
          <w:u w:val="single"/>
          <w:lang w:val="es-ES_tradnl"/>
        </w:rPr>
      </w:pPr>
    </w:p>
    <w:p w:rsidR="00E2336B" w:rsidRPr="007F7879" w:rsidRDefault="00E2336B" w:rsidP="00B82498">
      <w:pPr>
        <w:pBdr>
          <w:top w:val="single" w:sz="4" w:space="1" w:color="auto"/>
          <w:left w:val="single" w:sz="4" w:space="4" w:color="auto"/>
          <w:bottom w:val="single" w:sz="4" w:space="1" w:color="auto"/>
          <w:right w:val="single" w:sz="4" w:space="4" w:color="auto"/>
        </w:pBdr>
        <w:autoSpaceDE w:val="0"/>
        <w:autoSpaceDN w:val="0"/>
        <w:spacing w:line="360" w:lineRule="auto"/>
        <w:jc w:val="both"/>
        <w:rPr>
          <w:rFonts w:ascii="MinionPro-Regular" w:hAnsi="MinionPro-Regular"/>
          <w:sz w:val="20"/>
          <w:szCs w:val="24"/>
          <w:u w:val="single"/>
        </w:rPr>
      </w:pPr>
      <w:r w:rsidRPr="002F7253">
        <w:rPr>
          <w:rFonts w:ascii="MinionPro-Regular" w:hAnsi="MinionPro-Regular"/>
          <w:sz w:val="20"/>
          <w:szCs w:val="24"/>
          <w:u w:val="single"/>
          <w:lang w:val="es-ES_tradnl"/>
        </w:rPr>
        <w:t>Retrato de los centros especiales de empleo en España</w:t>
      </w:r>
      <w:r>
        <w:rPr>
          <w:rFonts w:ascii="MinionPro-Regular" w:hAnsi="MinionPro-Regular"/>
          <w:sz w:val="20"/>
          <w:szCs w:val="24"/>
          <w:u w:val="single"/>
          <w:lang w:val="es-ES_tradnl"/>
        </w:rPr>
        <w:t>.</w:t>
      </w:r>
      <w:r w:rsidRPr="00B13AAC">
        <w:rPr>
          <w:rFonts w:ascii="MinionPro-Regular" w:hAnsi="MinionPro-Regular"/>
          <w:sz w:val="20"/>
          <w:szCs w:val="24"/>
          <w:u w:val="single"/>
          <w:lang w:val="es-ES_tradnl"/>
        </w:rPr>
        <w:t xml:space="preserve"> </w:t>
      </w:r>
      <w:r>
        <w:rPr>
          <w:rFonts w:ascii="MinionPro-Regular" w:hAnsi="MinionPro-Regular"/>
          <w:sz w:val="20"/>
          <w:szCs w:val="24"/>
          <w:u w:val="single"/>
          <w:lang w:val="es-ES_tradnl"/>
        </w:rPr>
        <w:t>Puntos principales</w:t>
      </w:r>
    </w:p>
    <w:p w:rsidR="00E2336B" w:rsidRDefault="00E2336B" w:rsidP="0007541A">
      <w:pPr>
        <w:pStyle w:val="Prrafodelista"/>
        <w:numPr>
          <w:ilvl w:val="0"/>
          <w:numId w:val="22"/>
        </w:numPr>
        <w:pBdr>
          <w:top w:val="single" w:sz="4" w:space="1" w:color="auto"/>
          <w:left w:val="single" w:sz="4" w:space="4" w:color="auto"/>
          <w:bottom w:val="single" w:sz="4" w:space="1" w:color="auto"/>
          <w:right w:val="single" w:sz="4" w:space="4" w:color="auto"/>
        </w:pBdr>
        <w:autoSpaceDE w:val="0"/>
        <w:autoSpaceDN w:val="0"/>
        <w:spacing w:line="360" w:lineRule="auto"/>
        <w:jc w:val="both"/>
        <w:rPr>
          <w:rFonts w:ascii="MinionPro-Regular" w:hAnsi="MinionPro-Regular"/>
          <w:sz w:val="20"/>
          <w:lang w:val="es-ES_tradnl"/>
        </w:rPr>
      </w:pPr>
      <w:r w:rsidRPr="000E2998">
        <w:rPr>
          <w:rFonts w:ascii="MinionPro-Regular" w:hAnsi="MinionPro-Regular"/>
          <w:sz w:val="20"/>
          <w:lang w:val="es-ES_tradnl"/>
        </w:rPr>
        <w:lastRenderedPageBreak/>
        <w:t xml:space="preserve">Los centros especiales de empleo en España surgieron a raíz de la Ley de Integración Social de los Minusválidos (LISMI) en el año 1982. </w:t>
      </w:r>
      <w:r>
        <w:rPr>
          <w:rFonts w:ascii="MinionPro-Regular" w:hAnsi="MinionPro-Regular"/>
          <w:sz w:val="20"/>
          <w:lang w:val="es-ES_tradnl"/>
        </w:rPr>
        <w:t xml:space="preserve">Las competencias en la materia han sido progresivamente transferidas a las comunidades autónomas. </w:t>
      </w:r>
    </w:p>
    <w:p w:rsidR="00E2336B" w:rsidRPr="003E1DC5" w:rsidRDefault="00E2336B" w:rsidP="0007541A">
      <w:pPr>
        <w:pStyle w:val="Prrafodelista"/>
        <w:numPr>
          <w:ilvl w:val="0"/>
          <w:numId w:val="22"/>
        </w:numPr>
        <w:pBdr>
          <w:top w:val="single" w:sz="4" w:space="1" w:color="auto"/>
          <w:left w:val="single" w:sz="4" w:space="4" w:color="auto"/>
          <w:bottom w:val="single" w:sz="4" w:space="1" w:color="auto"/>
          <w:right w:val="single" w:sz="4" w:space="4" w:color="auto"/>
        </w:pBdr>
        <w:autoSpaceDE w:val="0"/>
        <w:autoSpaceDN w:val="0"/>
        <w:spacing w:line="360" w:lineRule="auto"/>
        <w:jc w:val="both"/>
        <w:rPr>
          <w:rFonts w:ascii="MinionPro-Regular" w:hAnsi="MinionPro-Regular"/>
          <w:sz w:val="20"/>
          <w:lang w:val="es-ES_tradnl"/>
        </w:rPr>
      </w:pPr>
      <w:r w:rsidRPr="003A34CF">
        <w:rPr>
          <w:rFonts w:ascii="MinionPro-Regular" w:hAnsi="MinionPro-Regular"/>
          <w:sz w:val="20"/>
          <w:lang w:val="es-ES_tradnl"/>
        </w:rPr>
        <w:t xml:space="preserve">Para ser constituidos como tales, los centros especiales de empleo han de solicitar a la administración pública </w:t>
      </w:r>
      <w:r w:rsidRPr="00455028">
        <w:rPr>
          <w:rFonts w:ascii="MinionPro-Regular" w:hAnsi="MinionPro-Regular"/>
          <w:sz w:val="20"/>
          <w:lang w:val="es-ES_tradnl"/>
        </w:rPr>
        <w:t xml:space="preserve">un certificado y disponer de al menos un 70% de personas con </w:t>
      </w:r>
      <w:r w:rsidRPr="003E1DC5">
        <w:rPr>
          <w:rFonts w:ascii="MinionPro-Regular" w:hAnsi="MinionPro-Regular"/>
          <w:sz w:val="20"/>
          <w:lang w:val="es-ES_tradnl"/>
        </w:rPr>
        <w:t xml:space="preserve">discapacidad </w:t>
      </w:r>
      <w:r w:rsidR="00F23441" w:rsidRPr="003E1DC5">
        <w:rPr>
          <w:rFonts w:ascii="MinionPro-Regular" w:hAnsi="MinionPro-Regular"/>
          <w:sz w:val="20"/>
          <w:lang w:val="es-ES_tradnl"/>
        </w:rPr>
        <w:t>igual o</w:t>
      </w:r>
      <w:r w:rsidRPr="003E1DC5">
        <w:rPr>
          <w:rFonts w:ascii="MinionPro-Regular" w:hAnsi="MinionPro-Regular"/>
          <w:sz w:val="20"/>
          <w:lang w:val="es-ES_tradnl"/>
        </w:rPr>
        <w:t xml:space="preserve"> superior al 3</w:t>
      </w:r>
      <w:r w:rsidR="00F23441" w:rsidRPr="003E1DC5">
        <w:rPr>
          <w:rFonts w:ascii="MinionPro-Regular" w:hAnsi="MinionPro-Regular"/>
          <w:sz w:val="20"/>
          <w:lang w:val="es-ES_tradnl"/>
        </w:rPr>
        <w:t>3</w:t>
      </w:r>
      <w:r w:rsidRPr="003E1DC5">
        <w:rPr>
          <w:rFonts w:ascii="MinionPro-Regular" w:hAnsi="MinionPro-Regular"/>
          <w:sz w:val="20"/>
          <w:lang w:val="es-ES_tradnl"/>
        </w:rPr>
        <w:t>% en la plantilla del centro.</w:t>
      </w:r>
    </w:p>
    <w:p w:rsidR="00E2336B" w:rsidRPr="003A34CF" w:rsidRDefault="00E2336B" w:rsidP="0007541A">
      <w:pPr>
        <w:pStyle w:val="Prrafodelista"/>
        <w:numPr>
          <w:ilvl w:val="0"/>
          <w:numId w:val="22"/>
        </w:numPr>
        <w:pBdr>
          <w:top w:val="single" w:sz="4" w:space="1" w:color="auto"/>
          <w:left w:val="single" w:sz="4" w:space="4" w:color="auto"/>
          <w:bottom w:val="single" w:sz="4" w:space="1" w:color="auto"/>
          <w:right w:val="single" w:sz="4" w:space="4" w:color="auto"/>
        </w:pBdr>
        <w:autoSpaceDE w:val="0"/>
        <w:autoSpaceDN w:val="0"/>
        <w:spacing w:line="360" w:lineRule="auto"/>
        <w:jc w:val="both"/>
        <w:rPr>
          <w:rFonts w:ascii="MinionPro-Regular" w:hAnsi="MinionPro-Regular"/>
          <w:sz w:val="20"/>
          <w:lang w:val="es-ES_tradnl"/>
        </w:rPr>
      </w:pPr>
      <w:r w:rsidRPr="00455028">
        <w:rPr>
          <w:rFonts w:ascii="MinionPro-Regular" w:hAnsi="MinionPro-Regular"/>
          <w:sz w:val="20"/>
          <w:lang w:val="es-ES_tradnl"/>
        </w:rPr>
        <w:t>El número de centros especiales de empleo en 2011 ha experimentado, a nivel estatal, una subida del 19% en relación al año anterior.</w:t>
      </w:r>
    </w:p>
    <w:p w:rsidR="00E2336B" w:rsidRDefault="00E2336B" w:rsidP="0007541A">
      <w:pPr>
        <w:pStyle w:val="Prrafodelista"/>
        <w:numPr>
          <w:ilvl w:val="0"/>
          <w:numId w:val="22"/>
        </w:numPr>
        <w:pBdr>
          <w:top w:val="single" w:sz="4" w:space="1" w:color="auto"/>
          <w:left w:val="single" w:sz="4" w:space="4" w:color="auto"/>
          <w:bottom w:val="single" w:sz="4" w:space="1" w:color="auto"/>
          <w:right w:val="single" w:sz="4" w:space="4" w:color="auto"/>
        </w:pBdr>
        <w:autoSpaceDE w:val="0"/>
        <w:autoSpaceDN w:val="0"/>
        <w:spacing w:line="360" w:lineRule="auto"/>
        <w:jc w:val="both"/>
        <w:rPr>
          <w:rFonts w:ascii="MinionPro-Regular" w:hAnsi="MinionPro-Regular"/>
          <w:sz w:val="20"/>
          <w:lang w:val="es-ES_tradnl"/>
        </w:rPr>
      </w:pPr>
      <w:r>
        <w:rPr>
          <w:rFonts w:ascii="MinionPro-Regular" w:hAnsi="MinionPro-Regular"/>
          <w:sz w:val="20"/>
          <w:lang w:val="es-ES_tradnl"/>
        </w:rPr>
        <w:t>La</w:t>
      </w:r>
      <w:r w:rsidRPr="003A34CF">
        <w:rPr>
          <w:rFonts w:ascii="MinionPro-Regular" w:hAnsi="MinionPro-Regular"/>
          <w:sz w:val="20"/>
          <w:lang w:val="es-ES_tradnl"/>
        </w:rPr>
        <w:t xml:space="preserve"> plantilla total de personas con d</w:t>
      </w:r>
      <w:r w:rsidRPr="002F7253">
        <w:rPr>
          <w:rFonts w:ascii="MinionPro-Regular" w:hAnsi="MinionPro-Regular"/>
          <w:sz w:val="20"/>
          <w:lang w:val="es-ES_tradnl"/>
        </w:rPr>
        <w:t>iscapacidad en los centros especiales de empleo en España</w:t>
      </w:r>
      <w:r>
        <w:rPr>
          <w:rFonts w:ascii="MinionPro-Regular" w:hAnsi="MinionPro-Regular"/>
          <w:sz w:val="20"/>
          <w:lang w:val="es-ES_tradnl"/>
        </w:rPr>
        <w:t xml:space="preserve"> ha aumentado</w:t>
      </w:r>
      <w:r w:rsidRPr="002F7253">
        <w:rPr>
          <w:rFonts w:ascii="MinionPro-Regular" w:hAnsi="MinionPro-Regular"/>
          <w:sz w:val="20"/>
          <w:lang w:val="es-ES_tradnl"/>
        </w:rPr>
        <w:t xml:space="preserve"> un 14% desde 2009 a 2011.</w:t>
      </w:r>
    </w:p>
    <w:p w:rsidR="00E2336B" w:rsidRPr="002F7253" w:rsidRDefault="00E2336B" w:rsidP="0007541A">
      <w:pPr>
        <w:pStyle w:val="Prrafodelista"/>
        <w:numPr>
          <w:ilvl w:val="0"/>
          <w:numId w:val="22"/>
        </w:numPr>
        <w:pBdr>
          <w:top w:val="single" w:sz="4" w:space="1" w:color="auto"/>
          <w:left w:val="single" w:sz="4" w:space="4" w:color="auto"/>
          <w:bottom w:val="single" w:sz="4" w:space="1" w:color="auto"/>
          <w:right w:val="single" w:sz="4" w:space="4" w:color="auto"/>
        </w:pBdr>
        <w:autoSpaceDE w:val="0"/>
        <w:autoSpaceDN w:val="0"/>
        <w:spacing w:line="360" w:lineRule="auto"/>
        <w:jc w:val="both"/>
        <w:rPr>
          <w:rFonts w:ascii="MinionPro-Regular" w:hAnsi="MinionPro-Regular"/>
          <w:sz w:val="20"/>
          <w:lang w:val="es-ES_tradnl"/>
        </w:rPr>
      </w:pPr>
      <w:r w:rsidRPr="002F7253">
        <w:rPr>
          <w:rFonts w:ascii="MinionPro-Regular" w:hAnsi="MinionPro-Regular"/>
          <w:sz w:val="20"/>
          <w:lang w:val="es-ES_tradnl"/>
        </w:rPr>
        <w:t>Las comunidades autónomas que presentan mayor número de empleados con discapacidad en sus centros especiales de empleo son Andalucía, Cataluña, Madrid y País Vasco.</w:t>
      </w:r>
    </w:p>
    <w:p w:rsidR="00E2336B" w:rsidRPr="002F7253" w:rsidRDefault="00E2336B" w:rsidP="0007541A">
      <w:pPr>
        <w:pStyle w:val="Prrafodelista"/>
        <w:numPr>
          <w:ilvl w:val="0"/>
          <w:numId w:val="22"/>
        </w:numPr>
        <w:pBdr>
          <w:top w:val="single" w:sz="4" w:space="1" w:color="auto"/>
          <w:left w:val="single" w:sz="4" w:space="4" w:color="auto"/>
          <w:bottom w:val="single" w:sz="4" w:space="1" w:color="auto"/>
          <w:right w:val="single" w:sz="4" w:space="4" w:color="auto"/>
        </w:pBdr>
        <w:autoSpaceDE w:val="0"/>
        <w:autoSpaceDN w:val="0"/>
        <w:spacing w:line="360" w:lineRule="auto"/>
        <w:jc w:val="both"/>
        <w:rPr>
          <w:rFonts w:ascii="MinionPro-Regular" w:hAnsi="MinionPro-Regular"/>
          <w:sz w:val="20"/>
          <w:lang w:val="es-ES_tradnl"/>
        </w:rPr>
      </w:pPr>
      <w:r w:rsidRPr="002F7253">
        <w:rPr>
          <w:rFonts w:ascii="MinionPro-Regular" w:hAnsi="MinionPro-Regular"/>
          <w:sz w:val="20"/>
          <w:lang w:val="es-ES_tradnl"/>
        </w:rPr>
        <w:t>Se estima que  alrededor  de un 90% de las plantillas</w:t>
      </w:r>
      <w:r>
        <w:rPr>
          <w:rFonts w:ascii="MinionPro-Regular" w:hAnsi="MinionPro-Regular"/>
          <w:sz w:val="20"/>
          <w:lang w:val="es-ES_tradnl"/>
        </w:rPr>
        <w:t xml:space="preserve"> de los centros especiales de empleo las constituyen</w:t>
      </w:r>
      <w:r w:rsidRPr="002F7253">
        <w:rPr>
          <w:rFonts w:ascii="MinionPro-Regular" w:hAnsi="MinionPro-Regular"/>
          <w:sz w:val="20"/>
          <w:lang w:val="es-ES_tradnl"/>
        </w:rPr>
        <w:t xml:space="preserve"> personas con discapacidad. Se observa</w:t>
      </w:r>
      <w:r>
        <w:rPr>
          <w:rFonts w:ascii="MinionPro-Regular" w:hAnsi="MinionPro-Regular"/>
          <w:sz w:val="20"/>
          <w:lang w:val="es-ES_tradnl"/>
        </w:rPr>
        <w:t>, además,</w:t>
      </w:r>
      <w:r w:rsidRPr="002F7253">
        <w:rPr>
          <w:rFonts w:ascii="MinionPro-Regular" w:hAnsi="MinionPro-Regular"/>
          <w:sz w:val="20"/>
          <w:lang w:val="es-ES_tradnl"/>
        </w:rPr>
        <w:t xml:space="preserve"> </w:t>
      </w:r>
      <w:r>
        <w:rPr>
          <w:rFonts w:ascii="MinionPro-Regular" w:hAnsi="MinionPro-Regular"/>
          <w:sz w:val="20"/>
          <w:lang w:val="es-ES_tradnl"/>
        </w:rPr>
        <w:t>un incremento en</w:t>
      </w:r>
      <w:r w:rsidRPr="002F7253">
        <w:rPr>
          <w:rFonts w:ascii="MinionPro-Regular" w:hAnsi="MinionPro-Regular"/>
          <w:sz w:val="20"/>
          <w:lang w:val="es-ES_tradnl"/>
        </w:rPr>
        <w:t xml:space="preserve"> cuanto al porcentaje de plantilla </w:t>
      </w:r>
      <w:r>
        <w:rPr>
          <w:rFonts w:ascii="MinionPro-Regular" w:hAnsi="MinionPro-Regular"/>
          <w:sz w:val="20"/>
          <w:lang w:val="es-ES_tradnl"/>
        </w:rPr>
        <w:t>con</w:t>
      </w:r>
      <w:r w:rsidRPr="002F7253">
        <w:rPr>
          <w:rFonts w:ascii="MinionPro-Regular" w:hAnsi="MinionPro-Regular"/>
          <w:sz w:val="20"/>
          <w:lang w:val="es-ES_tradnl"/>
        </w:rPr>
        <w:t xml:space="preserve"> mayores dificultades</w:t>
      </w:r>
      <w:r>
        <w:rPr>
          <w:rFonts w:ascii="MinionPro-Regular" w:hAnsi="MinionPro-Regular"/>
          <w:sz w:val="20"/>
          <w:lang w:val="es-ES_tradnl"/>
        </w:rPr>
        <w:t>, lo que</w:t>
      </w:r>
      <w:r w:rsidRPr="002F7253">
        <w:rPr>
          <w:rFonts w:ascii="MinionPro-Regular" w:hAnsi="MinionPro-Regular"/>
          <w:sz w:val="20"/>
          <w:lang w:val="es-ES_tradnl"/>
        </w:rPr>
        <w:t xml:space="preserve"> refleja la labor social de los centros especiales de empleo en España.</w:t>
      </w:r>
    </w:p>
    <w:p w:rsidR="00E2336B" w:rsidRPr="00E1646B" w:rsidRDefault="00E2336B" w:rsidP="0007541A">
      <w:pPr>
        <w:pStyle w:val="Prrafodelista"/>
        <w:numPr>
          <w:ilvl w:val="0"/>
          <w:numId w:val="22"/>
        </w:numPr>
        <w:pBdr>
          <w:top w:val="single" w:sz="4" w:space="1" w:color="auto"/>
          <w:left w:val="single" w:sz="4" w:space="4" w:color="auto"/>
          <w:bottom w:val="single" w:sz="4" w:space="1" w:color="auto"/>
          <w:right w:val="single" w:sz="4" w:space="4" w:color="auto"/>
        </w:pBdr>
        <w:autoSpaceDE w:val="0"/>
        <w:autoSpaceDN w:val="0"/>
        <w:spacing w:line="360" w:lineRule="auto"/>
        <w:jc w:val="both"/>
        <w:rPr>
          <w:rFonts w:ascii="MinionPro-Regular" w:hAnsi="MinionPro-Regular"/>
          <w:sz w:val="20"/>
          <w:lang w:val="es-ES_tradnl"/>
        </w:rPr>
      </w:pPr>
      <w:r>
        <w:rPr>
          <w:rFonts w:ascii="MinionPro-Regular" w:hAnsi="MinionPro-Regular"/>
          <w:sz w:val="20"/>
          <w:lang w:val="es-ES_tradnl"/>
        </w:rPr>
        <w:t>Un</w:t>
      </w:r>
      <w:r w:rsidRPr="00E1646B">
        <w:rPr>
          <w:rFonts w:ascii="MinionPro-Regular" w:hAnsi="MinionPro-Regular"/>
          <w:sz w:val="20"/>
          <w:lang w:val="es-ES_tradnl"/>
        </w:rPr>
        <w:t xml:space="preserve"> 60,91%</w:t>
      </w:r>
      <w:r>
        <w:rPr>
          <w:rFonts w:ascii="MinionPro-Regular" w:hAnsi="MinionPro-Regular"/>
          <w:sz w:val="20"/>
          <w:lang w:val="es-ES_tradnl"/>
        </w:rPr>
        <w:t xml:space="preserve"> de las personas con discapacidad que trabajan en centros especiales de empleo son hombres</w:t>
      </w:r>
      <w:r w:rsidRPr="00E1646B">
        <w:rPr>
          <w:rFonts w:ascii="MinionPro-Regular" w:hAnsi="MinionPro-Regular"/>
          <w:sz w:val="20"/>
          <w:lang w:val="es-ES_tradnl"/>
        </w:rPr>
        <w:t>.</w:t>
      </w:r>
    </w:p>
    <w:p w:rsidR="00E2336B" w:rsidRDefault="00E2336B" w:rsidP="0007541A">
      <w:pPr>
        <w:pStyle w:val="Prrafodelista"/>
        <w:numPr>
          <w:ilvl w:val="0"/>
          <w:numId w:val="22"/>
        </w:numPr>
        <w:pBdr>
          <w:top w:val="single" w:sz="4" w:space="1" w:color="auto"/>
          <w:left w:val="single" w:sz="4" w:space="4" w:color="auto"/>
          <w:bottom w:val="single" w:sz="4" w:space="1" w:color="auto"/>
          <w:right w:val="single" w:sz="4" w:space="4" w:color="auto"/>
        </w:pBdr>
        <w:autoSpaceDE w:val="0"/>
        <w:autoSpaceDN w:val="0"/>
        <w:spacing w:line="360" w:lineRule="auto"/>
        <w:jc w:val="both"/>
        <w:rPr>
          <w:rFonts w:ascii="MinionPro-Regular" w:hAnsi="MinionPro-Regular"/>
          <w:sz w:val="20"/>
          <w:lang w:val="es-ES_tradnl"/>
        </w:rPr>
      </w:pPr>
      <w:r>
        <w:rPr>
          <w:rFonts w:ascii="MinionPro-Regular" w:hAnsi="MinionPro-Regular"/>
          <w:sz w:val="20"/>
          <w:lang w:val="es-ES_tradnl"/>
        </w:rPr>
        <w:t>L</w:t>
      </w:r>
      <w:r w:rsidRPr="00E1646B">
        <w:rPr>
          <w:rFonts w:ascii="MinionPro-Regular" w:hAnsi="MinionPro-Regular"/>
          <w:sz w:val="20"/>
          <w:lang w:val="es-ES_tradnl"/>
        </w:rPr>
        <w:t>os centros especiales de empleo están en su mayoría enfocados al sector</w:t>
      </w:r>
      <w:r w:rsidRPr="002F7253">
        <w:rPr>
          <w:rFonts w:ascii="MinionPro-Regular" w:hAnsi="MinionPro-Regular"/>
          <w:sz w:val="20"/>
          <w:lang w:val="es-ES_tradnl"/>
        </w:rPr>
        <w:t xml:space="preserve"> servicio</w:t>
      </w:r>
      <w:r>
        <w:rPr>
          <w:rFonts w:ascii="MinionPro-Regular" w:hAnsi="MinionPro-Regular"/>
          <w:sz w:val="20"/>
          <w:lang w:val="es-ES_tradnl"/>
        </w:rPr>
        <w:t>s, así como las ocupaciones de las personas con discapacidad en términos generales.</w:t>
      </w:r>
    </w:p>
    <w:p w:rsidR="00E2336B" w:rsidRDefault="00E2336B" w:rsidP="00B82498">
      <w:pPr>
        <w:pBdr>
          <w:top w:val="single" w:sz="4" w:space="1" w:color="auto"/>
          <w:left w:val="single" w:sz="4" w:space="4" w:color="auto"/>
          <w:bottom w:val="single" w:sz="4" w:space="1" w:color="auto"/>
          <w:right w:val="single" w:sz="4" w:space="4" w:color="auto"/>
        </w:pBdr>
        <w:autoSpaceDE w:val="0"/>
        <w:autoSpaceDN w:val="0"/>
        <w:spacing w:line="360" w:lineRule="auto"/>
        <w:jc w:val="both"/>
        <w:rPr>
          <w:rFonts w:ascii="MinionPro-Regular" w:hAnsi="MinionPro-Regular"/>
          <w:sz w:val="20"/>
          <w:lang w:val="es-ES_tradnl"/>
        </w:rPr>
      </w:pPr>
    </w:p>
    <w:p w:rsidR="00E2336B" w:rsidRDefault="00E2336B" w:rsidP="00B82498">
      <w:pPr>
        <w:pBdr>
          <w:top w:val="single" w:sz="4" w:space="1" w:color="auto"/>
          <w:left w:val="single" w:sz="4" w:space="4" w:color="auto"/>
          <w:bottom w:val="single" w:sz="4" w:space="1" w:color="auto"/>
          <w:right w:val="single" w:sz="4" w:space="4" w:color="auto"/>
        </w:pBdr>
        <w:autoSpaceDE w:val="0"/>
        <w:autoSpaceDN w:val="0"/>
        <w:spacing w:line="360" w:lineRule="auto"/>
        <w:jc w:val="both"/>
        <w:rPr>
          <w:rFonts w:ascii="MinionPro-Regular" w:hAnsi="MinionPro-Regular"/>
          <w:sz w:val="20"/>
          <w:lang w:val="es-ES_tradnl"/>
        </w:rPr>
      </w:pPr>
      <w:r>
        <w:rPr>
          <w:rFonts w:ascii="MinionPro-Regular" w:hAnsi="MinionPro-Regular"/>
          <w:sz w:val="20"/>
          <w:lang w:val="es-ES_tradnl"/>
        </w:rPr>
        <w:t>Las entrevistas desarrolladas a 91</w:t>
      </w:r>
      <w:r w:rsidRPr="00455028">
        <w:rPr>
          <w:rFonts w:ascii="MinionPro-Regular" w:hAnsi="MinionPro-Regular"/>
          <w:sz w:val="20"/>
          <w:lang w:val="es-ES_tradnl"/>
        </w:rPr>
        <w:t xml:space="preserve"> personas con discapacidad que trabajan en centros especiales de empleo</w:t>
      </w:r>
      <w:r>
        <w:rPr>
          <w:rFonts w:ascii="MinionPro-Regular" w:hAnsi="MinionPro-Regular"/>
          <w:sz w:val="20"/>
          <w:lang w:val="es-ES_tradnl"/>
        </w:rPr>
        <w:t xml:space="preserve"> permiten extraer las siguientes conclusiones:</w:t>
      </w:r>
    </w:p>
    <w:p w:rsidR="00E2336B" w:rsidRDefault="00E2336B" w:rsidP="00B82498">
      <w:pPr>
        <w:pBdr>
          <w:top w:val="single" w:sz="4" w:space="1" w:color="auto"/>
          <w:left w:val="single" w:sz="4" w:space="4" w:color="auto"/>
          <w:bottom w:val="single" w:sz="4" w:space="1" w:color="auto"/>
          <w:right w:val="single" w:sz="4" w:space="4" w:color="auto"/>
        </w:pBdr>
        <w:autoSpaceDE w:val="0"/>
        <w:autoSpaceDN w:val="0"/>
        <w:spacing w:line="360" w:lineRule="auto"/>
        <w:jc w:val="both"/>
        <w:rPr>
          <w:rFonts w:ascii="MinionPro-Regular" w:hAnsi="MinionPro-Regular"/>
          <w:sz w:val="20"/>
          <w:lang w:val="es-ES_tradnl"/>
        </w:rPr>
      </w:pPr>
    </w:p>
    <w:p w:rsidR="00E2336B" w:rsidRDefault="00E2336B" w:rsidP="0007541A">
      <w:pPr>
        <w:pStyle w:val="Prrafodelista"/>
        <w:numPr>
          <w:ilvl w:val="0"/>
          <w:numId w:val="22"/>
        </w:numPr>
        <w:pBdr>
          <w:top w:val="single" w:sz="4" w:space="1" w:color="auto"/>
          <w:left w:val="single" w:sz="4" w:space="4" w:color="auto"/>
          <w:bottom w:val="single" w:sz="4" w:space="1" w:color="auto"/>
          <w:right w:val="single" w:sz="4" w:space="4" w:color="auto"/>
        </w:pBdr>
        <w:autoSpaceDE w:val="0"/>
        <w:autoSpaceDN w:val="0"/>
        <w:spacing w:line="360" w:lineRule="auto"/>
        <w:jc w:val="both"/>
        <w:rPr>
          <w:rFonts w:ascii="MinionPro-Regular" w:hAnsi="MinionPro-Regular"/>
          <w:sz w:val="20"/>
          <w:lang w:val="es-ES_tradnl"/>
        </w:rPr>
      </w:pPr>
      <w:r>
        <w:rPr>
          <w:rFonts w:ascii="MinionPro-Regular" w:hAnsi="MinionPro-Regular"/>
          <w:sz w:val="20"/>
          <w:lang w:val="es-ES_tradnl"/>
        </w:rPr>
        <w:t>E</w:t>
      </w:r>
      <w:r w:rsidRPr="00455028">
        <w:rPr>
          <w:rFonts w:ascii="MinionPro-Regular" w:hAnsi="MinionPro-Regular"/>
          <w:sz w:val="20"/>
          <w:lang w:val="es-ES_tradnl"/>
        </w:rPr>
        <w:t>l número de personas con ningún tipo de titulación</w:t>
      </w:r>
      <w:r>
        <w:rPr>
          <w:rFonts w:ascii="MinionPro-Regular" w:hAnsi="MinionPro-Regular"/>
          <w:sz w:val="20"/>
          <w:lang w:val="es-ES_tradnl"/>
        </w:rPr>
        <w:t xml:space="preserve"> </w:t>
      </w:r>
      <w:r w:rsidRPr="00455028">
        <w:rPr>
          <w:rFonts w:ascii="MinionPro-Regular" w:hAnsi="MinionPro-Regular"/>
          <w:sz w:val="20"/>
          <w:lang w:val="es-ES_tradnl"/>
        </w:rPr>
        <w:t xml:space="preserve">supera al de titulados universitarios. </w:t>
      </w:r>
    </w:p>
    <w:p w:rsidR="00E2336B" w:rsidRPr="00E2336B" w:rsidRDefault="00E2336B" w:rsidP="0007541A">
      <w:pPr>
        <w:pStyle w:val="Prrafodelista"/>
        <w:numPr>
          <w:ilvl w:val="0"/>
          <w:numId w:val="22"/>
        </w:numPr>
        <w:pBdr>
          <w:top w:val="single" w:sz="4" w:space="1" w:color="auto"/>
          <w:left w:val="single" w:sz="4" w:space="4" w:color="auto"/>
          <w:bottom w:val="single" w:sz="4" w:space="1" w:color="auto"/>
          <w:right w:val="single" w:sz="4" w:space="4" w:color="auto"/>
        </w:pBdr>
        <w:autoSpaceDE w:val="0"/>
        <w:autoSpaceDN w:val="0"/>
        <w:spacing w:line="360" w:lineRule="auto"/>
        <w:jc w:val="both"/>
        <w:rPr>
          <w:rFonts w:ascii="MinionPro-Regular" w:hAnsi="MinionPro-Regular"/>
          <w:sz w:val="20"/>
          <w:lang w:val="es-ES_tradnl"/>
        </w:rPr>
      </w:pPr>
      <w:r w:rsidRPr="00455028">
        <w:rPr>
          <w:rFonts w:ascii="MinionPro-Regular" w:hAnsi="MinionPro-Regular"/>
          <w:sz w:val="20"/>
          <w:lang w:val="es-ES_tradnl"/>
        </w:rPr>
        <w:t xml:space="preserve">La formación recibida en el centro en muchas ocasiones </w:t>
      </w:r>
      <w:r>
        <w:rPr>
          <w:rFonts w:ascii="MinionPro-Regular" w:hAnsi="MinionPro-Regular"/>
          <w:sz w:val="20"/>
          <w:lang w:val="es-ES_tradnl"/>
        </w:rPr>
        <w:t>es considerada buena pero escasa.</w:t>
      </w:r>
    </w:p>
    <w:p w:rsidR="00E2336B" w:rsidRDefault="00E2336B" w:rsidP="0007541A">
      <w:pPr>
        <w:pStyle w:val="Prrafodelista"/>
        <w:numPr>
          <w:ilvl w:val="0"/>
          <w:numId w:val="22"/>
        </w:numPr>
        <w:pBdr>
          <w:top w:val="single" w:sz="4" w:space="1" w:color="auto"/>
          <w:left w:val="single" w:sz="4" w:space="4" w:color="auto"/>
          <w:bottom w:val="single" w:sz="4" w:space="1" w:color="auto"/>
          <w:right w:val="single" w:sz="4" w:space="4" w:color="auto"/>
        </w:pBdr>
        <w:autoSpaceDE w:val="0"/>
        <w:autoSpaceDN w:val="0"/>
        <w:spacing w:line="360" w:lineRule="auto"/>
        <w:jc w:val="both"/>
        <w:rPr>
          <w:rFonts w:ascii="MinionPro-Regular" w:hAnsi="MinionPro-Regular"/>
          <w:sz w:val="20"/>
          <w:lang w:val="es-ES_tradnl"/>
        </w:rPr>
      </w:pPr>
      <w:r>
        <w:rPr>
          <w:rFonts w:ascii="MinionPro-Regular" w:hAnsi="MinionPro-Regular"/>
          <w:sz w:val="20"/>
          <w:lang w:val="es-ES_tradnl"/>
        </w:rPr>
        <w:t xml:space="preserve">La red asociativa es significativamente más relevante a la hora de obtener un empleo que los servicios públicos. Por cada tres personas que consiguieron el empleo gracias a la red asociativa, sólo una lo consiguió a través de los servicios públicos. </w:t>
      </w:r>
    </w:p>
    <w:p w:rsidR="00E2336B" w:rsidRPr="0010535E" w:rsidRDefault="00E2336B" w:rsidP="0007541A">
      <w:pPr>
        <w:pStyle w:val="Prrafodelista"/>
        <w:numPr>
          <w:ilvl w:val="0"/>
          <w:numId w:val="22"/>
        </w:numPr>
        <w:pBdr>
          <w:top w:val="single" w:sz="4" w:space="1" w:color="auto"/>
          <w:left w:val="single" w:sz="4" w:space="4" w:color="auto"/>
          <w:bottom w:val="single" w:sz="4" w:space="1" w:color="auto"/>
          <w:right w:val="single" w:sz="4" w:space="4" w:color="auto"/>
        </w:pBdr>
        <w:autoSpaceDE w:val="0"/>
        <w:autoSpaceDN w:val="0"/>
        <w:spacing w:line="360" w:lineRule="auto"/>
        <w:jc w:val="both"/>
        <w:rPr>
          <w:rFonts w:ascii="MinionPro-Regular" w:hAnsi="MinionPro-Regular"/>
          <w:sz w:val="20"/>
          <w:lang w:val="es-ES_tradnl"/>
        </w:rPr>
      </w:pPr>
      <w:r w:rsidRPr="0010535E">
        <w:rPr>
          <w:rFonts w:ascii="MinionPro-Regular" w:hAnsi="MinionPro-Regular"/>
          <w:sz w:val="20"/>
          <w:lang w:val="es-ES_tradnl"/>
        </w:rPr>
        <w:lastRenderedPageBreak/>
        <w:t xml:space="preserve">A la hora de valorar un cambio de trabajo, el salario, el deseo de aprender y adquirir nuevas responsabilidades son los principales motivadores. </w:t>
      </w:r>
    </w:p>
    <w:p w:rsidR="00E2336B" w:rsidRPr="0010535E" w:rsidRDefault="00E2336B" w:rsidP="0007541A">
      <w:pPr>
        <w:pStyle w:val="Prrafodelista"/>
        <w:numPr>
          <w:ilvl w:val="0"/>
          <w:numId w:val="22"/>
        </w:numPr>
        <w:pBdr>
          <w:top w:val="single" w:sz="4" w:space="1" w:color="auto"/>
          <w:left w:val="single" w:sz="4" w:space="4" w:color="auto"/>
          <w:bottom w:val="single" w:sz="4" w:space="1" w:color="auto"/>
          <w:right w:val="single" w:sz="4" w:space="4" w:color="auto"/>
        </w:pBdr>
        <w:autoSpaceDE w:val="0"/>
        <w:autoSpaceDN w:val="0"/>
        <w:spacing w:line="360" w:lineRule="auto"/>
        <w:jc w:val="both"/>
        <w:rPr>
          <w:rFonts w:ascii="MinionPro-Regular" w:hAnsi="MinionPro-Regular"/>
          <w:sz w:val="20"/>
          <w:lang w:val="es-ES_tradnl"/>
        </w:rPr>
      </w:pPr>
      <w:r>
        <w:rPr>
          <w:rFonts w:ascii="MinionPro-Regular" w:hAnsi="MinionPro-Regular"/>
          <w:sz w:val="20"/>
          <w:lang w:val="es-ES_tradnl"/>
        </w:rPr>
        <w:t>Los salarios percibidos son relativamente bajos, lo que dificulta la independencia de las personas con discapacidad</w:t>
      </w:r>
      <w:r w:rsidRPr="00455028">
        <w:rPr>
          <w:rFonts w:ascii="MinionPro-Regular" w:hAnsi="MinionPro-Regular"/>
          <w:sz w:val="20"/>
          <w:lang w:val="es-ES_tradnl"/>
        </w:rPr>
        <w:t xml:space="preserve">. </w:t>
      </w:r>
    </w:p>
    <w:p w:rsidR="00E2336B" w:rsidRDefault="00E2336B" w:rsidP="0007541A">
      <w:pPr>
        <w:pStyle w:val="Prrafodelista"/>
        <w:numPr>
          <w:ilvl w:val="0"/>
          <w:numId w:val="22"/>
        </w:numPr>
        <w:pBdr>
          <w:top w:val="single" w:sz="4" w:space="1" w:color="auto"/>
          <w:left w:val="single" w:sz="4" w:space="4" w:color="auto"/>
          <w:bottom w:val="single" w:sz="4" w:space="1" w:color="auto"/>
          <w:right w:val="single" w:sz="4" w:space="4" w:color="auto"/>
        </w:pBdr>
        <w:autoSpaceDE w:val="0"/>
        <w:autoSpaceDN w:val="0"/>
        <w:spacing w:line="360" w:lineRule="auto"/>
        <w:jc w:val="both"/>
        <w:rPr>
          <w:rFonts w:ascii="MinionPro-Regular" w:hAnsi="MinionPro-Regular"/>
          <w:sz w:val="20"/>
          <w:lang w:val="es-ES_tradnl"/>
        </w:rPr>
      </w:pPr>
      <w:r>
        <w:rPr>
          <w:rFonts w:ascii="MinionPro-Regular" w:hAnsi="MinionPro-Regular"/>
          <w:sz w:val="20"/>
          <w:lang w:val="es-ES_tradnl"/>
        </w:rPr>
        <w:t>L</w:t>
      </w:r>
      <w:r w:rsidRPr="00455028">
        <w:rPr>
          <w:rFonts w:ascii="MinionPro-Regular" w:hAnsi="MinionPro-Regular"/>
          <w:sz w:val="20"/>
          <w:lang w:val="es-ES_tradnl"/>
        </w:rPr>
        <w:t xml:space="preserve">as principales motivaciones </w:t>
      </w:r>
      <w:r>
        <w:rPr>
          <w:rFonts w:ascii="MinionPro-Regular" w:hAnsi="MinionPro-Regular"/>
          <w:sz w:val="20"/>
          <w:lang w:val="es-ES_tradnl"/>
        </w:rPr>
        <w:t>al</w:t>
      </w:r>
      <w:r w:rsidRPr="00455028">
        <w:rPr>
          <w:rFonts w:ascii="MinionPro-Regular" w:hAnsi="MinionPro-Regular"/>
          <w:sz w:val="20"/>
          <w:lang w:val="es-ES_tradnl"/>
        </w:rPr>
        <w:t xml:space="preserve"> trabajo son la autonomía personal y el sentimiento de utilidad</w:t>
      </w:r>
      <w:r>
        <w:rPr>
          <w:rFonts w:ascii="MinionPro-Regular" w:hAnsi="MinionPro-Regular"/>
          <w:sz w:val="20"/>
          <w:lang w:val="es-ES_tradnl"/>
        </w:rPr>
        <w:t>.</w:t>
      </w:r>
    </w:p>
    <w:p w:rsidR="002959F0" w:rsidRDefault="002959F0">
      <w:pPr>
        <w:pBdr>
          <w:top w:val="single" w:sz="4" w:space="1" w:color="auto"/>
          <w:left w:val="single" w:sz="4" w:space="4" w:color="auto"/>
          <w:bottom w:val="single" w:sz="4" w:space="1" w:color="auto"/>
          <w:right w:val="single" w:sz="4" w:space="4" w:color="auto"/>
        </w:pBdr>
        <w:autoSpaceDE w:val="0"/>
        <w:autoSpaceDN w:val="0"/>
        <w:spacing w:line="360" w:lineRule="auto"/>
        <w:jc w:val="both"/>
        <w:rPr>
          <w:rFonts w:ascii="MinionPro-Regular" w:hAnsi="MinionPro-Regular"/>
          <w:sz w:val="20"/>
          <w:lang w:val="es-ES_tradnl"/>
        </w:rPr>
      </w:pPr>
    </w:p>
    <w:p w:rsidR="002959F0" w:rsidRDefault="00E2336B">
      <w:pPr>
        <w:pBdr>
          <w:top w:val="single" w:sz="4" w:space="1" w:color="auto"/>
          <w:left w:val="single" w:sz="4" w:space="4" w:color="auto"/>
          <w:bottom w:val="single" w:sz="4" w:space="1" w:color="auto"/>
          <w:right w:val="single" w:sz="4" w:space="4" w:color="auto"/>
        </w:pBdr>
        <w:autoSpaceDE w:val="0"/>
        <w:autoSpaceDN w:val="0"/>
        <w:spacing w:line="360" w:lineRule="auto"/>
        <w:jc w:val="both"/>
        <w:rPr>
          <w:rFonts w:ascii="MinionPro-Regular" w:hAnsi="MinionPro-Regular"/>
          <w:sz w:val="20"/>
          <w:lang w:val="es-ES_tradnl"/>
        </w:rPr>
      </w:pPr>
      <w:r>
        <w:rPr>
          <w:rFonts w:ascii="MinionPro-Regular" w:hAnsi="MinionPro-Regular"/>
          <w:sz w:val="20"/>
          <w:lang w:val="es-ES_tradnl"/>
        </w:rPr>
        <w:t>Las encuestas online enviadas a los gestores de centros especiales de empleo ponen de manifiesto que:</w:t>
      </w:r>
    </w:p>
    <w:p w:rsidR="00E2336B" w:rsidRDefault="00E2336B" w:rsidP="0007541A">
      <w:pPr>
        <w:pStyle w:val="Prrafodelista"/>
        <w:numPr>
          <w:ilvl w:val="0"/>
          <w:numId w:val="22"/>
        </w:numPr>
        <w:pBdr>
          <w:top w:val="single" w:sz="4" w:space="1" w:color="auto"/>
          <w:left w:val="single" w:sz="4" w:space="4" w:color="auto"/>
          <w:bottom w:val="single" w:sz="4" w:space="1" w:color="auto"/>
          <w:right w:val="single" w:sz="4" w:space="4" w:color="auto"/>
        </w:pBdr>
        <w:autoSpaceDE w:val="0"/>
        <w:autoSpaceDN w:val="0"/>
        <w:spacing w:line="360" w:lineRule="auto"/>
        <w:jc w:val="both"/>
        <w:rPr>
          <w:rFonts w:ascii="MinionPro-Regular" w:hAnsi="MinionPro-Regular"/>
          <w:sz w:val="20"/>
          <w:lang w:val="es-ES_tradnl"/>
        </w:rPr>
      </w:pPr>
      <w:r w:rsidRPr="00E5299C">
        <w:rPr>
          <w:rFonts w:ascii="MinionPro-Regular" w:hAnsi="MinionPro-Regular"/>
          <w:sz w:val="20"/>
          <w:lang w:val="es-ES_tradnl"/>
        </w:rPr>
        <w:t>En cuanto a los datos de plantilla</w:t>
      </w:r>
      <w:r>
        <w:rPr>
          <w:rFonts w:ascii="MinionPro-Regular" w:hAnsi="MinionPro-Regular"/>
          <w:sz w:val="20"/>
          <w:lang w:val="es-ES_tradnl"/>
        </w:rPr>
        <w:t xml:space="preserve">, </w:t>
      </w:r>
      <w:r w:rsidRPr="00E5299C">
        <w:rPr>
          <w:rFonts w:ascii="MinionPro-Regular" w:hAnsi="MinionPro-Regular"/>
          <w:sz w:val="20"/>
          <w:lang w:val="es-ES_tradnl"/>
        </w:rPr>
        <w:t>predominan los hombres (56%) frente a las mujeres (44%).</w:t>
      </w:r>
      <w:r>
        <w:rPr>
          <w:rFonts w:ascii="MinionPro-Regular" w:hAnsi="MinionPro-Regular"/>
          <w:sz w:val="20"/>
          <w:lang w:val="es-ES_tradnl"/>
        </w:rPr>
        <w:t xml:space="preserve"> </w:t>
      </w:r>
    </w:p>
    <w:p w:rsidR="00E2336B" w:rsidRDefault="00E2336B" w:rsidP="0007541A">
      <w:pPr>
        <w:pStyle w:val="Prrafodelista"/>
        <w:numPr>
          <w:ilvl w:val="0"/>
          <w:numId w:val="22"/>
        </w:numPr>
        <w:pBdr>
          <w:top w:val="single" w:sz="4" w:space="1" w:color="auto"/>
          <w:left w:val="single" w:sz="4" w:space="4" w:color="auto"/>
          <w:bottom w:val="single" w:sz="4" w:space="1" w:color="auto"/>
          <w:right w:val="single" w:sz="4" w:space="4" w:color="auto"/>
        </w:pBdr>
        <w:autoSpaceDE w:val="0"/>
        <w:autoSpaceDN w:val="0"/>
        <w:spacing w:line="360" w:lineRule="auto"/>
        <w:jc w:val="both"/>
        <w:rPr>
          <w:rFonts w:ascii="MinionPro-Regular" w:hAnsi="MinionPro-Regular"/>
          <w:sz w:val="20"/>
          <w:lang w:val="es-ES_tradnl"/>
        </w:rPr>
      </w:pPr>
      <w:r>
        <w:rPr>
          <w:rFonts w:ascii="MinionPro-Regular" w:hAnsi="MinionPro-Regular"/>
          <w:sz w:val="20"/>
          <w:lang w:val="es-ES_tradnl"/>
        </w:rPr>
        <w:t>Más del 80% de los encuestados opinan que los centros especiales de empleo garantizan la estabilidad en el empleo de las personas con discapacidad.</w:t>
      </w:r>
    </w:p>
    <w:p w:rsidR="00E2336B" w:rsidRDefault="00E2336B" w:rsidP="0007541A">
      <w:pPr>
        <w:pStyle w:val="Prrafodelista"/>
        <w:numPr>
          <w:ilvl w:val="0"/>
          <w:numId w:val="22"/>
        </w:numPr>
        <w:pBdr>
          <w:top w:val="single" w:sz="4" w:space="1" w:color="auto"/>
          <w:left w:val="single" w:sz="4" w:space="4" w:color="auto"/>
          <w:bottom w:val="single" w:sz="4" w:space="1" w:color="auto"/>
          <w:right w:val="single" w:sz="4" w:space="4" w:color="auto"/>
        </w:pBdr>
        <w:autoSpaceDE w:val="0"/>
        <w:autoSpaceDN w:val="0"/>
        <w:spacing w:line="360" w:lineRule="auto"/>
        <w:jc w:val="both"/>
        <w:rPr>
          <w:rFonts w:ascii="MinionPro-Regular" w:hAnsi="MinionPro-Regular"/>
          <w:sz w:val="20"/>
          <w:lang w:val="es-ES_tradnl"/>
        </w:rPr>
      </w:pPr>
      <w:r>
        <w:rPr>
          <w:rFonts w:ascii="MinionPro-Regular" w:hAnsi="MinionPro-Regular"/>
          <w:sz w:val="20"/>
          <w:lang w:val="es-ES_tradnl"/>
        </w:rPr>
        <w:t>El 44% de los centros especiales de empleo afirman que no disponen de unidades de apoyo.</w:t>
      </w:r>
    </w:p>
    <w:p w:rsidR="00E2336B" w:rsidRDefault="00E2336B" w:rsidP="0007541A">
      <w:pPr>
        <w:pStyle w:val="Prrafodelista"/>
        <w:numPr>
          <w:ilvl w:val="0"/>
          <w:numId w:val="22"/>
        </w:numPr>
        <w:pBdr>
          <w:top w:val="single" w:sz="4" w:space="1" w:color="auto"/>
          <w:left w:val="single" w:sz="4" w:space="4" w:color="auto"/>
          <w:bottom w:val="single" w:sz="4" w:space="1" w:color="auto"/>
          <w:right w:val="single" w:sz="4" w:space="4" w:color="auto"/>
        </w:pBdr>
        <w:autoSpaceDE w:val="0"/>
        <w:autoSpaceDN w:val="0"/>
        <w:spacing w:line="360" w:lineRule="auto"/>
        <w:jc w:val="both"/>
        <w:rPr>
          <w:rFonts w:ascii="MinionPro-Regular" w:hAnsi="MinionPro-Regular"/>
          <w:sz w:val="20"/>
          <w:lang w:val="es-ES_tradnl"/>
        </w:rPr>
      </w:pPr>
      <w:r>
        <w:rPr>
          <w:rFonts w:ascii="MinionPro-Regular" w:hAnsi="MinionPro-Regular"/>
          <w:sz w:val="20"/>
          <w:lang w:val="es-ES_tradnl"/>
        </w:rPr>
        <w:t>La mediana en cuanto a facturación de los centros encuestados se refiere, se sitúa en 710.500 euros.</w:t>
      </w:r>
    </w:p>
    <w:p w:rsidR="00E2336B" w:rsidRDefault="00E2336B" w:rsidP="0007541A">
      <w:pPr>
        <w:pStyle w:val="Prrafodelista"/>
        <w:numPr>
          <w:ilvl w:val="0"/>
          <w:numId w:val="22"/>
        </w:numPr>
        <w:pBdr>
          <w:top w:val="single" w:sz="4" w:space="1" w:color="auto"/>
          <w:left w:val="single" w:sz="4" w:space="4" w:color="auto"/>
          <w:bottom w:val="single" w:sz="4" w:space="1" w:color="auto"/>
          <w:right w:val="single" w:sz="4" w:space="4" w:color="auto"/>
        </w:pBdr>
        <w:autoSpaceDE w:val="0"/>
        <w:autoSpaceDN w:val="0"/>
        <w:spacing w:line="360" w:lineRule="auto"/>
        <w:jc w:val="both"/>
        <w:rPr>
          <w:rFonts w:ascii="MinionPro-Regular" w:hAnsi="MinionPro-Regular"/>
          <w:sz w:val="20"/>
          <w:lang w:val="es-ES_tradnl"/>
        </w:rPr>
      </w:pPr>
      <w:r>
        <w:rPr>
          <w:rFonts w:ascii="MinionPro-Regular" w:hAnsi="MinionPro-Regular"/>
          <w:sz w:val="20"/>
          <w:lang w:val="es-ES_tradnl"/>
        </w:rPr>
        <w:t xml:space="preserve">Se constata que los centros especiales están dedicados mayoritariamente al sector servicios, destacando, las actividades de limpieza (15%), lavandería (15%) y jardinería (8%). </w:t>
      </w:r>
    </w:p>
    <w:p w:rsidR="00E2336B" w:rsidRPr="00E2336B" w:rsidRDefault="00E2336B" w:rsidP="0007541A">
      <w:pPr>
        <w:pStyle w:val="Prrafodelista"/>
        <w:numPr>
          <w:ilvl w:val="0"/>
          <w:numId w:val="22"/>
        </w:numPr>
        <w:pBdr>
          <w:top w:val="single" w:sz="4" w:space="1" w:color="auto"/>
          <w:left w:val="single" w:sz="4" w:space="4" w:color="auto"/>
          <w:bottom w:val="single" w:sz="4" w:space="1" w:color="auto"/>
          <w:right w:val="single" w:sz="4" w:space="4" w:color="auto"/>
        </w:pBdr>
        <w:autoSpaceDE w:val="0"/>
        <w:autoSpaceDN w:val="0"/>
        <w:spacing w:line="360" w:lineRule="auto"/>
        <w:jc w:val="both"/>
        <w:rPr>
          <w:rFonts w:ascii="MinionPro-Regular" w:hAnsi="MinionPro-Regular"/>
          <w:sz w:val="20"/>
          <w:lang w:val="es-ES_tradnl"/>
        </w:rPr>
      </w:pPr>
      <w:r>
        <w:rPr>
          <w:rFonts w:ascii="MinionPro-Regular" w:hAnsi="MinionPro-Regular"/>
          <w:sz w:val="20"/>
          <w:lang w:val="es-ES_tradnl"/>
        </w:rPr>
        <w:t>En relación al retorno económico de los centros especiales de empleo a las arcas del Estado en forma de impuestos, el 73% de los gestores tiene la percepción de que el flujo es favorable a la Administración.</w:t>
      </w:r>
    </w:p>
    <w:p w:rsidR="00E2336B" w:rsidRDefault="00E2336B" w:rsidP="0007541A">
      <w:pPr>
        <w:pStyle w:val="Ttulo1"/>
        <w:numPr>
          <w:ilvl w:val="0"/>
          <w:numId w:val="3"/>
        </w:numPr>
        <w:rPr>
          <w:lang w:val="es-ES_tradnl"/>
        </w:rPr>
      </w:pPr>
      <w:r>
        <w:rPr>
          <w:lang w:val="es-ES_tradnl"/>
        </w:rPr>
        <w:br w:type="page"/>
      </w:r>
      <w:bookmarkStart w:id="183" w:name="_Toc345671676"/>
      <w:bookmarkStart w:id="184" w:name="_Toc346049038"/>
      <w:bookmarkStart w:id="185" w:name="_Toc346049341"/>
      <w:bookmarkStart w:id="186" w:name="_Toc346126205"/>
      <w:bookmarkStart w:id="187" w:name="_Toc347257522"/>
      <w:bookmarkStart w:id="188" w:name="_Toc347654296"/>
      <w:bookmarkStart w:id="189" w:name="_Toc347667904"/>
      <w:bookmarkStart w:id="190" w:name="_Toc345671677"/>
      <w:bookmarkStart w:id="191" w:name="_Toc346049039"/>
      <w:bookmarkStart w:id="192" w:name="_Toc346049342"/>
      <w:bookmarkStart w:id="193" w:name="_Toc346126206"/>
      <w:bookmarkStart w:id="194" w:name="_Toc347173519"/>
      <w:bookmarkStart w:id="195" w:name="_Toc347257523"/>
      <w:bookmarkStart w:id="196" w:name="_Toc347654297"/>
      <w:bookmarkStart w:id="197" w:name="_Toc347667905"/>
      <w:bookmarkStart w:id="198" w:name="_Toc345671678"/>
      <w:bookmarkStart w:id="199" w:name="_Toc346049040"/>
      <w:bookmarkStart w:id="200" w:name="_Toc346049343"/>
      <w:bookmarkStart w:id="201" w:name="_Toc346126207"/>
      <w:bookmarkStart w:id="202" w:name="_Toc347173520"/>
      <w:bookmarkStart w:id="203" w:name="_Toc347257524"/>
      <w:bookmarkStart w:id="204" w:name="_Toc347654298"/>
      <w:bookmarkStart w:id="205" w:name="_Toc347667906"/>
      <w:bookmarkStart w:id="206" w:name="_Toc345671679"/>
      <w:bookmarkStart w:id="207" w:name="_Toc346049041"/>
      <w:bookmarkStart w:id="208" w:name="_Toc346049344"/>
      <w:bookmarkStart w:id="209" w:name="_Toc346126208"/>
      <w:bookmarkStart w:id="210" w:name="_Toc347173521"/>
      <w:bookmarkStart w:id="211" w:name="_Toc347257525"/>
      <w:bookmarkStart w:id="212" w:name="_Toc347654299"/>
      <w:bookmarkStart w:id="213" w:name="_Toc347667907"/>
      <w:bookmarkStart w:id="214" w:name="_Toc345671680"/>
      <w:bookmarkStart w:id="215" w:name="_Toc346049042"/>
      <w:bookmarkStart w:id="216" w:name="_Toc346049345"/>
      <w:bookmarkStart w:id="217" w:name="_Toc346126209"/>
      <w:bookmarkStart w:id="218" w:name="_Toc347173522"/>
      <w:bookmarkStart w:id="219" w:name="_Toc347257526"/>
      <w:bookmarkStart w:id="220" w:name="_Toc347654300"/>
      <w:bookmarkStart w:id="221" w:name="_Toc347667908"/>
      <w:bookmarkStart w:id="222" w:name="_Toc345671681"/>
      <w:bookmarkStart w:id="223" w:name="_Toc346049043"/>
      <w:bookmarkStart w:id="224" w:name="_Toc346049346"/>
      <w:bookmarkStart w:id="225" w:name="_Toc346126210"/>
      <w:bookmarkStart w:id="226" w:name="_Toc347173523"/>
      <w:bookmarkStart w:id="227" w:name="_Toc347257527"/>
      <w:bookmarkStart w:id="228" w:name="_Toc347654301"/>
      <w:bookmarkStart w:id="229" w:name="_Toc347667909"/>
      <w:bookmarkStart w:id="230" w:name="_Toc345671682"/>
      <w:bookmarkStart w:id="231" w:name="_Toc346049044"/>
      <w:bookmarkStart w:id="232" w:name="_Toc346049347"/>
      <w:bookmarkStart w:id="233" w:name="_Toc346126211"/>
      <w:bookmarkStart w:id="234" w:name="_Toc347173524"/>
      <w:bookmarkStart w:id="235" w:name="_Toc347257528"/>
      <w:bookmarkStart w:id="236" w:name="_Toc347654302"/>
      <w:bookmarkStart w:id="237" w:name="_Toc347667910"/>
      <w:bookmarkStart w:id="238" w:name="_Toc345671683"/>
      <w:bookmarkStart w:id="239" w:name="_Toc346049045"/>
      <w:bookmarkStart w:id="240" w:name="_Toc346049348"/>
      <w:bookmarkStart w:id="241" w:name="_Toc346126212"/>
      <w:bookmarkStart w:id="242" w:name="_Toc347173525"/>
      <w:bookmarkStart w:id="243" w:name="_Toc347257529"/>
      <w:bookmarkStart w:id="244" w:name="_Toc347654303"/>
      <w:bookmarkStart w:id="245" w:name="_Toc347667911"/>
      <w:bookmarkStart w:id="246" w:name="_Toc345671684"/>
      <w:bookmarkStart w:id="247" w:name="_Toc346049046"/>
      <w:bookmarkStart w:id="248" w:name="_Toc346049349"/>
      <w:bookmarkStart w:id="249" w:name="_Toc346126213"/>
      <w:bookmarkStart w:id="250" w:name="_Toc347173526"/>
      <w:bookmarkStart w:id="251" w:name="_Toc347257530"/>
      <w:bookmarkStart w:id="252" w:name="_Toc347654304"/>
      <w:bookmarkStart w:id="253" w:name="_Toc347667912"/>
      <w:bookmarkStart w:id="254" w:name="_Toc345671685"/>
      <w:bookmarkStart w:id="255" w:name="_Toc346049047"/>
      <w:bookmarkStart w:id="256" w:name="_Toc346049350"/>
      <w:bookmarkStart w:id="257" w:name="_Toc346126214"/>
      <w:bookmarkStart w:id="258" w:name="_Toc347173527"/>
      <w:bookmarkStart w:id="259" w:name="_Toc347257531"/>
      <w:bookmarkStart w:id="260" w:name="_Toc347654305"/>
      <w:bookmarkStart w:id="261" w:name="_Toc347667913"/>
      <w:bookmarkStart w:id="262" w:name="_Toc345671686"/>
      <w:bookmarkStart w:id="263" w:name="_Toc346049048"/>
      <w:bookmarkStart w:id="264" w:name="_Toc346049351"/>
      <w:bookmarkStart w:id="265" w:name="_Toc346126215"/>
      <w:bookmarkStart w:id="266" w:name="_Toc347173528"/>
      <w:bookmarkStart w:id="267" w:name="_Toc347257532"/>
      <w:bookmarkStart w:id="268" w:name="_Toc347654306"/>
      <w:bookmarkStart w:id="269" w:name="_Toc347667914"/>
      <w:bookmarkStart w:id="270" w:name="_Toc352773568"/>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r>
        <w:rPr>
          <w:lang w:val="es-ES_tradnl"/>
        </w:rPr>
        <w:lastRenderedPageBreak/>
        <w:t>L</w:t>
      </w:r>
      <w:r w:rsidRPr="00347B59">
        <w:rPr>
          <w:lang w:val="es-ES_tradnl"/>
        </w:rPr>
        <w:t>os modelos distintos al español</w:t>
      </w:r>
      <w:bookmarkEnd w:id="161"/>
      <w:bookmarkEnd w:id="270"/>
    </w:p>
    <w:p w:rsidR="00E2336B" w:rsidRDefault="00E2336B" w:rsidP="000050AA">
      <w:pPr>
        <w:pStyle w:val="Textoindependiente"/>
        <w:rPr>
          <w:lang w:val="es-ES_tradnl"/>
        </w:rPr>
      </w:pPr>
    </w:p>
    <w:p w:rsidR="00E2336B" w:rsidRDefault="00E2336B" w:rsidP="001B0EA4">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En la Unión Europea existen diferentes modelos para la incorporación laboral de las personas con discapacidad</w:t>
      </w:r>
      <w:r w:rsidRPr="00BA15F0">
        <w:rPr>
          <w:rFonts w:ascii="MinionPro-Regular" w:hAnsi="MinionPro-Regular"/>
          <w:sz w:val="24"/>
          <w:szCs w:val="24"/>
          <w:lang w:val="es-ES_tradnl"/>
        </w:rPr>
        <w:t>.</w:t>
      </w:r>
      <w:r>
        <w:rPr>
          <w:rFonts w:ascii="MinionPro-Regular" w:hAnsi="MinionPro-Regular"/>
          <w:sz w:val="24"/>
          <w:szCs w:val="24"/>
          <w:lang w:val="es-ES_tradnl"/>
        </w:rPr>
        <w:t xml:space="preserve"> La evaluación de los modelos aplicados en los distintos países y su comparación con el caso español plantea numerosas limitaciones. Éstas tienen que ver con las diferencias existentes en lo que se refiere a la disponibilidad de información y la calidad de la misma o con las propias definiciones de discapacidad utilizadas. A continuación se describen, de manera somera, los modelos aplicados en Alemania, Italia, Reino Unido y Suecia. </w:t>
      </w:r>
    </w:p>
    <w:p w:rsidR="00E2336B" w:rsidRPr="00347B59" w:rsidRDefault="00E2336B" w:rsidP="0007541A">
      <w:pPr>
        <w:pStyle w:val="Ttulo2"/>
        <w:numPr>
          <w:ilvl w:val="1"/>
          <w:numId w:val="3"/>
        </w:numPr>
        <w:ind w:left="0"/>
        <w:rPr>
          <w:rFonts w:ascii="MinionPro-Regular" w:hAnsi="MinionPro-Regular"/>
          <w:lang w:val="es-ES_tradnl"/>
        </w:rPr>
      </w:pPr>
      <w:bookmarkStart w:id="271" w:name="_Toc344964072"/>
      <w:bookmarkStart w:id="272" w:name="_Toc352773569"/>
      <w:r>
        <w:rPr>
          <w:rFonts w:ascii="MinionPro-Regular" w:hAnsi="MinionPro-Regular"/>
          <w:lang w:val="es-ES_tradnl"/>
        </w:rPr>
        <w:t>La calidad de las políticas de integración</w:t>
      </w:r>
      <w:bookmarkEnd w:id="271"/>
      <w:r>
        <w:rPr>
          <w:rFonts w:ascii="MinionPro-Regular" w:hAnsi="MinionPro-Regular"/>
          <w:lang w:val="es-ES_tradnl"/>
        </w:rPr>
        <w:t xml:space="preserve"> no es homogénea</w:t>
      </w:r>
      <w:bookmarkEnd w:id="272"/>
    </w:p>
    <w:p w:rsidR="00E2336B" w:rsidRDefault="00E2336B" w:rsidP="001B0EA4">
      <w:pPr>
        <w:autoSpaceDE w:val="0"/>
        <w:autoSpaceDN w:val="0"/>
        <w:spacing w:line="360" w:lineRule="auto"/>
        <w:jc w:val="both"/>
        <w:rPr>
          <w:rFonts w:ascii="MinionPro-Regular" w:hAnsi="MinionPro-Regular"/>
          <w:sz w:val="24"/>
          <w:szCs w:val="24"/>
          <w:lang w:val="es-ES_tradnl"/>
        </w:rPr>
      </w:pPr>
    </w:p>
    <w:p w:rsidR="00E2336B" w:rsidRPr="008B6997" w:rsidRDefault="00E2336B" w:rsidP="001B0EA4">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Un estudio reciente de la OCDE</w:t>
      </w:r>
      <w:r>
        <w:rPr>
          <w:rStyle w:val="Refdenotaalpie"/>
          <w:rFonts w:ascii="MinionPro-Regular" w:hAnsi="MinionPro-Regular"/>
          <w:sz w:val="24"/>
          <w:szCs w:val="24"/>
          <w:lang w:val="es-ES_tradnl"/>
        </w:rPr>
        <w:footnoteReference w:id="19"/>
      </w:r>
      <w:r>
        <w:rPr>
          <w:rFonts w:ascii="MinionPro-Regular" w:hAnsi="MinionPro-Regular"/>
          <w:sz w:val="24"/>
          <w:szCs w:val="24"/>
          <w:lang w:val="es-ES_tradnl"/>
        </w:rPr>
        <w:t xml:space="preserve"> medía dos variables que permiten evaluar la efectividad de las políticas adoptadas entre los años 1997 y 2007 para la incorporación al mercado de trabajo de las personas con discapacidad. </w:t>
      </w:r>
      <w:r w:rsidRPr="008B6997">
        <w:rPr>
          <w:rFonts w:ascii="MinionPro-Regular" w:hAnsi="MinionPro-Regular"/>
          <w:sz w:val="24"/>
          <w:szCs w:val="24"/>
          <w:lang w:val="es-ES_tradnl"/>
        </w:rPr>
        <w:t xml:space="preserve"> </w:t>
      </w:r>
      <w:r>
        <w:rPr>
          <w:rFonts w:ascii="MinionPro-Regular" w:hAnsi="MinionPro-Regular"/>
          <w:sz w:val="24"/>
          <w:szCs w:val="24"/>
          <w:lang w:val="es-ES_tradnl"/>
        </w:rPr>
        <w:t xml:space="preserve">La primera de ellas </w:t>
      </w:r>
      <w:r w:rsidRPr="008B6997">
        <w:rPr>
          <w:rFonts w:ascii="MinionPro-Regular" w:hAnsi="MinionPro-Regular"/>
          <w:sz w:val="24"/>
          <w:szCs w:val="24"/>
          <w:lang w:val="es-ES_tradnl"/>
        </w:rPr>
        <w:t xml:space="preserve">recoge las políticas de compensación mientras que </w:t>
      </w:r>
      <w:r>
        <w:rPr>
          <w:rFonts w:ascii="MinionPro-Regular" w:hAnsi="MinionPro-Regular"/>
          <w:sz w:val="24"/>
          <w:szCs w:val="24"/>
          <w:lang w:val="es-ES_tradnl"/>
        </w:rPr>
        <w:t>la segunda se refiere a</w:t>
      </w:r>
      <w:r w:rsidRPr="008B6997">
        <w:rPr>
          <w:rFonts w:ascii="MinionPro-Regular" w:hAnsi="MinionPro-Regular"/>
          <w:sz w:val="24"/>
          <w:szCs w:val="24"/>
          <w:lang w:val="es-ES_tradnl"/>
        </w:rPr>
        <w:t xml:space="preserve"> las de integración. Cada </w:t>
      </w:r>
      <w:r>
        <w:rPr>
          <w:rFonts w:ascii="MinionPro-Regular" w:hAnsi="MinionPro-Regular"/>
          <w:sz w:val="24"/>
          <w:szCs w:val="24"/>
          <w:lang w:val="es-ES_tradnl"/>
        </w:rPr>
        <w:t>una de las variables recoge, a su vez, distintos indicadores</w:t>
      </w:r>
      <w:r w:rsidRPr="008B6997">
        <w:rPr>
          <w:rFonts w:ascii="MinionPro-Regular" w:hAnsi="MinionPro-Regular"/>
          <w:sz w:val="24"/>
          <w:szCs w:val="24"/>
          <w:lang w:val="es-ES_tradnl"/>
        </w:rPr>
        <w:t>.</w:t>
      </w:r>
    </w:p>
    <w:p w:rsidR="00E2336B" w:rsidRDefault="00E2336B" w:rsidP="001B0EA4">
      <w:pPr>
        <w:autoSpaceDE w:val="0"/>
        <w:autoSpaceDN w:val="0"/>
        <w:spacing w:line="360" w:lineRule="auto"/>
        <w:jc w:val="both"/>
        <w:rPr>
          <w:rFonts w:ascii="MinionPro-Regular" w:hAnsi="MinionPro-Regular"/>
          <w:sz w:val="24"/>
          <w:szCs w:val="24"/>
          <w:lang w:val="es-ES_tradnl"/>
        </w:rPr>
      </w:pPr>
    </w:p>
    <w:p w:rsidR="00E2336B" w:rsidRPr="008B6997" w:rsidRDefault="00E2336B" w:rsidP="001B0EA4">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Para la evaluación de las</w:t>
      </w:r>
      <w:r w:rsidRPr="008B6997">
        <w:rPr>
          <w:rFonts w:ascii="MinionPro-Regular" w:hAnsi="MinionPro-Regular"/>
          <w:sz w:val="24"/>
          <w:szCs w:val="24"/>
          <w:lang w:val="es-ES_tradnl"/>
        </w:rPr>
        <w:t xml:space="preserve"> políticas de compensación</w:t>
      </w:r>
      <w:r>
        <w:rPr>
          <w:rFonts w:ascii="MinionPro-Regular" w:hAnsi="MinionPro-Regular"/>
          <w:sz w:val="24"/>
          <w:szCs w:val="24"/>
          <w:lang w:val="es-ES_tradnl"/>
        </w:rPr>
        <w:t>, la OCDE tenía en cuenta</w:t>
      </w:r>
      <w:r w:rsidRPr="008B6997">
        <w:rPr>
          <w:rFonts w:ascii="MinionPro-Regular" w:hAnsi="MinionPro-Regular"/>
          <w:sz w:val="24"/>
          <w:szCs w:val="24"/>
          <w:lang w:val="es-ES_tradnl"/>
        </w:rPr>
        <w:t xml:space="preserve"> </w:t>
      </w:r>
      <w:r>
        <w:rPr>
          <w:rFonts w:ascii="MinionPro-Regular" w:hAnsi="MinionPro-Regular"/>
          <w:sz w:val="24"/>
          <w:szCs w:val="24"/>
          <w:lang w:val="es-ES_tradnl"/>
        </w:rPr>
        <w:t>su c</w:t>
      </w:r>
      <w:r w:rsidRPr="008B6997">
        <w:rPr>
          <w:rFonts w:ascii="MinionPro-Regular" w:hAnsi="MinionPro-Regular"/>
          <w:sz w:val="24"/>
          <w:szCs w:val="24"/>
          <w:lang w:val="es-ES_tradnl"/>
        </w:rPr>
        <w:t>obertura</w:t>
      </w:r>
      <w:r>
        <w:rPr>
          <w:rFonts w:ascii="MinionPro-Regular" w:hAnsi="MinionPro-Regular"/>
          <w:sz w:val="24"/>
          <w:szCs w:val="24"/>
          <w:lang w:val="es-ES_tradnl"/>
        </w:rPr>
        <w:t>, el g</w:t>
      </w:r>
      <w:r w:rsidRPr="008B6997">
        <w:rPr>
          <w:rFonts w:ascii="MinionPro-Regular" w:hAnsi="MinionPro-Regular"/>
          <w:sz w:val="24"/>
          <w:szCs w:val="24"/>
          <w:lang w:val="es-ES_tradnl"/>
        </w:rPr>
        <w:t>rado mínimo de discapacidad necesario para tener derecho a ayudas</w:t>
      </w:r>
      <w:r>
        <w:rPr>
          <w:rFonts w:ascii="MinionPro-Regular" w:hAnsi="MinionPro-Regular"/>
          <w:sz w:val="24"/>
          <w:szCs w:val="24"/>
          <w:lang w:val="es-ES_tradnl"/>
        </w:rPr>
        <w:t xml:space="preserve">, las prestaciones máximas y su permanencia, la evaluación profesional o la supervisión de las bajas por enfermedad, entre otros. </w:t>
      </w:r>
      <w:r w:rsidRPr="008B6997">
        <w:rPr>
          <w:rFonts w:ascii="MinionPro-Regular" w:hAnsi="MinionPro-Regular"/>
          <w:sz w:val="24"/>
          <w:szCs w:val="24"/>
          <w:lang w:val="es-ES_tradnl"/>
        </w:rPr>
        <w:t xml:space="preserve">En el caso de </w:t>
      </w:r>
      <w:r>
        <w:rPr>
          <w:rFonts w:ascii="MinionPro-Regular" w:hAnsi="MinionPro-Regular"/>
          <w:sz w:val="24"/>
          <w:szCs w:val="24"/>
          <w:lang w:val="es-ES_tradnl"/>
        </w:rPr>
        <w:t>la evaluación de las políticas de integración</w:t>
      </w:r>
      <w:r w:rsidRPr="008B461D">
        <w:rPr>
          <w:rFonts w:ascii="MinionPro-Regular" w:hAnsi="MinionPro-Regular"/>
          <w:sz w:val="24"/>
          <w:szCs w:val="24"/>
          <w:lang w:val="es-ES_tradnl"/>
        </w:rPr>
        <w:t>,</w:t>
      </w:r>
      <w:r>
        <w:rPr>
          <w:rFonts w:ascii="MinionPro-Regular" w:hAnsi="MinionPro-Regular"/>
          <w:sz w:val="24"/>
          <w:szCs w:val="24"/>
          <w:lang w:val="es-ES_tradnl"/>
        </w:rPr>
        <w:t xml:space="preserve"> los indicadores hacían referencia a la c</w:t>
      </w:r>
      <w:r w:rsidRPr="008B6997">
        <w:rPr>
          <w:rFonts w:ascii="MinionPro-Regular" w:hAnsi="MinionPro-Regular"/>
          <w:sz w:val="24"/>
          <w:szCs w:val="24"/>
          <w:lang w:val="es-ES_tradnl"/>
        </w:rPr>
        <w:t>obertura y acceso a diferentes programas</w:t>
      </w:r>
      <w:r>
        <w:rPr>
          <w:rFonts w:ascii="MinionPro-Regular" w:hAnsi="MinionPro-Regular"/>
          <w:sz w:val="24"/>
          <w:szCs w:val="24"/>
          <w:lang w:val="es-ES_tradnl"/>
        </w:rPr>
        <w:t>, la e</w:t>
      </w:r>
      <w:r w:rsidRPr="008B6997">
        <w:rPr>
          <w:rFonts w:ascii="MinionPro-Regular" w:hAnsi="MinionPro-Regular"/>
          <w:sz w:val="24"/>
          <w:szCs w:val="24"/>
          <w:lang w:val="es-ES_tradnl"/>
        </w:rPr>
        <w:t xml:space="preserve">valuación estructural (complejidad de las prestaciones y sistemas de </w:t>
      </w:r>
      <w:r w:rsidRPr="008B6997">
        <w:rPr>
          <w:rFonts w:ascii="MinionPro-Regular" w:hAnsi="MinionPro-Regular"/>
          <w:sz w:val="24"/>
          <w:szCs w:val="24"/>
          <w:lang w:val="es-ES_tradnl"/>
        </w:rPr>
        <w:lastRenderedPageBreak/>
        <w:t>apoyo)</w:t>
      </w:r>
      <w:r>
        <w:rPr>
          <w:rFonts w:ascii="MinionPro-Regular" w:hAnsi="MinionPro-Regular"/>
          <w:sz w:val="24"/>
          <w:szCs w:val="24"/>
          <w:lang w:val="es-ES_tradnl"/>
        </w:rPr>
        <w:t>, la legislación antidiscriminación, los p</w:t>
      </w:r>
      <w:r w:rsidRPr="008B6997">
        <w:rPr>
          <w:rFonts w:ascii="MinionPro-Regular" w:hAnsi="MinionPro-Regular"/>
          <w:sz w:val="24"/>
          <w:szCs w:val="24"/>
          <w:lang w:val="es-ES_tradnl"/>
        </w:rPr>
        <w:t>rogramas de apoyo al empleo</w:t>
      </w:r>
      <w:r>
        <w:rPr>
          <w:rFonts w:ascii="MinionPro-Regular" w:hAnsi="MinionPro-Regular"/>
          <w:sz w:val="24"/>
          <w:szCs w:val="24"/>
          <w:lang w:val="es-ES_tradnl"/>
        </w:rPr>
        <w:t xml:space="preserve"> o los programas de empleo protegido, entre otros.</w:t>
      </w:r>
    </w:p>
    <w:p w:rsidR="00E2336B" w:rsidRPr="008B6997" w:rsidRDefault="00E2336B" w:rsidP="001B0EA4">
      <w:pPr>
        <w:autoSpaceDE w:val="0"/>
        <w:autoSpaceDN w:val="0"/>
        <w:spacing w:line="360" w:lineRule="auto"/>
        <w:jc w:val="both"/>
        <w:rPr>
          <w:rFonts w:ascii="MinionPro-Regular" w:hAnsi="MinionPro-Regular"/>
          <w:sz w:val="24"/>
          <w:szCs w:val="24"/>
          <w:lang w:val="es-ES_tradnl"/>
        </w:rPr>
      </w:pPr>
    </w:p>
    <w:p w:rsidR="00E2336B" w:rsidRPr="008B461D" w:rsidRDefault="00E2336B" w:rsidP="001B0EA4">
      <w:pPr>
        <w:autoSpaceDE w:val="0"/>
        <w:autoSpaceDN w:val="0"/>
        <w:spacing w:line="360" w:lineRule="auto"/>
        <w:jc w:val="both"/>
        <w:rPr>
          <w:rFonts w:ascii="MinionPro-Regular" w:hAnsi="MinionPro-Regular"/>
          <w:sz w:val="24"/>
          <w:szCs w:val="24"/>
          <w:lang w:val="es-ES_tradnl"/>
        </w:rPr>
      </w:pPr>
      <w:r w:rsidRPr="008B6997">
        <w:rPr>
          <w:rFonts w:ascii="MinionPro-Regular" w:hAnsi="MinionPro-Regular"/>
          <w:sz w:val="24"/>
          <w:szCs w:val="24"/>
          <w:lang w:val="es-ES_tradnl"/>
        </w:rPr>
        <w:t xml:space="preserve">Para los indicadores seleccionados, </w:t>
      </w:r>
      <w:r>
        <w:rPr>
          <w:rFonts w:ascii="MinionPro-Regular" w:hAnsi="MinionPro-Regular"/>
          <w:sz w:val="24"/>
          <w:szCs w:val="24"/>
          <w:lang w:val="es-ES_tradnl"/>
        </w:rPr>
        <w:t xml:space="preserve">la OCDE establecía posibles rangos y asignaba puntuaciones a cada uno de los indicadores contemplados en las dos variables del estudio. </w:t>
      </w:r>
      <w:r w:rsidRPr="008B461D">
        <w:rPr>
          <w:rFonts w:ascii="MinionPro-Regular" w:hAnsi="MinionPro-Regular"/>
          <w:sz w:val="24"/>
          <w:szCs w:val="24"/>
          <w:lang w:val="es-ES_tradnl"/>
        </w:rPr>
        <w:t xml:space="preserve">Del análisis </w:t>
      </w:r>
      <w:r>
        <w:rPr>
          <w:rFonts w:ascii="MinionPro-Regular" w:hAnsi="MinionPro-Regular"/>
          <w:sz w:val="24"/>
          <w:szCs w:val="24"/>
          <w:lang w:val="es-ES_tradnl"/>
        </w:rPr>
        <w:t xml:space="preserve">desarrollado por la OCDE </w:t>
      </w:r>
      <w:r w:rsidRPr="008B461D">
        <w:rPr>
          <w:rFonts w:ascii="MinionPro-Regular" w:hAnsi="MinionPro-Regular"/>
          <w:sz w:val="24"/>
          <w:szCs w:val="24"/>
          <w:lang w:val="es-ES_tradnl"/>
        </w:rPr>
        <w:t xml:space="preserve">se puede extraer que Suecia es </w:t>
      </w:r>
      <w:r>
        <w:rPr>
          <w:rFonts w:ascii="MinionPro-Regular" w:hAnsi="MinionPro-Regular"/>
          <w:sz w:val="24"/>
          <w:szCs w:val="24"/>
          <w:lang w:val="es-ES_tradnl"/>
        </w:rPr>
        <w:t xml:space="preserve">el país mejor situado </w:t>
      </w:r>
      <w:r w:rsidRPr="008B461D">
        <w:rPr>
          <w:rFonts w:ascii="MinionPro-Regular" w:hAnsi="MinionPro-Regular"/>
          <w:sz w:val="24"/>
          <w:szCs w:val="24"/>
          <w:lang w:val="es-ES_tradnl"/>
        </w:rPr>
        <w:t>en cuanto a políticas de compensación</w:t>
      </w:r>
      <w:r>
        <w:rPr>
          <w:rFonts w:ascii="MinionPro-Regular" w:hAnsi="MinionPro-Regular"/>
          <w:sz w:val="24"/>
          <w:szCs w:val="24"/>
          <w:lang w:val="es-ES_tradnl"/>
        </w:rPr>
        <w:t xml:space="preserve"> </w:t>
      </w:r>
      <w:r w:rsidRPr="008B461D">
        <w:rPr>
          <w:rFonts w:ascii="MinionPro-Regular" w:hAnsi="MinionPro-Regular"/>
          <w:sz w:val="24"/>
          <w:szCs w:val="24"/>
          <w:lang w:val="es-ES_tradnl"/>
        </w:rPr>
        <w:t xml:space="preserve"> y de integración, seguido de Alemania, que destaca en las políticas de integración</w:t>
      </w:r>
      <w:r>
        <w:rPr>
          <w:rFonts w:ascii="MinionPro-Regular" w:hAnsi="MinionPro-Regular"/>
          <w:sz w:val="24"/>
          <w:szCs w:val="24"/>
          <w:lang w:val="es-ES_tradnl"/>
        </w:rPr>
        <w:t xml:space="preserve">, </w:t>
      </w:r>
      <w:r w:rsidRPr="008B461D">
        <w:rPr>
          <w:rFonts w:ascii="MinionPro-Regular" w:hAnsi="MinionPro-Regular"/>
          <w:sz w:val="24"/>
          <w:szCs w:val="24"/>
          <w:lang w:val="es-ES_tradnl"/>
        </w:rPr>
        <w:t>por sus programas de empleo protegido y por los programas de rehabilitación.</w:t>
      </w:r>
    </w:p>
    <w:p w:rsidR="00E2336B" w:rsidRPr="008B461D" w:rsidRDefault="00E2336B" w:rsidP="001B0EA4">
      <w:pPr>
        <w:autoSpaceDE w:val="0"/>
        <w:autoSpaceDN w:val="0"/>
        <w:spacing w:line="360" w:lineRule="auto"/>
        <w:jc w:val="both"/>
        <w:rPr>
          <w:rFonts w:ascii="MinionPro-Regular" w:hAnsi="MinionPro-Regular"/>
          <w:sz w:val="24"/>
          <w:szCs w:val="24"/>
          <w:lang w:val="es-ES_tradnl"/>
        </w:rPr>
      </w:pPr>
    </w:p>
    <w:p w:rsidR="00E2336B" w:rsidRPr="008B461D" w:rsidRDefault="00E2336B" w:rsidP="001B0EA4">
      <w:pPr>
        <w:autoSpaceDE w:val="0"/>
        <w:autoSpaceDN w:val="0"/>
        <w:spacing w:line="360" w:lineRule="auto"/>
        <w:jc w:val="both"/>
        <w:rPr>
          <w:rFonts w:ascii="MinionPro-Regular" w:hAnsi="MinionPro-Regular"/>
          <w:sz w:val="24"/>
          <w:szCs w:val="24"/>
          <w:lang w:val="es-ES_tradnl"/>
        </w:rPr>
      </w:pPr>
      <w:r w:rsidRPr="008B461D">
        <w:rPr>
          <w:rFonts w:ascii="MinionPro-Regular" w:hAnsi="MinionPro-Regular"/>
          <w:sz w:val="24"/>
          <w:szCs w:val="24"/>
          <w:lang w:val="es-ES_tradnl"/>
        </w:rPr>
        <w:t xml:space="preserve">En el Reino Unido </w:t>
      </w:r>
      <w:r>
        <w:rPr>
          <w:rFonts w:ascii="MinionPro-Regular" w:hAnsi="MinionPro-Regular"/>
          <w:sz w:val="24"/>
          <w:szCs w:val="24"/>
          <w:lang w:val="es-ES_tradnl"/>
        </w:rPr>
        <w:t>tiene</w:t>
      </w:r>
      <w:r w:rsidRPr="008B461D">
        <w:rPr>
          <w:rFonts w:ascii="MinionPro-Regular" w:hAnsi="MinionPro-Regular"/>
          <w:sz w:val="24"/>
          <w:szCs w:val="24"/>
          <w:lang w:val="es-ES_tradnl"/>
        </w:rPr>
        <w:t xml:space="preserve"> más importancia la integración de las personas en el empleo ordinario que </w:t>
      </w:r>
      <w:r>
        <w:rPr>
          <w:rFonts w:ascii="MinionPro-Regular" w:hAnsi="MinionPro-Regular"/>
          <w:sz w:val="24"/>
          <w:szCs w:val="24"/>
          <w:lang w:val="es-ES_tradnl"/>
        </w:rPr>
        <w:t xml:space="preserve"> otro tipo de iniciativas</w:t>
      </w:r>
      <w:r w:rsidRPr="008B461D">
        <w:rPr>
          <w:rFonts w:ascii="MinionPro-Regular" w:hAnsi="MinionPro-Regular"/>
          <w:sz w:val="24"/>
          <w:szCs w:val="24"/>
          <w:lang w:val="es-ES_tradnl"/>
        </w:rPr>
        <w:t>. Uno de sus puntos fuertes</w:t>
      </w:r>
      <w:r>
        <w:rPr>
          <w:rFonts w:ascii="MinionPro-Regular" w:hAnsi="MinionPro-Regular"/>
          <w:sz w:val="24"/>
          <w:szCs w:val="24"/>
          <w:lang w:val="es-ES_tradnl"/>
        </w:rPr>
        <w:t>, desde el punto de vista de la OCDE,</w:t>
      </w:r>
      <w:r w:rsidRPr="008B461D">
        <w:rPr>
          <w:rFonts w:ascii="MinionPro-Regular" w:hAnsi="MinionPro-Regular"/>
          <w:sz w:val="24"/>
          <w:szCs w:val="24"/>
          <w:lang w:val="es-ES_tradnl"/>
        </w:rPr>
        <w:t xml:space="preserve"> es el sistema de incentivos </w:t>
      </w:r>
      <w:r>
        <w:rPr>
          <w:rFonts w:ascii="MinionPro-Regular" w:hAnsi="MinionPro-Regular"/>
          <w:sz w:val="24"/>
          <w:szCs w:val="24"/>
          <w:lang w:val="es-ES_tradnl"/>
        </w:rPr>
        <w:t>existente</w:t>
      </w:r>
      <w:r w:rsidRPr="008B461D">
        <w:rPr>
          <w:rFonts w:ascii="MinionPro-Regular" w:hAnsi="MinionPro-Regular"/>
          <w:sz w:val="24"/>
          <w:szCs w:val="24"/>
          <w:lang w:val="es-ES_tradnl"/>
        </w:rPr>
        <w:t xml:space="preserve"> para favorecer el trabajo de las personas con discapacidad. </w:t>
      </w:r>
    </w:p>
    <w:p w:rsidR="00E2336B" w:rsidRPr="008B461D" w:rsidRDefault="00E2336B" w:rsidP="001B0EA4">
      <w:pPr>
        <w:autoSpaceDE w:val="0"/>
        <w:autoSpaceDN w:val="0"/>
        <w:spacing w:line="360" w:lineRule="auto"/>
        <w:jc w:val="both"/>
        <w:rPr>
          <w:rFonts w:ascii="MinionPro-Regular" w:hAnsi="MinionPro-Regular"/>
          <w:sz w:val="24"/>
          <w:szCs w:val="24"/>
          <w:lang w:val="es-ES_tradnl"/>
        </w:rPr>
      </w:pPr>
    </w:p>
    <w:p w:rsidR="00E2336B" w:rsidRDefault="00E2336B" w:rsidP="001B0EA4">
      <w:pPr>
        <w:autoSpaceDE w:val="0"/>
        <w:autoSpaceDN w:val="0"/>
        <w:spacing w:line="360" w:lineRule="auto"/>
        <w:jc w:val="both"/>
        <w:rPr>
          <w:rFonts w:ascii="MinionPro-Regular" w:hAnsi="MinionPro-Regular"/>
          <w:sz w:val="24"/>
          <w:szCs w:val="24"/>
        </w:rPr>
      </w:pPr>
      <w:r w:rsidRPr="008B461D">
        <w:rPr>
          <w:rFonts w:ascii="MinionPro-Regular" w:hAnsi="MinionPro-Regular"/>
          <w:sz w:val="24"/>
          <w:szCs w:val="24"/>
          <w:lang w:val="es-ES_tradnl"/>
        </w:rPr>
        <w:t xml:space="preserve">España e Italia, por el contrario están a la cola del análisis. En el caso de Italia, los aspectos peor valorados sobre su política de integración </w:t>
      </w:r>
      <w:r>
        <w:rPr>
          <w:rFonts w:ascii="MinionPro-Regular" w:hAnsi="MinionPro-Regular"/>
          <w:sz w:val="24"/>
          <w:szCs w:val="24"/>
          <w:lang w:val="es-ES_tradnl"/>
        </w:rPr>
        <w:t>son</w:t>
      </w:r>
      <w:r w:rsidRPr="008B461D">
        <w:rPr>
          <w:rFonts w:ascii="MinionPro-Regular" w:hAnsi="MinionPro-Regular"/>
          <w:sz w:val="24"/>
          <w:szCs w:val="24"/>
          <w:lang w:val="es-ES_tradnl"/>
        </w:rPr>
        <w:t xml:space="preserve"> los relativos a la falta de regulaciones para la suspensión de los beneficios y el hecho de disponer de pocos recursos para la rehabilitación profesional. Otros de los aspectos </w:t>
      </w:r>
      <w:r>
        <w:rPr>
          <w:rFonts w:ascii="MinionPro-Regular" w:hAnsi="MinionPro-Regular"/>
          <w:sz w:val="24"/>
          <w:szCs w:val="24"/>
          <w:lang w:val="es-ES_tradnl"/>
        </w:rPr>
        <w:t xml:space="preserve">peor valorados se refieren a la </w:t>
      </w:r>
      <w:r w:rsidRPr="008B461D">
        <w:rPr>
          <w:rFonts w:ascii="MinionPro-Regular" w:hAnsi="MinionPro-Regular"/>
          <w:sz w:val="24"/>
          <w:szCs w:val="24"/>
          <w:lang w:val="es-ES_tradnl"/>
        </w:rPr>
        <w:t xml:space="preserve">limitada existencia de programas de empleo con apoyo y de empleo subvencionado. </w:t>
      </w:r>
    </w:p>
    <w:p w:rsidR="00E2336B" w:rsidRPr="008B461D" w:rsidRDefault="00E2336B" w:rsidP="001B0EA4">
      <w:pPr>
        <w:autoSpaceDE w:val="0"/>
        <w:autoSpaceDN w:val="0"/>
        <w:spacing w:line="360" w:lineRule="auto"/>
        <w:jc w:val="both"/>
        <w:rPr>
          <w:rFonts w:ascii="MinionPro-Regular" w:hAnsi="MinionPro-Regular"/>
          <w:sz w:val="24"/>
          <w:szCs w:val="24"/>
        </w:rPr>
      </w:pPr>
    </w:p>
    <w:p w:rsidR="00E2336B" w:rsidRDefault="00E2336B" w:rsidP="001B0EA4">
      <w:pPr>
        <w:autoSpaceDE w:val="0"/>
        <w:autoSpaceDN w:val="0"/>
        <w:spacing w:line="360" w:lineRule="auto"/>
        <w:jc w:val="both"/>
        <w:rPr>
          <w:rFonts w:ascii="MinionPro-Regular" w:hAnsi="MinionPro-Regular"/>
          <w:sz w:val="24"/>
          <w:szCs w:val="24"/>
        </w:rPr>
      </w:pPr>
      <w:r w:rsidRPr="008B461D">
        <w:rPr>
          <w:rFonts w:ascii="MinionPro-Regular" w:hAnsi="MinionPro-Regular"/>
          <w:sz w:val="24"/>
          <w:szCs w:val="24"/>
        </w:rPr>
        <w:t xml:space="preserve">Por otra parte, en el caso de España, la falta de regulaciones relativas a la suspensión de beneficios también </w:t>
      </w:r>
      <w:r>
        <w:rPr>
          <w:rFonts w:ascii="MinionPro-Regular" w:hAnsi="MinionPro-Regular"/>
          <w:sz w:val="24"/>
          <w:szCs w:val="24"/>
        </w:rPr>
        <w:t>era</w:t>
      </w:r>
      <w:r w:rsidRPr="008B461D">
        <w:rPr>
          <w:rFonts w:ascii="MinionPro-Regular" w:hAnsi="MinionPro-Regular"/>
          <w:sz w:val="24"/>
          <w:szCs w:val="24"/>
        </w:rPr>
        <w:t xml:space="preserve"> el aspecto peor valorado. El aspecto mejor valorado</w:t>
      </w:r>
      <w:r>
        <w:rPr>
          <w:rFonts w:ascii="MinionPro-Regular" w:hAnsi="MinionPro-Regular"/>
          <w:sz w:val="24"/>
          <w:szCs w:val="24"/>
        </w:rPr>
        <w:t xml:space="preserve"> era el</w:t>
      </w:r>
      <w:r w:rsidRPr="008B461D">
        <w:rPr>
          <w:rFonts w:ascii="MinionPro-Regular" w:hAnsi="MinionPro-Regular"/>
          <w:sz w:val="24"/>
          <w:szCs w:val="24"/>
        </w:rPr>
        <w:t xml:space="preserve"> acceso a los programas de empleo.</w:t>
      </w:r>
    </w:p>
    <w:p w:rsidR="00E2336B" w:rsidRPr="00B0173C" w:rsidRDefault="00E2336B" w:rsidP="001B0EA4">
      <w:pPr>
        <w:autoSpaceDE w:val="0"/>
        <w:autoSpaceDN w:val="0"/>
        <w:spacing w:line="360" w:lineRule="auto"/>
        <w:jc w:val="both"/>
        <w:rPr>
          <w:rFonts w:ascii="MinionPro-Regular" w:hAnsi="MinionPro-Regular"/>
          <w:sz w:val="24"/>
          <w:szCs w:val="24"/>
        </w:rPr>
      </w:pPr>
    </w:p>
    <w:p w:rsidR="00E2336B" w:rsidRDefault="00E2336B" w:rsidP="001B0EA4">
      <w:pPr>
        <w:autoSpaceDE w:val="0"/>
        <w:autoSpaceDN w:val="0"/>
        <w:spacing w:line="360" w:lineRule="auto"/>
        <w:jc w:val="both"/>
        <w:rPr>
          <w:rFonts w:ascii="MinionPro-Regular" w:hAnsi="MinionPro-Regular"/>
          <w:sz w:val="24"/>
          <w:szCs w:val="24"/>
        </w:rPr>
      </w:pPr>
    </w:p>
    <w:p w:rsidR="00E2336B" w:rsidRDefault="00E2336B" w:rsidP="001B0EA4">
      <w:pPr>
        <w:autoSpaceDE w:val="0"/>
        <w:autoSpaceDN w:val="0"/>
        <w:spacing w:line="360" w:lineRule="auto"/>
        <w:jc w:val="both"/>
        <w:rPr>
          <w:rFonts w:ascii="MinionPro-Regular" w:hAnsi="MinionPro-Regular"/>
          <w:sz w:val="24"/>
          <w:szCs w:val="24"/>
        </w:rPr>
      </w:pPr>
    </w:p>
    <w:p w:rsidR="00E2336B" w:rsidRDefault="00E2336B" w:rsidP="001B0EA4">
      <w:pPr>
        <w:autoSpaceDE w:val="0"/>
        <w:autoSpaceDN w:val="0"/>
        <w:spacing w:line="360" w:lineRule="auto"/>
        <w:jc w:val="both"/>
        <w:rPr>
          <w:rFonts w:ascii="MinionPro-Regular" w:hAnsi="MinionPro-Regular"/>
          <w:sz w:val="24"/>
          <w:szCs w:val="24"/>
        </w:rPr>
      </w:pPr>
    </w:p>
    <w:p w:rsidR="00E2336B" w:rsidRDefault="00E2336B" w:rsidP="001B0EA4">
      <w:pPr>
        <w:autoSpaceDE w:val="0"/>
        <w:autoSpaceDN w:val="0"/>
        <w:spacing w:line="360" w:lineRule="auto"/>
        <w:jc w:val="both"/>
        <w:rPr>
          <w:rFonts w:ascii="MinionPro-Regular" w:hAnsi="MinionPro-Regular"/>
          <w:sz w:val="24"/>
          <w:szCs w:val="24"/>
        </w:rPr>
      </w:pPr>
    </w:p>
    <w:p w:rsidR="00E2336B" w:rsidRDefault="00E2336B" w:rsidP="001B0EA4">
      <w:pPr>
        <w:autoSpaceDE w:val="0"/>
        <w:autoSpaceDN w:val="0"/>
        <w:spacing w:line="360" w:lineRule="auto"/>
        <w:jc w:val="both"/>
        <w:rPr>
          <w:rFonts w:ascii="MinionPro-Regular" w:hAnsi="MinionPro-Regular"/>
          <w:sz w:val="24"/>
          <w:szCs w:val="24"/>
        </w:rPr>
      </w:pPr>
    </w:p>
    <w:p w:rsidR="00E2336B" w:rsidRPr="008F468D" w:rsidRDefault="00E2336B" w:rsidP="001B0EA4">
      <w:pPr>
        <w:autoSpaceDE w:val="0"/>
        <w:autoSpaceDN w:val="0"/>
        <w:spacing w:line="360" w:lineRule="auto"/>
        <w:jc w:val="both"/>
        <w:rPr>
          <w:rFonts w:ascii="MinionPro-Regular" w:hAnsi="MinionPro-Regular"/>
          <w:sz w:val="24"/>
          <w:szCs w:val="24"/>
        </w:rPr>
      </w:pPr>
    </w:p>
    <w:p w:rsidR="00E2336B" w:rsidRDefault="00E2336B" w:rsidP="001B0EA4">
      <w:pPr>
        <w:autoSpaceDE w:val="0"/>
        <w:autoSpaceDN w:val="0"/>
        <w:spacing w:line="360" w:lineRule="auto"/>
        <w:jc w:val="both"/>
        <w:rPr>
          <w:rFonts w:ascii="MinionPro-Regular" w:hAnsi="MinionPro-Regular"/>
          <w:sz w:val="24"/>
          <w:szCs w:val="24"/>
          <w:lang w:val="es-ES_tradnl"/>
        </w:rPr>
      </w:pPr>
    </w:p>
    <w:p w:rsidR="00E2336B" w:rsidRDefault="00E2336B" w:rsidP="001B0EA4">
      <w:pPr>
        <w:autoSpaceDE w:val="0"/>
        <w:autoSpaceDN w:val="0"/>
        <w:spacing w:line="360" w:lineRule="auto"/>
        <w:jc w:val="both"/>
        <w:rPr>
          <w:rFonts w:ascii="MinionPro-Regular" w:hAnsi="MinionPro-Regular"/>
          <w:sz w:val="24"/>
          <w:szCs w:val="24"/>
          <w:lang w:val="es-ES_tradnl"/>
        </w:rPr>
      </w:pPr>
    </w:p>
    <w:p w:rsidR="00E2336B" w:rsidRDefault="00E2336B" w:rsidP="001B0EA4">
      <w:pPr>
        <w:pBdr>
          <w:top w:val="single" w:sz="4" w:space="1" w:color="auto"/>
        </w:pBdr>
        <w:autoSpaceDE w:val="0"/>
        <w:autoSpaceDN w:val="0"/>
        <w:spacing w:line="360" w:lineRule="auto"/>
        <w:jc w:val="both"/>
        <w:rPr>
          <w:rFonts w:ascii="MinionPro-Regular" w:hAnsi="MinionPro-Regular"/>
          <w:sz w:val="20"/>
          <w:szCs w:val="24"/>
        </w:rPr>
      </w:pPr>
      <w:r w:rsidRPr="006E3440">
        <w:rPr>
          <w:rFonts w:ascii="MinionPro-Regular" w:hAnsi="MinionPro-Regular"/>
          <w:sz w:val="20"/>
          <w:szCs w:val="24"/>
        </w:rPr>
        <w:t>Efectividad de las políticas de integración y compensación por países</w:t>
      </w:r>
    </w:p>
    <w:p w:rsidR="00E2336B" w:rsidRDefault="00E1516B" w:rsidP="001B0EA4">
      <w:pPr>
        <w:autoSpaceDE w:val="0"/>
        <w:autoSpaceDN w:val="0"/>
        <w:spacing w:line="360" w:lineRule="auto"/>
        <w:rPr>
          <w:rFonts w:ascii="MinionPro-Regular" w:hAnsi="MinionPro-Regular"/>
          <w:i/>
          <w:sz w:val="24"/>
          <w:szCs w:val="24"/>
        </w:rPr>
      </w:pPr>
      <w:r>
        <w:rPr>
          <w:rFonts w:ascii="MinionPro-Regular" w:hAnsi="MinionPro-Regular"/>
          <w:i/>
          <w:noProof/>
          <w:sz w:val="24"/>
          <w:szCs w:val="24"/>
          <w:lang w:eastAsia="es-ES"/>
        </w:rPr>
        <w:drawing>
          <wp:inline distT="0" distB="0" distL="0" distR="0">
            <wp:extent cx="4580890" cy="3027680"/>
            <wp:effectExtent l="0" t="0" r="0" b="0"/>
            <wp:docPr id="75" name="Picture 7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9"/>
              </a:graphicData>
            </a:graphic>
          </wp:inline>
        </w:drawing>
      </w:r>
    </w:p>
    <w:p w:rsidR="00E2336B" w:rsidRDefault="00E2336B" w:rsidP="001B0EA4">
      <w:pPr>
        <w:pBdr>
          <w:bottom w:val="single" w:sz="4" w:space="1" w:color="auto"/>
        </w:pBdr>
        <w:autoSpaceDE w:val="0"/>
        <w:autoSpaceDN w:val="0"/>
        <w:spacing w:line="360" w:lineRule="auto"/>
        <w:jc w:val="both"/>
        <w:rPr>
          <w:rFonts w:ascii="MinionPro-Regular" w:hAnsi="MinionPro-Regular"/>
          <w:sz w:val="20"/>
          <w:szCs w:val="24"/>
        </w:rPr>
      </w:pPr>
      <w:r w:rsidRPr="006E3440">
        <w:rPr>
          <w:rFonts w:ascii="MinionPro-Regular" w:hAnsi="MinionPro-Regular"/>
          <w:sz w:val="20"/>
          <w:szCs w:val="24"/>
        </w:rPr>
        <w:t>Fuente: Elaboración propia a partir de datos de la OCDE</w:t>
      </w:r>
      <w:r>
        <w:rPr>
          <w:rFonts w:ascii="MinionPro-Regular" w:hAnsi="MinionPro-Regular"/>
          <w:sz w:val="20"/>
          <w:szCs w:val="24"/>
        </w:rPr>
        <w:t>.</w:t>
      </w:r>
    </w:p>
    <w:p w:rsidR="00E2336B" w:rsidRDefault="00E2336B" w:rsidP="001B0EA4">
      <w:pPr>
        <w:pBdr>
          <w:bottom w:val="single" w:sz="4" w:space="1" w:color="auto"/>
        </w:pBdr>
        <w:autoSpaceDE w:val="0"/>
        <w:autoSpaceDN w:val="0"/>
        <w:spacing w:line="360" w:lineRule="auto"/>
        <w:jc w:val="both"/>
        <w:rPr>
          <w:rFonts w:ascii="MinionPro-Regular" w:hAnsi="MinionPro-Regular"/>
          <w:sz w:val="20"/>
          <w:szCs w:val="24"/>
        </w:rPr>
      </w:pPr>
      <w:r w:rsidRPr="001B0FD3">
        <w:rPr>
          <w:rFonts w:ascii="MinionPro-Regular" w:hAnsi="MinionPro-Regular"/>
          <w:sz w:val="20"/>
          <w:szCs w:val="24"/>
        </w:rPr>
        <w:t>Nota explicativa de la gráfica: Eje de vertical</w:t>
      </w:r>
      <w:r>
        <w:rPr>
          <w:rFonts w:ascii="MinionPro-Regular" w:hAnsi="MinionPro-Regular"/>
          <w:sz w:val="20"/>
          <w:szCs w:val="24"/>
        </w:rPr>
        <w:t>,</w:t>
      </w:r>
      <w:r w:rsidRPr="001C2926">
        <w:rPr>
          <w:rFonts w:ascii="MinionPro-Regular" w:hAnsi="MinionPro-Regular"/>
          <w:sz w:val="20"/>
          <w:szCs w:val="24"/>
        </w:rPr>
        <w:t xml:space="preserve"> </w:t>
      </w:r>
      <w:r w:rsidRPr="00027A90">
        <w:rPr>
          <w:rFonts w:ascii="MinionPro-Regular" w:hAnsi="MinionPro-Regular"/>
          <w:sz w:val="20"/>
          <w:szCs w:val="24"/>
        </w:rPr>
        <w:t>Políticas de integración</w:t>
      </w:r>
      <w:r w:rsidRPr="001B0FD3">
        <w:rPr>
          <w:rFonts w:ascii="MinionPro-Regular" w:hAnsi="MinionPro-Regular"/>
          <w:sz w:val="20"/>
          <w:szCs w:val="24"/>
        </w:rPr>
        <w:t xml:space="preserve">. Eje horizontal, </w:t>
      </w:r>
      <w:r w:rsidRPr="00027A90">
        <w:rPr>
          <w:rFonts w:ascii="MinionPro-Regular" w:hAnsi="MinionPro-Regular"/>
          <w:sz w:val="20"/>
          <w:szCs w:val="24"/>
        </w:rPr>
        <w:t>Políticas de compensación</w:t>
      </w:r>
      <w:r>
        <w:rPr>
          <w:rFonts w:ascii="MinionPro-Regular" w:hAnsi="MinionPro-Regular"/>
          <w:sz w:val="20"/>
          <w:szCs w:val="24"/>
        </w:rPr>
        <w:t xml:space="preserve">. España </w:t>
      </w:r>
      <w:r w:rsidRPr="00027A90">
        <w:rPr>
          <w:rFonts w:ascii="MinionPro-Regular" w:hAnsi="MinionPro-Regular"/>
          <w:sz w:val="20"/>
          <w:szCs w:val="24"/>
        </w:rPr>
        <w:t>integración</w:t>
      </w:r>
      <w:r>
        <w:rPr>
          <w:rFonts w:ascii="MinionPro-Regular" w:hAnsi="MinionPro-Regular"/>
          <w:sz w:val="20"/>
          <w:szCs w:val="24"/>
        </w:rPr>
        <w:t xml:space="preserve"> </w:t>
      </w:r>
      <w:r w:rsidRPr="00A030FA">
        <w:rPr>
          <w:rFonts w:ascii="MinionPro-Regular" w:hAnsi="MinionPro-Regular"/>
          <w:sz w:val="20"/>
          <w:szCs w:val="24"/>
        </w:rPr>
        <w:t>22</w:t>
      </w:r>
      <w:r>
        <w:rPr>
          <w:rFonts w:ascii="MinionPro-Regular" w:hAnsi="MinionPro-Regular"/>
          <w:sz w:val="20"/>
          <w:szCs w:val="24"/>
        </w:rPr>
        <w:t xml:space="preserve">, </w:t>
      </w:r>
      <w:r w:rsidRPr="00027A90">
        <w:rPr>
          <w:rFonts w:ascii="MinionPro-Regular" w:hAnsi="MinionPro-Regular"/>
          <w:sz w:val="20"/>
          <w:szCs w:val="24"/>
        </w:rPr>
        <w:t>compensación</w:t>
      </w:r>
      <w:r>
        <w:rPr>
          <w:rFonts w:ascii="MinionPro-Regular" w:hAnsi="MinionPro-Regular"/>
          <w:sz w:val="20"/>
          <w:szCs w:val="24"/>
        </w:rPr>
        <w:t xml:space="preserve"> </w:t>
      </w:r>
      <w:r w:rsidRPr="00A030FA">
        <w:rPr>
          <w:rFonts w:ascii="MinionPro-Regular" w:hAnsi="MinionPro-Regular"/>
          <w:sz w:val="20"/>
          <w:szCs w:val="24"/>
        </w:rPr>
        <w:t>28</w:t>
      </w:r>
      <w:r>
        <w:rPr>
          <w:rFonts w:ascii="MinionPro-Regular" w:hAnsi="MinionPro-Regular"/>
          <w:sz w:val="20"/>
          <w:szCs w:val="24"/>
        </w:rPr>
        <w:t>; Alemania</w:t>
      </w:r>
      <w:r w:rsidRPr="00A030FA">
        <w:rPr>
          <w:rFonts w:ascii="MinionPro-Regular" w:hAnsi="MinionPro-Regular"/>
          <w:sz w:val="20"/>
          <w:szCs w:val="24"/>
        </w:rPr>
        <w:t xml:space="preserve"> </w:t>
      </w:r>
      <w:r w:rsidRPr="00027A90">
        <w:rPr>
          <w:rFonts w:ascii="MinionPro-Regular" w:hAnsi="MinionPro-Regular"/>
          <w:sz w:val="20"/>
          <w:szCs w:val="24"/>
        </w:rPr>
        <w:t>integración</w:t>
      </w:r>
      <w:r>
        <w:rPr>
          <w:rFonts w:ascii="MinionPro-Regular" w:hAnsi="MinionPro-Regular"/>
          <w:sz w:val="20"/>
          <w:szCs w:val="24"/>
        </w:rPr>
        <w:t xml:space="preserve"> </w:t>
      </w:r>
      <w:r w:rsidRPr="001C2926">
        <w:rPr>
          <w:rFonts w:ascii="MinionPro-Regular" w:hAnsi="MinionPro-Regular"/>
          <w:sz w:val="20"/>
          <w:szCs w:val="24"/>
        </w:rPr>
        <w:t>34</w:t>
      </w:r>
      <w:r>
        <w:rPr>
          <w:rFonts w:ascii="MinionPro-Regular" w:hAnsi="MinionPro-Regular"/>
          <w:sz w:val="20"/>
          <w:szCs w:val="24"/>
        </w:rPr>
        <w:t xml:space="preserve">, </w:t>
      </w:r>
      <w:r w:rsidRPr="00027A90">
        <w:rPr>
          <w:rFonts w:ascii="MinionPro-Regular" w:hAnsi="MinionPro-Regular"/>
          <w:sz w:val="20"/>
          <w:szCs w:val="24"/>
        </w:rPr>
        <w:t>compensación</w:t>
      </w:r>
      <w:r>
        <w:rPr>
          <w:rFonts w:ascii="MinionPro-Regular" w:hAnsi="MinionPro-Regular"/>
          <w:sz w:val="20"/>
          <w:szCs w:val="24"/>
        </w:rPr>
        <w:t xml:space="preserve"> </w:t>
      </w:r>
      <w:r w:rsidRPr="001C2926">
        <w:rPr>
          <w:rFonts w:ascii="MinionPro-Regular" w:hAnsi="MinionPro-Regular"/>
          <w:sz w:val="20"/>
          <w:szCs w:val="24"/>
        </w:rPr>
        <w:t xml:space="preserve">32; </w:t>
      </w:r>
      <w:r>
        <w:rPr>
          <w:rFonts w:ascii="MinionPro-Regular" w:hAnsi="MinionPro-Regular"/>
          <w:sz w:val="20"/>
          <w:szCs w:val="24"/>
        </w:rPr>
        <w:t>Italia</w:t>
      </w:r>
      <w:r w:rsidRPr="00A030FA">
        <w:rPr>
          <w:rFonts w:ascii="MinionPro-Regular" w:hAnsi="MinionPro-Regular"/>
          <w:sz w:val="20"/>
          <w:szCs w:val="24"/>
        </w:rPr>
        <w:t xml:space="preserve"> </w:t>
      </w:r>
      <w:r w:rsidRPr="00027A90">
        <w:rPr>
          <w:rFonts w:ascii="MinionPro-Regular" w:hAnsi="MinionPro-Regular"/>
          <w:sz w:val="20"/>
          <w:szCs w:val="24"/>
        </w:rPr>
        <w:t>integración</w:t>
      </w:r>
      <w:r>
        <w:rPr>
          <w:rFonts w:ascii="MinionPro-Regular" w:hAnsi="MinionPro-Regular"/>
          <w:sz w:val="20"/>
          <w:szCs w:val="24"/>
        </w:rPr>
        <w:t xml:space="preserve"> </w:t>
      </w:r>
      <w:r w:rsidRPr="001C2926">
        <w:rPr>
          <w:rFonts w:ascii="MinionPro-Regular" w:hAnsi="MinionPro-Regular"/>
          <w:sz w:val="20"/>
          <w:szCs w:val="24"/>
        </w:rPr>
        <w:t>18</w:t>
      </w:r>
      <w:r>
        <w:rPr>
          <w:rFonts w:ascii="MinionPro-Regular" w:hAnsi="MinionPro-Regular"/>
          <w:sz w:val="20"/>
          <w:szCs w:val="24"/>
        </w:rPr>
        <w:t xml:space="preserve">, </w:t>
      </w:r>
      <w:r w:rsidRPr="00027A90">
        <w:rPr>
          <w:rFonts w:ascii="MinionPro-Regular" w:hAnsi="MinionPro-Regular"/>
          <w:sz w:val="20"/>
          <w:szCs w:val="24"/>
        </w:rPr>
        <w:t>compensación</w:t>
      </w:r>
      <w:r>
        <w:rPr>
          <w:rFonts w:ascii="MinionPro-Regular" w:hAnsi="MinionPro-Regular"/>
          <w:sz w:val="20"/>
          <w:szCs w:val="24"/>
        </w:rPr>
        <w:t xml:space="preserve"> </w:t>
      </w:r>
      <w:r w:rsidRPr="001C2926">
        <w:rPr>
          <w:rFonts w:ascii="MinionPro-Regular" w:hAnsi="MinionPro-Regular"/>
          <w:sz w:val="20"/>
          <w:szCs w:val="24"/>
        </w:rPr>
        <w:t>26; Suecia</w:t>
      </w:r>
      <w:r w:rsidRPr="00A030FA">
        <w:rPr>
          <w:rFonts w:ascii="MinionPro-Regular" w:hAnsi="MinionPro-Regular"/>
          <w:sz w:val="20"/>
          <w:szCs w:val="24"/>
        </w:rPr>
        <w:t xml:space="preserve"> </w:t>
      </w:r>
      <w:r w:rsidRPr="00027A90">
        <w:rPr>
          <w:rFonts w:ascii="MinionPro-Regular" w:hAnsi="MinionPro-Regular"/>
          <w:sz w:val="20"/>
          <w:szCs w:val="24"/>
        </w:rPr>
        <w:t>integración</w:t>
      </w:r>
      <w:r>
        <w:rPr>
          <w:rFonts w:ascii="MinionPro-Regular" w:hAnsi="MinionPro-Regular"/>
          <w:sz w:val="20"/>
          <w:szCs w:val="24"/>
        </w:rPr>
        <w:t xml:space="preserve"> </w:t>
      </w:r>
      <w:r w:rsidRPr="001C2926">
        <w:rPr>
          <w:rFonts w:ascii="MinionPro-Regular" w:hAnsi="MinionPro-Regular"/>
          <w:sz w:val="20"/>
          <w:szCs w:val="24"/>
        </w:rPr>
        <w:t>32</w:t>
      </w:r>
      <w:r>
        <w:rPr>
          <w:rFonts w:ascii="MinionPro-Regular" w:hAnsi="MinionPro-Regular"/>
          <w:sz w:val="20"/>
          <w:szCs w:val="24"/>
        </w:rPr>
        <w:t xml:space="preserve">, </w:t>
      </w:r>
      <w:r w:rsidRPr="00027A90">
        <w:rPr>
          <w:rFonts w:ascii="MinionPro-Regular" w:hAnsi="MinionPro-Regular"/>
          <w:sz w:val="20"/>
          <w:szCs w:val="24"/>
        </w:rPr>
        <w:t>compensación</w:t>
      </w:r>
      <w:r>
        <w:rPr>
          <w:rFonts w:ascii="MinionPro-Regular" w:hAnsi="MinionPro-Regular"/>
          <w:sz w:val="20"/>
          <w:szCs w:val="24"/>
        </w:rPr>
        <w:t xml:space="preserve"> </w:t>
      </w:r>
      <w:r w:rsidRPr="001C2926">
        <w:rPr>
          <w:rFonts w:ascii="MinionPro-Regular" w:hAnsi="MinionPro-Regular"/>
          <w:sz w:val="20"/>
          <w:szCs w:val="24"/>
        </w:rPr>
        <w:t>36; Reino Unido</w:t>
      </w:r>
      <w:r w:rsidRPr="00A030FA">
        <w:rPr>
          <w:rFonts w:ascii="MinionPro-Regular" w:hAnsi="MinionPro-Regular"/>
          <w:sz w:val="20"/>
          <w:szCs w:val="24"/>
        </w:rPr>
        <w:t xml:space="preserve"> </w:t>
      </w:r>
      <w:r w:rsidRPr="00027A90">
        <w:rPr>
          <w:rFonts w:ascii="MinionPro-Regular" w:hAnsi="MinionPro-Regular"/>
          <w:sz w:val="20"/>
          <w:szCs w:val="24"/>
        </w:rPr>
        <w:t>integración</w:t>
      </w:r>
      <w:r>
        <w:rPr>
          <w:rFonts w:ascii="MinionPro-Regular" w:hAnsi="MinionPro-Regular"/>
          <w:sz w:val="20"/>
          <w:szCs w:val="24"/>
        </w:rPr>
        <w:t xml:space="preserve"> </w:t>
      </w:r>
      <w:r w:rsidRPr="001C2926">
        <w:rPr>
          <w:rFonts w:ascii="MinionPro-Regular" w:hAnsi="MinionPro-Regular"/>
          <w:sz w:val="20"/>
          <w:szCs w:val="24"/>
        </w:rPr>
        <w:t>21</w:t>
      </w:r>
      <w:r>
        <w:rPr>
          <w:rFonts w:ascii="MinionPro-Regular" w:hAnsi="MinionPro-Regular"/>
          <w:sz w:val="20"/>
          <w:szCs w:val="24"/>
        </w:rPr>
        <w:t xml:space="preserve">, </w:t>
      </w:r>
      <w:r w:rsidRPr="00027A90">
        <w:rPr>
          <w:rFonts w:ascii="MinionPro-Regular" w:hAnsi="MinionPro-Regular"/>
          <w:sz w:val="20"/>
          <w:szCs w:val="24"/>
        </w:rPr>
        <w:t>compensación</w:t>
      </w:r>
      <w:r>
        <w:rPr>
          <w:rFonts w:ascii="MinionPro-Regular" w:hAnsi="MinionPro-Regular"/>
          <w:sz w:val="20"/>
          <w:szCs w:val="24"/>
        </w:rPr>
        <w:t xml:space="preserve"> </w:t>
      </w:r>
      <w:r w:rsidRPr="001C2926">
        <w:rPr>
          <w:rFonts w:ascii="MinionPro-Regular" w:hAnsi="MinionPro-Regular"/>
          <w:sz w:val="20"/>
          <w:szCs w:val="24"/>
        </w:rPr>
        <w:t>32</w:t>
      </w:r>
      <w:r>
        <w:rPr>
          <w:rFonts w:ascii="MinionPro-Regular" w:hAnsi="MinionPro-Regular"/>
          <w:sz w:val="20"/>
          <w:szCs w:val="24"/>
        </w:rPr>
        <w:t>.</w:t>
      </w:r>
    </w:p>
    <w:p w:rsidR="00E2336B" w:rsidRDefault="00E2336B" w:rsidP="001B0EA4">
      <w:pPr>
        <w:autoSpaceDE w:val="0"/>
        <w:autoSpaceDN w:val="0"/>
        <w:spacing w:line="360" w:lineRule="auto"/>
        <w:jc w:val="both"/>
        <w:rPr>
          <w:rFonts w:ascii="MinionPro-Regular" w:hAnsi="MinionPro-Regular"/>
          <w:sz w:val="24"/>
          <w:szCs w:val="24"/>
          <w:lang w:val="es-ES_tradnl"/>
        </w:rPr>
      </w:pPr>
    </w:p>
    <w:p w:rsidR="00E2336B" w:rsidRPr="00347B59" w:rsidRDefault="00E2336B" w:rsidP="0007541A">
      <w:pPr>
        <w:pStyle w:val="Ttulo2"/>
        <w:numPr>
          <w:ilvl w:val="1"/>
          <w:numId w:val="3"/>
        </w:numPr>
        <w:ind w:left="0"/>
        <w:rPr>
          <w:rFonts w:ascii="MinionPro-Regular" w:hAnsi="MinionPro-Regular"/>
          <w:lang w:val="es-ES_tradnl"/>
        </w:rPr>
      </w:pPr>
      <w:bookmarkStart w:id="273" w:name="_Toc352773570"/>
      <w:r>
        <w:rPr>
          <w:rFonts w:ascii="MinionPro-Regular" w:hAnsi="MinionPro-Regular"/>
          <w:lang w:val="es-ES_tradnl"/>
        </w:rPr>
        <w:lastRenderedPageBreak/>
        <w:t>Diferentes consideraciones sobre la definición de discapacidad</w:t>
      </w:r>
      <w:bookmarkEnd w:id="273"/>
    </w:p>
    <w:p w:rsidR="00E2336B" w:rsidRDefault="00E2336B" w:rsidP="001B0EA4">
      <w:pPr>
        <w:autoSpaceDE w:val="0"/>
        <w:autoSpaceDN w:val="0"/>
        <w:spacing w:line="360" w:lineRule="auto"/>
        <w:jc w:val="both"/>
        <w:rPr>
          <w:rFonts w:ascii="MinionPro-Regular" w:hAnsi="MinionPro-Regular"/>
          <w:sz w:val="24"/>
          <w:szCs w:val="24"/>
          <w:lang w:val="es-ES_tradnl"/>
        </w:rPr>
      </w:pPr>
    </w:p>
    <w:p w:rsidR="00E2336B" w:rsidRDefault="00E2336B" w:rsidP="001B0EA4">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Una primera cuestión a considerar es la definición de discapacidad en cada uno de los países de nuestro entorno y el porcentaje de personas con discapacidad en relación al total de la población.</w:t>
      </w:r>
    </w:p>
    <w:p w:rsidR="00376665" w:rsidRPr="001740FD" w:rsidRDefault="00376665" w:rsidP="001B0EA4">
      <w:pPr>
        <w:autoSpaceDE w:val="0"/>
        <w:autoSpaceDN w:val="0"/>
        <w:spacing w:line="360" w:lineRule="auto"/>
        <w:jc w:val="both"/>
        <w:rPr>
          <w:rFonts w:ascii="MinionPro-Regular" w:hAnsi="MinionPro-Regular"/>
          <w:color w:val="4F81BD" w:themeColor="accent1"/>
          <w:sz w:val="24"/>
          <w:szCs w:val="24"/>
          <w:lang w:val="es-ES_tradnl"/>
        </w:rPr>
      </w:pPr>
    </w:p>
    <w:p w:rsidR="00376665" w:rsidRPr="007A408D" w:rsidRDefault="00F724E7" w:rsidP="00376665">
      <w:pPr>
        <w:autoSpaceDE w:val="0"/>
        <w:autoSpaceDN w:val="0"/>
        <w:spacing w:line="360" w:lineRule="auto"/>
        <w:jc w:val="both"/>
        <w:rPr>
          <w:rFonts w:ascii="MinionPro-Regular" w:hAnsi="MinionPro-Regular"/>
          <w:sz w:val="24"/>
          <w:szCs w:val="24"/>
          <w:lang w:val="es-ES_tradnl"/>
        </w:rPr>
      </w:pPr>
      <w:r w:rsidRPr="007A408D">
        <w:rPr>
          <w:rFonts w:ascii="MinionPro-Regular" w:hAnsi="MinionPro-Regular"/>
          <w:sz w:val="24"/>
          <w:szCs w:val="24"/>
          <w:lang w:val="es-ES_tradnl"/>
        </w:rPr>
        <w:t xml:space="preserve">Como punto de partida, es importante remarcar que la Convención sobre los derechos de las personas con discapacidad de </w:t>
      </w:r>
      <w:r w:rsidR="007A408D" w:rsidRPr="007A408D">
        <w:rPr>
          <w:rFonts w:ascii="MinionPro-Regular" w:hAnsi="MinionPro-Regular"/>
          <w:sz w:val="24"/>
          <w:szCs w:val="24"/>
          <w:lang w:val="es-ES_tradnl"/>
        </w:rPr>
        <w:t>Naciones Unidas</w:t>
      </w:r>
      <w:r w:rsidRPr="007A408D">
        <w:rPr>
          <w:rFonts w:ascii="MinionPro-Regular" w:hAnsi="MinionPro-Regular"/>
          <w:sz w:val="24"/>
          <w:szCs w:val="24"/>
          <w:lang w:val="es-ES_tradnl"/>
        </w:rPr>
        <w:t xml:space="preserve"> plantea la siguiente definición: “Las personas con discapacidad incluyen a aquellas que tengan deficiencias físicas, mentales, intelectuales o sensoriales a largo plazo que, al interactuar con diversas barreras, puedan impedir su participación plena y efectiva en la sociedad, en igualdad de condiciones con las demás.”</w:t>
      </w:r>
      <w:r w:rsidRPr="007A408D">
        <w:rPr>
          <w:rStyle w:val="Refdenotaalpie"/>
          <w:rFonts w:ascii="MinionPro-Regular" w:hAnsi="MinionPro-Regular"/>
          <w:sz w:val="24"/>
          <w:szCs w:val="24"/>
          <w:lang w:val="es-ES_tradnl"/>
        </w:rPr>
        <w:footnoteReference w:id="20"/>
      </w:r>
      <w:r w:rsidRPr="007A408D">
        <w:rPr>
          <w:rFonts w:ascii="MinionPro-Regular" w:hAnsi="MinionPro-Regular"/>
          <w:sz w:val="24"/>
          <w:szCs w:val="24"/>
          <w:lang w:val="es-ES_tradnl"/>
        </w:rPr>
        <w:t xml:space="preserve"> </w:t>
      </w:r>
    </w:p>
    <w:p w:rsidR="00E2336B" w:rsidRDefault="00E2336B" w:rsidP="001B0EA4">
      <w:pPr>
        <w:autoSpaceDE w:val="0"/>
        <w:autoSpaceDN w:val="0"/>
        <w:spacing w:line="360" w:lineRule="auto"/>
        <w:jc w:val="both"/>
        <w:rPr>
          <w:rFonts w:ascii="MinionPro-Regular" w:hAnsi="MinionPro-Regular"/>
          <w:sz w:val="24"/>
          <w:szCs w:val="24"/>
          <w:lang w:val="es-ES_tradnl"/>
        </w:rPr>
      </w:pPr>
    </w:p>
    <w:p w:rsidR="00E2336B" w:rsidRDefault="00F724E7" w:rsidP="001B0EA4">
      <w:pPr>
        <w:autoSpaceDE w:val="0"/>
        <w:autoSpaceDN w:val="0"/>
        <w:spacing w:line="360" w:lineRule="auto"/>
        <w:jc w:val="both"/>
        <w:rPr>
          <w:rFonts w:ascii="MinionPro-Regular" w:hAnsi="MinionPro-Regular"/>
          <w:sz w:val="24"/>
          <w:szCs w:val="24"/>
          <w:lang w:val="es-ES_tradnl"/>
        </w:rPr>
      </w:pPr>
      <w:r w:rsidRPr="007A408D">
        <w:rPr>
          <w:rFonts w:ascii="MinionPro-Regular" w:hAnsi="MinionPro-Regular"/>
          <w:sz w:val="24"/>
          <w:szCs w:val="24"/>
          <w:lang w:val="es-ES_tradnl"/>
        </w:rPr>
        <w:t xml:space="preserve">España </w:t>
      </w:r>
      <w:r w:rsidR="00831E99" w:rsidRPr="007A408D">
        <w:rPr>
          <w:rFonts w:ascii="MinionPro-Regular" w:hAnsi="MinionPro-Regular"/>
          <w:sz w:val="24"/>
          <w:szCs w:val="24"/>
          <w:lang w:val="es-ES_tradnl"/>
        </w:rPr>
        <w:t>ratificó la</w:t>
      </w:r>
      <w:r w:rsidRPr="007A408D">
        <w:rPr>
          <w:rFonts w:ascii="MinionPro-Regular" w:hAnsi="MinionPro-Regular"/>
          <w:sz w:val="24"/>
          <w:szCs w:val="24"/>
          <w:lang w:val="es-ES_tradnl"/>
        </w:rPr>
        <w:t xml:space="preserve"> </w:t>
      </w:r>
      <w:r w:rsidR="004A492F" w:rsidRPr="007A408D">
        <w:rPr>
          <w:rFonts w:ascii="MinionPro-Regular" w:hAnsi="MinionPro-Regular"/>
          <w:sz w:val="24"/>
          <w:szCs w:val="24"/>
          <w:lang w:val="es-ES_tradnl"/>
        </w:rPr>
        <w:t>C</w:t>
      </w:r>
      <w:r w:rsidR="00831E99" w:rsidRPr="007A408D">
        <w:rPr>
          <w:rFonts w:ascii="MinionPro-Regular" w:hAnsi="MinionPro-Regular"/>
          <w:sz w:val="24"/>
          <w:szCs w:val="24"/>
          <w:lang w:val="es-ES_tradnl"/>
        </w:rPr>
        <w:t xml:space="preserve">onvención </w:t>
      </w:r>
      <w:r w:rsidR="004A492F" w:rsidRPr="007A408D">
        <w:rPr>
          <w:rFonts w:ascii="MinionPro-Regular" w:hAnsi="MinionPro-Regular"/>
          <w:sz w:val="24"/>
          <w:szCs w:val="24"/>
          <w:lang w:val="es-ES_tradnl"/>
        </w:rPr>
        <w:t>y</w:t>
      </w:r>
      <w:r w:rsidR="00831E99" w:rsidRPr="007A408D">
        <w:rPr>
          <w:rFonts w:ascii="MinionPro-Regular" w:hAnsi="MinionPro-Regular"/>
          <w:sz w:val="24"/>
          <w:szCs w:val="24"/>
          <w:lang w:val="es-ES_tradnl"/>
        </w:rPr>
        <w:t xml:space="preserve"> realiz</w:t>
      </w:r>
      <w:r w:rsidRPr="007A408D">
        <w:rPr>
          <w:rFonts w:ascii="MinionPro-Regular" w:hAnsi="MinionPro-Regular"/>
          <w:sz w:val="24"/>
          <w:szCs w:val="24"/>
          <w:lang w:val="es-ES_tradnl"/>
        </w:rPr>
        <w:t>ó modificaciones en su legislación (Ley 26/2011)</w:t>
      </w:r>
      <w:r w:rsidR="00831E99" w:rsidRPr="007A408D">
        <w:rPr>
          <w:rFonts w:ascii="MinionPro-Regular" w:hAnsi="MinionPro-Regular"/>
          <w:sz w:val="24"/>
          <w:szCs w:val="24"/>
          <w:lang w:val="es-ES_tradnl"/>
        </w:rPr>
        <w:t xml:space="preserve"> para adaptarla a esta</w:t>
      </w:r>
      <w:r w:rsidRPr="007A408D">
        <w:rPr>
          <w:rFonts w:ascii="MinionPro-Regular" w:hAnsi="MinionPro-Regular"/>
          <w:sz w:val="24"/>
          <w:szCs w:val="24"/>
          <w:lang w:val="es-ES_tradnl"/>
        </w:rPr>
        <w:t xml:space="preserve"> definición.</w:t>
      </w:r>
      <w:r w:rsidRPr="00F724E7">
        <w:rPr>
          <w:rFonts w:ascii="MinionPro-Regular" w:hAnsi="MinionPro-Regular"/>
          <w:sz w:val="24"/>
          <w:szCs w:val="24"/>
          <w:lang w:val="es-ES_tradnl"/>
        </w:rPr>
        <w:t xml:space="preserve"> La evaluación de la persona con discapacidad d</w:t>
      </w:r>
      <w:r w:rsidR="004A492F">
        <w:rPr>
          <w:rFonts w:ascii="MinionPro-Regular" w:hAnsi="MinionPro-Regular"/>
          <w:sz w:val="24"/>
          <w:szCs w:val="24"/>
          <w:lang w:val="es-ES_tradnl"/>
        </w:rPr>
        <w:t>a</w:t>
      </w:r>
      <w:r w:rsidRPr="00F724E7">
        <w:rPr>
          <w:rFonts w:ascii="MinionPro-Regular" w:hAnsi="MinionPro-Regular"/>
          <w:sz w:val="24"/>
          <w:szCs w:val="24"/>
          <w:lang w:val="es-ES_tradnl"/>
        </w:rPr>
        <w:t xml:space="preserve"> como resultado un grado de discapacidad relacionado con la necesidad del concurso de otra persona para realizar los actos más esenciales de la vida, contabilizándose en mayor medida, impedimentos físicos e intelectuales y sólo en algunos casos, factores sociales</w:t>
      </w:r>
      <w:r>
        <w:rPr>
          <w:rStyle w:val="Refdenotaalpie"/>
          <w:rFonts w:ascii="MinionPro-Regular" w:hAnsi="MinionPro-Regular"/>
          <w:sz w:val="24"/>
          <w:szCs w:val="24"/>
          <w:lang w:val="es-ES_tradnl"/>
        </w:rPr>
        <w:footnoteReference w:id="21"/>
      </w:r>
      <w:r w:rsidRPr="00F724E7">
        <w:rPr>
          <w:rFonts w:ascii="MinionPro-Regular" w:hAnsi="MinionPro-Regular"/>
          <w:sz w:val="24"/>
          <w:szCs w:val="24"/>
          <w:lang w:val="es-ES_tradnl"/>
        </w:rPr>
        <w:t>. Esta acreditación se realiza de acuerdo con lo dispuesto en el Real Decreto 1414/2006, de 1 de diciembre.</w:t>
      </w:r>
      <w:r w:rsidR="00E2336B">
        <w:rPr>
          <w:rFonts w:ascii="MinionPro-Regular" w:hAnsi="MinionPro-Regular"/>
          <w:sz w:val="24"/>
          <w:szCs w:val="24"/>
          <w:lang w:val="es-ES_tradnl"/>
        </w:rPr>
        <w:t xml:space="preserve"> </w:t>
      </w:r>
    </w:p>
    <w:p w:rsidR="00E2336B" w:rsidRDefault="00E2336B" w:rsidP="001B0EA4">
      <w:pPr>
        <w:autoSpaceDE w:val="0"/>
        <w:autoSpaceDN w:val="0"/>
        <w:spacing w:line="360" w:lineRule="auto"/>
        <w:jc w:val="both"/>
        <w:rPr>
          <w:rFonts w:ascii="MinionPro-Regular" w:hAnsi="MinionPro-Regular"/>
          <w:sz w:val="24"/>
          <w:szCs w:val="24"/>
        </w:rPr>
      </w:pPr>
    </w:p>
    <w:p w:rsidR="00E2336B" w:rsidRDefault="00F724E7" w:rsidP="001B0EA4">
      <w:pPr>
        <w:autoSpaceDE w:val="0"/>
        <w:autoSpaceDN w:val="0"/>
        <w:spacing w:line="360" w:lineRule="auto"/>
        <w:jc w:val="both"/>
        <w:rPr>
          <w:rFonts w:ascii="MinionPro-Regular" w:hAnsi="MinionPro-Regular"/>
          <w:sz w:val="24"/>
          <w:szCs w:val="24"/>
          <w:lang w:val="es-ES_tradnl"/>
        </w:rPr>
      </w:pPr>
      <w:r w:rsidRPr="007A408D">
        <w:rPr>
          <w:rFonts w:ascii="MinionPro-Regular" w:hAnsi="MinionPro-Regular"/>
          <w:sz w:val="24"/>
          <w:szCs w:val="24"/>
          <w:lang w:val="es-ES_tradnl"/>
        </w:rPr>
        <w:t>En el Reino Unido también se han realizado modificaciones legislativas como consecuencia de la ratificaci</w:t>
      </w:r>
      <w:r w:rsidR="004A492F" w:rsidRPr="007A408D">
        <w:rPr>
          <w:rFonts w:ascii="MinionPro-Regular" w:hAnsi="MinionPro-Regular"/>
          <w:sz w:val="24"/>
          <w:szCs w:val="24"/>
          <w:lang w:val="es-ES_tradnl"/>
        </w:rPr>
        <w:t>ón de la C</w:t>
      </w:r>
      <w:r w:rsidRPr="007A408D">
        <w:rPr>
          <w:rFonts w:ascii="MinionPro-Regular" w:hAnsi="MinionPro-Regular"/>
          <w:sz w:val="24"/>
          <w:szCs w:val="24"/>
          <w:lang w:val="es-ES_tradnl"/>
        </w:rPr>
        <w:t xml:space="preserve">onvención que </w:t>
      </w:r>
      <w:r w:rsidR="007A408D">
        <w:rPr>
          <w:rFonts w:ascii="MinionPro-Regular" w:hAnsi="MinionPro-Regular"/>
          <w:sz w:val="24"/>
          <w:szCs w:val="24"/>
          <w:lang w:val="es-ES_tradnl"/>
        </w:rPr>
        <w:t>fueron</w:t>
      </w:r>
      <w:r w:rsidRPr="007A408D">
        <w:rPr>
          <w:rFonts w:ascii="MinionPro-Regular" w:hAnsi="MinionPro-Regular"/>
          <w:sz w:val="24"/>
          <w:szCs w:val="24"/>
          <w:lang w:val="es-ES_tradnl"/>
        </w:rPr>
        <w:t xml:space="preserve"> incluidas en la “Equality Act” de 2010.</w:t>
      </w:r>
      <w:r w:rsidR="00433B12">
        <w:rPr>
          <w:rFonts w:ascii="MinionPro-Regular" w:hAnsi="MinionPro-Regular"/>
          <w:sz w:val="24"/>
          <w:szCs w:val="24"/>
          <w:lang w:val="es-ES_tradnl"/>
        </w:rPr>
        <w:t xml:space="preserve"> T</w:t>
      </w:r>
      <w:r w:rsidR="00E2336B">
        <w:rPr>
          <w:rFonts w:ascii="MinionPro-Regular" w:hAnsi="MinionPro-Regular"/>
          <w:sz w:val="24"/>
          <w:szCs w:val="24"/>
          <w:lang w:val="es-ES_tradnl"/>
        </w:rPr>
        <w:t>al y como establece</w:t>
      </w:r>
      <w:r w:rsidR="00433B12">
        <w:rPr>
          <w:rFonts w:ascii="MinionPro-Regular" w:hAnsi="MinionPro-Regular"/>
          <w:sz w:val="24"/>
          <w:szCs w:val="24"/>
          <w:lang w:val="es-ES_tradnl"/>
        </w:rPr>
        <w:t xml:space="preserve"> esta ley</w:t>
      </w:r>
      <w:r w:rsidR="00E2336B">
        <w:rPr>
          <w:rFonts w:ascii="MinionPro-Regular" w:hAnsi="MinionPro-Regular"/>
          <w:sz w:val="24"/>
          <w:szCs w:val="24"/>
          <w:lang w:val="es-ES_tradnl"/>
        </w:rPr>
        <w:t xml:space="preserve">, </w:t>
      </w:r>
      <w:r w:rsidR="00E2336B" w:rsidRPr="009A2AED">
        <w:rPr>
          <w:rFonts w:ascii="MinionPro-Regular" w:hAnsi="MinionPro-Regular"/>
          <w:sz w:val="24"/>
          <w:szCs w:val="24"/>
          <w:lang w:val="es-ES_tradnl"/>
        </w:rPr>
        <w:t xml:space="preserve">se entiende por persona con discapacidad </w:t>
      </w:r>
      <w:r w:rsidR="00E2336B" w:rsidRPr="009A2AED">
        <w:rPr>
          <w:rFonts w:ascii="MinionPro-Regular" w:hAnsi="MinionPro-Regular"/>
          <w:sz w:val="24"/>
          <w:szCs w:val="24"/>
          <w:lang w:val="es-ES_tradnl"/>
        </w:rPr>
        <w:lastRenderedPageBreak/>
        <w:t xml:space="preserve">cualquier persona con impedimento </w:t>
      </w:r>
      <w:r w:rsidR="00E2336B">
        <w:rPr>
          <w:rFonts w:ascii="MinionPro-Regular" w:hAnsi="MinionPro-Regular"/>
          <w:sz w:val="24"/>
          <w:szCs w:val="24"/>
          <w:lang w:val="es-ES_tradnl"/>
        </w:rPr>
        <w:t>intelectual o físico que dificulta que pueda desempeñar</w:t>
      </w:r>
      <w:r w:rsidR="00E2336B" w:rsidRPr="009A2AED">
        <w:rPr>
          <w:rFonts w:ascii="MinionPro-Regular" w:hAnsi="MinionPro-Regular"/>
          <w:sz w:val="24"/>
          <w:szCs w:val="24"/>
          <w:lang w:val="es-ES_tradnl"/>
        </w:rPr>
        <w:t xml:space="preserve"> actividades de la vida diaria y que sea de larga duración</w:t>
      </w:r>
      <w:r w:rsidR="00E2336B">
        <w:rPr>
          <w:rFonts w:ascii="MinionPro-Regular" w:hAnsi="MinionPro-Regular"/>
          <w:sz w:val="24"/>
          <w:szCs w:val="24"/>
          <w:lang w:val="es-ES_tradnl"/>
        </w:rPr>
        <w:t xml:space="preserve"> -</w:t>
      </w:r>
      <w:r w:rsidR="00E2336B" w:rsidRPr="009A2AED">
        <w:rPr>
          <w:rFonts w:ascii="MinionPro-Regular" w:hAnsi="MinionPro-Regular"/>
          <w:sz w:val="24"/>
          <w:szCs w:val="24"/>
          <w:lang w:val="es-ES_tradnl"/>
        </w:rPr>
        <w:t>al menos 12 meses</w:t>
      </w:r>
      <w:r w:rsidR="00E2336B">
        <w:rPr>
          <w:rFonts w:ascii="MinionPro-Regular" w:hAnsi="MinionPro-Regular"/>
          <w:sz w:val="24"/>
          <w:szCs w:val="24"/>
          <w:lang w:val="es-ES_tradnl"/>
        </w:rPr>
        <w:t>-</w:t>
      </w:r>
      <w:r w:rsidR="00E2336B" w:rsidRPr="009A2AED">
        <w:rPr>
          <w:rFonts w:ascii="MinionPro-Regular" w:hAnsi="MinionPro-Regular"/>
          <w:sz w:val="24"/>
          <w:szCs w:val="24"/>
          <w:lang w:val="es-ES_tradnl"/>
        </w:rPr>
        <w:t>, o que perdure en el tiempo.</w:t>
      </w:r>
      <w:r w:rsidR="00E2336B">
        <w:rPr>
          <w:rFonts w:ascii="MinionPro-Regular" w:hAnsi="MinionPro-Regular"/>
          <w:sz w:val="24"/>
          <w:szCs w:val="24"/>
          <w:lang w:val="es-ES_tradnl"/>
        </w:rPr>
        <w:t xml:space="preserve"> </w:t>
      </w:r>
      <w:r w:rsidR="00E2336B" w:rsidRPr="009A2AED">
        <w:rPr>
          <w:rFonts w:ascii="MinionPro-Regular" w:hAnsi="MinionPro-Regular"/>
          <w:sz w:val="24"/>
          <w:szCs w:val="24"/>
          <w:lang w:val="es-ES_tradnl"/>
        </w:rPr>
        <w:t xml:space="preserve">Bajo este marco legal </w:t>
      </w:r>
      <w:r w:rsidR="00E2336B">
        <w:rPr>
          <w:rFonts w:ascii="MinionPro-Regular" w:hAnsi="MinionPro-Regular"/>
          <w:sz w:val="24"/>
          <w:szCs w:val="24"/>
          <w:lang w:val="es-ES_tradnl"/>
        </w:rPr>
        <w:t xml:space="preserve">tienen cabida </w:t>
      </w:r>
      <w:r w:rsidR="00E2336B" w:rsidRPr="009A2AED">
        <w:rPr>
          <w:rFonts w:ascii="MinionPro-Regular" w:hAnsi="MinionPro-Regular"/>
          <w:sz w:val="24"/>
          <w:szCs w:val="24"/>
          <w:lang w:val="es-ES_tradnl"/>
        </w:rPr>
        <w:t>discapacidades y condiciones de s</w:t>
      </w:r>
      <w:r w:rsidR="00E2336B">
        <w:rPr>
          <w:rFonts w:ascii="MinionPro-Regular" w:hAnsi="MinionPro-Regular"/>
          <w:sz w:val="24"/>
          <w:szCs w:val="24"/>
          <w:lang w:val="es-ES_tradnl"/>
        </w:rPr>
        <w:t>alud específicas de largo plazo diferentes de las que pueden encontrarse en el caso español</w:t>
      </w:r>
      <w:r w:rsidR="00E2336B" w:rsidRPr="009A2AED">
        <w:rPr>
          <w:rFonts w:ascii="MinionPro-Regular" w:hAnsi="MinionPro-Regular"/>
          <w:sz w:val="24"/>
          <w:szCs w:val="24"/>
          <w:lang w:val="es-ES_tradnl"/>
        </w:rPr>
        <w:t>. Además pueden quedar protegidas dificultades de aprendizaje si los efectos son "a largo plazo", "adversos" y "sustanciales" y dificultan de alguna forma el desarrollo normal de las actividades cotidianas.</w:t>
      </w:r>
    </w:p>
    <w:p w:rsidR="00E2336B" w:rsidRPr="007A408D" w:rsidRDefault="00E2336B" w:rsidP="007A408D">
      <w:pPr>
        <w:autoSpaceDE w:val="0"/>
        <w:autoSpaceDN w:val="0"/>
        <w:spacing w:line="360" w:lineRule="auto"/>
        <w:jc w:val="both"/>
        <w:rPr>
          <w:rFonts w:ascii="MinionPro-Regular" w:hAnsi="MinionPro-Regular"/>
          <w:sz w:val="24"/>
          <w:szCs w:val="24"/>
          <w:lang w:val="es-ES_tradnl"/>
        </w:rPr>
      </w:pPr>
    </w:p>
    <w:p w:rsidR="00E2336B" w:rsidRPr="00D00D01" w:rsidRDefault="00F724E7" w:rsidP="007A408D">
      <w:pPr>
        <w:autoSpaceDE w:val="0"/>
        <w:autoSpaceDN w:val="0"/>
        <w:spacing w:line="360" w:lineRule="auto"/>
        <w:jc w:val="both"/>
        <w:rPr>
          <w:rFonts w:ascii="MinionPro-Regular" w:hAnsi="MinionPro-Regular"/>
          <w:sz w:val="24"/>
          <w:szCs w:val="24"/>
          <w:lang w:val="es-ES_tradnl"/>
        </w:rPr>
      </w:pPr>
      <w:r w:rsidRPr="007A408D">
        <w:rPr>
          <w:rFonts w:ascii="MinionPro-Regular" w:hAnsi="MinionPro-Regular"/>
          <w:sz w:val="24"/>
          <w:szCs w:val="24"/>
          <w:lang w:val="es-ES_tradnl"/>
        </w:rPr>
        <w:t xml:space="preserve">Desde su ratificación de la Convención, Alemania ha </w:t>
      </w:r>
      <w:r w:rsidR="007A408D">
        <w:rPr>
          <w:rFonts w:ascii="MinionPro-Regular" w:hAnsi="MinionPro-Regular"/>
          <w:sz w:val="24"/>
          <w:szCs w:val="24"/>
          <w:lang w:val="es-ES_tradnl"/>
        </w:rPr>
        <w:t>desarrollado</w:t>
      </w:r>
      <w:r w:rsidRPr="007A408D">
        <w:rPr>
          <w:rFonts w:ascii="MinionPro-Regular" w:hAnsi="MinionPro-Regular"/>
          <w:sz w:val="24"/>
          <w:szCs w:val="24"/>
          <w:lang w:val="es-ES_tradnl"/>
        </w:rPr>
        <w:t xml:space="preserve"> medidas legislativas centradas en la educación, la capacitación, la sensibilización, el empleo, vida autodeterminada y la accesibilidad.</w:t>
      </w:r>
      <w:r w:rsidR="008632B4">
        <w:rPr>
          <w:rFonts w:ascii="MinionPro-Regular" w:hAnsi="MinionPro-Regular"/>
          <w:sz w:val="24"/>
          <w:szCs w:val="24"/>
          <w:lang w:val="es-ES_tradnl"/>
        </w:rPr>
        <w:t xml:space="preserve"> </w:t>
      </w:r>
      <w:r w:rsidR="004A492F">
        <w:rPr>
          <w:rFonts w:ascii="MinionPro-Regular" w:hAnsi="MinionPro-Regular"/>
          <w:sz w:val="24"/>
          <w:szCs w:val="24"/>
          <w:lang w:val="es-ES_tradnl"/>
        </w:rPr>
        <w:t>S</w:t>
      </w:r>
      <w:r w:rsidR="00E2336B" w:rsidRPr="00C13223">
        <w:rPr>
          <w:rFonts w:ascii="MinionPro-Regular" w:hAnsi="MinionPro-Regular"/>
          <w:sz w:val="24"/>
          <w:szCs w:val="24"/>
        </w:rPr>
        <w:t xml:space="preserve">e considera </w:t>
      </w:r>
      <w:r w:rsidR="00E2336B">
        <w:rPr>
          <w:rFonts w:ascii="MinionPro-Regular" w:hAnsi="MinionPro-Regular"/>
          <w:sz w:val="24"/>
          <w:szCs w:val="24"/>
        </w:rPr>
        <w:t>con discapacidad</w:t>
      </w:r>
      <w:r w:rsidR="00E2336B" w:rsidRPr="00C13223">
        <w:rPr>
          <w:rFonts w:ascii="MinionPro-Regular" w:hAnsi="MinionPro-Regular"/>
          <w:sz w:val="24"/>
          <w:szCs w:val="24"/>
        </w:rPr>
        <w:t xml:space="preserve"> a la persona cuya capacidad de integración se ve limitada a causa de una situación física, mental o psicológica. El diagnóstico y la evaluación del grado de discapacidad es responsabilidad de una institución independiente. De este modo, las personas se clasifican como severamente incapacitadas si dicha institución ha determinado un grado de discapacidad </w:t>
      </w:r>
      <w:r w:rsidR="00E2336B">
        <w:rPr>
          <w:rFonts w:ascii="MinionPro-Regular" w:hAnsi="MinionPro-Regular"/>
          <w:sz w:val="24"/>
          <w:szCs w:val="24"/>
        </w:rPr>
        <w:t>igual o superior al 50%</w:t>
      </w:r>
      <w:r w:rsidR="00E2336B" w:rsidRPr="00C13223">
        <w:rPr>
          <w:rFonts w:ascii="MinionPro-Regular" w:hAnsi="MinionPro-Regular"/>
          <w:sz w:val="24"/>
          <w:szCs w:val="24"/>
        </w:rPr>
        <w:t>.</w:t>
      </w:r>
      <w:r w:rsidR="00E2336B" w:rsidRPr="00D00D01">
        <w:rPr>
          <w:rFonts w:ascii="MinionPro-Regular" w:hAnsi="MinionPro-Regular"/>
          <w:sz w:val="24"/>
          <w:szCs w:val="24"/>
          <w:lang w:val="es-ES_tradnl"/>
        </w:rPr>
        <w:t xml:space="preserve"> </w:t>
      </w:r>
      <w:r w:rsidR="00E2336B">
        <w:rPr>
          <w:rFonts w:ascii="MinionPro-Regular" w:hAnsi="MinionPro-Regular"/>
          <w:sz w:val="24"/>
          <w:szCs w:val="24"/>
          <w:lang w:val="es-ES_tradnl"/>
        </w:rPr>
        <w:t>N</w:t>
      </w:r>
      <w:r w:rsidR="00E2336B" w:rsidRPr="003778E9">
        <w:rPr>
          <w:rFonts w:ascii="MinionPro-Regular" w:hAnsi="MinionPro-Regular"/>
          <w:sz w:val="24"/>
          <w:szCs w:val="24"/>
          <w:lang w:val="es-ES_tradnl"/>
        </w:rPr>
        <w:t>o obstante</w:t>
      </w:r>
      <w:r w:rsidR="00E2336B">
        <w:rPr>
          <w:rFonts w:ascii="MinionPro-Regular" w:hAnsi="MinionPro-Regular"/>
          <w:sz w:val="24"/>
          <w:szCs w:val="24"/>
          <w:lang w:val="es-ES_tradnl"/>
        </w:rPr>
        <w:t xml:space="preserve">, </w:t>
      </w:r>
      <w:r w:rsidR="00E2336B" w:rsidRPr="003778E9">
        <w:rPr>
          <w:rFonts w:ascii="MinionPro-Regular" w:hAnsi="MinionPro-Regular"/>
          <w:sz w:val="24"/>
          <w:szCs w:val="24"/>
          <w:lang w:val="es-ES_tradnl"/>
        </w:rPr>
        <w:t xml:space="preserve"> para poder beneficiarse de las ayudas públicas ligadas a la creación de empleo, las personas afectadas de una discapacidad entre el 30 y el 50% son asimiladas al estatuto de las gravemente discapacitadas en caso de no conseguir encontrar o conservar un empleo a causa de dicha discapacidad.</w:t>
      </w:r>
    </w:p>
    <w:p w:rsidR="00E2336B" w:rsidRPr="00F57450" w:rsidRDefault="00E2336B" w:rsidP="001B0EA4">
      <w:pPr>
        <w:autoSpaceDE w:val="0"/>
        <w:autoSpaceDN w:val="0"/>
        <w:spacing w:line="360" w:lineRule="auto"/>
        <w:jc w:val="both"/>
        <w:rPr>
          <w:rFonts w:ascii="MinionPro-Regular" w:hAnsi="MinionPro-Regular"/>
          <w:sz w:val="24"/>
          <w:szCs w:val="24"/>
        </w:rPr>
      </w:pPr>
    </w:p>
    <w:p w:rsidR="00E2336B" w:rsidRDefault="00E2336B" w:rsidP="001B0EA4">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El caso de Italia, es similar al español pero únicamente se tienen en cuenta factores físicos y mentales. Lo que se mide es la incapacidad para realizar el mismo trabajo que se realizaba antes de sobrevenir la incapacidad</w:t>
      </w:r>
      <w:r>
        <w:rPr>
          <w:rStyle w:val="Refdenotaalpie"/>
          <w:rFonts w:ascii="MinionPro-Regular" w:hAnsi="MinionPro-Regular"/>
          <w:sz w:val="24"/>
          <w:szCs w:val="24"/>
          <w:lang w:val="es-ES_tradnl"/>
        </w:rPr>
        <w:footnoteReference w:id="22"/>
      </w:r>
      <w:r>
        <w:rPr>
          <w:rFonts w:ascii="MinionPro-Regular" w:hAnsi="MinionPro-Regular"/>
          <w:sz w:val="24"/>
          <w:szCs w:val="24"/>
          <w:lang w:val="es-ES_tradnl"/>
        </w:rPr>
        <w:t>.</w:t>
      </w:r>
      <w:r w:rsidR="00883AB5">
        <w:rPr>
          <w:rFonts w:ascii="MinionPro-Regular" w:hAnsi="MinionPro-Regular"/>
          <w:sz w:val="24"/>
          <w:szCs w:val="24"/>
          <w:lang w:val="es-ES_tradnl"/>
        </w:rPr>
        <w:t xml:space="preserve"> </w:t>
      </w:r>
      <w:r w:rsidR="00F724E7" w:rsidRPr="007A408D">
        <w:rPr>
          <w:rFonts w:ascii="MinionPro-Regular" w:hAnsi="MinionPro-Regular"/>
          <w:sz w:val="24"/>
          <w:szCs w:val="24"/>
          <w:lang w:val="es-ES_tradnl"/>
        </w:rPr>
        <w:t xml:space="preserve">Adicionalmente, se ha ratificado la </w:t>
      </w:r>
      <w:r w:rsidR="00883AB5" w:rsidRPr="007A408D">
        <w:rPr>
          <w:rFonts w:ascii="MinionPro-Regular" w:hAnsi="MinionPro-Regular"/>
          <w:sz w:val="24"/>
          <w:szCs w:val="24"/>
          <w:lang w:val="es-ES_tradnl"/>
        </w:rPr>
        <w:t>Conven</w:t>
      </w:r>
      <w:r w:rsidR="00F724E7" w:rsidRPr="007A408D">
        <w:rPr>
          <w:rFonts w:ascii="MinionPro-Regular" w:hAnsi="MinionPro-Regular"/>
          <w:sz w:val="24"/>
          <w:szCs w:val="24"/>
          <w:lang w:val="es-ES_tradnl"/>
        </w:rPr>
        <w:t>ción sobre los derechos de las personas con discapacidad de la ONU</w:t>
      </w:r>
      <w:r w:rsidR="00883AB5" w:rsidRPr="007A408D">
        <w:rPr>
          <w:rFonts w:ascii="MinionPro-Regular" w:hAnsi="MinionPro-Regular"/>
          <w:sz w:val="24"/>
          <w:szCs w:val="24"/>
          <w:lang w:val="es-ES_tradnl"/>
        </w:rPr>
        <w:t>.</w:t>
      </w:r>
    </w:p>
    <w:p w:rsidR="00E2336B" w:rsidRDefault="00E2336B" w:rsidP="001B0EA4">
      <w:pPr>
        <w:autoSpaceDE w:val="0"/>
        <w:autoSpaceDN w:val="0"/>
        <w:spacing w:line="360" w:lineRule="auto"/>
        <w:jc w:val="both"/>
        <w:rPr>
          <w:rFonts w:ascii="MinionPro-Regular" w:hAnsi="MinionPro-Regular"/>
          <w:sz w:val="24"/>
          <w:szCs w:val="24"/>
          <w:lang w:val="es-ES_tradnl"/>
        </w:rPr>
      </w:pPr>
    </w:p>
    <w:p w:rsidR="00E2336B" w:rsidRDefault="00F724E7" w:rsidP="001B0EA4">
      <w:pPr>
        <w:autoSpaceDE w:val="0"/>
        <w:autoSpaceDN w:val="0"/>
        <w:spacing w:line="360" w:lineRule="auto"/>
        <w:jc w:val="both"/>
        <w:rPr>
          <w:rFonts w:ascii="MinionPro-Regular" w:hAnsi="MinionPro-Regular"/>
          <w:sz w:val="24"/>
          <w:szCs w:val="24"/>
          <w:lang w:val="es-ES_tradnl"/>
        </w:rPr>
      </w:pPr>
      <w:r w:rsidRPr="007A408D">
        <w:rPr>
          <w:rFonts w:ascii="MinionPro-Regular" w:hAnsi="MinionPro-Regular"/>
          <w:sz w:val="24"/>
          <w:szCs w:val="24"/>
          <w:lang w:val="es-ES_tradnl"/>
        </w:rPr>
        <w:t>Por último, Suecia firmó la convención en 2007 y llevado a cabo un p</w:t>
      </w:r>
      <w:r w:rsidR="004A492F" w:rsidRPr="007A408D">
        <w:rPr>
          <w:rFonts w:ascii="MinionPro-Regular" w:hAnsi="MinionPro-Regular"/>
          <w:sz w:val="24"/>
          <w:szCs w:val="24"/>
          <w:lang w:val="es-ES_tradnl"/>
        </w:rPr>
        <w:t>lan de acci</w:t>
      </w:r>
      <w:r w:rsidRPr="007A408D">
        <w:rPr>
          <w:rFonts w:ascii="MinionPro-Regular" w:hAnsi="MinionPro-Regular"/>
          <w:sz w:val="24"/>
          <w:szCs w:val="24"/>
          <w:lang w:val="es-ES_tradnl"/>
        </w:rPr>
        <w:t xml:space="preserve">ón sobre sus políticas de discapacidad para el período 2000-2010. </w:t>
      </w:r>
      <w:r w:rsidRPr="007A408D">
        <w:rPr>
          <w:rFonts w:ascii="MinionPro-Regular" w:hAnsi="MinionPro-Regular"/>
          <w:sz w:val="24"/>
          <w:szCs w:val="24"/>
        </w:rPr>
        <w:t xml:space="preserve">Además ha publicado un Informe sobre el cumplimiento de Suecia con los requisitos de la Convención que incluye también las recomendaciones hechas por el movimiento de la discapacidad </w:t>
      </w:r>
      <w:r w:rsidR="004A492F" w:rsidRPr="007A408D">
        <w:rPr>
          <w:rFonts w:ascii="MinionPro-Regular" w:hAnsi="MinionPro-Regular"/>
          <w:sz w:val="24"/>
          <w:szCs w:val="24"/>
        </w:rPr>
        <w:t>y</w:t>
      </w:r>
      <w:r w:rsidRPr="007A408D">
        <w:rPr>
          <w:rFonts w:ascii="MinionPro-Regular" w:hAnsi="MinionPro-Regular"/>
          <w:sz w:val="24"/>
          <w:szCs w:val="24"/>
        </w:rPr>
        <w:t xml:space="preserve"> cómo la situación podría mejorar</w:t>
      </w:r>
      <w:r w:rsidR="004A492F" w:rsidRPr="007A408D">
        <w:rPr>
          <w:rStyle w:val="Refdenotaalpie"/>
          <w:rFonts w:ascii="MinionPro-Regular" w:hAnsi="MinionPro-Regular"/>
          <w:sz w:val="24"/>
          <w:szCs w:val="24"/>
        </w:rPr>
        <w:footnoteReference w:id="23"/>
      </w:r>
      <w:r w:rsidRPr="007A408D">
        <w:rPr>
          <w:rFonts w:ascii="MinionPro-Regular" w:hAnsi="MinionPro-Regular"/>
          <w:sz w:val="24"/>
          <w:szCs w:val="24"/>
        </w:rPr>
        <w:t>.</w:t>
      </w:r>
      <w:r w:rsidR="004A492F">
        <w:rPr>
          <w:rFonts w:ascii="MinionPro-Regular" w:hAnsi="MinionPro-Regular"/>
          <w:sz w:val="24"/>
          <w:szCs w:val="24"/>
        </w:rPr>
        <w:t xml:space="preserve"> En Suecia, l</w:t>
      </w:r>
      <w:r w:rsidR="00E2336B" w:rsidRPr="00C13223">
        <w:rPr>
          <w:rFonts w:ascii="MinionPro-Regular" w:hAnsi="MinionPro-Regular"/>
          <w:sz w:val="24"/>
          <w:szCs w:val="24"/>
          <w:lang w:val="es-ES_tradnl"/>
        </w:rPr>
        <w:t>a discapacidad no se considera como una característica de la persona provocada por una lesión física o por una enfermedad, sino como la relación existente entre la persona y su entorno. Esta definición se basa en la establecida por la Organización Mundial de la Salud, trasladando la discapacidad de la persona al medio ambiente</w:t>
      </w:r>
      <w:r w:rsidR="00E2336B">
        <w:rPr>
          <w:rFonts w:ascii="MinionPro-Regular" w:hAnsi="MinionPro-Regular"/>
          <w:sz w:val="24"/>
          <w:szCs w:val="24"/>
          <w:lang w:val="es-ES_tradnl"/>
        </w:rPr>
        <w:t xml:space="preserve"> en el que se desenvuelve</w:t>
      </w:r>
      <w:r w:rsidR="00E2336B" w:rsidRPr="00C13223">
        <w:rPr>
          <w:rFonts w:ascii="MinionPro-Regular" w:hAnsi="MinionPro-Regular"/>
          <w:sz w:val="24"/>
          <w:szCs w:val="24"/>
          <w:lang w:val="es-ES_tradnl"/>
        </w:rPr>
        <w:t xml:space="preserve">. </w:t>
      </w:r>
      <w:r w:rsidR="00E2336B">
        <w:rPr>
          <w:rFonts w:ascii="MinionPro-Regular" w:hAnsi="MinionPro-Regular"/>
          <w:sz w:val="24"/>
          <w:szCs w:val="24"/>
          <w:lang w:val="es-ES_tradnl"/>
        </w:rPr>
        <w:t>La</w:t>
      </w:r>
      <w:r w:rsidR="00E2336B" w:rsidRPr="00C13223">
        <w:rPr>
          <w:rFonts w:ascii="MinionPro-Regular" w:hAnsi="MinionPro-Regular"/>
          <w:sz w:val="24"/>
          <w:szCs w:val="24"/>
          <w:lang w:val="es-ES_tradnl"/>
        </w:rPr>
        <w:t xml:space="preserve"> discapacidad laboral se define como la relación que existe entre </w:t>
      </w:r>
      <w:r w:rsidR="00E2336B">
        <w:rPr>
          <w:rFonts w:ascii="MinionPro-Regular" w:hAnsi="MinionPro-Regular"/>
          <w:sz w:val="24"/>
          <w:szCs w:val="24"/>
          <w:lang w:val="es-ES_tradnl"/>
        </w:rPr>
        <w:t>los problemas físicos</w:t>
      </w:r>
      <w:r w:rsidR="00E2336B" w:rsidRPr="00C13223">
        <w:rPr>
          <w:rFonts w:ascii="MinionPro-Regular" w:hAnsi="MinionPro-Regular"/>
          <w:sz w:val="24"/>
          <w:szCs w:val="24"/>
          <w:lang w:val="es-ES_tradnl"/>
        </w:rPr>
        <w:t>, mental</w:t>
      </w:r>
      <w:r w:rsidR="00E2336B">
        <w:rPr>
          <w:rFonts w:ascii="MinionPro-Regular" w:hAnsi="MinionPro-Regular"/>
          <w:sz w:val="24"/>
          <w:szCs w:val="24"/>
          <w:lang w:val="es-ES_tradnl"/>
        </w:rPr>
        <w:t>es</w:t>
      </w:r>
      <w:r w:rsidR="00E2336B" w:rsidRPr="00C13223">
        <w:rPr>
          <w:rFonts w:ascii="MinionPro-Regular" w:hAnsi="MinionPro-Regular"/>
          <w:sz w:val="24"/>
          <w:szCs w:val="24"/>
          <w:lang w:val="es-ES_tradnl"/>
        </w:rPr>
        <w:t>, intelectual</w:t>
      </w:r>
      <w:r w:rsidR="00E2336B">
        <w:rPr>
          <w:rFonts w:ascii="MinionPro-Regular" w:hAnsi="MinionPro-Regular"/>
          <w:sz w:val="24"/>
          <w:szCs w:val="24"/>
          <w:lang w:val="es-ES_tradnl"/>
        </w:rPr>
        <w:t>es</w:t>
      </w:r>
      <w:r w:rsidR="00E2336B" w:rsidRPr="00C13223">
        <w:rPr>
          <w:rFonts w:ascii="MinionPro-Regular" w:hAnsi="MinionPro-Regular"/>
          <w:sz w:val="24"/>
          <w:szCs w:val="24"/>
          <w:lang w:val="es-ES_tradnl"/>
        </w:rPr>
        <w:t xml:space="preserve"> o médico-social</w:t>
      </w:r>
      <w:r w:rsidR="00E2336B">
        <w:rPr>
          <w:rFonts w:ascii="MinionPro-Regular" w:hAnsi="MinionPro-Regular"/>
          <w:sz w:val="24"/>
          <w:szCs w:val="24"/>
          <w:lang w:val="es-ES_tradnl"/>
        </w:rPr>
        <w:t>es</w:t>
      </w:r>
      <w:r w:rsidR="00E2336B" w:rsidRPr="00C13223">
        <w:rPr>
          <w:rFonts w:ascii="MinionPro-Regular" w:hAnsi="MinionPro-Regular"/>
          <w:sz w:val="24"/>
          <w:szCs w:val="24"/>
          <w:lang w:val="es-ES_tradnl"/>
        </w:rPr>
        <w:t xml:space="preserve"> de una persona y el entorno de trabajo en el sentido más amplio. El alcoholismo y la toxicomanía son ejemplo</w:t>
      </w:r>
      <w:r w:rsidR="00E2336B">
        <w:rPr>
          <w:rFonts w:ascii="MinionPro-Regular" w:hAnsi="MinionPro-Regular"/>
          <w:sz w:val="24"/>
          <w:szCs w:val="24"/>
          <w:lang w:val="es-ES_tradnl"/>
        </w:rPr>
        <w:t>s de discapacidad médico-social en Suecia.</w:t>
      </w:r>
    </w:p>
    <w:p w:rsidR="007A408D" w:rsidRDefault="007A408D" w:rsidP="001B0EA4">
      <w:pPr>
        <w:autoSpaceDE w:val="0"/>
        <w:autoSpaceDN w:val="0"/>
        <w:spacing w:line="360" w:lineRule="auto"/>
        <w:jc w:val="both"/>
        <w:rPr>
          <w:rFonts w:ascii="MinionPro-Regular" w:hAnsi="MinionPro-Regular"/>
          <w:sz w:val="24"/>
          <w:szCs w:val="24"/>
          <w:lang w:val="es-ES_tradnl"/>
        </w:rPr>
      </w:pPr>
    </w:p>
    <w:p w:rsidR="00E2336B" w:rsidRPr="00347B59" w:rsidRDefault="00E2336B" w:rsidP="0007541A">
      <w:pPr>
        <w:pStyle w:val="Ttulo2"/>
        <w:numPr>
          <w:ilvl w:val="1"/>
          <w:numId w:val="3"/>
        </w:numPr>
        <w:ind w:left="0"/>
        <w:rPr>
          <w:rFonts w:ascii="MinionPro-Regular" w:hAnsi="MinionPro-Regular"/>
          <w:lang w:val="es-ES_tradnl"/>
        </w:rPr>
      </w:pPr>
      <w:bookmarkStart w:id="274" w:name="_Toc352773571"/>
      <w:r w:rsidRPr="00347B59">
        <w:rPr>
          <w:rFonts w:ascii="MinionPro-Regular" w:hAnsi="MinionPro-Regular"/>
          <w:lang w:val="es-ES_tradnl"/>
        </w:rPr>
        <w:t>La tasa de discapacidad disminuye</w:t>
      </w:r>
      <w:r>
        <w:rPr>
          <w:rFonts w:ascii="MinionPro-Regular" w:hAnsi="MinionPro-Regular"/>
          <w:lang w:val="es-ES_tradnl"/>
        </w:rPr>
        <w:t xml:space="preserve"> </w:t>
      </w:r>
      <w:r w:rsidRPr="00347B59">
        <w:rPr>
          <w:rFonts w:ascii="MinionPro-Regular" w:hAnsi="MinionPro-Regular"/>
          <w:lang w:val="es-ES_tradnl"/>
        </w:rPr>
        <w:t>al relacionarla con la empleabilidad</w:t>
      </w:r>
      <w:bookmarkEnd w:id="274"/>
    </w:p>
    <w:p w:rsidR="00E2336B" w:rsidRDefault="00E2336B" w:rsidP="001B0EA4">
      <w:pPr>
        <w:autoSpaceDE w:val="0"/>
        <w:autoSpaceDN w:val="0"/>
        <w:spacing w:line="360" w:lineRule="auto"/>
        <w:jc w:val="both"/>
        <w:rPr>
          <w:rFonts w:ascii="MinionPro-Regular" w:hAnsi="MinionPro-Regular"/>
          <w:sz w:val="24"/>
          <w:szCs w:val="24"/>
          <w:lang w:val="es-ES_tradnl"/>
        </w:rPr>
      </w:pPr>
    </w:p>
    <w:p w:rsidR="00E2336B" w:rsidRDefault="00E2336B" w:rsidP="001B0EA4">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 xml:space="preserve">Las diferentes definiciones tienen como consecuencia una enorme variación entre las tasas de discapacidad que pueden encontrarse entre los distintos países. Los datos disponibles indican que la tasa de discapacidad podría disminuir en la medida en la que esté relacionada con la empleabilidad. Esto es, con la capacidad de las personas de ejercer un empleo. Suecia, donde resulta más evidente esta relación a la hora de definir discapacidad, es el país con una menor tasa de personas con discapacidad de entre la muestra elegida. </w:t>
      </w:r>
    </w:p>
    <w:p w:rsidR="00E2336B" w:rsidRDefault="00E2336B" w:rsidP="001B0EA4">
      <w:pPr>
        <w:autoSpaceDE w:val="0"/>
        <w:autoSpaceDN w:val="0"/>
        <w:spacing w:line="360" w:lineRule="auto"/>
        <w:jc w:val="both"/>
        <w:rPr>
          <w:rFonts w:ascii="MinionPro-Regular" w:hAnsi="MinionPro-Regular"/>
          <w:sz w:val="24"/>
          <w:szCs w:val="24"/>
          <w:lang w:val="es-ES_tradnl"/>
        </w:rPr>
      </w:pPr>
    </w:p>
    <w:p w:rsidR="00E2336B" w:rsidRDefault="00E2336B" w:rsidP="001B0EA4">
      <w:pPr>
        <w:autoSpaceDE w:val="0"/>
        <w:autoSpaceDN w:val="0"/>
        <w:spacing w:line="360" w:lineRule="auto"/>
        <w:jc w:val="both"/>
        <w:rPr>
          <w:rFonts w:ascii="MinionPro-Regular" w:hAnsi="MinionPro-Regular"/>
          <w:sz w:val="24"/>
          <w:szCs w:val="24"/>
          <w:lang w:val="es-ES_tradnl"/>
        </w:rPr>
      </w:pPr>
    </w:p>
    <w:p w:rsidR="00E2336B" w:rsidRDefault="00E2336B" w:rsidP="001B0EA4">
      <w:pPr>
        <w:pBdr>
          <w:top w:val="single" w:sz="4" w:space="1" w:color="auto"/>
        </w:pBdr>
        <w:autoSpaceDE w:val="0"/>
        <w:autoSpaceDN w:val="0"/>
        <w:spacing w:line="360" w:lineRule="auto"/>
        <w:jc w:val="both"/>
        <w:rPr>
          <w:rFonts w:ascii="MinionPro-Regular" w:hAnsi="MinionPro-Regular"/>
          <w:sz w:val="20"/>
          <w:szCs w:val="24"/>
        </w:rPr>
      </w:pPr>
      <w:r w:rsidRPr="00B44100">
        <w:rPr>
          <w:rFonts w:ascii="MinionPro-Regular" w:hAnsi="MinionPro-Regular"/>
          <w:sz w:val="20"/>
          <w:szCs w:val="24"/>
        </w:rPr>
        <w:t xml:space="preserve">Porcentaje de la población en edad de trabajar </w:t>
      </w:r>
      <w:r>
        <w:rPr>
          <w:rFonts w:ascii="MinionPro-Regular" w:hAnsi="MinionPro-Regular"/>
          <w:sz w:val="20"/>
          <w:szCs w:val="24"/>
        </w:rPr>
        <w:t>con</w:t>
      </w:r>
      <w:r w:rsidRPr="00B44100">
        <w:rPr>
          <w:rFonts w:ascii="MinionPro-Regular" w:hAnsi="MinionPro-Regular"/>
          <w:sz w:val="20"/>
          <w:szCs w:val="24"/>
        </w:rPr>
        <w:t xml:space="preserve"> algún tipo de discapacidad</w:t>
      </w:r>
    </w:p>
    <w:p w:rsidR="00E2336B" w:rsidRDefault="00E1516B" w:rsidP="001B0EA4">
      <w:pPr>
        <w:autoSpaceDE w:val="0"/>
        <w:autoSpaceDN w:val="0"/>
        <w:spacing w:line="360" w:lineRule="auto"/>
        <w:rPr>
          <w:rFonts w:ascii="MinionPro-Regular" w:hAnsi="MinionPro-Regular"/>
          <w:sz w:val="24"/>
          <w:szCs w:val="24"/>
          <w:lang w:val="es-ES_tradnl"/>
        </w:rPr>
      </w:pPr>
      <w:r>
        <w:rPr>
          <w:rFonts w:ascii="MinionPro-Regular" w:hAnsi="MinionPro-Regular"/>
          <w:noProof/>
          <w:sz w:val="24"/>
          <w:szCs w:val="24"/>
          <w:lang w:eastAsia="es-ES"/>
        </w:rPr>
        <w:drawing>
          <wp:inline distT="0" distB="0" distL="0" distR="0">
            <wp:extent cx="4399280" cy="2786380"/>
            <wp:effectExtent l="0" t="0" r="0" b="0"/>
            <wp:docPr id="76" name="Picture 7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0"/>
              </a:graphicData>
            </a:graphic>
          </wp:inline>
        </w:drawing>
      </w:r>
    </w:p>
    <w:p w:rsidR="00E2336B" w:rsidRDefault="00E2336B" w:rsidP="001B0EA4">
      <w:pPr>
        <w:pBdr>
          <w:bottom w:val="single" w:sz="4" w:space="1" w:color="auto"/>
        </w:pBdr>
        <w:autoSpaceDE w:val="0"/>
        <w:autoSpaceDN w:val="0"/>
        <w:spacing w:line="360" w:lineRule="auto"/>
        <w:jc w:val="both"/>
        <w:rPr>
          <w:rFonts w:ascii="MinionPro-Regular" w:hAnsi="MinionPro-Regular"/>
          <w:sz w:val="20"/>
          <w:szCs w:val="24"/>
        </w:rPr>
      </w:pPr>
      <w:r>
        <w:rPr>
          <w:rFonts w:ascii="MinionPro-Regular" w:hAnsi="MinionPro-Regular"/>
          <w:sz w:val="20"/>
          <w:szCs w:val="24"/>
        </w:rPr>
        <w:t>Fuente: E</w:t>
      </w:r>
      <w:r w:rsidRPr="00B368B9">
        <w:rPr>
          <w:rFonts w:ascii="MinionPro-Regular" w:hAnsi="MinionPro-Regular"/>
          <w:sz w:val="20"/>
          <w:szCs w:val="24"/>
        </w:rPr>
        <w:t>laboración propia a partir de los datos obtenidos de Eurostat, EU-SILC 2008; EU-SILC 200.9, IDEE Indicators of  Disability Equality in Europe. ANED 2011.</w:t>
      </w:r>
    </w:p>
    <w:p w:rsidR="00E2336B" w:rsidRPr="00E94C75" w:rsidRDefault="00E2336B" w:rsidP="001B0EA4">
      <w:pPr>
        <w:pBdr>
          <w:bottom w:val="single" w:sz="4" w:space="1" w:color="auto"/>
        </w:pBdr>
        <w:autoSpaceDE w:val="0"/>
        <w:autoSpaceDN w:val="0"/>
        <w:spacing w:line="360" w:lineRule="auto"/>
        <w:jc w:val="both"/>
        <w:rPr>
          <w:rFonts w:ascii="MinionPro-Regular" w:hAnsi="MinionPro-Regular"/>
          <w:sz w:val="20"/>
        </w:rPr>
      </w:pPr>
      <w:r w:rsidRPr="001B0FD3">
        <w:rPr>
          <w:rFonts w:ascii="MinionPro-Regular" w:hAnsi="MinionPro-Regular"/>
          <w:sz w:val="20"/>
          <w:szCs w:val="24"/>
        </w:rPr>
        <w:t>Nota explicativa de la gráfica: Eje de vertical</w:t>
      </w:r>
      <w:r>
        <w:rPr>
          <w:rFonts w:ascii="MinionPro-Regular" w:hAnsi="MinionPro-Regular"/>
          <w:sz w:val="20"/>
          <w:szCs w:val="24"/>
        </w:rPr>
        <w:t>,</w:t>
      </w:r>
      <w:r w:rsidRPr="00A030FA">
        <w:rPr>
          <w:rFonts w:ascii="MinionPro-Regular" w:hAnsi="MinionPro-Regular"/>
          <w:sz w:val="20"/>
          <w:szCs w:val="24"/>
        </w:rPr>
        <w:t xml:space="preserve"> </w:t>
      </w:r>
      <w:r>
        <w:rPr>
          <w:rFonts w:ascii="MinionPro-Regular" w:hAnsi="MinionPro-Regular"/>
          <w:sz w:val="20"/>
          <w:szCs w:val="24"/>
        </w:rPr>
        <w:t>Porcentaje</w:t>
      </w:r>
      <w:r w:rsidRPr="001B0FD3">
        <w:rPr>
          <w:rFonts w:ascii="MinionPro-Regular" w:hAnsi="MinionPro-Regular"/>
          <w:sz w:val="20"/>
          <w:szCs w:val="24"/>
        </w:rPr>
        <w:t xml:space="preserve">. Eje horizontal, </w:t>
      </w:r>
      <w:r>
        <w:rPr>
          <w:rFonts w:ascii="MinionPro-Regular" w:hAnsi="MinionPro-Regular"/>
          <w:sz w:val="20"/>
          <w:szCs w:val="24"/>
        </w:rPr>
        <w:t xml:space="preserve">Años. España en 2008 15,4% y en 2009 17,0%; Alemania en 2008 </w:t>
      </w:r>
      <w:r w:rsidRPr="001C2926">
        <w:rPr>
          <w:rFonts w:ascii="MinionPro-Regular" w:hAnsi="MinionPro-Regular"/>
          <w:sz w:val="20"/>
          <w:szCs w:val="24"/>
        </w:rPr>
        <w:t>24,7</w:t>
      </w:r>
      <w:r>
        <w:rPr>
          <w:rFonts w:ascii="MinionPro-Regular" w:hAnsi="MinionPro-Regular"/>
          <w:sz w:val="20"/>
          <w:szCs w:val="24"/>
        </w:rPr>
        <w:t xml:space="preserve">% y en 2009 </w:t>
      </w:r>
      <w:r w:rsidRPr="001C2926">
        <w:rPr>
          <w:rFonts w:ascii="MinionPro-Regular" w:hAnsi="MinionPro-Regular"/>
          <w:sz w:val="20"/>
        </w:rPr>
        <w:t>23,9%</w:t>
      </w:r>
      <w:r w:rsidRPr="00A030FA">
        <w:rPr>
          <w:rFonts w:ascii="MinionPro-Regular" w:hAnsi="MinionPro-Regular"/>
          <w:sz w:val="20"/>
          <w:szCs w:val="24"/>
        </w:rPr>
        <w:t>;</w:t>
      </w:r>
      <w:r>
        <w:rPr>
          <w:rFonts w:ascii="MinionPro-Regular" w:hAnsi="MinionPro-Regular"/>
          <w:sz w:val="20"/>
          <w:szCs w:val="24"/>
        </w:rPr>
        <w:t xml:space="preserve"> Suecia en 2008 </w:t>
      </w:r>
      <w:r w:rsidRPr="001C2926">
        <w:rPr>
          <w:rFonts w:ascii="MinionPro-Regular" w:hAnsi="MinionPro-Regular"/>
          <w:sz w:val="20"/>
          <w:szCs w:val="24"/>
        </w:rPr>
        <w:t>12,8</w:t>
      </w:r>
      <w:r>
        <w:rPr>
          <w:rFonts w:ascii="MinionPro-Regular" w:hAnsi="MinionPro-Regular"/>
          <w:sz w:val="20"/>
          <w:szCs w:val="24"/>
        </w:rPr>
        <w:t xml:space="preserve">% y en 2009 </w:t>
      </w:r>
      <w:r w:rsidRPr="001C2926">
        <w:rPr>
          <w:rFonts w:ascii="MinionPro-Regular" w:hAnsi="MinionPro-Regular"/>
          <w:sz w:val="20"/>
          <w:szCs w:val="24"/>
        </w:rPr>
        <w:t>12,0</w:t>
      </w:r>
      <w:r>
        <w:rPr>
          <w:rFonts w:ascii="MinionPro-Regular" w:hAnsi="MinionPro-Regular"/>
          <w:sz w:val="20"/>
          <w:szCs w:val="24"/>
        </w:rPr>
        <w:t xml:space="preserve">%; </w:t>
      </w:r>
      <w:r w:rsidRPr="00A030FA">
        <w:rPr>
          <w:rFonts w:ascii="MinionPro-Regular" w:hAnsi="MinionPro-Regular"/>
          <w:sz w:val="20"/>
          <w:szCs w:val="24"/>
        </w:rPr>
        <w:t xml:space="preserve">Reino Unido </w:t>
      </w:r>
      <w:r>
        <w:rPr>
          <w:rFonts w:ascii="MinionPro-Regular" w:hAnsi="MinionPro-Regular"/>
          <w:sz w:val="20"/>
          <w:szCs w:val="24"/>
        </w:rPr>
        <w:t xml:space="preserve">en 2008 </w:t>
      </w:r>
      <w:r w:rsidRPr="001C2926">
        <w:rPr>
          <w:rFonts w:ascii="MinionPro-Regular" w:hAnsi="MinionPro-Regular"/>
          <w:sz w:val="20"/>
          <w:szCs w:val="24"/>
        </w:rPr>
        <w:t>14,6</w:t>
      </w:r>
      <w:r>
        <w:rPr>
          <w:rFonts w:ascii="MinionPro-Regular" w:hAnsi="MinionPro-Regular"/>
          <w:sz w:val="20"/>
          <w:szCs w:val="24"/>
        </w:rPr>
        <w:t xml:space="preserve">% y en 2009 </w:t>
      </w:r>
      <w:r w:rsidRPr="001C2926">
        <w:rPr>
          <w:rFonts w:ascii="MinionPro-Regular" w:hAnsi="MinionPro-Regular"/>
          <w:sz w:val="20"/>
          <w:szCs w:val="24"/>
        </w:rPr>
        <w:t>15,2</w:t>
      </w:r>
      <w:r>
        <w:rPr>
          <w:rFonts w:ascii="MinionPro-Regular" w:hAnsi="MinionPro-Regular"/>
          <w:sz w:val="20"/>
          <w:szCs w:val="24"/>
        </w:rPr>
        <w:t>%; Italia</w:t>
      </w:r>
      <w:r w:rsidRPr="00A030FA">
        <w:rPr>
          <w:rFonts w:ascii="MinionPro-Regular" w:hAnsi="MinionPro-Regular"/>
          <w:sz w:val="20"/>
          <w:szCs w:val="24"/>
        </w:rPr>
        <w:t xml:space="preserve"> </w:t>
      </w:r>
      <w:r>
        <w:rPr>
          <w:rFonts w:ascii="MinionPro-Regular" w:hAnsi="MinionPro-Regular"/>
          <w:sz w:val="20"/>
          <w:szCs w:val="24"/>
        </w:rPr>
        <w:t xml:space="preserve">en 2008 </w:t>
      </w:r>
      <w:r w:rsidRPr="001C2926">
        <w:rPr>
          <w:rFonts w:ascii="MinionPro-Regular" w:hAnsi="MinionPro-Regular"/>
          <w:sz w:val="20"/>
          <w:szCs w:val="24"/>
        </w:rPr>
        <w:t>16,2</w:t>
      </w:r>
      <w:r>
        <w:rPr>
          <w:rFonts w:ascii="MinionPro-Regular" w:hAnsi="MinionPro-Regular"/>
          <w:sz w:val="20"/>
          <w:szCs w:val="24"/>
        </w:rPr>
        <w:t xml:space="preserve">% y en 2009 </w:t>
      </w:r>
      <w:r w:rsidRPr="001C2926">
        <w:rPr>
          <w:rFonts w:ascii="MinionPro-Regular" w:hAnsi="MinionPro-Regular"/>
          <w:sz w:val="20"/>
          <w:szCs w:val="24"/>
        </w:rPr>
        <w:t>15,3</w:t>
      </w:r>
      <w:r>
        <w:rPr>
          <w:rFonts w:ascii="MinionPro-Regular" w:hAnsi="MinionPro-Regular"/>
          <w:sz w:val="20"/>
          <w:szCs w:val="24"/>
        </w:rPr>
        <w:t>%.</w:t>
      </w:r>
    </w:p>
    <w:p w:rsidR="00E2336B" w:rsidRPr="007E120F" w:rsidRDefault="00E2336B" w:rsidP="0007541A">
      <w:pPr>
        <w:pStyle w:val="Ttulo2"/>
        <w:numPr>
          <w:ilvl w:val="1"/>
          <w:numId w:val="3"/>
        </w:numPr>
        <w:ind w:left="0"/>
        <w:rPr>
          <w:rFonts w:ascii="MinionPro-Regular" w:hAnsi="MinionPro-Regular"/>
          <w:lang w:val="es-ES_tradnl"/>
        </w:rPr>
      </w:pPr>
      <w:bookmarkStart w:id="275" w:name="_Toc344964074"/>
      <w:bookmarkStart w:id="276" w:name="_Toc352773572"/>
      <w:r w:rsidRPr="007E120F">
        <w:rPr>
          <w:rFonts w:ascii="MinionPro-Regular" w:hAnsi="MinionPro-Regular"/>
          <w:lang w:val="es-ES_tradnl"/>
        </w:rPr>
        <w:t xml:space="preserve">Existen </w:t>
      </w:r>
      <w:r>
        <w:rPr>
          <w:rFonts w:ascii="MinionPro-Regular" w:hAnsi="MinionPro-Regular"/>
          <w:lang w:val="es-ES_tradnl"/>
        </w:rPr>
        <w:t xml:space="preserve">notables </w:t>
      </w:r>
      <w:r w:rsidRPr="007E120F">
        <w:rPr>
          <w:rFonts w:ascii="MinionPro-Regular" w:hAnsi="MinionPro-Regular"/>
          <w:lang w:val="es-ES_tradnl"/>
        </w:rPr>
        <w:t xml:space="preserve">desigualdades en el </w:t>
      </w:r>
      <w:r>
        <w:rPr>
          <w:rFonts w:ascii="MinionPro-Regular" w:hAnsi="MinionPro-Regular"/>
          <w:lang w:val="es-ES_tradnl"/>
        </w:rPr>
        <w:t xml:space="preserve">nivel de </w:t>
      </w:r>
      <w:r w:rsidRPr="007E120F">
        <w:rPr>
          <w:rFonts w:ascii="MinionPro-Regular" w:hAnsi="MinionPro-Regular"/>
          <w:lang w:val="es-ES_tradnl"/>
        </w:rPr>
        <w:t>empleo en función del país</w:t>
      </w:r>
      <w:bookmarkEnd w:id="275"/>
      <w:bookmarkEnd w:id="276"/>
    </w:p>
    <w:p w:rsidR="00E2336B" w:rsidRDefault="00E2336B" w:rsidP="001B0EA4">
      <w:pPr>
        <w:autoSpaceDE w:val="0"/>
        <w:autoSpaceDN w:val="0"/>
        <w:spacing w:line="360" w:lineRule="auto"/>
        <w:jc w:val="both"/>
        <w:rPr>
          <w:rFonts w:ascii="MinionPro-Regular" w:hAnsi="MinionPro-Regular"/>
          <w:sz w:val="24"/>
          <w:szCs w:val="24"/>
          <w:lang w:val="es-ES_tradnl"/>
        </w:rPr>
      </w:pPr>
    </w:p>
    <w:p w:rsidR="00E2336B" w:rsidRDefault="00E2336B" w:rsidP="001B0EA4">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Entre los países seleccionados, existen notables diferencias en cuanto a la ocupación, nivel educativo y riesgo de pobreza de las personas con discapacidad. Así se pone de manifiesto al analizar comparativamente, para los años 2008 y 2009, aspectos</w:t>
      </w:r>
      <w:r w:rsidRPr="003835E6">
        <w:rPr>
          <w:rFonts w:ascii="MinionPro-Regular" w:hAnsi="MinionPro-Regular"/>
          <w:sz w:val="24"/>
          <w:szCs w:val="24"/>
          <w:lang w:val="es-ES_tradnl"/>
        </w:rPr>
        <w:t xml:space="preserve"> como la población activa, ocupada, desocupada, </w:t>
      </w:r>
      <w:r>
        <w:rPr>
          <w:rFonts w:ascii="MinionPro-Regular" w:hAnsi="MinionPro-Regular"/>
          <w:sz w:val="24"/>
          <w:szCs w:val="24"/>
          <w:lang w:val="es-ES_tradnl"/>
        </w:rPr>
        <w:t xml:space="preserve">el </w:t>
      </w:r>
      <w:r w:rsidRPr="003835E6">
        <w:rPr>
          <w:rFonts w:ascii="MinionPro-Regular" w:hAnsi="MinionPro-Regular"/>
          <w:sz w:val="24"/>
          <w:szCs w:val="24"/>
          <w:lang w:val="es-ES_tradnl"/>
        </w:rPr>
        <w:t>nivel académico y el riesgo de pobreza.</w:t>
      </w:r>
    </w:p>
    <w:p w:rsidR="00E2336B" w:rsidRDefault="00E2336B" w:rsidP="001B0EA4">
      <w:pPr>
        <w:autoSpaceDE w:val="0"/>
        <w:autoSpaceDN w:val="0"/>
        <w:spacing w:line="360" w:lineRule="auto"/>
        <w:jc w:val="both"/>
        <w:rPr>
          <w:rFonts w:ascii="MinionPro-Regular" w:hAnsi="MinionPro-Regular"/>
          <w:sz w:val="24"/>
          <w:szCs w:val="24"/>
          <w:lang w:val="es-ES_tradnl"/>
        </w:rPr>
      </w:pPr>
    </w:p>
    <w:p w:rsidR="00E2336B" w:rsidRDefault="00E2336B" w:rsidP="001B0EA4">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 xml:space="preserve">Alemania y Suecia son los países con una mayor tasa de actividad entre las personas con discapacidad. Este puede ser el resultado de la mejor calidad de las políticas de </w:t>
      </w:r>
      <w:r>
        <w:rPr>
          <w:rFonts w:ascii="MinionPro-Regular" w:hAnsi="MinionPro-Regular"/>
          <w:sz w:val="24"/>
          <w:szCs w:val="24"/>
          <w:lang w:val="es-ES_tradnl"/>
        </w:rPr>
        <w:lastRenderedPageBreak/>
        <w:t xml:space="preserve">integración de ambos países, tal y como se ponía de manifiesto en el análisis desarrollado por la OCDE descrito anteriormente. </w:t>
      </w:r>
    </w:p>
    <w:p w:rsidR="00E2336B" w:rsidRDefault="00E2336B" w:rsidP="001B0EA4">
      <w:pPr>
        <w:pBdr>
          <w:bottom w:val="single" w:sz="4" w:space="1" w:color="auto"/>
        </w:pBdr>
        <w:autoSpaceDE w:val="0"/>
        <w:autoSpaceDN w:val="0"/>
        <w:spacing w:line="360" w:lineRule="auto"/>
        <w:jc w:val="both"/>
        <w:rPr>
          <w:rFonts w:ascii="MinionPro-Regular" w:hAnsi="MinionPro-Regular"/>
          <w:sz w:val="24"/>
          <w:szCs w:val="24"/>
          <w:lang w:val="es-ES_tradnl"/>
        </w:rPr>
      </w:pPr>
    </w:p>
    <w:p w:rsidR="00E2336B" w:rsidRPr="00E2336B" w:rsidRDefault="00E2336B" w:rsidP="001B0EA4">
      <w:pPr>
        <w:pBdr>
          <w:top w:val="single" w:sz="4" w:space="1" w:color="auto"/>
        </w:pBdr>
        <w:autoSpaceDE w:val="0"/>
        <w:autoSpaceDN w:val="0"/>
        <w:spacing w:line="360" w:lineRule="auto"/>
        <w:jc w:val="both"/>
        <w:rPr>
          <w:rFonts w:ascii="MinionPro-Regular" w:hAnsi="MinionPro-Regular"/>
          <w:color w:val="FF0000"/>
          <w:sz w:val="20"/>
          <w:szCs w:val="24"/>
        </w:rPr>
      </w:pPr>
      <w:r w:rsidRPr="00161761">
        <w:rPr>
          <w:rFonts w:ascii="MinionPro-Regular" w:hAnsi="MinionPro-Regular"/>
          <w:sz w:val="20"/>
          <w:szCs w:val="24"/>
        </w:rPr>
        <w:t xml:space="preserve">Porcentaje de personas con discapacidad que son activas (16-64 años). </w:t>
      </w:r>
    </w:p>
    <w:p w:rsidR="00E2336B" w:rsidRDefault="00E1516B" w:rsidP="001B0EA4">
      <w:pPr>
        <w:autoSpaceDE w:val="0"/>
        <w:autoSpaceDN w:val="0"/>
        <w:spacing w:line="360" w:lineRule="auto"/>
        <w:rPr>
          <w:rFonts w:ascii="MinionPro-Regular" w:hAnsi="MinionPro-Regular"/>
          <w:sz w:val="24"/>
          <w:szCs w:val="24"/>
          <w:lang w:val="es-ES_tradnl"/>
        </w:rPr>
      </w:pPr>
      <w:r>
        <w:rPr>
          <w:rFonts w:ascii="MinionPro-Regular" w:hAnsi="MinionPro-Regular"/>
          <w:noProof/>
          <w:sz w:val="24"/>
          <w:szCs w:val="24"/>
          <w:lang w:eastAsia="es-ES"/>
        </w:rPr>
        <w:drawing>
          <wp:inline distT="0" distB="0" distL="0" distR="0">
            <wp:extent cx="4011295" cy="2639695"/>
            <wp:effectExtent l="0" t="0" r="0" b="0"/>
            <wp:docPr id="77" name="Picture 7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1"/>
              </a:graphicData>
            </a:graphic>
          </wp:inline>
        </w:drawing>
      </w:r>
    </w:p>
    <w:p w:rsidR="00E2336B" w:rsidRDefault="00E2336B" w:rsidP="001B0EA4">
      <w:pPr>
        <w:pBdr>
          <w:bottom w:val="single" w:sz="4" w:space="1" w:color="auto"/>
        </w:pBdr>
        <w:autoSpaceDE w:val="0"/>
        <w:autoSpaceDN w:val="0"/>
        <w:spacing w:line="360" w:lineRule="auto"/>
        <w:jc w:val="both"/>
        <w:rPr>
          <w:rFonts w:ascii="MinionPro-Regular" w:hAnsi="MinionPro-Regular"/>
          <w:sz w:val="20"/>
        </w:rPr>
      </w:pPr>
      <w:r>
        <w:rPr>
          <w:rFonts w:ascii="MinionPro-Regular" w:hAnsi="MinionPro-Regular"/>
          <w:sz w:val="20"/>
        </w:rPr>
        <w:t>Fuente: E</w:t>
      </w:r>
      <w:r w:rsidRPr="00161761">
        <w:rPr>
          <w:rFonts w:ascii="MinionPro-Regular" w:hAnsi="MinionPro-Regular"/>
          <w:sz w:val="20"/>
        </w:rPr>
        <w:t>laboración propia a partir de los datos obtenidos de Eurostat, EU-SILC 2008; EU-SILC 200.9, IDEE Indicators of  Disability Equality in Europe. ANED 2011.</w:t>
      </w:r>
    </w:p>
    <w:p w:rsidR="00E2336B" w:rsidRDefault="00E2336B" w:rsidP="001B0EA4">
      <w:pPr>
        <w:pBdr>
          <w:bottom w:val="single" w:sz="4" w:space="1" w:color="auto"/>
        </w:pBdr>
        <w:autoSpaceDE w:val="0"/>
        <w:autoSpaceDN w:val="0"/>
        <w:spacing w:line="360" w:lineRule="auto"/>
        <w:jc w:val="both"/>
        <w:rPr>
          <w:rFonts w:ascii="MinionPro-Regular" w:hAnsi="MinionPro-Regular"/>
          <w:sz w:val="20"/>
        </w:rPr>
      </w:pPr>
      <w:r w:rsidRPr="001B0FD3">
        <w:rPr>
          <w:rFonts w:ascii="MinionPro-Regular" w:hAnsi="MinionPro-Regular"/>
          <w:sz w:val="20"/>
          <w:szCs w:val="24"/>
        </w:rPr>
        <w:t>Nota explicativa de la gráfica: Eje de vertical</w:t>
      </w:r>
      <w:r>
        <w:rPr>
          <w:rFonts w:ascii="MinionPro-Regular" w:hAnsi="MinionPro-Regular"/>
          <w:sz w:val="20"/>
          <w:szCs w:val="24"/>
        </w:rPr>
        <w:t>,</w:t>
      </w:r>
      <w:r w:rsidRPr="00A030FA">
        <w:rPr>
          <w:rFonts w:ascii="MinionPro-Regular" w:hAnsi="MinionPro-Regular"/>
          <w:sz w:val="20"/>
          <w:szCs w:val="24"/>
        </w:rPr>
        <w:t xml:space="preserve"> </w:t>
      </w:r>
      <w:r>
        <w:rPr>
          <w:rFonts w:ascii="MinionPro-Regular" w:hAnsi="MinionPro-Regular"/>
          <w:sz w:val="20"/>
          <w:szCs w:val="24"/>
        </w:rPr>
        <w:t>Porcentaje</w:t>
      </w:r>
      <w:r w:rsidRPr="001B0FD3">
        <w:rPr>
          <w:rFonts w:ascii="MinionPro-Regular" w:hAnsi="MinionPro-Regular"/>
          <w:sz w:val="20"/>
          <w:szCs w:val="24"/>
        </w:rPr>
        <w:t xml:space="preserve">. Eje horizontal, </w:t>
      </w:r>
      <w:r>
        <w:rPr>
          <w:rFonts w:ascii="MinionPro-Regular" w:hAnsi="MinionPro-Regular"/>
          <w:sz w:val="20"/>
          <w:szCs w:val="24"/>
        </w:rPr>
        <w:t xml:space="preserve">Años. España en 2008 </w:t>
      </w:r>
      <w:r w:rsidRPr="001C2926">
        <w:rPr>
          <w:rFonts w:ascii="MinionPro-Regular" w:hAnsi="MinionPro-Regular"/>
          <w:sz w:val="20"/>
          <w:szCs w:val="24"/>
        </w:rPr>
        <w:t>53,7</w:t>
      </w:r>
      <w:r>
        <w:rPr>
          <w:rFonts w:ascii="MinionPro-Regular" w:hAnsi="MinionPro-Regular"/>
          <w:sz w:val="20"/>
          <w:szCs w:val="24"/>
        </w:rPr>
        <w:t xml:space="preserve">% y en 2009 </w:t>
      </w:r>
      <w:r w:rsidRPr="001C2926">
        <w:rPr>
          <w:rFonts w:ascii="MinionPro-Regular" w:hAnsi="MinionPro-Regular"/>
          <w:sz w:val="20"/>
          <w:szCs w:val="24"/>
        </w:rPr>
        <w:t>57</w:t>
      </w:r>
      <w:r>
        <w:rPr>
          <w:rFonts w:ascii="MinionPro-Regular" w:hAnsi="MinionPro-Regular"/>
          <w:sz w:val="20"/>
          <w:szCs w:val="24"/>
        </w:rPr>
        <w:t xml:space="preserve">%; Alemania en 2008 </w:t>
      </w:r>
      <w:r w:rsidRPr="001C2926">
        <w:rPr>
          <w:rFonts w:ascii="MinionPro-Regular" w:hAnsi="MinionPro-Regular"/>
          <w:sz w:val="20"/>
          <w:szCs w:val="24"/>
        </w:rPr>
        <w:t>67,7</w:t>
      </w:r>
      <w:r>
        <w:rPr>
          <w:rFonts w:ascii="MinionPro-Regular" w:hAnsi="MinionPro-Regular"/>
          <w:sz w:val="20"/>
          <w:szCs w:val="24"/>
        </w:rPr>
        <w:t xml:space="preserve">% y en 2009 </w:t>
      </w:r>
      <w:r w:rsidRPr="001C2926">
        <w:rPr>
          <w:rFonts w:ascii="MinionPro-Regular" w:hAnsi="MinionPro-Regular"/>
          <w:sz w:val="20"/>
        </w:rPr>
        <w:t>67,4</w:t>
      </w:r>
      <w:r w:rsidRPr="00A030FA">
        <w:rPr>
          <w:rFonts w:ascii="MinionPro-Regular" w:hAnsi="MinionPro-Regular"/>
          <w:sz w:val="20"/>
        </w:rPr>
        <w:t>%</w:t>
      </w:r>
      <w:r w:rsidRPr="00A030FA">
        <w:rPr>
          <w:rFonts w:ascii="MinionPro-Regular" w:hAnsi="MinionPro-Regular"/>
          <w:sz w:val="20"/>
          <w:szCs w:val="24"/>
        </w:rPr>
        <w:t>;</w:t>
      </w:r>
      <w:r>
        <w:rPr>
          <w:rFonts w:ascii="MinionPro-Regular" w:hAnsi="MinionPro-Regular"/>
          <w:sz w:val="20"/>
          <w:szCs w:val="24"/>
        </w:rPr>
        <w:t xml:space="preserve"> Suecia en 2008 </w:t>
      </w:r>
      <w:r w:rsidRPr="001C2926">
        <w:rPr>
          <w:rFonts w:ascii="MinionPro-Regular" w:hAnsi="MinionPro-Regular"/>
          <w:sz w:val="20"/>
          <w:szCs w:val="24"/>
        </w:rPr>
        <w:t>62,7</w:t>
      </w:r>
      <w:r>
        <w:rPr>
          <w:rFonts w:ascii="MinionPro-Regular" w:hAnsi="MinionPro-Regular"/>
          <w:sz w:val="20"/>
          <w:szCs w:val="24"/>
        </w:rPr>
        <w:t xml:space="preserve">% y en 2009 </w:t>
      </w:r>
      <w:r w:rsidRPr="001C2926">
        <w:rPr>
          <w:rFonts w:ascii="MinionPro-Regular" w:hAnsi="MinionPro-Regular"/>
          <w:sz w:val="20"/>
          <w:szCs w:val="24"/>
        </w:rPr>
        <w:t>57,9</w:t>
      </w:r>
      <w:r>
        <w:rPr>
          <w:rFonts w:ascii="MinionPro-Regular" w:hAnsi="MinionPro-Regular"/>
          <w:sz w:val="20"/>
          <w:szCs w:val="24"/>
        </w:rPr>
        <w:t xml:space="preserve">%; </w:t>
      </w:r>
      <w:r w:rsidRPr="00A030FA">
        <w:rPr>
          <w:rFonts w:ascii="MinionPro-Regular" w:hAnsi="MinionPro-Regular"/>
          <w:sz w:val="20"/>
          <w:szCs w:val="24"/>
        </w:rPr>
        <w:t xml:space="preserve">Reino Unido </w:t>
      </w:r>
      <w:r>
        <w:rPr>
          <w:rFonts w:ascii="MinionPro-Regular" w:hAnsi="MinionPro-Regular"/>
          <w:sz w:val="20"/>
          <w:szCs w:val="24"/>
        </w:rPr>
        <w:t xml:space="preserve">en 2008 </w:t>
      </w:r>
      <w:r w:rsidRPr="001C2926">
        <w:rPr>
          <w:rFonts w:ascii="MinionPro-Regular" w:hAnsi="MinionPro-Regular"/>
          <w:sz w:val="20"/>
          <w:szCs w:val="24"/>
        </w:rPr>
        <w:t>50,4</w:t>
      </w:r>
      <w:r>
        <w:rPr>
          <w:rFonts w:ascii="MinionPro-Regular" w:hAnsi="MinionPro-Regular"/>
          <w:sz w:val="20"/>
          <w:szCs w:val="24"/>
        </w:rPr>
        <w:t xml:space="preserve">% y en 2009 </w:t>
      </w:r>
      <w:r w:rsidRPr="001C2926">
        <w:rPr>
          <w:rFonts w:ascii="MinionPro-Regular" w:hAnsi="MinionPro-Regular"/>
          <w:sz w:val="20"/>
          <w:szCs w:val="24"/>
        </w:rPr>
        <w:t>48,1</w:t>
      </w:r>
      <w:r>
        <w:rPr>
          <w:rFonts w:ascii="MinionPro-Regular" w:hAnsi="MinionPro-Regular"/>
          <w:sz w:val="20"/>
          <w:szCs w:val="24"/>
        </w:rPr>
        <w:t>%; Italia</w:t>
      </w:r>
      <w:r w:rsidRPr="00A030FA">
        <w:rPr>
          <w:rFonts w:ascii="MinionPro-Regular" w:hAnsi="MinionPro-Regular"/>
          <w:sz w:val="20"/>
          <w:szCs w:val="24"/>
        </w:rPr>
        <w:t xml:space="preserve"> </w:t>
      </w:r>
      <w:r>
        <w:rPr>
          <w:rFonts w:ascii="MinionPro-Regular" w:hAnsi="MinionPro-Regular"/>
          <w:sz w:val="20"/>
          <w:szCs w:val="24"/>
        </w:rPr>
        <w:t xml:space="preserve">en 2008 </w:t>
      </w:r>
      <w:r w:rsidRPr="001C2926">
        <w:rPr>
          <w:rFonts w:ascii="MinionPro-Regular" w:hAnsi="MinionPro-Regular"/>
          <w:sz w:val="20"/>
          <w:szCs w:val="24"/>
        </w:rPr>
        <w:t>51,0</w:t>
      </w:r>
      <w:r>
        <w:rPr>
          <w:rFonts w:ascii="MinionPro-Regular" w:hAnsi="MinionPro-Regular"/>
          <w:sz w:val="20"/>
          <w:szCs w:val="24"/>
        </w:rPr>
        <w:t xml:space="preserve">% y en 2009 </w:t>
      </w:r>
      <w:r w:rsidRPr="001C2926">
        <w:rPr>
          <w:rFonts w:ascii="MinionPro-Regular" w:hAnsi="MinionPro-Regular"/>
          <w:sz w:val="20"/>
          <w:szCs w:val="24"/>
        </w:rPr>
        <w:t>51,3</w:t>
      </w:r>
      <w:r>
        <w:rPr>
          <w:rFonts w:ascii="MinionPro-Regular" w:hAnsi="MinionPro-Regular"/>
          <w:sz w:val="20"/>
          <w:szCs w:val="24"/>
        </w:rPr>
        <w:t>%.</w:t>
      </w:r>
    </w:p>
    <w:p w:rsidR="00E2336B" w:rsidRDefault="00E2336B" w:rsidP="001B0EA4">
      <w:pPr>
        <w:rPr>
          <w:rFonts w:ascii="MinionPro-Regular" w:hAnsi="MinionPro-Regular"/>
          <w:sz w:val="20"/>
        </w:rPr>
      </w:pPr>
    </w:p>
    <w:p w:rsidR="00E2336B" w:rsidRDefault="00E2336B" w:rsidP="001B0EA4">
      <w:pPr>
        <w:rPr>
          <w:rFonts w:ascii="MinionPro-Regular" w:hAnsi="MinionPro-Regular"/>
          <w:sz w:val="20"/>
        </w:rPr>
      </w:pPr>
    </w:p>
    <w:p w:rsidR="00E2336B" w:rsidRDefault="00E2336B" w:rsidP="001B0EA4">
      <w:pPr>
        <w:rPr>
          <w:rFonts w:ascii="MinionPro-Regular" w:hAnsi="MinionPro-Regular"/>
          <w:sz w:val="20"/>
        </w:rPr>
      </w:pPr>
    </w:p>
    <w:p w:rsidR="00E2336B" w:rsidRPr="00E2336B" w:rsidRDefault="00E2336B" w:rsidP="001B0EA4">
      <w:pPr>
        <w:pBdr>
          <w:top w:val="single" w:sz="4" w:space="1" w:color="auto"/>
        </w:pBdr>
        <w:autoSpaceDE w:val="0"/>
        <w:autoSpaceDN w:val="0"/>
        <w:spacing w:line="360" w:lineRule="auto"/>
        <w:jc w:val="both"/>
        <w:rPr>
          <w:rFonts w:ascii="MinionPro-Regular" w:hAnsi="MinionPro-Regular"/>
          <w:color w:val="FF0000"/>
          <w:sz w:val="20"/>
        </w:rPr>
      </w:pPr>
      <w:r w:rsidRPr="00161761">
        <w:rPr>
          <w:rFonts w:ascii="MinionPro-Regular" w:hAnsi="MinionPro-Regular"/>
          <w:sz w:val="20"/>
        </w:rPr>
        <w:t xml:space="preserve">Porcentaje de personas sin discapacidad que son activas (16-64 años). </w:t>
      </w:r>
    </w:p>
    <w:p w:rsidR="00E2336B" w:rsidRDefault="00E1516B" w:rsidP="001B0EA4">
      <w:pPr>
        <w:autoSpaceDE w:val="0"/>
        <w:autoSpaceDN w:val="0"/>
        <w:spacing w:line="360" w:lineRule="auto"/>
        <w:rPr>
          <w:rFonts w:ascii="MinionPro-Regular" w:hAnsi="MinionPro-Regular"/>
          <w:sz w:val="24"/>
          <w:szCs w:val="24"/>
          <w:lang w:val="es-ES_tradnl"/>
        </w:rPr>
      </w:pPr>
      <w:r>
        <w:rPr>
          <w:rFonts w:ascii="MinionPro-Regular" w:hAnsi="MinionPro-Regular"/>
          <w:noProof/>
          <w:sz w:val="24"/>
          <w:szCs w:val="24"/>
          <w:lang w:eastAsia="es-ES"/>
        </w:rPr>
        <w:lastRenderedPageBreak/>
        <w:drawing>
          <wp:inline distT="0" distB="0" distL="0" distR="0">
            <wp:extent cx="3942080" cy="2639695"/>
            <wp:effectExtent l="0" t="0" r="0" b="0"/>
            <wp:docPr id="78" name="Picture 7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2"/>
              </a:graphicData>
            </a:graphic>
          </wp:inline>
        </w:drawing>
      </w:r>
    </w:p>
    <w:p w:rsidR="00E2336B" w:rsidRDefault="00E2336B" w:rsidP="001B0EA4">
      <w:pPr>
        <w:pBdr>
          <w:bottom w:val="single" w:sz="4" w:space="1" w:color="auto"/>
        </w:pBdr>
        <w:autoSpaceDE w:val="0"/>
        <w:autoSpaceDN w:val="0"/>
        <w:spacing w:line="360" w:lineRule="auto"/>
        <w:jc w:val="both"/>
        <w:rPr>
          <w:rFonts w:ascii="MinionPro-Regular" w:hAnsi="MinionPro-Regular"/>
          <w:sz w:val="20"/>
        </w:rPr>
      </w:pPr>
      <w:r>
        <w:rPr>
          <w:rFonts w:ascii="MinionPro-Regular" w:hAnsi="MinionPro-Regular"/>
          <w:sz w:val="20"/>
        </w:rPr>
        <w:t>Fuente: E</w:t>
      </w:r>
      <w:r w:rsidRPr="00161761">
        <w:rPr>
          <w:rFonts w:ascii="MinionPro-Regular" w:hAnsi="MinionPro-Regular"/>
          <w:sz w:val="20"/>
        </w:rPr>
        <w:t>laboración propia a partir de los datos obtenidos de Eurostat, EU-SILC 2008; EU-SILC 200.9, IDEE Indicators of  Disability Equality in Europe. ANED 2011.</w:t>
      </w:r>
    </w:p>
    <w:p w:rsidR="00E2336B" w:rsidRDefault="00E2336B" w:rsidP="001B0EA4">
      <w:pPr>
        <w:pBdr>
          <w:bottom w:val="single" w:sz="4" w:space="1" w:color="auto"/>
        </w:pBdr>
        <w:autoSpaceDE w:val="0"/>
        <w:autoSpaceDN w:val="0"/>
        <w:spacing w:line="360" w:lineRule="auto"/>
        <w:jc w:val="both"/>
        <w:rPr>
          <w:rFonts w:ascii="MinionPro-Regular" w:hAnsi="MinionPro-Regular"/>
          <w:sz w:val="20"/>
        </w:rPr>
      </w:pPr>
      <w:r w:rsidRPr="001B0FD3">
        <w:rPr>
          <w:rFonts w:ascii="MinionPro-Regular" w:hAnsi="MinionPro-Regular"/>
          <w:sz w:val="20"/>
          <w:szCs w:val="24"/>
        </w:rPr>
        <w:t>Nota explicativa de la gráfica: Eje de vertical</w:t>
      </w:r>
      <w:r>
        <w:rPr>
          <w:rFonts w:ascii="MinionPro-Regular" w:hAnsi="MinionPro-Regular"/>
          <w:sz w:val="20"/>
          <w:szCs w:val="24"/>
        </w:rPr>
        <w:t>,</w:t>
      </w:r>
      <w:r w:rsidRPr="00A030FA">
        <w:rPr>
          <w:rFonts w:ascii="MinionPro-Regular" w:hAnsi="MinionPro-Regular"/>
          <w:sz w:val="20"/>
          <w:szCs w:val="24"/>
        </w:rPr>
        <w:t xml:space="preserve"> </w:t>
      </w:r>
      <w:r>
        <w:rPr>
          <w:rFonts w:ascii="MinionPro-Regular" w:hAnsi="MinionPro-Regular"/>
          <w:sz w:val="20"/>
          <w:szCs w:val="24"/>
        </w:rPr>
        <w:t>Porcentaje</w:t>
      </w:r>
      <w:r w:rsidRPr="001B0FD3">
        <w:rPr>
          <w:rFonts w:ascii="MinionPro-Regular" w:hAnsi="MinionPro-Regular"/>
          <w:sz w:val="20"/>
          <w:szCs w:val="24"/>
        </w:rPr>
        <w:t xml:space="preserve">. Eje horizontal, </w:t>
      </w:r>
      <w:r>
        <w:rPr>
          <w:rFonts w:ascii="MinionPro-Regular" w:hAnsi="MinionPro-Regular"/>
          <w:sz w:val="20"/>
          <w:szCs w:val="24"/>
        </w:rPr>
        <w:t xml:space="preserve">Años. España en 2008 </w:t>
      </w:r>
      <w:r w:rsidRPr="001C2926">
        <w:rPr>
          <w:rFonts w:ascii="MinionPro-Regular" w:hAnsi="MinionPro-Regular"/>
          <w:sz w:val="20"/>
          <w:szCs w:val="24"/>
        </w:rPr>
        <w:t>73,9</w:t>
      </w:r>
      <w:r>
        <w:rPr>
          <w:rFonts w:ascii="MinionPro-Regular" w:hAnsi="MinionPro-Regular"/>
          <w:sz w:val="20"/>
          <w:szCs w:val="24"/>
        </w:rPr>
        <w:t>% y en 2009 74,7%; Alemania en 2008 74,6% y en 2009 75,4</w:t>
      </w:r>
      <w:r w:rsidRPr="00A030FA">
        <w:rPr>
          <w:rFonts w:ascii="MinionPro-Regular" w:hAnsi="MinionPro-Regular"/>
          <w:sz w:val="20"/>
        </w:rPr>
        <w:t>%</w:t>
      </w:r>
      <w:r w:rsidRPr="00A030FA">
        <w:rPr>
          <w:rFonts w:ascii="MinionPro-Regular" w:hAnsi="MinionPro-Regular"/>
          <w:sz w:val="20"/>
          <w:szCs w:val="24"/>
        </w:rPr>
        <w:t>;</w:t>
      </w:r>
      <w:r>
        <w:rPr>
          <w:rFonts w:ascii="MinionPro-Regular" w:hAnsi="MinionPro-Regular"/>
          <w:sz w:val="20"/>
          <w:szCs w:val="24"/>
        </w:rPr>
        <w:t xml:space="preserve"> Suecia en 2008 </w:t>
      </w:r>
      <w:r w:rsidRPr="001C2926">
        <w:rPr>
          <w:rFonts w:ascii="MinionPro-Regular" w:hAnsi="MinionPro-Regular"/>
          <w:sz w:val="20"/>
          <w:szCs w:val="24"/>
        </w:rPr>
        <w:t>79,7</w:t>
      </w:r>
      <w:r>
        <w:rPr>
          <w:rFonts w:ascii="MinionPro-Regular" w:hAnsi="MinionPro-Regular"/>
          <w:sz w:val="20"/>
          <w:szCs w:val="24"/>
        </w:rPr>
        <w:t xml:space="preserve">% y en 2009 </w:t>
      </w:r>
      <w:r w:rsidRPr="001C2926">
        <w:rPr>
          <w:rFonts w:ascii="MinionPro-Regular" w:hAnsi="MinionPro-Regular"/>
          <w:sz w:val="20"/>
          <w:szCs w:val="24"/>
        </w:rPr>
        <w:t>80,5</w:t>
      </w:r>
      <w:r>
        <w:rPr>
          <w:rFonts w:ascii="MinionPro-Regular" w:hAnsi="MinionPro-Regular"/>
          <w:sz w:val="20"/>
          <w:szCs w:val="24"/>
        </w:rPr>
        <w:t xml:space="preserve">%; </w:t>
      </w:r>
      <w:r w:rsidRPr="00A030FA">
        <w:rPr>
          <w:rFonts w:ascii="MinionPro-Regular" w:hAnsi="MinionPro-Regular"/>
          <w:sz w:val="20"/>
          <w:szCs w:val="24"/>
        </w:rPr>
        <w:t xml:space="preserve">Reino Unido </w:t>
      </w:r>
      <w:r>
        <w:rPr>
          <w:rFonts w:ascii="MinionPro-Regular" w:hAnsi="MinionPro-Regular"/>
          <w:sz w:val="20"/>
          <w:szCs w:val="24"/>
        </w:rPr>
        <w:t>en 2008 75,4% y en 2009 74,4%; Italia</w:t>
      </w:r>
      <w:r w:rsidRPr="00A030FA">
        <w:rPr>
          <w:rFonts w:ascii="MinionPro-Regular" w:hAnsi="MinionPro-Regular"/>
          <w:sz w:val="20"/>
          <w:szCs w:val="24"/>
        </w:rPr>
        <w:t xml:space="preserve"> </w:t>
      </w:r>
      <w:r>
        <w:rPr>
          <w:rFonts w:ascii="MinionPro-Regular" w:hAnsi="MinionPro-Regular"/>
          <w:sz w:val="20"/>
          <w:szCs w:val="24"/>
        </w:rPr>
        <w:t xml:space="preserve">en 2008 </w:t>
      </w:r>
      <w:r w:rsidRPr="001C2926">
        <w:rPr>
          <w:rFonts w:ascii="MinionPro-Regular" w:hAnsi="MinionPro-Regular"/>
          <w:sz w:val="20"/>
          <w:szCs w:val="24"/>
        </w:rPr>
        <w:t>66,3</w:t>
      </w:r>
      <w:r>
        <w:rPr>
          <w:rFonts w:ascii="MinionPro-Regular" w:hAnsi="MinionPro-Regular"/>
          <w:sz w:val="20"/>
          <w:szCs w:val="24"/>
        </w:rPr>
        <w:t xml:space="preserve">% y en 2009 </w:t>
      </w:r>
      <w:r w:rsidRPr="001C2926">
        <w:rPr>
          <w:rFonts w:ascii="MinionPro-Regular" w:hAnsi="MinionPro-Regular"/>
          <w:sz w:val="20"/>
          <w:szCs w:val="24"/>
        </w:rPr>
        <w:t>65,8</w:t>
      </w:r>
      <w:r>
        <w:rPr>
          <w:rFonts w:ascii="MinionPro-Regular" w:hAnsi="MinionPro-Regular"/>
          <w:sz w:val="20"/>
          <w:szCs w:val="24"/>
        </w:rPr>
        <w:t>%.</w:t>
      </w:r>
    </w:p>
    <w:p w:rsidR="00E2336B" w:rsidRDefault="00E2336B" w:rsidP="001B0EA4">
      <w:pPr>
        <w:autoSpaceDE w:val="0"/>
        <w:autoSpaceDN w:val="0"/>
        <w:spacing w:line="360" w:lineRule="auto"/>
        <w:jc w:val="both"/>
        <w:rPr>
          <w:rFonts w:ascii="MinionPro-Regular" w:hAnsi="MinionPro-Regular"/>
          <w:sz w:val="24"/>
          <w:szCs w:val="24"/>
          <w:lang w:val="es-ES_tradnl"/>
        </w:rPr>
      </w:pPr>
    </w:p>
    <w:p w:rsidR="00E2336B" w:rsidRDefault="00E2336B" w:rsidP="001B0EA4">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 xml:space="preserve">En el Reino Unido es donde existe un mayor diferencial entre la actividad de las personas con y sin discapacidad. En España e Italia se observa una disminución del diferencial de actividad entre ambos colectivos.  </w:t>
      </w:r>
    </w:p>
    <w:p w:rsidR="00E2336B" w:rsidRDefault="00E2336B" w:rsidP="001B0EA4">
      <w:pPr>
        <w:autoSpaceDE w:val="0"/>
        <w:autoSpaceDN w:val="0"/>
        <w:spacing w:line="360" w:lineRule="auto"/>
        <w:jc w:val="both"/>
        <w:rPr>
          <w:rFonts w:ascii="MinionPro-Regular" w:hAnsi="MinionPro-Regular"/>
          <w:sz w:val="24"/>
          <w:szCs w:val="24"/>
          <w:lang w:val="es-ES_tradnl"/>
        </w:rPr>
      </w:pPr>
    </w:p>
    <w:p w:rsidR="00E2336B" w:rsidRDefault="00E2336B" w:rsidP="001B0EA4">
      <w:pPr>
        <w:autoSpaceDE w:val="0"/>
        <w:autoSpaceDN w:val="0"/>
        <w:spacing w:line="360" w:lineRule="auto"/>
        <w:jc w:val="both"/>
        <w:rPr>
          <w:rFonts w:ascii="MinionPro-Regular" w:hAnsi="MinionPro-Regular"/>
          <w:sz w:val="24"/>
          <w:szCs w:val="24"/>
          <w:lang w:val="es-ES_tradnl"/>
        </w:rPr>
      </w:pPr>
    </w:p>
    <w:p w:rsidR="00E2336B" w:rsidRDefault="00E2336B" w:rsidP="001B0EA4">
      <w:pPr>
        <w:autoSpaceDE w:val="0"/>
        <w:autoSpaceDN w:val="0"/>
        <w:spacing w:line="360" w:lineRule="auto"/>
        <w:jc w:val="both"/>
        <w:rPr>
          <w:rFonts w:ascii="MinionPro-Regular" w:hAnsi="MinionPro-Regular"/>
          <w:sz w:val="24"/>
          <w:szCs w:val="24"/>
          <w:lang w:val="es-ES_tradnl"/>
        </w:rPr>
      </w:pPr>
    </w:p>
    <w:p w:rsidR="00E2336B" w:rsidRDefault="00E2336B" w:rsidP="001B0EA4">
      <w:pPr>
        <w:autoSpaceDE w:val="0"/>
        <w:autoSpaceDN w:val="0"/>
        <w:spacing w:line="360" w:lineRule="auto"/>
        <w:jc w:val="both"/>
        <w:rPr>
          <w:rFonts w:ascii="MinionPro-Regular" w:hAnsi="MinionPro-Regular"/>
          <w:sz w:val="24"/>
          <w:szCs w:val="24"/>
          <w:lang w:val="es-ES_tradnl"/>
        </w:rPr>
      </w:pPr>
    </w:p>
    <w:p w:rsidR="00E2336B" w:rsidRDefault="00E2336B" w:rsidP="001B0EA4">
      <w:pPr>
        <w:autoSpaceDE w:val="0"/>
        <w:autoSpaceDN w:val="0"/>
        <w:spacing w:line="360" w:lineRule="auto"/>
        <w:jc w:val="both"/>
        <w:rPr>
          <w:rFonts w:ascii="MinionPro-Regular" w:hAnsi="MinionPro-Regular"/>
          <w:sz w:val="24"/>
          <w:szCs w:val="24"/>
          <w:lang w:val="es-ES_tradnl"/>
        </w:rPr>
      </w:pPr>
    </w:p>
    <w:p w:rsidR="00E2336B" w:rsidRDefault="00E2336B" w:rsidP="001B0EA4">
      <w:pPr>
        <w:autoSpaceDE w:val="0"/>
        <w:autoSpaceDN w:val="0"/>
        <w:spacing w:line="360" w:lineRule="auto"/>
        <w:jc w:val="both"/>
        <w:rPr>
          <w:rFonts w:ascii="MinionPro-Regular" w:hAnsi="MinionPro-Regular"/>
          <w:sz w:val="24"/>
          <w:szCs w:val="24"/>
          <w:lang w:val="es-ES_tradnl"/>
        </w:rPr>
      </w:pPr>
    </w:p>
    <w:p w:rsidR="00E2336B" w:rsidRDefault="00E2336B" w:rsidP="001B0EA4">
      <w:pPr>
        <w:autoSpaceDE w:val="0"/>
        <w:autoSpaceDN w:val="0"/>
        <w:spacing w:line="360" w:lineRule="auto"/>
        <w:jc w:val="both"/>
        <w:rPr>
          <w:rFonts w:ascii="MinionPro-Regular" w:hAnsi="MinionPro-Regular"/>
          <w:sz w:val="24"/>
          <w:szCs w:val="24"/>
          <w:lang w:val="es-ES_tradnl"/>
        </w:rPr>
      </w:pPr>
    </w:p>
    <w:p w:rsidR="00E2336B" w:rsidRDefault="00E2336B" w:rsidP="001B0EA4">
      <w:pPr>
        <w:autoSpaceDE w:val="0"/>
        <w:autoSpaceDN w:val="0"/>
        <w:spacing w:line="360" w:lineRule="auto"/>
        <w:jc w:val="both"/>
        <w:rPr>
          <w:rFonts w:ascii="MinionPro-Regular" w:hAnsi="MinionPro-Regular"/>
          <w:sz w:val="24"/>
          <w:szCs w:val="24"/>
          <w:lang w:val="es-ES_tradnl"/>
        </w:rPr>
      </w:pPr>
    </w:p>
    <w:p w:rsidR="00E2336B" w:rsidRDefault="00E2336B" w:rsidP="001B0EA4">
      <w:pPr>
        <w:autoSpaceDE w:val="0"/>
        <w:autoSpaceDN w:val="0"/>
        <w:spacing w:line="360" w:lineRule="auto"/>
        <w:jc w:val="both"/>
        <w:rPr>
          <w:rFonts w:ascii="MinionPro-Regular" w:hAnsi="MinionPro-Regular"/>
          <w:sz w:val="24"/>
          <w:szCs w:val="24"/>
          <w:lang w:val="es-ES_tradnl"/>
        </w:rPr>
      </w:pPr>
    </w:p>
    <w:p w:rsidR="00E2336B" w:rsidRPr="00E94C75" w:rsidRDefault="00E2336B" w:rsidP="001B0EA4">
      <w:pPr>
        <w:autoSpaceDE w:val="0"/>
        <w:autoSpaceDN w:val="0"/>
        <w:spacing w:line="360" w:lineRule="auto"/>
        <w:jc w:val="both"/>
        <w:rPr>
          <w:rFonts w:ascii="MinionPro-Regular" w:hAnsi="MinionPro-Regular"/>
          <w:sz w:val="24"/>
          <w:szCs w:val="24"/>
          <w:lang w:val="es-ES_tradnl"/>
        </w:rPr>
      </w:pPr>
    </w:p>
    <w:p w:rsidR="00E2336B" w:rsidRDefault="00E2336B" w:rsidP="001B0EA4">
      <w:pPr>
        <w:pBdr>
          <w:top w:val="single" w:sz="4" w:space="1" w:color="auto"/>
        </w:pBdr>
        <w:autoSpaceDE w:val="0"/>
        <w:autoSpaceDN w:val="0"/>
        <w:spacing w:line="360" w:lineRule="auto"/>
        <w:jc w:val="both"/>
        <w:rPr>
          <w:rFonts w:ascii="MinionPro-Regular" w:hAnsi="MinionPro-Regular"/>
          <w:sz w:val="20"/>
        </w:rPr>
      </w:pPr>
      <w:r w:rsidRPr="00B44100">
        <w:rPr>
          <w:rFonts w:ascii="MinionPro-Regular" w:hAnsi="MinionPro-Regular"/>
          <w:sz w:val="20"/>
        </w:rPr>
        <w:t xml:space="preserve">Diferencial del porcentaje de personas con y sin discapacidad que son activas (16-64 años). </w:t>
      </w:r>
    </w:p>
    <w:p w:rsidR="00E2336B" w:rsidRDefault="00E1516B" w:rsidP="001B0EA4">
      <w:pPr>
        <w:autoSpaceDE w:val="0"/>
        <w:autoSpaceDN w:val="0"/>
        <w:spacing w:line="360" w:lineRule="auto"/>
        <w:rPr>
          <w:rFonts w:ascii="Arial" w:hAnsi="Arial" w:cs="Arial"/>
          <w:sz w:val="20"/>
          <w:lang w:val="es-ES_tradnl"/>
        </w:rPr>
      </w:pPr>
      <w:r>
        <w:rPr>
          <w:rFonts w:ascii="Arial" w:hAnsi="Arial" w:cs="Arial"/>
          <w:noProof/>
          <w:sz w:val="18"/>
          <w:lang w:eastAsia="es-ES"/>
        </w:rPr>
        <w:drawing>
          <wp:inline distT="0" distB="0" distL="0" distR="0">
            <wp:extent cx="3968115" cy="2519045"/>
            <wp:effectExtent l="0" t="0" r="0" b="0"/>
            <wp:docPr id="79" name="Picture 7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3"/>
              </a:graphicData>
            </a:graphic>
          </wp:inline>
        </w:drawing>
      </w:r>
    </w:p>
    <w:p w:rsidR="00E2336B" w:rsidRDefault="00E2336B" w:rsidP="001B0EA4">
      <w:pPr>
        <w:pBdr>
          <w:bottom w:val="single" w:sz="4" w:space="1" w:color="auto"/>
        </w:pBdr>
        <w:autoSpaceDE w:val="0"/>
        <w:autoSpaceDN w:val="0"/>
        <w:spacing w:line="360" w:lineRule="auto"/>
        <w:jc w:val="both"/>
        <w:rPr>
          <w:rFonts w:ascii="MinionPro-Regular" w:hAnsi="MinionPro-Regular"/>
          <w:sz w:val="20"/>
        </w:rPr>
      </w:pPr>
      <w:r>
        <w:rPr>
          <w:rFonts w:ascii="MinionPro-Regular" w:hAnsi="MinionPro-Regular"/>
          <w:sz w:val="20"/>
        </w:rPr>
        <w:t xml:space="preserve">Fuente: </w:t>
      </w:r>
      <w:r w:rsidRPr="00B44100">
        <w:rPr>
          <w:rFonts w:ascii="MinionPro-Regular" w:hAnsi="MinionPro-Regular"/>
          <w:sz w:val="20"/>
        </w:rPr>
        <w:t>Elaboración propia a partir de los datos obtenidos de la fuente: Eurostat, EU-SILC 2008; EU-SILC 200.9, IDEE Indicators of  Disability Equality in Europe. ANED 2011.</w:t>
      </w:r>
    </w:p>
    <w:p w:rsidR="00E2336B" w:rsidRDefault="00E2336B" w:rsidP="001B0EA4">
      <w:pPr>
        <w:pBdr>
          <w:bottom w:val="single" w:sz="4" w:space="1" w:color="auto"/>
        </w:pBdr>
        <w:autoSpaceDE w:val="0"/>
        <w:autoSpaceDN w:val="0"/>
        <w:spacing w:line="360" w:lineRule="auto"/>
        <w:jc w:val="both"/>
        <w:rPr>
          <w:rFonts w:ascii="MinionPro-Regular" w:hAnsi="MinionPro-Regular"/>
          <w:sz w:val="20"/>
        </w:rPr>
      </w:pPr>
      <w:r w:rsidRPr="001B0FD3">
        <w:rPr>
          <w:rFonts w:ascii="MinionPro-Regular" w:hAnsi="MinionPro-Regular"/>
          <w:sz w:val="20"/>
          <w:szCs w:val="24"/>
        </w:rPr>
        <w:t>Nota explicativa de la gráfica: Eje de vertical</w:t>
      </w:r>
      <w:r>
        <w:rPr>
          <w:rFonts w:ascii="MinionPro-Regular" w:hAnsi="MinionPro-Regular"/>
          <w:sz w:val="20"/>
          <w:szCs w:val="24"/>
        </w:rPr>
        <w:t>,</w:t>
      </w:r>
      <w:r w:rsidRPr="00A030FA">
        <w:rPr>
          <w:rFonts w:ascii="MinionPro-Regular" w:hAnsi="MinionPro-Regular"/>
          <w:sz w:val="20"/>
          <w:szCs w:val="24"/>
        </w:rPr>
        <w:t xml:space="preserve"> </w:t>
      </w:r>
      <w:r>
        <w:rPr>
          <w:rFonts w:ascii="MinionPro-Regular" w:hAnsi="MinionPro-Regular"/>
          <w:sz w:val="20"/>
          <w:szCs w:val="24"/>
        </w:rPr>
        <w:t>Porcentaje</w:t>
      </w:r>
      <w:r w:rsidRPr="001B0FD3">
        <w:rPr>
          <w:rFonts w:ascii="MinionPro-Regular" w:hAnsi="MinionPro-Regular"/>
          <w:sz w:val="20"/>
          <w:szCs w:val="24"/>
        </w:rPr>
        <w:t xml:space="preserve">. Eje horizontal, </w:t>
      </w:r>
      <w:r>
        <w:rPr>
          <w:rFonts w:ascii="MinionPro-Regular" w:hAnsi="MinionPro-Regular"/>
          <w:sz w:val="20"/>
          <w:szCs w:val="24"/>
        </w:rPr>
        <w:t xml:space="preserve">Años. España en 2008 </w:t>
      </w:r>
      <w:r w:rsidRPr="001C2926">
        <w:rPr>
          <w:rFonts w:ascii="MinionPro-Regular" w:hAnsi="MinionPro-Regular"/>
          <w:sz w:val="20"/>
          <w:szCs w:val="24"/>
        </w:rPr>
        <w:t>20,2</w:t>
      </w:r>
      <w:r>
        <w:rPr>
          <w:rFonts w:ascii="MinionPro-Regular" w:hAnsi="MinionPro-Regular"/>
          <w:sz w:val="20"/>
          <w:szCs w:val="24"/>
        </w:rPr>
        <w:t xml:space="preserve">% y en 2009 </w:t>
      </w:r>
      <w:r w:rsidRPr="001C2926">
        <w:rPr>
          <w:rFonts w:ascii="MinionPro-Regular" w:hAnsi="MinionPro-Regular"/>
          <w:sz w:val="20"/>
          <w:szCs w:val="24"/>
        </w:rPr>
        <w:t>17,7</w:t>
      </w:r>
      <w:r>
        <w:rPr>
          <w:rFonts w:ascii="MinionPro-Regular" w:hAnsi="MinionPro-Regular"/>
          <w:sz w:val="20"/>
          <w:szCs w:val="24"/>
        </w:rPr>
        <w:t xml:space="preserve">%; Alemania en 2008 </w:t>
      </w:r>
      <w:r w:rsidRPr="001C2926">
        <w:rPr>
          <w:rFonts w:ascii="MinionPro-Regular" w:hAnsi="MinionPro-Regular"/>
          <w:sz w:val="20"/>
          <w:szCs w:val="24"/>
        </w:rPr>
        <w:t>6,9</w:t>
      </w:r>
      <w:r>
        <w:rPr>
          <w:rFonts w:ascii="MinionPro-Regular" w:hAnsi="MinionPro-Regular"/>
          <w:sz w:val="20"/>
          <w:szCs w:val="24"/>
        </w:rPr>
        <w:t xml:space="preserve">% y en 2009 </w:t>
      </w:r>
      <w:r w:rsidRPr="001C2926">
        <w:rPr>
          <w:rFonts w:ascii="MinionPro-Regular" w:hAnsi="MinionPro-Regular"/>
          <w:sz w:val="20"/>
          <w:szCs w:val="24"/>
        </w:rPr>
        <w:t>8,0</w:t>
      </w:r>
      <w:r w:rsidRPr="00A030FA">
        <w:rPr>
          <w:rFonts w:ascii="MinionPro-Regular" w:hAnsi="MinionPro-Regular"/>
          <w:sz w:val="20"/>
        </w:rPr>
        <w:t>%</w:t>
      </w:r>
      <w:r w:rsidRPr="00A030FA">
        <w:rPr>
          <w:rFonts w:ascii="MinionPro-Regular" w:hAnsi="MinionPro-Regular"/>
          <w:sz w:val="20"/>
          <w:szCs w:val="24"/>
        </w:rPr>
        <w:t>;</w:t>
      </w:r>
      <w:r>
        <w:rPr>
          <w:rFonts w:ascii="MinionPro-Regular" w:hAnsi="MinionPro-Regular"/>
          <w:sz w:val="20"/>
          <w:szCs w:val="24"/>
        </w:rPr>
        <w:t xml:space="preserve"> Suecia en 2008 </w:t>
      </w:r>
      <w:r w:rsidRPr="001C2926">
        <w:rPr>
          <w:rFonts w:ascii="MinionPro-Regular" w:hAnsi="MinionPro-Regular"/>
          <w:sz w:val="20"/>
          <w:szCs w:val="24"/>
        </w:rPr>
        <w:t>17,0</w:t>
      </w:r>
      <w:r>
        <w:rPr>
          <w:rFonts w:ascii="MinionPro-Regular" w:hAnsi="MinionPro-Regular"/>
          <w:sz w:val="20"/>
          <w:szCs w:val="24"/>
        </w:rPr>
        <w:t xml:space="preserve">% y en 2009 </w:t>
      </w:r>
      <w:r w:rsidRPr="001C2926">
        <w:rPr>
          <w:rFonts w:ascii="MinionPro-Regular" w:hAnsi="MinionPro-Regular"/>
          <w:sz w:val="20"/>
          <w:szCs w:val="24"/>
        </w:rPr>
        <w:t>22,6</w:t>
      </w:r>
      <w:r>
        <w:rPr>
          <w:rFonts w:ascii="MinionPro-Regular" w:hAnsi="MinionPro-Regular"/>
          <w:sz w:val="20"/>
          <w:szCs w:val="24"/>
        </w:rPr>
        <w:t xml:space="preserve">%; </w:t>
      </w:r>
      <w:r w:rsidRPr="00A030FA">
        <w:rPr>
          <w:rFonts w:ascii="MinionPro-Regular" w:hAnsi="MinionPro-Regular"/>
          <w:sz w:val="20"/>
          <w:szCs w:val="24"/>
        </w:rPr>
        <w:t xml:space="preserve">Reino Unido </w:t>
      </w:r>
      <w:r>
        <w:rPr>
          <w:rFonts w:ascii="MinionPro-Regular" w:hAnsi="MinionPro-Regular"/>
          <w:sz w:val="20"/>
          <w:szCs w:val="24"/>
        </w:rPr>
        <w:t xml:space="preserve">en 2008 </w:t>
      </w:r>
      <w:r w:rsidRPr="001C2926">
        <w:rPr>
          <w:rFonts w:ascii="MinionPro-Regular" w:hAnsi="MinionPro-Regular"/>
          <w:sz w:val="20"/>
          <w:szCs w:val="24"/>
        </w:rPr>
        <w:t>25,0</w:t>
      </w:r>
      <w:r>
        <w:rPr>
          <w:rFonts w:ascii="MinionPro-Regular" w:hAnsi="MinionPro-Regular"/>
          <w:sz w:val="20"/>
          <w:szCs w:val="24"/>
        </w:rPr>
        <w:t xml:space="preserve">% y en 2009 </w:t>
      </w:r>
      <w:r w:rsidRPr="001C2926">
        <w:rPr>
          <w:rFonts w:ascii="MinionPro-Regular" w:hAnsi="MinionPro-Regular"/>
          <w:sz w:val="20"/>
          <w:szCs w:val="24"/>
        </w:rPr>
        <w:t>26,3</w:t>
      </w:r>
      <w:r>
        <w:rPr>
          <w:rFonts w:ascii="MinionPro-Regular" w:hAnsi="MinionPro-Regular"/>
          <w:sz w:val="20"/>
          <w:szCs w:val="24"/>
        </w:rPr>
        <w:t>%; Italia</w:t>
      </w:r>
      <w:r w:rsidRPr="00A030FA">
        <w:rPr>
          <w:rFonts w:ascii="MinionPro-Regular" w:hAnsi="MinionPro-Regular"/>
          <w:sz w:val="20"/>
          <w:szCs w:val="24"/>
        </w:rPr>
        <w:t xml:space="preserve"> </w:t>
      </w:r>
      <w:r>
        <w:rPr>
          <w:rFonts w:ascii="MinionPro-Regular" w:hAnsi="MinionPro-Regular"/>
          <w:sz w:val="20"/>
          <w:szCs w:val="24"/>
        </w:rPr>
        <w:t xml:space="preserve">en 2008 </w:t>
      </w:r>
      <w:r w:rsidRPr="001C2926">
        <w:rPr>
          <w:rFonts w:ascii="MinionPro-Regular" w:hAnsi="MinionPro-Regular"/>
          <w:sz w:val="20"/>
          <w:szCs w:val="24"/>
        </w:rPr>
        <w:t>15,3</w:t>
      </w:r>
      <w:r>
        <w:rPr>
          <w:rFonts w:ascii="MinionPro-Regular" w:hAnsi="MinionPro-Regular"/>
          <w:sz w:val="20"/>
          <w:szCs w:val="24"/>
        </w:rPr>
        <w:t xml:space="preserve">% y en 2009 </w:t>
      </w:r>
      <w:r w:rsidRPr="001C2926">
        <w:rPr>
          <w:rFonts w:ascii="MinionPro-Regular" w:hAnsi="MinionPro-Regular"/>
          <w:sz w:val="20"/>
          <w:szCs w:val="24"/>
        </w:rPr>
        <w:t>14,5</w:t>
      </w:r>
      <w:r>
        <w:rPr>
          <w:rFonts w:ascii="MinionPro-Regular" w:hAnsi="MinionPro-Regular"/>
          <w:sz w:val="20"/>
          <w:szCs w:val="24"/>
        </w:rPr>
        <w:t>%.</w:t>
      </w:r>
    </w:p>
    <w:p w:rsidR="00E2336B" w:rsidRPr="00EF5A9B" w:rsidRDefault="00E2336B" w:rsidP="001B0EA4">
      <w:pPr>
        <w:autoSpaceDE w:val="0"/>
        <w:autoSpaceDN w:val="0"/>
        <w:spacing w:line="360" w:lineRule="auto"/>
        <w:jc w:val="both"/>
        <w:rPr>
          <w:rFonts w:ascii="MinionPro-Regular" w:hAnsi="MinionPro-Regular"/>
          <w:sz w:val="20"/>
        </w:rPr>
      </w:pPr>
    </w:p>
    <w:p w:rsidR="00E2336B" w:rsidRDefault="00E2336B" w:rsidP="001B0EA4">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Respecto de</w:t>
      </w:r>
      <w:r w:rsidRPr="00FF3B76">
        <w:rPr>
          <w:rFonts w:ascii="MinionPro-Regular" w:hAnsi="MinionPro-Regular"/>
          <w:sz w:val="24"/>
          <w:szCs w:val="24"/>
          <w:lang w:val="es-ES_tradnl"/>
        </w:rPr>
        <w:t xml:space="preserve"> las personas </w:t>
      </w:r>
      <w:r>
        <w:rPr>
          <w:rFonts w:ascii="MinionPro-Regular" w:hAnsi="MinionPro-Regular"/>
          <w:sz w:val="24"/>
          <w:szCs w:val="24"/>
          <w:lang w:val="es-ES_tradnl"/>
        </w:rPr>
        <w:t>ocupadas</w:t>
      </w:r>
      <w:r w:rsidRPr="00FF3B76">
        <w:rPr>
          <w:rFonts w:ascii="MinionPro-Regular" w:hAnsi="MinionPro-Regular"/>
          <w:sz w:val="24"/>
          <w:szCs w:val="24"/>
          <w:lang w:val="es-ES_tradnl"/>
        </w:rPr>
        <w:t xml:space="preserve"> sobre el total de la poblac</w:t>
      </w:r>
      <w:r>
        <w:rPr>
          <w:rFonts w:ascii="MinionPro-Regular" w:hAnsi="MinionPro-Regular"/>
          <w:sz w:val="24"/>
          <w:szCs w:val="24"/>
          <w:lang w:val="es-ES_tradnl"/>
        </w:rPr>
        <w:t>ión activa</w:t>
      </w:r>
      <w:r w:rsidRPr="00FF3B76">
        <w:rPr>
          <w:rFonts w:ascii="MinionPro-Regular" w:hAnsi="MinionPro-Regular"/>
          <w:sz w:val="24"/>
          <w:szCs w:val="24"/>
          <w:lang w:val="es-ES_tradnl"/>
        </w:rPr>
        <w:t xml:space="preserve">, </w:t>
      </w:r>
      <w:r>
        <w:rPr>
          <w:rFonts w:ascii="MinionPro-Regular" w:hAnsi="MinionPro-Regular"/>
          <w:sz w:val="24"/>
          <w:szCs w:val="24"/>
          <w:lang w:val="es-ES_tradnl"/>
        </w:rPr>
        <w:t>es</w:t>
      </w:r>
      <w:r w:rsidRPr="00FF3B76">
        <w:rPr>
          <w:rFonts w:ascii="MinionPro-Regular" w:hAnsi="MinionPro-Regular"/>
          <w:sz w:val="24"/>
          <w:szCs w:val="24"/>
          <w:lang w:val="es-ES_tradnl"/>
        </w:rPr>
        <w:t xml:space="preserve"> en España </w:t>
      </w:r>
      <w:r>
        <w:rPr>
          <w:rFonts w:ascii="MinionPro-Regular" w:hAnsi="MinionPro-Regular"/>
          <w:sz w:val="24"/>
          <w:szCs w:val="24"/>
          <w:lang w:val="es-ES_tradnl"/>
        </w:rPr>
        <w:t xml:space="preserve">e Italia donde hay un menor nivel de ocupación. Alemania y Suecia son los países que presentan unas mayores tasas de ocupación de este colectivo. </w:t>
      </w:r>
    </w:p>
    <w:p w:rsidR="00E2336B" w:rsidRDefault="00E2336B" w:rsidP="001B0EA4">
      <w:pPr>
        <w:autoSpaceDE w:val="0"/>
        <w:autoSpaceDN w:val="0"/>
        <w:spacing w:line="360" w:lineRule="auto"/>
        <w:jc w:val="both"/>
        <w:rPr>
          <w:rFonts w:ascii="MinionPro-Regular" w:hAnsi="MinionPro-Regular"/>
          <w:sz w:val="24"/>
          <w:szCs w:val="24"/>
          <w:lang w:val="es-ES_tradnl"/>
        </w:rPr>
      </w:pPr>
    </w:p>
    <w:p w:rsidR="00E2336B" w:rsidRDefault="00E2336B" w:rsidP="001B0EA4">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 xml:space="preserve">A este respecto, cabe resaltar las dificultades con las que se encuentran las personas con discapacidad cuando desean integrarse en el mercado laboral. </w:t>
      </w:r>
      <w:r w:rsidRPr="00AE48EC">
        <w:rPr>
          <w:rFonts w:ascii="MinionPro-Regular" w:hAnsi="MinionPro-Regular"/>
          <w:sz w:val="24"/>
          <w:szCs w:val="24"/>
          <w:lang w:val="es-ES_tradnl"/>
        </w:rPr>
        <w:t>Según el Panel de Familias de la Comunidad Europea</w:t>
      </w:r>
      <w:r>
        <w:rPr>
          <w:rStyle w:val="Refdenotaalpie"/>
          <w:rFonts w:ascii="MinionPro-Regular" w:hAnsi="MinionPro-Regular"/>
          <w:sz w:val="24"/>
          <w:szCs w:val="24"/>
          <w:lang w:val="es-ES_tradnl"/>
        </w:rPr>
        <w:footnoteReference w:id="24"/>
      </w:r>
      <w:r w:rsidRPr="00AE48EC">
        <w:rPr>
          <w:rFonts w:ascii="MinionPro-Regular" w:hAnsi="MinionPro-Regular"/>
          <w:sz w:val="24"/>
          <w:szCs w:val="24"/>
          <w:lang w:val="es-ES_tradnl"/>
        </w:rPr>
        <w:t xml:space="preserve">, una persona en edad activa (16-64 años) tiene una probabilidad del 66% de encontrar un trabajo o desarrollar un negocio. Para una </w:t>
      </w:r>
      <w:r w:rsidRPr="00AE48EC">
        <w:rPr>
          <w:rFonts w:ascii="MinionPro-Regular" w:hAnsi="MinionPro-Regular"/>
          <w:sz w:val="24"/>
          <w:szCs w:val="24"/>
          <w:lang w:val="es-ES_tradnl"/>
        </w:rPr>
        <w:lastRenderedPageBreak/>
        <w:t xml:space="preserve">persona con una discapacidad leve la probabilidad se convierte en el 47% y para una persona </w:t>
      </w:r>
      <w:r>
        <w:rPr>
          <w:rFonts w:ascii="MinionPro-Regular" w:hAnsi="MinionPro-Regular"/>
          <w:sz w:val="24"/>
          <w:szCs w:val="24"/>
          <w:lang w:val="es-ES_tradnl"/>
        </w:rPr>
        <w:t>con discapacidad</w:t>
      </w:r>
      <w:r w:rsidRPr="00AE48EC">
        <w:rPr>
          <w:rFonts w:ascii="MinionPro-Regular" w:hAnsi="MinionPro-Regular"/>
          <w:sz w:val="24"/>
          <w:szCs w:val="24"/>
          <w:lang w:val="es-ES_tradnl"/>
        </w:rPr>
        <w:t xml:space="preserve"> severa la probabilidad se reduce al 25%. </w:t>
      </w:r>
    </w:p>
    <w:p w:rsidR="00E2336B" w:rsidRDefault="00E2336B" w:rsidP="001B0EA4">
      <w:pPr>
        <w:autoSpaceDE w:val="0"/>
        <w:autoSpaceDN w:val="0"/>
        <w:spacing w:line="360" w:lineRule="auto"/>
        <w:jc w:val="both"/>
        <w:rPr>
          <w:rFonts w:ascii="MinionPro-Regular" w:hAnsi="MinionPro-Regular"/>
          <w:i/>
          <w:sz w:val="20"/>
        </w:rPr>
      </w:pPr>
    </w:p>
    <w:p w:rsidR="00E2336B" w:rsidRDefault="00E2336B" w:rsidP="001B0EA4">
      <w:pPr>
        <w:autoSpaceDE w:val="0"/>
        <w:autoSpaceDN w:val="0"/>
        <w:spacing w:line="360" w:lineRule="auto"/>
        <w:jc w:val="both"/>
        <w:rPr>
          <w:rFonts w:ascii="MinionPro-Regular" w:hAnsi="MinionPro-Regular"/>
          <w:i/>
          <w:sz w:val="20"/>
        </w:rPr>
      </w:pPr>
    </w:p>
    <w:p w:rsidR="00E2336B" w:rsidRDefault="00E2336B" w:rsidP="001B0EA4">
      <w:pPr>
        <w:pBdr>
          <w:top w:val="single" w:sz="4" w:space="1" w:color="auto"/>
        </w:pBdr>
        <w:autoSpaceDE w:val="0"/>
        <w:autoSpaceDN w:val="0"/>
        <w:spacing w:line="360" w:lineRule="auto"/>
        <w:jc w:val="both"/>
        <w:rPr>
          <w:rFonts w:ascii="MinionPro-Regular" w:hAnsi="MinionPro-Regular"/>
          <w:sz w:val="20"/>
        </w:rPr>
      </w:pPr>
      <w:r w:rsidRPr="00B44100">
        <w:rPr>
          <w:rFonts w:ascii="MinionPro-Regular" w:hAnsi="MinionPro-Regular"/>
          <w:sz w:val="20"/>
        </w:rPr>
        <w:t>Porcentaje de personas con discapacidad ocupadas sobre el total de la población, en edades comprendidas entre 20  y 64 años.</w:t>
      </w:r>
    </w:p>
    <w:p w:rsidR="00E2336B" w:rsidRDefault="00E1516B" w:rsidP="001B0EA4">
      <w:pPr>
        <w:autoSpaceDE w:val="0"/>
        <w:autoSpaceDN w:val="0"/>
        <w:spacing w:line="360" w:lineRule="auto"/>
        <w:rPr>
          <w:rFonts w:ascii="MinionPro-Regular" w:hAnsi="MinionPro-Regular"/>
          <w:sz w:val="20"/>
          <w:lang w:val="es-ES_tradnl"/>
        </w:rPr>
      </w:pPr>
      <w:r>
        <w:rPr>
          <w:rFonts w:ascii="MinionPro-Regular" w:hAnsi="MinionPro-Regular"/>
          <w:noProof/>
          <w:sz w:val="20"/>
          <w:lang w:eastAsia="es-ES"/>
        </w:rPr>
        <w:drawing>
          <wp:inline distT="0" distB="0" distL="0" distR="0">
            <wp:extent cx="3968115" cy="2803525"/>
            <wp:effectExtent l="0" t="0" r="0" b="0"/>
            <wp:docPr id="80" name="Picture 8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4"/>
              </a:graphicData>
            </a:graphic>
          </wp:inline>
        </w:drawing>
      </w:r>
    </w:p>
    <w:p w:rsidR="00E2336B" w:rsidRDefault="00E2336B" w:rsidP="001B0EA4">
      <w:pPr>
        <w:pBdr>
          <w:bottom w:val="single" w:sz="4" w:space="1" w:color="auto"/>
        </w:pBdr>
        <w:autoSpaceDE w:val="0"/>
        <w:autoSpaceDN w:val="0"/>
        <w:spacing w:line="360" w:lineRule="auto"/>
        <w:jc w:val="both"/>
        <w:rPr>
          <w:rFonts w:ascii="MinionPro-Regular" w:hAnsi="MinionPro-Regular"/>
          <w:sz w:val="20"/>
        </w:rPr>
      </w:pPr>
      <w:r>
        <w:rPr>
          <w:rFonts w:ascii="MinionPro-Regular" w:hAnsi="MinionPro-Regular"/>
          <w:sz w:val="20"/>
        </w:rPr>
        <w:t>Fuente: E</w:t>
      </w:r>
      <w:r w:rsidRPr="00B44100">
        <w:rPr>
          <w:rFonts w:ascii="MinionPro-Regular" w:hAnsi="MinionPro-Regular"/>
          <w:sz w:val="20"/>
        </w:rPr>
        <w:t>laboración propia a partir de los datos obtenidos de Eurostat, EU-SILC 2008; EU-SILC 200.9, IDEE Indicators of  Disability Equality in Europe. ANED 2011.</w:t>
      </w:r>
    </w:p>
    <w:p w:rsidR="00E2336B" w:rsidRDefault="00E2336B" w:rsidP="001B0EA4">
      <w:pPr>
        <w:pBdr>
          <w:bottom w:val="single" w:sz="4" w:space="1" w:color="auto"/>
        </w:pBdr>
        <w:autoSpaceDE w:val="0"/>
        <w:autoSpaceDN w:val="0"/>
        <w:spacing w:line="360" w:lineRule="auto"/>
        <w:jc w:val="both"/>
        <w:rPr>
          <w:rFonts w:ascii="MinionPro-Regular" w:hAnsi="MinionPro-Regular"/>
          <w:sz w:val="20"/>
        </w:rPr>
      </w:pPr>
      <w:r w:rsidRPr="001B0FD3">
        <w:rPr>
          <w:rFonts w:ascii="MinionPro-Regular" w:hAnsi="MinionPro-Regular"/>
          <w:sz w:val="20"/>
          <w:szCs w:val="24"/>
        </w:rPr>
        <w:t>Nota explicativa de la gráfica: Eje de vertical</w:t>
      </w:r>
      <w:r>
        <w:rPr>
          <w:rFonts w:ascii="MinionPro-Regular" w:hAnsi="MinionPro-Regular"/>
          <w:sz w:val="20"/>
          <w:szCs w:val="24"/>
        </w:rPr>
        <w:t>,</w:t>
      </w:r>
      <w:r w:rsidRPr="00A030FA">
        <w:rPr>
          <w:rFonts w:ascii="MinionPro-Regular" w:hAnsi="MinionPro-Regular"/>
          <w:sz w:val="20"/>
          <w:szCs w:val="24"/>
        </w:rPr>
        <w:t xml:space="preserve"> </w:t>
      </w:r>
      <w:r>
        <w:rPr>
          <w:rFonts w:ascii="MinionPro-Regular" w:hAnsi="MinionPro-Regular"/>
          <w:sz w:val="20"/>
          <w:szCs w:val="24"/>
        </w:rPr>
        <w:t>Porcentaje</w:t>
      </w:r>
      <w:r w:rsidRPr="001B0FD3">
        <w:rPr>
          <w:rFonts w:ascii="MinionPro-Regular" w:hAnsi="MinionPro-Regular"/>
          <w:sz w:val="20"/>
          <w:szCs w:val="24"/>
        </w:rPr>
        <w:t xml:space="preserve">. Eje horizontal, </w:t>
      </w:r>
      <w:r>
        <w:rPr>
          <w:rFonts w:ascii="MinionPro-Regular" w:hAnsi="MinionPro-Regular"/>
          <w:sz w:val="20"/>
          <w:szCs w:val="24"/>
        </w:rPr>
        <w:t xml:space="preserve">Años. España en 2008 </w:t>
      </w:r>
      <w:r w:rsidRPr="001C2926">
        <w:rPr>
          <w:rFonts w:ascii="MinionPro-Regular" w:hAnsi="MinionPro-Regular"/>
          <w:sz w:val="20"/>
          <w:szCs w:val="24"/>
        </w:rPr>
        <w:t>43,7</w:t>
      </w:r>
      <w:r>
        <w:rPr>
          <w:rFonts w:ascii="MinionPro-Regular" w:hAnsi="MinionPro-Regular"/>
          <w:sz w:val="20"/>
          <w:szCs w:val="24"/>
        </w:rPr>
        <w:t xml:space="preserve">% y en 2009 </w:t>
      </w:r>
      <w:r w:rsidRPr="001C2926">
        <w:rPr>
          <w:rFonts w:ascii="MinionPro-Regular" w:hAnsi="MinionPro-Regular"/>
          <w:sz w:val="20"/>
          <w:szCs w:val="24"/>
        </w:rPr>
        <w:t>42,9</w:t>
      </w:r>
      <w:r>
        <w:rPr>
          <w:rFonts w:ascii="MinionPro-Regular" w:hAnsi="MinionPro-Regular"/>
          <w:sz w:val="20"/>
          <w:szCs w:val="24"/>
        </w:rPr>
        <w:t xml:space="preserve">%; Alemania en 2008 </w:t>
      </w:r>
      <w:r w:rsidRPr="001C2926">
        <w:rPr>
          <w:rFonts w:ascii="MinionPro-Regular" w:hAnsi="MinionPro-Regular"/>
          <w:sz w:val="20"/>
          <w:szCs w:val="24"/>
        </w:rPr>
        <w:t>54,2</w:t>
      </w:r>
      <w:r>
        <w:rPr>
          <w:rFonts w:ascii="MinionPro-Regular" w:hAnsi="MinionPro-Regular"/>
          <w:sz w:val="20"/>
          <w:szCs w:val="24"/>
        </w:rPr>
        <w:t xml:space="preserve">% y en 2009 </w:t>
      </w:r>
      <w:r w:rsidRPr="001C2926">
        <w:rPr>
          <w:rFonts w:ascii="MinionPro-Regular" w:hAnsi="MinionPro-Regular"/>
          <w:sz w:val="20"/>
          <w:szCs w:val="24"/>
        </w:rPr>
        <w:t>53,9</w:t>
      </w:r>
      <w:r w:rsidRPr="00A030FA">
        <w:rPr>
          <w:rFonts w:ascii="MinionPro-Regular" w:hAnsi="MinionPro-Regular"/>
          <w:sz w:val="20"/>
        </w:rPr>
        <w:t>%</w:t>
      </w:r>
      <w:r w:rsidRPr="00A030FA">
        <w:rPr>
          <w:rFonts w:ascii="MinionPro-Regular" w:hAnsi="MinionPro-Regular"/>
          <w:sz w:val="20"/>
          <w:szCs w:val="24"/>
        </w:rPr>
        <w:t>;</w:t>
      </w:r>
      <w:r>
        <w:rPr>
          <w:rFonts w:ascii="MinionPro-Regular" w:hAnsi="MinionPro-Regular"/>
          <w:sz w:val="20"/>
          <w:szCs w:val="24"/>
        </w:rPr>
        <w:t xml:space="preserve"> Suecia en 2008 </w:t>
      </w:r>
      <w:r w:rsidRPr="001C2926">
        <w:rPr>
          <w:rFonts w:ascii="MinionPro-Regular" w:hAnsi="MinionPro-Regular"/>
          <w:sz w:val="20"/>
          <w:szCs w:val="24"/>
        </w:rPr>
        <w:t>57,5</w:t>
      </w:r>
      <w:r>
        <w:rPr>
          <w:rFonts w:ascii="MinionPro-Regular" w:hAnsi="MinionPro-Regular"/>
          <w:sz w:val="20"/>
          <w:szCs w:val="24"/>
        </w:rPr>
        <w:t xml:space="preserve">% y en 2009 </w:t>
      </w:r>
      <w:r w:rsidRPr="001C2926">
        <w:rPr>
          <w:rFonts w:ascii="MinionPro-Regular" w:hAnsi="MinionPro-Regular"/>
          <w:sz w:val="20"/>
          <w:szCs w:val="24"/>
        </w:rPr>
        <w:t>52,8</w:t>
      </w:r>
      <w:r>
        <w:rPr>
          <w:rFonts w:ascii="MinionPro-Regular" w:hAnsi="MinionPro-Regular"/>
          <w:sz w:val="20"/>
          <w:szCs w:val="24"/>
        </w:rPr>
        <w:t xml:space="preserve">%; </w:t>
      </w:r>
      <w:r w:rsidRPr="00A030FA">
        <w:rPr>
          <w:rFonts w:ascii="MinionPro-Regular" w:hAnsi="MinionPro-Regular"/>
          <w:sz w:val="20"/>
          <w:szCs w:val="24"/>
        </w:rPr>
        <w:t xml:space="preserve">Reino Unido </w:t>
      </w:r>
      <w:r>
        <w:rPr>
          <w:rFonts w:ascii="MinionPro-Regular" w:hAnsi="MinionPro-Regular"/>
          <w:sz w:val="20"/>
          <w:szCs w:val="24"/>
        </w:rPr>
        <w:t xml:space="preserve">en 2008 </w:t>
      </w:r>
      <w:r w:rsidRPr="001C2926">
        <w:rPr>
          <w:rFonts w:ascii="MinionPro-Regular" w:hAnsi="MinionPro-Regular"/>
          <w:sz w:val="20"/>
          <w:szCs w:val="24"/>
        </w:rPr>
        <w:t>47,3</w:t>
      </w:r>
      <w:r>
        <w:rPr>
          <w:rFonts w:ascii="MinionPro-Regular" w:hAnsi="MinionPro-Regular"/>
          <w:sz w:val="20"/>
          <w:szCs w:val="24"/>
        </w:rPr>
        <w:t xml:space="preserve">% y en 2009 </w:t>
      </w:r>
      <w:r w:rsidRPr="001C2926">
        <w:rPr>
          <w:rFonts w:ascii="MinionPro-Regular" w:hAnsi="MinionPro-Regular"/>
          <w:sz w:val="20"/>
          <w:szCs w:val="24"/>
        </w:rPr>
        <w:t>44,3</w:t>
      </w:r>
      <w:r>
        <w:rPr>
          <w:rFonts w:ascii="MinionPro-Regular" w:hAnsi="MinionPro-Regular"/>
          <w:sz w:val="20"/>
          <w:szCs w:val="24"/>
        </w:rPr>
        <w:t>%; Italia</w:t>
      </w:r>
      <w:r w:rsidRPr="00A030FA">
        <w:rPr>
          <w:rFonts w:ascii="MinionPro-Regular" w:hAnsi="MinionPro-Regular"/>
          <w:sz w:val="20"/>
          <w:szCs w:val="24"/>
        </w:rPr>
        <w:t xml:space="preserve"> </w:t>
      </w:r>
      <w:r>
        <w:rPr>
          <w:rFonts w:ascii="MinionPro-Regular" w:hAnsi="MinionPro-Regular"/>
          <w:sz w:val="20"/>
          <w:szCs w:val="24"/>
        </w:rPr>
        <w:t xml:space="preserve">en 2008 </w:t>
      </w:r>
      <w:r w:rsidRPr="001C2926">
        <w:rPr>
          <w:rFonts w:ascii="MinionPro-Regular" w:hAnsi="MinionPro-Regular"/>
          <w:sz w:val="20"/>
          <w:szCs w:val="24"/>
        </w:rPr>
        <w:t>45,7</w:t>
      </w:r>
      <w:r>
        <w:rPr>
          <w:rFonts w:ascii="MinionPro-Regular" w:hAnsi="MinionPro-Regular"/>
          <w:sz w:val="20"/>
          <w:szCs w:val="24"/>
        </w:rPr>
        <w:t xml:space="preserve">% y en 2009 </w:t>
      </w:r>
      <w:r w:rsidRPr="001C2926">
        <w:rPr>
          <w:rFonts w:ascii="MinionPro-Regular" w:hAnsi="MinionPro-Regular"/>
          <w:sz w:val="20"/>
          <w:szCs w:val="24"/>
        </w:rPr>
        <w:t>44,7</w:t>
      </w:r>
      <w:r>
        <w:rPr>
          <w:rFonts w:ascii="MinionPro-Regular" w:hAnsi="MinionPro-Regular"/>
          <w:sz w:val="20"/>
          <w:szCs w:val="24"/>
        </w:rPr>
        <w:t>%.</w:t>
      </w:r>
    </w:p>
    <w:p w:rsidR="00E2336B" w:rsidRDefault="00E2336B" w:rsidP="001B0EA4">
      <w:pPr>
        <w:autoSpaceDE w:val="0"/>
        <w:autoSpaceDN w:val="0"/>
        <w:spacing w:line="360" w:lineRule="auto"/>
        <w:jc w:val="both"/>
        <w:rPr>
          <w:rFonts w:ascii="MinionPro-Regular" w:hAnsi="MinionPro-Regular"/>
          <w:sz w:val="24"/>
          <w:szCs w:val="24"/>
        </w:rPr>
      </w:pPr>
    </w:p>
    <w:p w:rsidR="00E2336B" w:rsidRDefault="00E2336B" w:rsidP="001B0EA4">
      <w:pPr>
        <w:autoSpaceDE w:val="0"/>
        <w:autoSpaceDN w:val="0"/>
        <w:spacing w:line="360" w:lineRule="auto"/>
        <w:jc w:val="both"/>
        <w:rPr>
          <w:rFonts w:ascii="MinionPro-Regular" w:hAnsi="MinionPro-Regular"/>
          <w:sz w:val="24"/>
          <w:szCs w:val="24"/>
        </w:rPr>
      </w:pPr>
    </w:p>
    <w:p w:rsidR="00E2336B" w:rsidRDefault="00E2336B" w:rsidP="001B0EA4">
      <w:pPr>
        <w:autoSpaceDE w:val="0"/>
        <w:autoSpaceDN w:val="0"/>
        <w:spacing w:line="360" w:lineRule="auto"/>
        <w:jc w:val="both"/>
        <w:rPr>
          <w:rFonts w:ascii="MinionPro-Regular" w:hAnsi="MinionPro-Regular"/>
          <w:sz w:val="24"/>
          <w:szCs w:val="24"/>
        </w:rPr>
      </w:pPr>
    </w:p>
    <w:p w:rsidR="00E2336B" w:rsidRDefault="00E2336B" w:rsidP="001B0EA4">
      <w:pPr>
        <w:autoSpaceDE w:val="0"/>
        <w:autoSpaceDN w:val="0"/>
        <w:spacing w:line="360" w:lineRule="auto"/>
        <w:jc w:val="both"/>
        <w:rPr>
          <w:rFonts w:ascii="MinionPro-Regular" w:hAnsi="MinionPro-Regular"/>
          <w:sz w:val="24"/>
          <w:szCs w:val="24"/>
        </w:rPr>
      </w:pPr>
    </w:p>
    <w:p w:rsidR="00E2336B" w:rsidRDefault="00E2336B" w:rsidP="001B0EA4">
      <w:pPr>
        <w:autoSpaceDE w:val="0"/>
        <w:autoSpaceDN w:val="0"/>
        <w:spacing w:line="360" w:lineRule="auto"/>
        <w:jc w:val="both"/>
        <w:rPr>
          <w:rFonts w:ascii="MinionPro-Regular" w:hAnsi="MinionPro-Regular"/>
          <w:sz w:val="24"/>
          <w:szCs w:val="24"/>
        </w:rPr>
      </w:pPr>
    </w:p>
    <w:p w:rsidR="00E2336B" w:rsidRDefault="00E2336B" w:rsidP="001B0EA4">
      <w:pPr>
        <w:autoSpaceDE w:val="0"/>
        <w:autoSpaceDN w:val="0"/>
        <w:spacing w:line="360" w:lineRule="auto"/>
        <w:jc w:val="both"/>
        <w:rPr>
          <w:rFonts w:ascii="Arial" w:hAnsi="Arial" w:cs="Arial"/>
          <w:sz w:val="20"/>
        </w:rPr>
      </w:pPr>
    </w:p>
    <w:p w:rsidR="00E2336B" w:rsidRDefault="00E2336B" w:rsidP="001B0EA4">
      <w:pPr>
        <w:autoSpaceDE w:val="0"/>
        <w:autoSpaceDN w:val="0"/>
        <w:spacing w:line="360" w:lineRule="auto"/>
        <w:jc w:val="both"/>
        <w:rPr>
          <w:rFonts w:ascii="Arial" w:hAnsi="Arial" w:cs="Arial"/>
          <w:sz w:val="20"/>
        </w:rPr>
      </w:pPr>
    </w:p>
    <w:p w:rsidR="00E2336B" w:rsidRDefault="00E2336B" w:rsidP="001B0EA4">
      <w:pPr>
        <w:autoSpaceDE w:val="0"/>
        <w:autoSpaceDN w:val="0"/>
        <w:spacing w:line="360" w:lineRule="auto"/>
        <w:jc w:val="both"/>
        <w:rPr>
          <w:rFonts w:ascii="Arial" w:hAnsi="Arial" w:cs="Arial"/>
          <w:sz w:val="20"/>
        </w:rPr>
      </w:pPr>
    </w:p>
    <w:p w:rsidR="00E2336B" w:rsidRDefault="00E2336B" w:rsidP="001B0EA4">
      <w:pPr>
        <w:autoSpaceDE w:val="0"/>
        <w:autoSpaceDN w:val="0"/>
        <w:spacing w:line="360" w:lineRule="auto"/>
        <w:jc w:val="both"/>
        <w:rPr>
          <w:rFonts w:ascii="Arial" w:hAnsi="Arial" w:cs="Arial"/>
          <w:sz w:val="20"/>
        </w:rPr>
      </w:pPr>
    </w:p>
    <w:p w:rsidR="00E2336B" w:rsidRDefault="00E2336B" w:rsidP="001B0EA4">
      <w:pPr>
        <w:autoSpaceDE w:val="0"/>
        <w:autoSpaceDN w:val="0"/>
        <w:spacing w:line="360" w:lineRule="auto"/>
        <w:jc w:val="both"/>
        <w:rPr>
          <w:rFonts w:ascii="Arial" w:hAnsi="Arial" w:cs="Arial"/>
          <w:sz w:val="20"/>
        </w:rPr>
      </w:pPr>
    </w:p>
    <w:p w:rsidR="00E2336B" w:rsidRDefault="00E2336B" w:rsidP="001B0EA4">
      <w:pPr>
        <w:autoSpaceDE w:val="0"/>
        <w:autoSpaceDN w:val="0"/>
        <w:spacing w:line="360" w:lineRule="auto"/>
        <w:jc w:val="both"/>
        <w:rPr>
          <w:rFonts w:ascii="Arial" w:hAnsi="Arial" w:cs="Arial"/>
          <w:sz w:val="20"/>
        </w:rPr>
      </w:pPr>
    </w:p>
    <w:p w:rsidR="00E2336B" w:rsidRDefault="00E2336B" w:rsidP="001B0EA4">
      <w:pPr>
        <w:autoSpaceDE w:val="0"/>
        <w:autoSpaceDN w:val="0"/>
        <w:spacing w:line="360" w:lineRule="auto"/>
        <w:jc w:val="both"/>
        <w:rPr>
          <w:rFonts w:ascii="Arial" w:hAnsi="Arial" w:cs="Arial"/>
          <w:sz w:val="20"/>
        </w:rPr>
      </w:pPr>
    </w:p>
    <w:p w:rsidR="00E2336B" w:rsidRDefault="00E2336B" w:rsidP="001B0EA4">
      <w:pPr>
        <w:autoSpaceDE w:val="0"/>
        <w:autoSpaceDN w:val="0"/>
        <w:spacing w:line="360" w:lineRule="auto"/>
        <w:jc w:val="both"/>
        <w:rPr>
          <w:rFonts w:ascii="Arial" w:hAnsi="Arial" w:cs="Arial"/>
          <w:sz w:val="20"/>
        </w:rPr>
      </w:pPr>
    </w:p>
    <w:p w:rsidR="00E2336B" w:rsidRDefault="00E2336B" w:rsidP="001B0EA4">
      <w:pPr>
        <w:pBdr>
          <w:top w:val="single" w:sz="4" w:space="1" w:color="auto"/>
        </w:pBdr>
        <w:autoSpaceDE w:val="0"/>
        <w:autoSpaceDN w:val="0"/>
        <w:spacing w:line="360" w:lineRule="auto"/>
        <w:jc w:val="both"/>
        <w:rPr>
          <w:rFonts w:ascii="MinionPro-Regular" w:hAnsi="MinionPro-Regular"/>
          <w:sz w:val="20"/>
        </w:rPr>
      </w:pPr>
      <w:r w:rsidRPr="00B44100">
        <w:rPr>
          <w:rFonts w:ascii="MinionPro-Regular" w:hAnsi="MinionPro-Regular"/>
          <w:sz w:val="20"/>
        </w:rPr>
        <w:t>Porcentaje de personas sin discapacidad ocupadas sobre el total de la población, en edades comprendidas entre 20  y 64 años. Comparativa y evolución durante los años 2008 y 2009.</w:t>
      </w:r>
    </w:p>
    <w:p w:rsidR="00E2336B" w:rsidRDefault="00E1516B" w:rsidP="001B0EA4">
      <w:pPr>
        <w:autoSpaceDE w:val="0"/>
        <w:autoSpaceDN w:val="0"/>
        <w:spacing w:line="360" w:lineRule="auto"/>
        <w:rPr>
          <w:rFonts w:ascii="MinionPro-Regular" w:hAnsi="MinionPro-Regular"/>
          <w:sz w:val="20"/>
          <w:lang w:val="es-ES_tradnl"/>
        </w:rPr>
      </w:pPr>
      <w:r>
        <w:rPr>
          <w:rFonts w:ascii="MinionPro-Regular" w:hAnsi="MinionPro-Regular"/>
          <w:noProof/>
          <w:sz w:val="20"/>
          <w:lang w:eastAsia="es-ES"/>
        </w:rPr>
        <w:drawing>
          <wp:inline distT="0" distB="0" distL="0" distR="0">
            <wp:extent cx="4270375" cy="2320290"/>
            <wp:effectExtent l="0" t="0" r="0" b="0"/>
            <wp:docPr id="81" name="Picture 8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5"/>
              </a:graphicData>
            </a:graphic>
          </wp:inline>
        </w:drawing>
      </w:r>
    </w:p>
    <w:p w:rsidR="00E2336B" w:rsidRDefault="00E2336B" w:rsidP="001B0EA4">
      <w:pPr>
        <w:pBdr>
          <w:bottom w:val="single" w:sz="4" w:space="1" w:color="auto"/>
        </w:pBdr>
        <w:autoSpaceDE w:val="0"/>
        <w:autoSpaceDN w:val="0"/>
        <w:spacing w:line="360" w:lineRule="auto"/>
        <w:jc w:val="both"/>
        <w:rPr>
          <w:rFonts w:ascii="MinionPro-Regular" w:hAnsi="MinionPro-Regular"/>
          <w:sz w:val="20"/>
        </w:rPr>
      </w:pPr>
      <w:r>
        <w:rPr>
          <w:rFonts w:ascii="MinionPro-Regular" w:hAnsi="MinionPro-Regular"/>
          <w:sz w:val="20"/>
        </w:rPr>
        <w:t>Fuente: E</w:t>
      </w:r>
      <w:r w:rsidRPr="00B44100">
        <w:rPr>
          <w:rFonts w:ascii="MinionPro-Regular" w:hAnsi="MinionPro-Regular"/>
          <w:sz w:val="20"/>
        </w:rPr>
        <w:t>laboración propia a partir de los datos obtenidos de Eurostat, EU-SILC 2008; EU-SILC 200.9, IDEE Indicators of  Disability Equality in Europe. ANED 2011.</w:t>
      </w:r>
    </w:p>
    <w:p w:rsidR="00E2336B" w:rsidRDefault="00E2336B" w:rsidP="001B0EA4">
      <w:pPr>
        <w:pBdr>
          <w:bottom w:val="single" w:sz="4" w:space="1" w:color="auto"/>
        </w:pBdr>
        <w:autoSpaceDE w:val="0"/>
        <w:autoSpaceDN w:val="0"/>
        <w:spacing w:line="360" w:lineRule="auto"/>
        <w:jc w:val="both"/>
        <w:rPr>
          <w:rFonts w:ascii="MinionPro-Regular" w:hAnsi="MinionPro-Regular"/>
          <w:sz w:val="20"/>
        </w:rPr>
      </w:pPr>
      <w:r w:rsidRPr="001B0FD3">
        <w:rPr>
          <w:rFonts w:ascii="MinionPro-Regular" w:hAnsi="MinionPro-Regular"/>
          <w:sz w:val="20"/>
          <w:szCs w:val="24"/>
        </w:rPr>
        <w:t>Nota explicativa de la gráfica: Eje de vertical</w:t>
      </w:r>
      <w:r>
        <w:rPr>
          <w:rFonts w:ascii="MinionPro-Regular" w:hAnsi="MinionPro-Regular"/>
          <w:sz w:val="20"/>
          <w:szCs w:val="24"/>
        </w:rPr>
        <w:t>,</w:t>
      </w:r>
      <w:r w:rsidRPr="00A030FA">
        <w:rPr>
          <w:rFonts w:ascii="MinionPro-Regular" w:hAnsi="MinionPro-Regular"/>
          <w:sz w:val="20"/>
          <w:szCs w:val="24"/>
        </w:rPr>
        <w:t xml:space="preserve"> </w:t>
      </w:r>
      <w:r>
        <w:rPr>
          <w:rFonts w:ascii="MinionPro-Regular" w:hAnsi="MinionPro-Regular"/>
          <w:sz w:val="20"/>
          <w:szCs w:val="24"/>
        </w:rPr>
        <w:t>Porcentaje</w:t>
      </w:r>
      <w:r w:rsidRPr="001B0FD3">
        <w:rPr>
          <w:rFonts w:ascii="MinionPro-Regular" w:hAnsi="MinionPro-Regular"/>
          <w:sz w:val="20"/>
          <w:szCs w:val="24"/>
        </w:rPr>
        <w:t xml:space="preserve">. Eje horizontal, </w:t>
      </w:r>
      <w:r>
        <w:rPr>
          <w:rFonts w:ascii="MinionPro-Regular" w:hAnsi="MinionPro-Regular"/>
          <w:sz w:val="20"/>
          <w:szCs w:val="24"/>
        </w:rPr>
        <w:t xml:space="preserve">Años. España en 2008 </w:t>
      </w:r>
      <w:r w:rsidRPr="001C2926">
        <w:rPr>
          <w:rFonts w:ascii="MinionPro-Regular" w:hAnsi="MinionPro-Regular"/>
          <w:sz w:val="20"/>
          <w:szCs w:val="24"/>
        </w:rPr>
        <w:t>72,9</w:t>
      </w:r>
      <w:r>
        <w:rPr>
          <w:rFonts w:ascii="MinionPro-Regular" w:hAnsi="MinionPro-Regular"/>
          <w:sz w:val="20"/>
          <w:szCs w:val="24"/>
        </w:rPr>
        <w:t xml:space="preserve">% y en 2009 </w:t>
      </w:r>
      <w:r w:rsidRPr="001C2926">
        <w:rPr>
          <w:rFonts w:ascii="MinionPro-Regular" w:hAnsi="MinionPro-Regular"/>
          <w:sz w:val="20"/>
          <w:szCs w:val="24"/>
        </w:rPr>
        <w:t>67,9</w:t>
      </w:r>
      <w:r>
        <w:rPr>
          <w:rFonts w:ascii="MinionPro-Regular" w:hAnsi="MinionPro-Regular"/>
          <w:sz w:val="20"/>
          <w:szCs w:val="24"/>
        </w:rPr>
        <w:t xml:space="preserve">%; Alemania en 2008 </w:t>
      </w:r>
      <w:r w:rsidRPr="001C2926">
        <w:rPr>
          <w:rFonts w:ascii="MinionPro-Regular" w:hAnsi="MinionPro-Regular"/>
          <w:sz w:val="20"/>
          <w:szCs w:val="24"/>
        </w:rPr>
        <w:t>76,8</w:t>
      </w:r>
      <w:r>
        <w:rPr>
          <w:rFonts w:ascii="MinionPro-Regular" w:hAnsi="MinionPro-Regular"/>
          <w:sz w:val="20"/>
          <w:szCs w:val="24"/>
        </w:rPr>
        <w:t xml:space="preserve">% y en 2009 </w:t>
      </w:r>
      <w:r w:rsidRPr="001C2926">
        <w:rPr>
          <w:rFonts w:ascii="MinionPro-Regular" w:hAnsi="MinionPro-Regular"/>
          <w:sz w:val="20"/>
          <w:szCs w:val="24"/>
        </w:rPr>
        <w:t>76,4</w:t>
      </w:r>
      <w:r w:rsidRPr="00A030FA">
        <w:rPr>
          <w:rFonts w:ascii="MinionPro-Regular" w:hAnsi="MinionPro-Regular"/>
          <w:sz w:val="20"/>
        </w:rPr>
        <w:t>%</w:t>
      </w:r>
      <w:r w:rsidRPr="00A030FA">
        <w:rPr>
          <w:rFonts w:ascii="MinionPro-Regular" w:hAnsi="MinionPro-Regular"/>
          <w:sz w:val="20"/>
          <w:szCs w:val="24"/>
        </w:rPr>
        <w:t>;</w:t>
      </w:r>
      <w:r>
        <w:rPr>
          <w:rFonts w:ascii="MinionPro-Regular" w:hAnsi="MinionPro-Regular"/>
          <w:sz w:val="20"/>
          <w:szCs w:val="24"/>
        </w:rPr>
        <w:t xml:space="preserve"> Suecia en 2008 </w:t>
      </w:r>
      <w:r w:rsidRPr="001C2926">
        <w:rPr>
          <w:rFonts w:ascii="MinionPro-Regular" w:hAnsi="MinionPro-Regular"/>
          <w:sz w:val="20"/>
          <w:szCs w:val="24"/>
        </w:rPr>
        <w:t>84,5</w:t>
      </w:r>
      <w:r>
        <w:rPr>
          <w:rFonts w:ascii="MinionPro-Regular" w:hAnsi="MinionPro-Regular"/>
          <w:sz w:val="20"/>
          <w:szCs w:val="24"/>
        </w:rPr>
        <w:t xml:space="preserve">% y en 2009 </w:t>
      </w:r>
      <w:r w:rsidRPr="001C2926">
        <w:rPr>
          <w:rFonts w:ascii="MinionPro-Regular" w:hAnsi="MinionPro-Regular"/>
          <w:sz w:val="20"/>
          <w:szCs w:val="24"/>
        </w:rPr>
        <w:t>82,6</w:t>
      </w:r>
      <w:r>
        <w:rPr>
          <w:rFonts w:ascii="MinionPro-Regular" w:hAnsi="MinionPro-Regular"/>
          <w:sz w:val="20"/>
          <w:szCs w:val="24"/>
        </w:rPr>
        <w:t xml:space="preserve">%; </w:t>
      </w:r>
      <w:r w:rsidRPr="00A030FA">
        <w:rPr>
          <w:rFonts w:ascii="MinionPro-Regular" w:hAnsi="MinionPro-Regular"/>
          <w:sz w:val="20"/>
          <w:szCs w:val="24"/>
        </w:rPr>
        <w:t xml:space="preserve">Reino Unido </w:t>
      </w:r>
      <w:r>
        <w:rPr>
          <w:rFonts w:ascii="MinionPro-Regular" w:hAnsi="MinionPro-Regular"/>
          <w:sz w:val="20"/>
          <w:szCs w:val="24"/>
        </w:rPr>
        <w:t xml:space="preserve">en 2008 </w:t>
      </w:r>
      <w:r w:rsidRPr="001C2926">
        <w:rPr>
          <w:rFonts w:ascii="MinionPro-Regular" w:hAnsi="MinionPro-Regular"/>
          <w:sz w:val="20"/>
          <w:szCs w:val="24"/>
        </w:rPr>
        <w:t>81,3</w:t>
      </w:r>
      <w:r>
        <w:rPr>
          <w:rFonts w:ascii="MinionPro-Regular" w:hAnsi="MinionPro-Regular"/>
          <w:sz w:val="20"/>
          <w:szCs w:val="24"/>
        </w:rPr>
        <w:t xml:space="preserve">% y en 2009 </w:t>
      </w:r>
      <w:r w:rsidRPr="001C2926">
        <w:rPr>
          <w:rFonts w:ascii="MinionPro-Regular" w:hAnsi="MinionPro-Regular"/>
          <w:sz w:val="20"/>
          <w:szCs w:val="24"/>
        </w:rPr>
        <w:t>79,5</w:t>
      </w:r>
      <w:r>
        <w:rPr>
          <w:rFonts w:ascii="MinionPro-Regular" w:hAnsi="MinionPro-Regular"/>
          <w:sz w:val="20"/>
          <w:szCs w:val="24"/>
        </w:rPr>
        <w:t>%; Italia</w:t>
      </w:r>
      <w:r w:rsidRPr="00A030FA">
        <w:rPr>
          <w:rFonts w:ascii="MinionPro-Regular" w:hAnsi="MinionPro-Regular"/>
          <w:sz w:val="20"/>
          <w:szCs w:val="24"/>
        </w:rPr>
        <w:t xml:space="preserve"> </w:t>
      </w:r>
      <w:r>
        <w:rPr>
          <w:rFonts w:ascii="MinionPro-Regular" w:hAnsi="MinionPro-Regular"/>
          <w:sz w:val="20"/>
          <w:szCs w:val="24"/>
        </w:rPr>
        <w:t xml:space="preserve">en 2008 </w:t>
      </w:r>
      <w:r w:rsidRPr="001C2926">
        <w:rPr>
          <w:rFonts w:ascii="MinionPro-Regular" w:hAnsi="MinionPro-Regular"/>
          <w:sz w:val="20"/>
          <w:szCs w:val="24"/>
        </w:rPr>
        <w:t>65,9</w:t>
      </w:r>
      <w:r>
        <w:rPr>
          <w:rFonts w:ascii="MinionPro-Regular" w:hAnsi="MinionPro-Regular"/>
          <w:sz w:val="20"/>
          <w:szCs w:val="24"/>
        </w:rPr>
        <w:t xml:space="preserve">% y en 2009 </w:t>
      </w:r>
      <w:r w:rsidRPr="001C2926">
        <w:rPr>
          <w:rFonts w:ascii="MinionPro-Regular" w:hAnsi="MinionPro-Regular"/>
          <w:sz w:val="20"/>
          <w:szCs w:val="24"/>
        </w:rPr>
        <w:t>64,0</w:t>
      </w:r>
      <w:r>
        <w:rPr>
          <w:rFonts w:ascii="MinionPro-Regular" w:hAnsi="MinionPro-Regular"/>
          <w:sz w:val="20"/>
          <w:szCs w:val="24"/>
        </w:rPr>
        <w:t>%.</w:t>
      </w:r>
    </w:p>
    <w:p w:rsidR="00E2336B" w:rsidRDefault="00E2336B" w:rsidP="001B0EA4">
      <w:pPr>
        <w:autoSpaceDE w:val="0"/>
        <w:autoSpaceDN w:val="0"/>
        <w:spacing w:line="360" w:lineRule="auto"/>
        <w:jc w:val="both"/>
        <w:rPr>
          <w:rFonts w:ascii="MinionPro-Regular" w:hAnsi="MinionPro-Regular"/>
          <w:sz w:val="24"/>
          <w:szCs w:val="24"/>
        </w:rPr>
      </w:pPr>
    </w:p>
    <w:p w:rsidR="00E2336B" w:rsidRDefault="00E2336B" w:rsidP="001B0EA4">
      <w:pPr>
        <w:pBdr>
          <w:top w:val="single" w:sz="4" w:space="1" w:color="auto"/>
        </w:pBdr>
        <w:autoSpaceDE w:val="0"/>
        <w:autoSpaceDN w:val="0"/>
        <w:spacing w:line="360" w:lineRule="auto"/>
        <w:jc w:val="both"/>
        <w:rPr>
          <w:rFonts w:ascii="MinionPro-Regular" w:hAnsi="MinionPro-Regular"/>
          <w:sz w:val="20"/>
        </w:rPr>
      </w:pPr>
      <w:r w:rsidRPr="00B44100">
        <w:rPr>
          <w:rFonts w:ascii="MinionPro-Regular" w:hAnsi="MinionPro-Regular"/>
          <w:sz w:val="20"/>
        </w:rPr>
        <w:t xml:space="preserve">Diferencial del porcentaje de personas con discapacidad y sin discapacidad ocupadas sobre el total de la población, en edades comprendidas entre </w:t>
      </w:r>
      <w:r>
        <w:rPr>
          <w:rFonts w:ascii="MinionPro-Regular" w:hAnsi="MinionPro-Regular"/>
          <w:sz w:val="20"/>
        </w:rPr>
        <w:t xml:space="preserve">los </w:t>
      </w:r>
      <w:r w:rsidRPr="00B44100">
        <w:rPr>
          <w:rFonts w:ascii="MinionPro-Regular" w:hAnsi="MinionPro-Regular"/>
          <w:sz w:val="20"/>
        </w:rPr>
        <w:t xml:space="preserve">20 y 64 años. </w:t>
      </w:r>
    </w:p>
    <w:p w:rsidR="00E2336B" w:rsidRPr="00862654" w:rsidRDefault="00E1516B" w:rsidP="001B0EA4">
      <w:pPr>
        <w:autoSpaceDE w:val="0"/>
        <w:autoSpaceDN w:val="0"/>
        <w:spacing w:line="360" w:lineRule="auto"/>
        <w:jc w:val="both"/>
        <w:rPr>
          <w:rFonts w:ascii="MinionPro-Regular" w:hAnsi="MinionPro-Regular"/>
          <w:sz w:val="20"/>
        </w:rPr>
      </w:pPr>
      <w:r>
        <w:rPr>
          <w:rFonts w:ascii="MinionPro-Regular" w:hAnsi="MinionPro-Regular"/>
          <w:noProof/>
          <w:sz w:val="20"/>
          <w:lang w:eastAsia="es-ES"/>
        </w:rPr>
        <w:lastRenderedPageBreak/>
        <w:drawing>
          <wp:inline distT="0" distB="0" distL="0" distR="0">
            <wp:extent cx="4356100" cy="2605405"/>
            <wp:effectExtent l="0" t="0" r="0" b="0"/>
            <wp:docPr id="82" name="Picture 8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6"/>
              </a:graphicData>
            </a:graphic>
          </wp:inline>
        </w:drawing>
      </w:r>
    </w:p>
    <w:p w:rsidR="00E2336B" w:rsidRDefault="00E2336B" w:rsidP="001B0EA4">
      <w:pPr>
        <w:pBdr>
          <w:bottom w:val="single" w:sz="4" w:space="1" w:color="auto"/>
        </w:pBdr>
        <w:autoSpaceDE w:val="0"/>
        <w:autoSpaceDN w:val="0"/>
        <w:spacing w:line="360" w:lineRule="auto"/>
        <w:jc w:val="both"/>
        <w:rPr>
          <w:rFonts w:ascii="MinionPro-Regular" w:hAnsi="MinionPro-Regular"/>
          <w:sz w:val="20"/>
        </w:rPr>
      </w:pPr>
      <w:r>
        <w:rPr>
          <w:rFonts w:ascii="MinionPro-Regular" w:hAnsi="MinionPro-Regular"/>
          <w:sz w:val="20"/>
        </w:rPr>
        <w:t>Fuente: E</w:t>
      </w:r>
      <w:r w:rsidRPr="00B44100">
        <w:rPr>
          <w:rFonts w:ascii="MinionPro-Regular" w:hAnsi="MinionPro-Regular"/>
          <w:sz w:val="20"/>
        </w:rPr>
        <w:t>laboración propia a partir de los datos obtenidos de Eurostat, EU-SILC 2008; EU-SILC 200.9, IDEE Indicators of  Disability Equality in Europe. ANED 2011.</w:t>
      </w:r>
    </w:p>
    <w:p w:rsidR="00E2336B" w:rsidRDefault="00E2336B" w:rsidP="001B0EA4">
      <w:pPr>
        <w:pBdr>
          <w:bottom w:val="single" w:sz="4" w:space="1" w:color="auto"/>
        </w:pBdr>
        <w:autoSpaceDE w:val="0"/>
        <w:autoSpaceDN w:val="0"/>
        <w:spacing w:line="360" w:lineRule="auto"/>
        <w:jc w:val="both"/>
        <w:rPr>
          <w:rFonts w:ascii="MinionPro-Regular" w:hAnsi="MinionPro-Regular"/>
          <w:sz w:val="20"/>
        </w:rPr>
      </w:pPr>
    </w:p>
    <w:p w:rsidR="00E2336B" w:rsidRDefault="00E2336B" w:rsidP="001B0EA4">
      <w:pPr>
        <w:pBdr>
          <w:bottom w:val="single" w:sz="4" w:space="1" w:color="auto"/>
        </w:pBdr>
        <w:autoSpaceDE w:val="0"/>
        <w:autoSpaceDN w:val="0"/>
        <w:spacing w:line="360" w:lineRule="auto"/>
        <w:jc w:val="both"/>
        <w:rPr>
          <w:rFonts w:ascii="MinionPro-Regular" w:hAnsi="MinionPro-Regular"/>
          <w:sz w:val="24"/>
          <w:szCs w:val="24"/>
          <w:lang w:val="es-ES_tradnl"/>
        </w:rPr>
      </w:pPr>
      <w:r w:rsidRPr="001B0FD3">
        <w:rPr>
          <w:rFonts w:ascii="MinionPro-Regular" w:hAnsi="MinionPro-Regular"/>
          <w:sz w:val="20"/>
          <w:szCs w:val="24"/>
        </w:rPr>
        <w:t>Nota explicativa de la gráfica: Eje de vertical</w:t>
      </w:r>
      <w:r>
        <w:rPr>
          <w:rFonts w:ascii="MinionPro-Regular" w:hAnsi="MinionPro-Regular"/>
          <w:sz w:val="20"/>
          <w:szCs w:val="24"/>
        </w:rPr>
        <w:t>,</w:t>
      </w:r>
      <w:r w:rsidRPr="00A030FA">
        <w:rPr>
          <w:rFonts w:ascii="MinionPro-Regular" w:hAnsi="MinionPro-Regular"/>
          <w:sz w:val="20"/>
          <w:szCs w:val="24"/>
        </w:rPr>
        <w:t xml:space="preserve"> </w:t>
      </w:r>
      <w:r>
        <w:rPr>
          <w:rFonts w:ascii="MinionPro-Regular" w:hAnsi="MinionPro-Regular"/>
          <w:sz w:val="20"/>
          <w:szCs w:val="24"/>
        </w:rPr>
        <w:t>Porcentaje</w:t>
      </w:r>
      <w:r w:rsidRPr="001B0FD3">
        <w:rPr>
          <w:rFonts w:ascii="MinionPro-Regular" w:hAnsi="MinionPro-Regular"/>
          <w:sz w:val="20"/>
          <w:szCs w:val="24"/>
        </w:rPr>
        <w:t xml:space="preserve">. Eje horizontal, </w:t>
      </w:r>
      <w:r>
        <w:rPr>
          <w:rFonts w:ascii="MinionPro-Regular" w:hAnsi="MinionPro-Regular"/>
          <w:sz w:val="20"/>
          <w:szCs w:val="24"/>
        </w:rPr>
        <w:t xml:space="preserve">Años. España en 2008 </w:t>
      </w:r>
      <w:r w:rsidRPr="001C2926">
        <w:rPr>
          <w:rFonts w:ascii="MinionPro-Regular" w:hAnsi="MinionPro-Regular"/>
          <w:sz w:val="20"/>
          <w:szCs w:val="24"/>
        </w:rPr>
        <w:t>29,2</w:t>
      </w:r>
      <w:r>
        <w:rPr>
          <w:rFonts w:ascii="MinionPro-Regular" w:hAnsi="MinionPro-Regular"/>
          <w:sz w:val="20"/>
          <w:szCs w:val="24"/>
        </w:rPr>
        <w:t xml:space="preserve">% y en 2009 </w:t>
      </w:r>
      <w:r w:rsidRPr="001C2926">
        <w:rPr>
          <w:rFonts w:ascii="MinionPro-Regular" w:hAnsi="MinionPro-Regular"/>
          <w:sz w:val="20"/>
          <w:szCs w:val="24"/>
        </w:rPr>
        <w:t>25,0</w:t>
      </w:r>
      <w:r>
        <w:rPr>
          <w:rFonts w:ascii="MinionPro-Regular" w:hAnsi="MinionPro-Regular"/>
          <w:sz w:val="20"/>
          <w:szCs w:val="24"/>
        </w:rPr>
        <w:t xml:space="preserve">%; Alemania en 2008 </w:t>
      </w:r>
      <w:r w:rsidRPr="001C2926">
        <w:rPr>
          <w:rFonts w:ascii="MinionPro-Regular" w:hAnsi="MinionPro-Regular"/>
          <w:sz w:val="20"/>
          <w:szCs w:val="24"/>
        </w:rPr>
        <w:t>22,6</w:t>
      </w:r>
      <w:r>
        <w:rPr>
          <w:rFonts w:ascii="MinionPro-Regular" w:hAnsi="MinionPro-Regular"/>
          <w:sz w:val="20"/>
          <w:szCs w:val="24"/>
        </w:rPr>
        <w:t xml:space="preserve">% y en 2009 </w:t>
      </w:r>
      <w:r w:rsidRPr="001C2926">
        <w:rPr>
          <w:rFonts w:ascii="MinionPro-Regular" w:hAnsi="MinionPro-Regular"/>
          <w:sz w:val="20"/>
          <w:szCs w:val="24"/>
        </w:rPr>
        <w:t>22,5</w:t>
      </w:r>
      <w:r w:rsidRPr="00A030FA">
        <w:rPr>
          <w:rFonts w:ascii="MinionPro-Regular" w:hAnsi="MinionPro-Regular"/>
          <w:sz w:val="20"/>
        </w:rPr>
        <w:t>%</w:t>
      </w:r>
      <w:r w:rsidRPr="00A030FA">
        <w:rPr>
          <w:rFonts w:ascii="MinionPro-Regular" w:hAnsi="MinionPro-Regular"/>
          <w:sz w:val="20"/>
          <w:szCs w:val="24"/>
        </w:rPr>
        <w:t>;</w:t>
      </w:r>
      <w:r>
        <w:rPr>
          <w:rFonts w:ascii="MinionPro-Regular" w:hAnsi="MinionPro-Regular"/>
          <w:sz w:val="20"/>
          <w:szCs w:val="24"/>
        </w:rPr>
        <w:t xml:space="preserve"> Suecia en 2008 </w:t>
      </w:r>
      <w:r w:rsidRPr="001C2926">
        <w:rPr>
          <w:rFonts w:ascii="MinionPro-Regular" w:hAnsi="MinionPro-Regular"/>
          <w:sz w:val="20"/>
          <w:szCs w:val="24"/>
        </w:rPr>
        <w:t>27,0</w:t>
      </w:r>
      <w:r>
        <w:rPr>
          <w:rFonts w:ascii="MinionPro-Regular" w:hAnsi="MinionPro-Regular"/>
          <w:sz w:val="20"/>
          <w:szCs w:val="24"/>
        </w:rPr>
        <w:t xml:space="preserve">% y en 2009 </w:t>
      </w:r>
      <w:r w:rsidRPr="001C2926">
        <w:rPr>
          <w:rFonts w:ascii="MinionPro-Regular" w:hAnsi="MinionPro-Regular"/>
          <w:sz w:val="20"/>
          <w:szCs w:val="24"/>
        </w:rPr>
        <w:t>29,8</w:t>
      </w:r>
      <w:r>
        <w:rPr>
          <w:rFonts w:ascii="MinionPro-Regular" w:hAnsi="MinionPro-Regular"/>
          <w:sz w:val="20"/>
          <w:szCs w:val="24"/>
        </w:rPr>
        <w:t xml:space="preserve">%; </w:t>
      </w:r>
      <w:r w:rsidRPr="00A030FA">
        <w:rPr>
          <w:rFonts w:ascii="MinionPro-Regular" w:hAnsi="MinionPro-Regular"/>
          <w:sz w:val="20"/>
          <w:szCs w:val="24"/>
        </w:rPr>
        <w:t xml:space="preserve">Reino Unido </w:t>
      </w:r>
      <w:r>
        <w:rPr>
          <w:rFonts w:ascii="MinionPro-Regular" w:hAnsi="MinionPro-Regular"/>
          <w:sz w:val="20"/>
          <w:szCs w:val="24"/>
        </w:rPr>
        <w:t xml:space="preserve">en 2008 </w:t>
      </w:r>
      <w:r w:rsidRPr="001C2926">
        <w:rPr>
          <w:rFonts w:ascii="MinionPro-Regular" w:hAnsi="MinionPro-Regular"/>
          <w:sz w:val="20"/>
          <w:szCs w:val="24"/>
        </w:rPr>
        <w:t>34,0</w:t>
      </w:r>
      <w:r>
        <w:rPr>
          <w:rFonts w:ascii="MinionPro-Regular" w:hAnsi="MinionPro-Regular"/>
          <w:sz w:val="20"/>
          <w:szCs w:val="24"/>
        </w:rPr>
        <w:t xml:space="preserve">% y en 2009 </w:t>
      </w:r>
      <w:r w:rsidRPr="001C2926">
        <w:rPr>
          <w:rFonts w:ascii="MinionPro-Regular" w:hAnsi="MinionPro-Regular"/>
          <w:sz w:val="20"/>
          <w:szCs w:val="24"/>
        </w:rPr>
        <w:t>35,2</w:t>
      </w:r>
      <w:r>
        <w:rPr>
          <w:rFonts w:ascii="MinionPro-Regular" w:hAnsi="MinionPro-Regular"/>
          <w:sz w:val="20"/>
          <w:szCs w:val="24"/>
        </w:rPr>
        <w:t>%; Italia</w:t>
      </w:r>
      <w:r w:rsidRPr="00A030FA">
        <w:rPr>
          <w:rFonts w:ascii="MinionPro-Regular" w:hAnsi="MinionPro-Regular"/>
          <w:sz w:val="20"/>
          <w:szCs w:val="24"/>
        </w:rPr>
        <w:t xml:space="preserve"> </w:t>
      </w:r>
      <w:r>
        <w:rPr>
          <w:rFonts w:ascii="MinionPro-Regular" w:hAnsi="MinionPro-Regular"/>
          <w:sz w:val="20"/>
          <w:szCs w:val="24"/>
        </w:rPr>
        <w:t xml:space="preserve">en 2008 </w:t>
      </w:r>
      <w:r w:rsidRPr="001C2926">
        <w:rPr>
          <w:rFonts w:ascii="MinionPro-Regular" w:hAnsi="MinionPro-Regular"/>
          <w:sz w:val="20"/>
          <w:szCs w:val="24"/>
        </w:rPr>
        <w:t>20,2</w:t>
      </w:r>
      <w:r>
        <w:rPr>
          <w:rFonts w:ascii="MinionPro-Regular" w:hAnsi="MinionPro-Regular"/>
          <w:sz w:val="20"/>
          <w:szCs w:val="24"/>
        </w:rPr>
        <w:t xml:space="preserve">% y en 2009 </w:t>
      </w:r>
      <w:r w:rsidRPr="001C2926">
        <w:rPr>
          <w:rFonts w:ascii="MinionPro-Regular" w:hAnsi="MinionPro-Regular"/>
          <w:sz w:val="20"/>
          <w:szCs w:val="24"/>
        </w:rPr>
        <w:t>19,3</w:t>
      </w:r>
      <w:r>
        <w:rPr>
          <w:rFonts w:ascii="MinionPro-Regular" w:hAnsi="MinionPro-Regular"/>
          <w:sz w:val="20"/>
          <w:szCs w:val="24"/>
        </w:rPr>
        <w:t>%.</w:t>
      </w:r>
    </w:p>
    <w:p w:rsidR="00E2336B" w:rsidRDefault="00E2336B" w:rsidP="0007541A">
      <w:pPr>
        <w:pStyle w:val="Ttulo3"/>
        <w:numPr>
          <w:ilvl w:val="2"/>
          <w:numId w:val="3"/>
        </w:numPr>
        <w:rPr>
          <w:lang w:val="es-ES_tradnl"/>
        </w:rPr>
      </w:pPr>
      <w:bookmarkStart w:id="277" w:name="_Toc344964075"/>
      <w:bookmarkStart w:id="278" w:name="_Toc352773573"/>
      <w:r w:rsidRPr="00686D7C">
        <w:rPr>
          <w:lang w:val="es-ES_tradnl"/>
        </w:rPr>
        <w:t xml:space="preserve">La tasa española de fracaso escolar entre las personas con discapacidad multiplica por </w:t>
      </w:r>
      <w:r>
        <w:rPr>
          <w:lang w:val="es-ES_tradnl"/>
        </w:rPr>
        <w:t>tres</w:t>
      </w:r>
      <w:r w:rsidRPr="00686D7C">
        <w:rPr>
          <w:lang w:val="es-ES_tradnl"/>
        </w:rPr>
        <w:t xml:space="preserve"> la de Suecia</w:t>
      </w:r>
      <w:bookmarkEnd w:id="277"/>
      <w:bookmarkEnd w:id="278"/>
    </w:p>
    <w:p w:rsidR="00E2336B" w:rsidRDefault="00E2336B" w:rsidP="001B0EA4">
      <w:pPr>
        <w:autoSpaceDE w:val="0"/>
        <w:autoSpaceDN w:val="0"/>
        <w:spacing w:line="360" w:lineRule="auto"/>
        <w:jc w:val="both"/>
        <w:rPr>
          <w:rFonts w:ascii="MinionPro-Regular" w:hAnsi="MinionPro-Regular"/>
          <w:sz w:val="24"/>
          <w:szCs w:val="24"/>
          <w:lang w:val="es-ES_tradnl"/>
        </w:rPr>
      </w:pPr>
    </w:p>
    <w:p w:rsidR="00E2336B" w:rsidRDefault="00E2336B" w:rsidP="001B0EA4">
      <w:pPr>
        <w:autoSpaceDE w:val="0"/>
        <w:autoSpaceDN w:val="0"/>
        <w:spacing w:line="360" w:lineRule="auto"/>
        <w:jc w:val="both"/>
        <w:rPr>
          <w:rFonts w:ascii="MinionPro-Regular" w:hAnsi="MinionPro-Regular"/>
          <w:sz w:val="24"/>
          <w:szCs w:val="24"/>
          <w:lang w:val="es-ES_tradnl"/>
        </w:rPr>
      </w:pPr>
      <w:r w:rsidRPr="00AE48EC">
        <w:rPr>
          <w:rFonts w:ascii="MinionPro-Regular" w:hAnsi="MinionPro-Regular"/>
          <w:sz w:val="24"/>
          <w:szCs w:val="24"/>
          <w:lang w:val="es-ES_tradnl"/>
        </w:rPr>
        <w:t xml:space="preserve">Otro </w:t>
      </w:r>
      <w:r>
        <w:rPr>
          <w:rFonts w:ascii="MinionPro-Regular" w:hAnsi="MinionPro-Regular"/>
          <w:sz w:val="24"/>
          <w:szCs w:val="24"/>
          <w:lang w:val="es-ES_tradnl"/>
        </w:rPr>
        <w:t xml:space="preserve">asunto relevante es el nivel académico, debido al impacto de la formación sobre el empleo y el salario de las personas. </w:t>
      </w:r>
      <w:r w:rsidRPr="00AE48EC">
        <w:rPr>
          <w:rFonts w:ascii="MinionPro-Regular" w:hAnsi="MinionPro-Regular"/>
          <w:sz w:val="24"/>
          <w:szCs w:val="24"/>
          <w:lang w:val="es-ES_tradnl"/>
        </w:rPr>
        <w:t xml:space="preserve">El acceso de las personas con discapacidad </w:t>
      </w:r>
      <w:r>
        <w:rPr>
          <w:rFonts w:ascii="MinionPro-Regular" w:hAnsi="MinionPro-Regular"/>
          <w:sz w:val="24"/>
          <w:szCs w:val="24"/>
          <w:lang w:val="es-ES_tradnl"/>
        </w:rPr>
        <w:t>a los distintos niveles educativos presenta todavía numerosas barreras</w:t>
      </w:r>
      <w:r w:rsidRPr="00AE48EC">
        <w:rPr>
          <w:rFonts w:ascii="MinionPro-Regular" w:hAnsi="MinionPro-Regular"/>
          <w:sz w:val="24"/>
          <w:szCs w:val="24"/>
          <w:lang w:val="es-ES_tradnl"/>
        </w:rPr>
        <w:t xml:space="preserve">. </w:t>
      </w:r>
    </w:p>
    <w:p w:rsidR="00E2336B" w:rsidRPr="00AE48EC" w:rsidRDefault="00E2336B" w:rsidP="001B0EA4">
      <w:pPr>
        <w:autoSpaceDE w:val="0"/>
        <w:autoSpaceDN w:val="0"/>
        <w:spacing w:line="360" w:lineRule="auto"/>
        <w:jc w:val="both"/>
        <w:rPr>
          <w:rFonts w:ascii="MinionPro-Regular" w:hAnsi="MinionPro-Regular"/>
          <w:sz w:val="24"/>
          <w:szCs w:val="24"/>
          <w:lang w:val="es-ES_tradnl"/>
        </w:rPr>
      </w:pPr>
    </w:p>
    <w:p w:rsidR="00E2336B" w:rsidRDefault="00E2336B" w:rsidP="001B0EA4">
      <w:pPr>
        <w:autoSpaceDE w:val="0"/>
        <w:autoSpaceDN w:val="0"/>
        <w:spacing w:line="360" w:lineRule="auto"/>
        <w:jc w:val="both"/>
        <w:rPr>
          <w:rFonts w:ascii="MinionPro-Regular" w:hAnsi="MinionPro-Regular"/>
          <w:sz w:val="24"/>
          <w:szCs w:val="24"/>
        </w:rPr>
      </w:pPr>
      <w:r>
        <w:rPr>
          <w:rFonts w:ascii="MinionPro-Regular" w:hAnsi="MinionPro-Regular"/>
          <w:sz w:val="24"/>
          <w:szCs w:val="24"/>
          <w:lang w:val="es-ES_tradnl"/>
        </w:rPr>
        <w:t xml:space="preserve">En todos los países evaluados la tasa de abandono escolar de las personas con discapacidad es significativamente mayor que para el total de la población. En lo que se refiere a España, y en línea similar con los datos de la población general, </w:t>
      </w:r>
      <w:r w:rsidRPr="00AE48EC">
        <w:rPr>
          <w:rFonts w:ascii="MinionPro-Regular" w:hAnsi="MinionPro-Regular"/>
          <w:sz w:val="24"/>
          <w:szCs w:val="24"/>
          <w:lang w:val="es-ES_tradnl"/>
        </w:rPr>
        <w:t xml:space="preserve">el porcentaje de abandono escolar de personas con discapacidad </w:t>
      </w:r>
      <w:r>
        <w:rPr>
          <w:rFonts w:ascii="MinionPro-Regular" w:hAnsi="MinionPro-Regular"/>
          <w:sz w:val="24"/>
          <w:szCs w:val="24"/>
          <w:lang w:val="es-ES_tradnl"/>
        </w:rPr>
        <w:t>es el más elevado de entre los países analizados</w:t>
      </w:r>
      <w:r w:rsidRPr="00AE48EC">
        <w:rPr>
          <w:rFonts w:ascii="MinionPro-Regular" w:hAnsi="MinionPro-Regular"/>
          <w:sz w:val="24"/>
          <w:szCs w:val="24"/>
          <w:lang w:val="es-ES_tradnl"/>
        </w:rPr>
        <w:t>.</w:t>
      </w:r>
      <w:r>
        <w:rPr>
          <w:rFonts w:ascii="MinionPro-Regular" w:hAnsi="MinionPro-Regular"/>
          <w:sz w:val="24"/>
          <w:szCs w:val="24"/>
          <w:lang w:val="es-ES_tradnl"/>
        </w:rPr>
        <w:t xml:space="preserve"> Cabe resaltar que la tasa española de fracaso escolar entre la población con </w:t>
      </w:r>
      <w:r>
        <w:rPr>
          <w:rFonts w:ascii="MinionPro-Regular" w:hAnsi="MinionPro-Regular"/>
          <w:sz w:val="24"/>
          <w:szCs w:val="24"/>
          <w:lang w:val="es-ES_tradnl"/>
        </w:rPr>
        <w:lastRenderedPageBreak/>
        <w:t>discapacidad multiplica por tres la de Suecia. Es en el Reino Unido y en Suecia donde se encuentran las menores tasas de abandono escolar de las personas con discapacidad</w:t>
      </w:r>
      <w:r>
        <w:rPr>
          <w:rFonts w:ascii="MinionPro-Regular" w:hAnsi="MinionPro-Regular"/>
          <w:i/>
          <w:sz w:val="24"/>
          <w:szCs w:val="24"/>
        </w:rPr>
        <w:t xml:space="preserve">. </w:t>
      </w:r>
      <w:r>
        <w:rPr>
          <w:rFonts w:ascii="MinionPro-Regular" w:hAnsi="MinionPro-Regular"/>
          <w:sz w:val="24"/>
          <w:szCs w:val="24"/>
        </w:rPr>
        <w:t>España es, asimismo, el país donde de acuerdo a los datos disponibles el diferencial entre las tasas de fracaso escolar de las personas con y sin discapacidad es más elevada.</w:t>
      </w:r>
    </w:p>
    <w:p w:rsidR="00E2336B" w:rsidRDefault="00E2336B" w:rsidP="001B0EA4">
      <w:pPr>
        <w:autoSpaceDE w:val="0"/>
        <w:autoSpaceDN w:val="0"/>
        <w:spacing w:line="360" w:lineRule="auto"/>
        <w:jc w:val="both"/>
        <w:rPr>
          <w:rFonts w:ascii="MinionPro-Regular" w:hAnsi="MinionPro-Regular"/>
          <w:sz w:val="24"/>
          <w:szCs w:val="24"/>
        </w:rPr>
      </w:pPr>
    </w:p>
    <w:p w:rsidR="00E2336B" w:rsidRDefault="00E2336B" w:rsidP="001B0EA4">
      <w:pPr>
        <w:autoSpaceDE w:val="0"/>
        <w:autoSpaceDN w:val="0"/>
        <w:spacing w:line="360" w:lineRule="auto"/>
        <w:jc w:val="both"/>
        <w:rPr>
          <w:rFonts w:ascii="MinionPro-Regular" w:hAnsi="MinionPro-Regular"/>
          <w:sz w:val="24"/>
          <w:szCs w:val="24"/>
        </w:rPr>
      </w:pPr>
    </w:p>
    <w:p w:rsidR="00E2336B" w:rsidRDefault="00E2336B" w:rsidP="001B0EA4">
      <w:pPr>
        <w:autoSpaceDE w:val="0"/>
        <w:autoSpaceDN w:val="0"/>
        <w:spacing w:line="360" w:lineRule="auto"/>
        <w:jc w:val="both"/>
        <w:rPr>
          <w:rFonts w:ascii="MinionPro-Regular" w:hAnsi="MinionPro-Regular"/>
          <w:sz w:val="24"/>
          <w:szCs w:val="24"/>
        </w:rPr>
      </w:pPr>
    </w:p>
    <w:p w:rsidR="00E2336B" w:rsidRDefault="00E2336B" w:rsidP="001B0EA4">
      <w:pPr>
        <w:autoSpaceDE w:val="0"/>
        <w:autoSpaceDN w:val="0"/>
        <w:spacing w:line="360" w:lineRule="auto"/>
        <w:jc w:val="both"/>
        <w:rPr>
          <w:rFonts w:ascii="MinionPro-Regular" w:hAnsi="MinionPro-Regular"/>
          <w:sz w:val="24"/>
          <w:szCs w:val="24"/>
        </w:rPr>
      </w:pPr>
    </w:p>
    <w:p w:rsidR="00E2336B" w:rsidRDefault="00E2336B" w:rsidP="001B0EA4">
      <w:pPr>
        <w:autoSpaceDE w:val="0"/>
        <w:autoSpaceDN w:val="0"/>
        <w:spacing w:line="360" w:lineRule="auto"/>
        <w:jc w:val="both"/>
        <w:rPr>
          <w:rFonts w:ascii="MinionPro-Regular" w:hAnsi="MinionPro-Regular"/>
          <w:sz w:val="24"/>
          <w:szCs w:val="24"/>
        </w:rPr>
      </w:pPr>
    </w:p>
    <w:p w:rsidR="00E2336B" w:rsidRDefault="00E2336B" w:rsidP="001B0EA4">
      <w:pPr>
        <w:autoSpaceDE w:val="0"/>
        <w:autoSpaceDN w:val="0"/>
        <w:spacing w:line="360" w:lineRule="auto"/>
        <w:jc w:val="both"/>
        <w:rPr>
          <w:rFonts w:ascii="MinionPro-Regular" w:hAnsi="MinionPro-Regular"/>
          <w:sz w:val="24"/>
          <w:szCs w:val="24"/>
        </w:rPr>
      </w:pPr>
    </w:p>
    <w:p w:rsidR="00E2336B" w:rsidRDefault="00E2336B" w:rsidP="001B0EA4">
      <w:pPr>
        <w:autoSpaceDE w:val="0"/>
        <w:autoSpaceDN w:val="0"/>
        <w:spacing w:line="360" w:lineRule="auto"/>
        <w:jc w:val="both"/>
        <w:rPr>
          <w:rFonts w:ascii="MinionPro-Regular" w:hAnsi="MinionPro-Regular"/>
          <w:sz w:val="24"/>
          <w:szCs w:val="24"/>
        </w:rPr>
      </w:pPr>
    </w:p>
    <w:p w:rsidR="00E2336B" w:rsidRDefault="00E2336B" w:rsidP="001B0EA4">
      <w:pPr>
        <w:autoSpaceDE w:val="0"/>
        <w:autoSpaceDN w:val="0"/>
        <w:spacing w:line="360" w:lineRule="auto"/>
        <w:jc w:val="both"/>
        <w:rPr>
          <w:rFonts w:ascii="MinionPro-Regular" w:hAnsi="MinionPro-Regular"/>
          <w:sz w:val="24"/>
          <w:szCs w:val="24"/>
        </w:rPr>
      </w:pPr>
    </w:p>
    <w:p w:rsidR="00E2336B" w:rsidRDefault="00E2336B" w:rsidP="001B0EA4">
      <w:pPr>
        <w:autoSpaceDE w:val="0"/>
        <w:autoSpaceDN w:val="0"/>
        <w:spacing w:line="360" w:lineRule="auto"/>
        <w:jc w:val="both"/>
        <w:rPr>
          <w:rFonts w:ascii="MinionPro-Regular" w:hAnsi="MinionPro-Regular"/>
          <w:sz w:val="24"/>
          <w:szCs w:val="24"/>
        </w:rPr>
      </w:pPr>
    </w:p>
    <w:p w:rsidR="00E2336B" w:rsidRPr="00E94C75" w:rsidRDefault="00E2336B" w:rsidP="001B0EA4">
      <w:pPr>
        <w:autoSpaceDE w:val="0"/>
        <w:autoSpaceDN w:val="0"/>
        <w:spacing w:line="360" w:lineRule="auto"/>
        <w:jc w:val="both"/>
        <w:rPr>
          <w:rFonts w:ascii="MinionPro-Regular" w:hAnsi="MinionPro-Regular"/>
          <w:sz w:val="24"/>
          <w:szCs w:val="24"/>
        </w:rPr>
      </w:pPr>
    </w:p>
    <w:p w:rsidR="00E2336B" w:rsidRDefault="00E2336B" w:rsidP="001B0EA4">
      <w:pPr>
        <w:pBdr>
          <w:top w:val="single" w:sz="4" w:space="1" w:color="auto"/>
        </w:pBdr>
        <w:autoSpaceDE w:val="0"/>
        <w:autoSpaceDN w:val="0"/>
        <w:spacing w:line="360" w:lineRule="auto"/>
        <w:jc w:val="both"/>
        <w:rPr>
          <w:rFonts w:ascii="MinionPro-Regular" w:hAnsi="MinionPro-Regular"/>
          <w:sz w:val="20"/>
        </w:rPr>
      </w:pPr>
      <w:r w:rsidRPr="00D04E8C">
        <w:rPr>
          <w:rFonts w:ascii="MinionPro-Regular" w:hAnsi="MinionPro-Regular"/>
          <w:sz w:val="20"/>
        </w:rPr>
        <w:t xml:space="preserve">Porcentaje </w:t>
      </w:r>
      <w:r>
        <w:rPr>
          <w:rFonts w:ascii="MinionPro-Regular" w:hAnsi="MinionPro-Regular"/>
          <w:sz w:val="20"/>
        </w:rPr>
        <w:t>de abandono escolar entre personas con discapacidad</w:t>
      </w:r>
    </w:p>
    <w:p w:rsidR="00E2336B" w:rsidRPr="00D04E8C" w:rsidRDefault="00E1516B" w:rsidP="001B0EA4">
      <w:pPr>
        <w:autoSpaceDE w:val="0"/>
        <w:autoSpaceDN w:val="0"/>
        <w:spacing w:line="360" w:lineRule="auto"/>
        <w:rPr>
          <w:rFonts w:ascii="MinionPro-Regular" w:hAnsi="MinionPro-Regular"/>
          <w:sz w:val="20"/>
        </w:rPr>
      </w:pPr>
      <w:r>
        <w:rPr>
          <w:rFonts w:ascii="MinionPro-Regular" w:hAnsi="MinionPro-Regular"/>
          <w:noProof/>
          <w:sz w:val="20"/>
          <w:lang w:eastAsia="es-ES"/>
        </w:rPr>
        <w:drawing>
          <wp:inline distT="0" distB="0" distL="0" distR="0">
            <wp:extent cx="4451350" cy="2786380"/>
            <wp:effectExtent l="0" t="0" r="0" b="0"/>
            <wp:docPr id="83" name="Picture 8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7"/>
              </a:graphicData>
            </a:graphic>
          </wp:inline>
        </w:drawing>
      </w:r>
    </w:p>
    <w:p w:rsidR="00E2336B" w:rsidRDefault="00E2336B" w:rsidP="001B0EA4">
      <w:pPr>
        <w:pBdr>
          <w:bottom w:val="single" w:sz="4" w:space="1" w:color="auto"/>
        </w:pBdr>
        <w:autoSpaceDE w:val="0"/>
        <w:autoSpaceDN w:val="0"/>
        <w:spacing w:line="360" w:lineRule="auto"/>
        <w:jc w:val="both"/>
        <w:rPr>
          <w:rFonts w:ascii="MinionPro-Regular" w:hAnsi="MinionPro-Regular"/>
          <w:sz w:val="20"/>
        </w:rPr>
      </w:pPr>
      <w:r>
        <w:rPr>
          <w:rFonts w:ascii="MinionPro-Regular" w:hAnsi="MinionPro-Regular"/>
          <w:sz w:val="20"/>
        </w:rPr>
        <w:lastRenderedPageBreak/>
        <w:t>Fuente: E</w:t>
      </w:r>
      <w:r w:rsidRPr="00D04E8C">
        <w:rPr>
          <w:rFonts w:ascii="MinionPro-Regular" w:hAnsi="MinionPro-Regular"/>
          <w:sz w:val="20"/>
        </w:rPr>
        <w:t>laboración propia a partir de Eurostat, EU-SILC 2008; EU-SILC 200.9, IDEE Indicators of  Disability Equality in Europe. ANED 2011.</w:t>
      </w:r>
    </w:p>
    <w:p w:rsidR="00E2336B" w:rsidRDefault="00E2336B" w:rsidP="001B0EA4">
      <w:pPr>
        <w:pBdr>
          <w:bottom w:val="single" w:sz="4" w:space="1" w:color="auto"/>
        </w:pBdr>
        <w:autoSpaceDE w:val="0"/>
        <w:autoSpaceDN w:val="0"/>
        <w:spacing w:line="360" w:lineRule="auto"/>
        <w:jc w:val="both"/>
        <w:rPr>
          <w:rFonts w:ascii="MinionPro-Regular" w:hAnsi="MinionPro-Regular"/>
          <w:sz w:val="20"/>
        </w:rPr>
      </w:pPr>
      <w:r>
        <w:rPr>
          <w:rFonts w:ascii="MinionPro-Regular" w:hAnsi="MinionPro-Regular"/>
          <w:sz w:val="20"/>
        </w:rPr>
        <w:t>No se han incluido los datos de Italia por no ser comparables.</w:t>
      </w:r>
    </w:p>
    <w:p w:rsidR="00E2336B" w:rsidRDefault="00E2336B" w:rsidP="001B0EA4">
      <w:pPr>
        <w:pBdr>
          <w:bottom w:val="single" w:sz="4" w:space="1" w:color="auto"/>
        </w:pBdr>
        <w:autoSpaceDE w:val="0"/>
        <w:autoSpaceDN w:val="0"/>
        <w:spacing w:line="360" w:lineRule="auto"/>
        <w:jc w:val="both"/>
        <w:rPr>
          <w:rFonts w:ascii="MinionPro-Regular" w:hAnsi="MinionPro-Regular"/>
          <w:sz w:val="20"/>
        </w:rPr>
      </w:pPr>
      <w:r w:rsidRPr="001B0FD3">
        <w:rPr>
          <w:rFonts w:ascii="MinionPro-Regular" w:hAnsi="MinionPro-Regular"/>
          <w:sz w:val="20"/>
          <w:szCs w:val="24"/>
        </w:rPr>
        <w:t>Nota explicativa de la gráfica: Eje de vertical</w:t>
      </w:r>
      <w:r>
        <w:rPr>
          <w:rFonts w:ascii="MinionPro-Regular" w:hAnsi="MinionPro-Regular"/>
          <w:sz w:val="20"/>
          <w:szCs w:val="24"/>
        </w:rPr>
        <w:t>,</w:t>
      </w:r>
      <w:r w:rsidRPr="00A030FA">
        <w:rPr>
          <w:rFonts w:ascii="MinionPro-Regular" w:hAnsi="MinionPro-Regular"/>
          <w:sz w:val="20"/>
          <w:szCs w:val="24"/>
        </w:rPr>
        <w:t xml:space="preserve"> </w:t>
      </w:r>
      <w:r>
        <w:rPr>
          <w:rFonts w:ascii="MinionPro-Regular" w:hAnsi="MinionPro-Regular"/>
          <w:sz w:val="20"/>
          <w:szCs w:val="24"/>
        </w:rPr>
        <w:t>Porcentaje</w:t>
      </w:r>
      <w:r w:rsidRPr="001B0FD3">
        <w:rPr>
          <w:rFonts w:ascii="MinionPro-Regular" w:hAnsi="MinionPro-Regular"/>
          <w:sz w:val="20"/>
          <w:szCs w:val="24"/>
        </w:rPr>
        <w:t xml:space="preserve">. Eje horizontal, </w:t>
      </w:r>
      <w:r>
        <w:rPr>
          <w:rFonts w:ascii="MinionPro-Regular" w:hAnsi="MinionPro-Regular"/>
          <w:sz w:val="20"/>
          <w:szCs w:val="24"/>
        </w:rPr>
        <w:t xml:space="preserve">Años. España en 2008 </w:t>
      </w:r>
      <w:r w:rsidRPr="001C2926">
        <w:rPr>
          <w:rFonts w:ascii="MinionPro-Regular" w:hAnsi="MinionPro-Regular"/>
          <w:sz w:val="20"/>
          <w:szCs w:val="24"/>
        </w:rPr>
        <w:t>40,5</w:t>
      </w:r>
      <w:r>
        <w:rPr>
          <w:rFonts w:ascii="MinionPro-Regular" w:hAnsi="MinionPro-Regular"/>
          <w:sz w:val="20"/>
          <w:szCs w:val="24"/>
        </w:rPr>
        <w:t xml:space="preserve">% y en 2009 </w:t>
      </w:r>
      <w:r w:rsidRPr="001C2926">
        <w:rPr>
          <w:rFonts w:ascii="MinionPro-Regular" w:hAnsi="MinionPro-Regular"/>
          <w:sz w:val="20"/>
          <w:szCs w:val="24"/>
        </w:rPr>
        <w:t>42,3</w:t>
      </w:r>
      <w:r>
        <w:rPr>
          <w:rFonts w:ascii="MinionPro-Regular" w:hAnsi="MinionPro-Regular"/>
          <w:sz w:val="20"/>
          <w:szCs w:val="24"/>
        </w:rPr>
        <w:t xml:space="preserve">%; Alemania en 2008 </w:t>
      </w:r>
      <w:r w:rsidRPr="001C2926">
        <w:rPr>
          <w:rFonts w:ascii="MinionPro-Regular" w:hAnsi="MinionPro-Regular"/>
          <w:sz w:val="20"/>
          <w:szCs w:val="24"/>
        </w:rPr>
        <w:t>19,9</w:t>
      </w:r>
      <w:r>
        <w:rPr>
          <w:rFonts w:ascii="MinionPro-Regular" w:hAnsi="MinionPro-Regular"/>
          <w:sz w:val="20"/>
          <w:szCs w:val="24"/>
        </w:rPr>
        <w:t xml:space="preserve">% y en 2009 </w:t>
      </w:r>
      <w:r w:rsidRPr="001C2926">
        <w:rPr>
          <w:rFonts w:ascii="MinionPro-Regular" w:hAnsi="MinionPro-Regular"/>
          <w:sz w:val="20"/>
          <w:szCs w:val="24"/>
        </w:rPr>
        <w:t>24,3</w:t>
      </w:r>
      <w:r w:rsidRPr="00A030FA">
        <w:rPr>
          <w:rFonts w:ascii="MinionPro-Regular" w:hAnsi="MinionPro-Regular"/>
          <w:sz w:val="20"/>
        </w:rPr>
        <w:t>%</w:t>
      </w:r>
      <w:r w:rsidRPr="00A030FA">
        <w:rPr>
          <w:rFonts w:ascii="MinionPro-Regular" w:hAnsi="MinionPro-Regular"/>
          <w:sz w:val="20"/>
          <w:szCs w:val="24"/>
        </w:rPr>
        <w:t>;</w:t>
      </w:r>
      <w:r>
        <w:rPr>
          <w:rFonts w:ascii="MinionPro-Regular" w:hAnsi="MinionPro-Regular"/>
          <w:sz w:val="20"/>
          <w:szCs w:val="24"/>
        </w:rPr>
        <w:t xml:space="preserve"> Suecia en 2008 </w:t>
      </w:r>
      <w:r w:rsidRPr="001C2926">
        <w:rPr>
          <w:rFonts w:ascii="MinionPro-Regular" w:hAnsi="MinionPro-Regular"/>
          <w:sz w:val="20"/>
          <w:szCs w:val="24"/>
        </w:rPr>
        <w:t>12,4</w:t>
      </w:r>
      <w:r>
        <w:rPr>
          <w:rFonts w:ascii="MinionPro-Regular" w:hAnsi="MinionPro-Regular"/>
          <w:sz w:val="20"/>
          <w:szCs w:val="24"/>
        </w:rPr>
        <w:t xml:space="preserve">% y en 2009 </w:t>
      </w:r>
      <w:r w:rsidRPr="001C2926">
        <w:rPr>
          <w:rFonts w:ascii="MinionPro-Regular" w:hAnsi="MinionPro-Regular"/>
          <w:sz w:val="20"/>
          <w:szCs w:val="24"/>
        </w:rPr>
        <w:t>13,0</w:t>
      </w:r>
      <w:r>
        <w:rPr>
          <w:rFonts w:ascii="MinionPro-Regular" w:hAnsi="MinionPro-Regular"/>
          <w:sz w:val="20"/>
          <w:szCs w:val="24"/>
        </w:rPr>
        <w:t xml:space="preserve">%; </w:t>
      </w:r>
      <w:r w:rsidRPr="00A030FA">
        <w:rPr>
          <w:rFonts w:ascii="MinionPro-Regular" w:hAnsi="MinionPro-Regular"/>
          <w:sz w:val="20"/>
          <w:szCs w:val="24"/>
        </w:rPr>
        <w:t xml:space="preserve">Reino Unido </w:t>
      </w:r>
      <w:r>
        <w:rPr>
          <w:rFonts w:ascii="MinionPro-Regular" w:hAnsi="MinionPro-Regular"/>
          <w:sz w:val="20"/>
          <w:szCs w:val="24"/>
        </w:rPr>
        <w:t xml:space="preserve">en 2008 </w:t>
      </w:r>
      <w:r w:rsidRPr="001C2926">
        <w:rPr>
          <w:rFonts w:ascii="MinionPro-Regular" w:hAnsi="MinionPro-Regular"/>
          <w:sz w:val="20"/>
          <w:szCs w:val="24"/>
        </w:rPr>
        <w:t>16,1</w:t>
      </w:r>
      <w:r>
        <w:rPr>
          <w:rFonts w:ascii="MinionPro-Regular" w:hAnsi="MinionPro-Regular"/>
          <w:sz w:val="20"/>
          <w:szCs w:val="24"/>
        </w:rPr>
        <w:t xml:space="preserve">% y en 2009 </w:t>
      </w:r>
      <w:r w:rsidRPr="001C2926">
        <w:rPr>
          <w:rFonts w:ascii="MinionPro-Regular" w:hAnsi="MinionPro-Regular"/>
          <w:sz w:val="20"/>
          <w:szCs w:val="24"/>
        </w:rPr>
        <w:t>16,6</w:t>
      </w:r>
      <w:r>
        <w:rPr>
          <w:rFonts w:ascii="MinionPro-Regular" w:hAnsi="MinionPro-Regular"/>
          <w:sz w:val="20"/>
          <w:szCs w:val="24"/>
        </w:rPr>
        <w:t>%.</w:t>
      </w:r>
    </w:p>
    <w:p w:rsidR="00E2336B" w:rsidRDefault="00E2336B" w:rsidP="001B0EA4">
      <w:pPr>
        <w:autoSpaceDE w:val="0"/>
        <w:autoSpaceDN w:val="0"/>
        <w:spacing w:line="360" w:lineRule="auto"/>
        <w:jc w:val="both"/>
        <w:rPr>
          <w:rFonts w:ascii="MinionPro-Regular" w:hAnsi="MinionPro-Regular"/>
          <w:sz w:val="24"/>
          <w:szCs w:val="24"/>
        </w:rPr>
      </w:pPr>
    </w:p>
    <w:p w:rsidR="00E2336B" w:rsidRDefault="00E2336B" w:rsidP="001B0EA4">
      <w:pPr>
        <w:autoSpaceDE w:val="0"/>
        <w:autoSpaceDN w:val="0"/>
        <w:spacing w:line="360" w:lineRule="auto"/>
        <w:jc w:val="both"/>
        <w:rPr>
          <w:rFonts w:ascii="MinionPro-Regular" w:hAnsi="MinionPro-Regular"/>
          <w:sz w:val="24"/>
          <w:szCs w:val="24"/>
        </w:rPr>
      </w:pPr>
    </w:p>
    <w:p w:rsidR="00E2336B" w:rsidRDefault="00E2336B" w:rsidP="001B0EA4">
      <w:pPr>
        <w:autoSpaceDE w:val="0"/>
        <w:autoSpaceDN w:val="0"/>
        <w:spacing w:line="360" w:lineRule="auto"/>
        <w:jc w:val="both"/>
        <w:rPr>
          <w:rFonts w:ascii="MinionPro-Regular" w:hAnsi="MinionPro-Regular"/>
          <w:sz w:val="24"/>
          <w:szCs w:val="24"/>
        </w:rPr>
      </w:pPr>
    </w:p>
    <w:p w:rsidR="00E2336B" w:rsidRDefault="00E2336B" w:rsidP="001B0EA4">
      <w:pPr>
        <w:autoSpaceDE w:val="0"/>
        <w:autoSpaceDN w:val="0"/>
        <w:spacing w:line="360" w:lineRule="auto"/>
        <w:jc w:val="both"/>
        <w:rPr>
          <w:rFonts w:ascii="MinionPro-Regular" w:hAnsi="MinionPro-Regular"/>
          <w:sz w:val="24"/>
          <w:szCs w:val="24"/>
        </w:rPr>
      </w:pPr>
    </w:p>
    <w:p w:rsidR="00E2336B" w:rsidRDefault="00E2336B" w:rsidP="001B0EA4">
      <w:pPr>
        <w:autoSpaceDE w:val="0"/>
        <w:autoSpaceDN w:val="0"/>
        <w:spacing w:line="360" w:lineRule="auto"/>
        <w:jc w:val="both"/>
        <w:rPr>
          <w:rFonts w:ascii="MinionPro-Regular" w:hAnsi="MinionPro-Regular"/>
          <w:sz w:val="24"/>
          <w:szCs w:val="24"/>
        </w:rPr>
      </w:pPr>
    </w:p>
    <w:p w:rsidR="00E2336B" w:rsidRDefault="00E2336B" w:rsidP="001B0EA4">
      <w:pPr>
        <w:autoSpaceDE w:val="0"/>
        <w:autoSpaceDN w:val="0"/>
        <w:spacing w:line="360" w:lineRule="auto"/>
        <w:jc w:val="both"/>
        <w:rPr>
          <w:rFonts w:ascii="MinionPro-Regular" w:hAnsi="MinionPro-Regular"/>
          <w:sz w:val="24"/>
          <w:szCs w:val="24"/>
        </w:rPr>
      </w:pPr>
    </w:p>
    <w:p w:rsidR="00E2336B" w:rsidRDefault="00E2336B" w:rsidP="001B0EA4">
      <w:pPr>
        <w:autoSpaceDE w:val="0"/>
        <w:autoSpaceDN w:val="0"/>
        <w:spacing w:line="360" w:lineRule="auto"/>
        <w:jc w:val="both"/>
        <w:rPr>
          <w:rFonts w:ascii="MinionPro-Regular" w:hAnsi="MinionPro-Regular"/>
          <w:sz w:val="24"/>
          <w:szCs w:val="24"/>
        </w:rPr>
      </w:pPr>
    </w:p>
    <w:p w:rsidR="00E2336B" w:rsidRDefault="00E2336B" w:rsidP="001B0EA4">
      <w:pPr>
        <w:autoSpaceDE w:val="0"/>
        <w:autoSpaceDN w:val="0"/>
        <w:spacing w:line="360" w:lineRule="auto"/>
        <w:jc w:val="both"/>
        <w:rPr>
          <w:rFonts w:ascii="MinionPro-Regular" w:hAnsi="MinionPro-Regular"/>
          <w:sz w:val="24"/>
          <w:szCs w:val="24"/>
        </w:rPr>
      </w:pPr>
    </w:p>
    <w:p w:rsidR="00E2336B" w:rsidRDefault="00E2336B" w:rsidP="001B0EA4">
      <w:pPr>
        <w:autoSpaceDE w:val="0"/>
        <w:autoSpaceDN w:val="0"/>
        <w:spacing w:line="360" w:lineRule="auto"/>
        <w:jc w:val="both"/>
        <w:rPr>
          <w:rFonts w:ascii="MinionPro-Regular" w:hAnsi="MinionPro-Regular"/>
          <w:sz w:val="24"/>
          <w:szCs w:val="24"/>
        </w:rPr>
      </w:pPr>
    </w:p>
    <w:p w:rsidR="00E2336B" w:rsidRDefault="00E2336B" w:rsidP="001B0EA4">
      <w:pPr>
        <w:autoSpaceDE w:val="0"/>
        <w:autoSpaceDN w:val="0"/>
        <w:spacing w:line="360" w:lineRule="auto"/>
        <w:jc w:val="both"/>
        <w:rPr>
          <w:rFonts w:ascii="MinionPro-Regular" w:hAnsi="MinionPro-Regular"/>
          <w:sz w:val="24"/>
          <w:szCs w:val="24"/>
        </w:rPr>
      </w:pPr>
    </w:p>
    <w:p w:rsidR="00E2336B" w:rsidRDefault="00E2336B" w:rsidP="001B0EA4">
      <w:pPr>
        <w:autoSpaceDE w:val="0"/>
        <w:autoSpaceDN w:val="0"/>
        <w:spacing w:line="360" w:lineRule="auto"/>
        <w:jc w:val="both"/>
        <w:rPr>
          <w:rFonts w:ascii="MinionPro-Regular" w:hAnsi="MinionPro-Regular"/>
          <w:sz w:val="24"/>
          <w:szCs w:val="24"/>
        </w:rPr>
      </w:pPr>
    </w:p>
    <w:p w:rsidR="00E2336B" w:rsidRDefault="00E2336B" w:rsidP="001B0EA4">
      <w:pPr>
        <w:autoSpaceDE w:val="0"/>
        <w:autoSpaceDN w:val="0"/>
        <w:spacing w:line="360" w:lineRule="auto"/>
        <w:jc w:val="both"/>
        <w:rPr>
          <w:rFonts w:ascii="MinionPro-Regular" w:hAnsi="MinionPro-Regular"/>
          <w:sz w:val="24"/>
          <w:szCs w:val="24"/>
        </w:rPr>
      </w:pPr>
    </w:p>
    <w:p w:rsidR="00E2336B" w:rsidRPr="00E94C75" w:rsidRDefault="00E2336B" w:rsidP="001B0EA4">
      <w:pPr>
        <w:autoSpaceDE w:val="0"/>
        <w:autoSpaceDN w:val="0"/>
        <w:spacing w:line="360" w:lineRule="auto"/>
        <w:jc w:val="both"/>
        <w:rPr>
          <w:rFonts w:ascii="MinionPro-Regular" w:hAnsi="MinionPro-Regular"/>
          <w:sz w:val="24"/>
          <w:szCs w:val="24"/>
        </w:rPr>
      </w:pPr>
    </w:p>
    <w:p w:rsidR="00E2336B" w:rsidRDefault="00E2336B" w:rsidP="001B0EA4">
      <w:pPr>
        <w:pBdr>
          <w:top w:val="single" w:sz="4" w:space="1" w:color="auto"/>
        </w:pBdr>
        <w:autoSpaceDE w:val="0"/>
        <w:autoSpaceDN w:val="0"/>
        <w:spacing w:line="360" w:lineRule="auto"/>
        <w:jc w:val="both"/>
        <w:rPr>
          <w:rFonts w:ascii="MinionPro-Regular" w:hAnsi="MinionPro-Regular"/>
          <w:sz w:val="20"/>
        </w:rPr>
      </w:pPr>
      <w:r w:rsidRPr="00B44100">
        <w:rPr>
          <w:rFonts w:ascii="MinionPro-Regular" w:hAnsi="MinionPro-Regular"/>
          <w:sz w:val="20"/>
        </w:rPr>
        <w:t xml:space="preserve">Porcentaje de abandono escolar entre personas sin discapacidad. </w:t>
      </w:r>
    </w:p>
    <w:p w:rsidR="00E2336B" w:rsidRDefault="00E1516B" w:rsidP="001B0EA4">
      <w:pPr>
        <w:autoSpaceDE w:val="0"/>
        <w:autoSpaceDN w:val="0"/>
        <w:spacing w:line="360" w:lineRule="auto"/>
        <w:rPr>
          <w:rFonts w:ascii="Arial" w:hAnsi="Arial" w:cs="Arial"/>
          <w:sz w:val="20"/>
        </w:rPr>
      </w:pPr>
      <w:r>
        <w:rPr>
          <w:rFonts w:ascii="Arial" w:hAnsi="Arial" w:cs="Arial"/>
          <w:noProof/>
          <w:sz w:val="20"/>
          <w:lang w:eastAsia="es-ES"/>
        </w:rPr>
        <w:lastRenderedPageBreak/>
        <w:drawing>
          <wp:inline distT="0" distB="0" distL="0" distR="0">
            <wp:extent cx="4434205" cy="2820670"/>
            <wp:effectExtent l="0" t="0" r="0" b="0"/>
            <wp:docPr id="84" name="Picture 8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8"/>
              </a:graphicData>
            </a:graphic>
          </wp:inline>
        </w:drawing>
      </w:r>
    </w:p>
    <w:p w:rsidR="00E2336B" w:rsidRDefault="00E2336B" w:rsidP="001B0EA4">
      <w:pPr>
        <w:autoSpaceDE w:val="0"/>
        <w:autoSpaceDN w:val="0"/>
        <w:spacing w:line="360" w:lineRule="auto"/>
        <w:jc w:val="both"/>
        <w:rPr>
          <w:rFonts w:ascii="MinionPro-Regular" w:hAnsi="MinionPro-Regular"/>
          <w:sz w:val="20"/>
        </w:rPr>
      </w:pPr>
      <w:r>
        <w:rPr>
          <w:rFonts w:ascii="MinionPro-Regular" w:hAnsi="MinionPro-Regular"/>
          <w:sz w:val="20"/>
        </w:rPr>
        <w:t>Fuente: E</w:t>
      </w:r>
      <w:r w:rsidRPr="00B44100">
        <w:rPr>
          <w:rFonts w:ascii="MinionPro-Regular" w:hAnsi="MinionPro-Regular"/>
          <w:sz w:val="20"/>
        </w:rPr>
        <w:t>laboración propia a partir de Eurostat, EU-SILC 2008; EU-SILC 200.9, IDEE Indicators of  Disability Equality in Europe. ANED 2011.</w:t>
      </w:r>
    </w:p>
    <w:p w:rsidR="00E2336B" w:rsidRDefault="00E2336B" w:rsidP="001B0EA4">
      <w:pPr>
        <w:pBdr>
          <w:bottom w:val="single" w:sz="4" w:space="1" w:color="auto"/>
        </w:pBdr>
        <w:autoSpaceDE w:val="0"/>
        <w:autoSpaceDN w:val="0"/>
        <w:spacing w:line="360" w:lineRule="auto"/>
        <w:jc w:val="both"/>
        <w:rPr>
          <w:rFonts w:ascii="MinionPro-Regular" w:hAnsi="MinionPro-Regular"/>
          <w:sz w:val="20"/>
        </w:rPr>
      </w:pPr>
      <w:r>
        <w:rPr>
          <w:rFonts w:ascii="MinionPro-Regular" w:hAnsi="MinionPro-Regular"/>
          <w:sz w:val="20"/>
        </w:rPr>
        <w:t>No se han incluido los datos de Italia por no ser comparables.</w:t>
      </w:r>
    </w:p>
    <w:p w:rsidR="00E2336B" w:rsidRDefault="00E2336B" w:rsidP="001B0EA4">
      <w:pPr>
        <w:pBdr>
          <w:bottom w:val="single" w:sz="4" w:space="1" w:color="auto"/>
        </w:pBdr>
        <w:autoSpaceDE w:val="0"/>
        <w:autoSpaceDN w:val="0"/>
        <w:spacing w:line="360" w:lineRule="auto"/>
        <w:jc w:val="both"/>
        <w:rPr>
          <w:rFonts w:ascii="MinionPro-Regular" w:hAnsi="MinionPro-Regular"/>
          <w:sz w:val="20"/>
        </w:rPr>
      </w:pPr>
      <w:r w:rsidRPr="001B0FD3">
        <w:rPr>
          <w:rFonts w:ascii="MinionPro-Regular" w:hAnsi="MinionPro-Regular"/>
          <w:sz w:val="20"/>
          <w:szCs w:val="24"/>
        </w:rPr>
        <w:t>Nota explicativa de la gráfica: Eje de vertical</w:t>
      </w:r>
      <w:r>
        <w:rPr>
          <w:rFonts w:ascii="MinionPro-Regular" w:hAnsi="MinionPro-Regular"/>
          <w:sz w:val="20"/>
          <w:szCs w:val="24"/>
        </w:rPr>
        <w:t>,</w:t>
      </w:r>
      <w:r w:rsidRPr="00A030FA">
        <w:rPr>
          <w:rFonts w:ascii="MinionPro-Regular" w:hAnsi="MinionPro-Regular"/>
          <w:sz w:val="20"/>
          <w:szCs w:val="24"/>
        </w:rPr>
        <w:t xml:space="preserve"> </w:t>
      </w:r>
      <w:r>
        <w:rPr>
          <w:rFonts w:ascii="MinionPro-Regular" w:hAnsi="MinionPro-Regular"/>
          <w:sz w:val="20"/>
          <w:szCs w:val="24"/>
        </w:rPr>
        <w:t>Porcentaje</w:t>
      </w:r>
      <w:r w:rsidRPr="001B0FD3">
        <w:rPr>
          <w:rFonts w:ascii="MinionPro-Regular" w:hAnsi="MinionPro-Regular"/>
          <w:sz w:val="20"/>
          <w:szCs w:val="24"/>
        </w:rPr>
        <w:t xml:space="preserve">. Eje horizontal, </w:t>
      </w:r>
      <w:r>
        <w:rPr>
          <w:rFonts w:ascii="MinionPro-Regular" w:hAnsi="MinionPro-Regular"/>
          <w:sz w:val="20"/>
          <w:szCs w:val="24"/>
        </w:rPr>
        <w:t xml:space="preserve">Años. España en 2008 </w:t>
      </w:r>
      <w:r w:rsidRPr="001C2926">
        <w:rPr>
          <w:rFonts w:ascii="MinionPro-Regular" w:hAnsi="MinionPro-Regular"/>
          <w:sz w:val="20"/>
          <w:szCs w:val="24"/>
        </w:rPr>
        <w:t>27,7</w:t>
      </w:r>
      <w:r>
        <w:rPr>
          <w:rFonts w:ascii="MinionPro-Regular" w:hAnsi="MinionPro-Regular"/>
          <w:sz w:val="20"/>
          <w:szCs w:val="24"/>
        </w:rPr>
        <w:t xml:space="preserve">% y en 2009 </w:t>
      </w:r>
      <w:r w:rsidRPr="001C2926">
        <w:rPr>
          <w:rFonts w:ascii="MinionPro-Regular" w:hAnsi="MinionPro-Regular"/>
          <w:sz w:val="20"/>
          <w:szCs w:val="24"/>
        </w:rPr>
        <w:t>26,5</w:t>
      </w:r>
      <w:r>
        <w:rPr>
          <w:rFonts w:ascii="MinionPro-Regular" w:hAnsi="MinionPro-Regular"/>
          <w:sz w:val="20"/>
          <w:szCs w:val="24"/>
        </w:rPr>
        <w:t xml:space="preserve">%; Alemania en 2008 </w:t>
      </w:r>
      <w:r w:rsidRPr="001C2926">
        <w:rPr>
          <w:rFonts w:ascii="MinionPro-Regular" w:hAnsi="MinionPro-Regular"/>
          <w:sz w:val="20"/>
          <w:szCs w:val="24"/>
        </w:rPr>
        <w:t>8,0</w:t>
      </w:r>
      <w:r>
        <w:rPr>
          <w:rFonts w:ascii="MinionPro-Regular" w:hAnsi="MinionPro-Regular"/>
          <w:sz w:val="20"/>
          <w:szCs w:val="24"/>
        </w:rPr>
        <w:t xml:space="preserve">% y en 2009 </w:t>
      </w:r>
      <w:r w:rsidRPr="001C2926">
        <w:rPr>
          <w:rFonts w:ascii="MinionPro-Regular" w:hAnsi="MinionPro-Regular"/>
          <w:sz w:val="20"/>
          <w:szCs w:val="24"/>
        </w:rPr>
        <w:t>8,6</w:t>
      </w:r>
      <w:r w:rsidRPr="00A030FA">
        <w:rPr>
          <w:rFonts w:ascii="MinionPro-Regular" w:hAnsi="MinionPro-Regular"/>
          <w:sz w:val="20"/>
        </w:rPr>
        <w:t>%</w:t>
      </w:r>
      <w:r w:rsidRPr="00A030FA">
        <w:rPr>
          <w:rFonts w:ascii="MinionPro-Regular" w:hAnsi="MinionPro-Regular"/>
          <w:sz w:val="20"/>
          <w:szCs w:val="24"/>
        </w:rPr>
        <w:t>;</w:t>
      </w:r>
      <w:r>
        <w:rPr>
          <w:rFonts w:ascii="MinionPro-Regular" w:hAnsi="MinionPro-Regular"/>
          <w:sz w:val="20"/>
          <w:szCs w:val="24"/>
        </w:rPr>
        <w:t xml:space="preserve"> Suecia en 2008 6,1% y en 2009 5,2%; </w:t>
      </w:r>
      <w:r w:rsidRPr="00A030FA">
        <w:rPr>
          <w:rFonts w:ascii="MinionPro-Regular" w:hAnsi="MinionPro-Regular"/>
          <w:sz w:val="20"/>
          <w:szCs w:val="24"/>
        </w:rPr>
        <w:t xml:space="preserve">Reino Unido </w:t>
      </w:r>
      <w:r>
        <w:rPr>
          <w:rFonts w:ascii="MinionPro-Regular" w:hAnsi="MinionPro-Regular"/>
          <w:sz w:val="20"/>
          <w:szCs w:val="24"/>
        </w:rPr>
        <w:t>en 2008 6,8% y en 2009 7,9%.</w:t>
      </w:r>
    </w:p>
    <w:p w:rsidR="00E2336B" w:rsidRDefault="00E2336B" w:rsidP="001B0EA4">
      <w:pPr>
        <w:rPr>
          <w:rFonts w:ascii="MinionPro-Regular" w:hAnsi="MinionPro-Regular"/>
          <w:sz w:val="24"/>
          <w:szCs w:val="24"/>
        </w:rPr>
      </w:pPr>
    </w:p>
    <w:p w:rsidR="0096419A" w:rsidRDefault="0096419A" w:rsidP="001B0EA4">
      <w:pPr>
        <w:rPr>
          <w:rFonts w:ascii="MinionPro-Regular" w:hAnsi="MinionPro-Regular"/>
          <w:sz w:val="24"/>
          <w:szCs w:val="24"/>
        </w:rPr>
      </w:pPr>
    </w:p>
    <w:p w:rsidR="00E2336B" w:rsidRDefault="00E2336B" w:rsidP="001B0EA4">
      <w:pPr>
        <w:pBdr>
          <w:top w:val="single" w:sz="4" w:space="1" w:color="auto"/>
        </w:pBdr>
        <w:rPr>
          <w:rFonts w:ascii="MinionPro-Regular" w:hAnsi="MinionPro-Regular"/>
          <w:sz w:val="20"/>
        </w:rPr>
      </w:pPr>
      <w:r w:rsidRPr="00B44100">
        <w:rPr>
          <w:rFonts w:ascii="MinionPro-Regular" w:hAnsi="MinionPro-Regular"/>
          <w:sz w:val="20"/>
        </w:rPr>
        <w:t>Diferencial del porcentaje de abandono escolar de personas con y sin discapacidad.</w:t>
      </w:r>
    </w:p>
    <w:p w:rsidR="00E2336B" w:rsidRDefault="00E1516B" w:rsidP="001B0EA4">
      <w:pPr>
        <w:autoSpaceDE w:val="0"/>
        <w:autoSpaceDN w:val="0"/>
        <w:spacing w:line="360" w:lineRule="auto"/>
        <w:rPr>
          <w:rFonts w:ascii="MinionPro-Regular" w:hAnsi="MinionPro-Regular"/>
          <w:sz w:val="20"/>
        </w:rPr>
      </w:pPr>
      <w:r>
        <w:rPr>
          <w:rFonts w:ascii="MinionPro-Regular" w:hAnsi="MinionPro-Regular"/>
          <w:noProof/>
          <w:sz w:val="20"/>
          <w:lang w:eastAsia="es-ES"/>
        </w:rPr>
        <w:drawing>
          <wp:inline distT="0" distB="0" distL="0" distR="0">
            <wp:extent cx="4166870" cy="2700020"/>
            <wp:effectExtent l="0" t="0" r="0" b="0"/>
            <wp:docPr id="85" name="Picture 8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9"/>
              </a:graphicData>
            </a:graphic>
          </wp:inline>
        </w:drawing>
      </w:r>
    </w:p>
    <w:p w:rsidR="00E2336B" w:rsidRDefault="00E2336B" w:rsidP="001B0EA4">
      <w:pPr>
        <w:pBdr>
          <w:bottom w:val="single" w:sz="4" w:space="1" w:color="auto"/>
        </w:pBdr>
        <w:autoSpaceDE w:val="0"/>
        <w:autoSpaceDN w:val="0"/>
        <w:spacing w:line="360" w:lineRule="auto"/>
        <w:jc w:val="both"/>
        <w:rPr>
          <w:rFonts w:ascii="MinionPro-Regular" w:hAnsi="MinionPro-Regular"/>
          <w:sz w:val="20"/>
        </w:rPr>
      </w:pPr>
      <w:r>
        <w:rPr>
          <w:rFonts w:ascii="MinionPro-Regular" w:hAnsi="MinionPro-Regular"/>
          <w:sz w:val="20"/>
        </w:rPr>
        <w:lastRenderedPageBreak/>
        <w:t>Fuente: E</w:t>
      </w:r>
      <w:r w:rsidRPr="00B44100">
        <w:rPr>
          <w:rFonts w:ascii="MinionPro-Regular" w:hAnsi="MinionPro-Regular"/>
          <w:sz w:val="20"/>
        </w:rPr>
        <w:t>laboración propia a partir de Eurostat, EU-SILC 2008; EU-SILC 200.9, IDEE Indicators of  Disability Equality in Europe. ANED 2011.</w:t>
      </w:r>
    </w:p>
    <w:p w:rsidR="00E2336B" w:rsidRDefault="00E2336B" w:rsidP="001B0EA4">
      <w:pPr>
        <w:pBdr>
          <w:bottom w:val="single" w:sz="4" w:space="1" w:color="auto"/>
        </w:pBdr>
        <w:autoSpaceDE w:val="0"/>
        <w:autoSpaceDN w:val="0"/>
        <w:spacing w:line="360" w:lineRule="auto"/>
        <w:jc w:val="both"/>
        <w:rPr>
          <w:rFonts w:ascii="MinionPro-Regular" w:hAnsi="MinionPro-Regular"/>
          <w:sz w:val="20"/>
        </w:rPr>
      </w:pPr>
      <w:r>
        <w:rPr>
          <w:rFonts w:ascii="MinionPro-Regular" w:hAnsi="MinionPro-Regular"/>
          <w:sz w:val="20"/>
        </w:rPr>
        <w:t>*No se han incluido los datos de Italia por no ser comparables.</w:t>
      </w:r>
    </w:p>
    <w:p w:rsidR="00E2336B" w:rsidRDefault="00E2336B" w:rsidP="001B0EA4">
      <w:pPr>
        <w:pBdr>
          <w:bottom w:val="single" w:sz="4" w:space="1" w:color="auto"/>
        </w:pBdr>
        <w:autoSpaceDE w:val="0"/>
        <w:autoSpaceDN w:val="0"/>
        <w:spacing w:line="360" w:lineRule="auto"/>
        <w:jc w:val="both"/>
        <w:rPr>
          <w:rFonts w:ascii="MinionPro-Regular" w:hAnsi="MinionPro-Regular"/>
          <w:sz w:val="20"/>
        </w:rPr>
      </w:pPr>
      <w:r w:rsidRPr="001B0FD3">
        <w:rPr>
          <w:rFonts w:ascii="MinionPro-Regular" w:hAnsi="MinionPro-Regular"/>
          <w:sz w:val="20"/>
          <w:szCs w:val="24"/>
        </w:rPr>
        <w:t>Nota explicativa de la gráfica: Eje de vertical</w:t>
      </w:r>
      <w:r>
        <w:rPr>
          <w:rFonts w:ascii="MinionPro-Regular" w:hAnsi="MinionPro-Regular"/>
          <w:sz w:val="20"/>
          <w:szCs w:val="24"/>
        </w:rPr>
        <w:t>,</w:t>
      </w:r>
      <w:r w:rsidRPr="00A030FA">
        <w:rPr>
          <w:rFonts w:ascii="MinionPro-Regular" w:hAnsi="MinionPro-Regular"/>
          <w:sz w:val="20"/>
          <w:szCs w:val="24"/>
        </w:rPr>
        <w:t xml:space="preserve"> </w:t>
      </w:r>
      <w:r>
        <w:rPr>
          <w:rFonts w:ascii="MinionPro-Regular" w:hAnsi="MinionPro-Regular"/>
          <w:sz w:val="20"/>
          <w:szCs w:val="24"/>
        </w:rPr>
        <w:t>Porcentaje</w:t>
      </w:r>
      <w:r w:rsidRPr="001B0FD3">
        <w:rPr>
          <w:rFonts w:ascii="MinionPro-Regular" w:hAnsi="MinionPro-Regular"/>
          <w:sz w:val="20"/>
          <w:szCs w:val="24"/>
        </w:rPr>
        <w:t xml:space="preserve">. Eje horizontal, </w:t>
      </w:r>
      <w:r>
        <w:rPr>
          <w:rFonts w:ascii="MinionPro-Regular" w:hAnsi="MinionPro-Regular"/>
          <w:sz w:val="20"/>
          <w:szCs w:val="24"/>
        </w:rPr>
        <w:t xml:space="preserve">Años. España en 2008 </w:t>
      </w:r>
      <w:r w:rsidRPr="001C2926">
        <w:rPr>
          <w:rFonts w:ascii="MinionPro-Regular" w:hAnsi="MinionPro-Regular"/>
          <w:sz w:val="20"/>
          <w:szCs w:val="24"/>
        </w:rPr>
        <w:t>12,8</w:t>
      </w:r>
      <w:r>
        <w:rPr>
          <w:rFonts w:ascii="MinionPro-Regular" w:hAnsi="MinionPro-Regular"/>
          <w:sz w:val="20"/>
          <w:szCs w:val="24"/>
        </w:rPr>
        <w:t xml:space="preserve">% y en 2009 </w:t>
      </w:r>
      <w:r w:rsidRPr="001C2926">
        <w:rPr>
          <w:rFonts w:ascii="MinionPro-Regular" w:hAnsi="MinionPro-Regular"/>
          <w:sz w:val="20"/>
          <w:szCs w:val="24"/>
        </w:rPr>
        <w:t>15,8</w:t>
      </w:r>
      <w:r>
        <w:rPr>
          <w:rFonts w:ascii="MinionPro-Regular" w:hAnsi="MinionPro-Regular"/>
          <w:sz w:val="20"/>
          <w:szCs w:val="24"/>
        </w:rPr>
        <w:t xml:space="preserve">%; Alemania en 2008 </w:t>
      </w:r>
      <w:r w:rsidRPr="001C2926">
        <w:rPr>
          <w:rFonts w:ascii="MinionPro-Regular" w:hAnsi="MinionPro-Regular"/>
          <w:sz w:val="20"/>
          <w:szCs w:val="24"/>
        </w:rPr>
        <w:t>11,9</w:t>
      </w:r>
      <w:r>
        <w:rPr>
          <w:rFonts w:ascii="MinionPro-Regular" w:hAnsi="MinionPro-Regular"/>
          <w:sz w:val="20"/>
          <w:szCs w:val="24"/>
        </w:rPr>
        <w:t xml:space="preserve">% y en 2009 </w:t>
      </w:r>
      <w:r w:rsidRPr="001C2926">
        <w:rPr>
          <w:rFonts w:ascii="MinionPro-Regular" w:hAnsi="MinionPro-Regular"/>
          <w:sz w:val="20"/>
          <w:szCs w:val="24"/>
        </w:rPr>
        <w:t>15,7</w:t>
      </w:r>
      <w:r w:rsidRPr="00A030FA">
        <w:rPr>
          <w:rFonts w:ascii="MinionPro-Regular" w:hAnsi="MinionPro-Regular"/>
          <w:sz w:val="20"/>
        </w:rPr>
        <w:t>%</w:t>
      </w:r>
      <w:r w:rsidRPr="00A030FA">
        <w:rPr>
          <w:rFonts w:ascii="MinionPro-Regular" w:hAnsi="MinionPro-Regular"/>
          <w:sz w:val="20"/>
          <w:szCs w:val="24"/>
        </w:rPr>
        <w:t>;</w:t>
      </w:r>
      <w:r>
        <w:rPr>
          <w:rFonts w:ascii="MinionPro-Regular" w:hAnsi="MinionPro-Regular"/>
          <w:sz w:val="20"/>
          <w:szCs w:val="24"/>
        </w:rPr>
        <w:t xml:space="preserve"> Suecia en 2008 </w:t>
      </w:r>
      <w:r w:rsidRPr="001C2926">
        <w:rPr>
          <w:rFonts w:ascii="MinionPro-Regular" w:hAnsi="MinionPro-Regular"/>
          <w:sz w:val="20"/>
          <w:szCs w:val="24"/>
        </w:rPr>
        <w:t>6,3</w:t>
      </w:r>
      <w:r>
        <w:rPr>
          <w:rFonts w:ascii="MinionPro-Regular" w:hAnsi="MinionPro-Regular"/>
          <w:sz w:val="20"/>
          <w:szCs w:val="24"/>
        </w:rPr>
        <w:t xml:space="preserve">% y en 2009 </w:t>
      </w:r>
      <w:r w:rsidRPr="001C2926">
        <w:rPr>
          <w:rFonts w:ascii="MinionPro-Regular" w:hAnsi="MinionPro-Regular"/>
          <w:sz w:val="20"/>
          <w:szCs w:val="24"/>
        </w:rPr>
        <w:t>7,8</w:t>
      </w:r>
      <w:r>
        <w:rPr>
          <w:rFonts w:ascii="MinionPro-Regular" w:hAnsi="MinionPro-Regular"/>
          <w:sz w:val="20"/>
          <w:szCs w:val="24"/>
        </w:rPr>
        <w:t xml:space="preserve">%; </w:t>
      </w:r>
      <w:r w:rsidRPr="00A030FA">
        <w:rPr>
          <w:rFonts w:ascii="MinionPro-Regular" w:hAnsi="MinionPro-Regular"/>
          <w:sz w:val="20"/>
          <w:szCs w:val="24"/>
        </w:rPr>
        <w:t xml:space="preserve">Reino Unido </w:t>
      </w:r>
      <w:r>
        <w:rPr>
          <w:rFonts w:ascii="MinionPro-Regular" w:hAnsi="MinionPro-Regular"/>
          <w:sz w:val="20"/>
          <w:szCs w:val="24"/>
        </w:rPr>
        <w:t xml:space="preserve">en 2008 </w:t>
      </w:r>
      <w:r w:rsidRPr="001C2926">
        <w:rPr>
          <w:rFonts w:ascii="MinionPro-Regular" w:hAnsi="MinionPro-Regular"/>
          <w:sz w:val="20"/>
          <w:szCs w:val="24"/>
        </w:rPr>
        <w:t>9,3</w:t>
      </w:r>
      <w:r>
        <w:rPr>
          <w:rFonts w:ascii="MinionPro-Regular" w:hAnsi="MinionPro-Regular"/>
          <w:sz w:val="20"/>
          <w:szCs w:val="24"/>
        </w:rPr>
        <w:t xml:space="preserve">% y en 2009 </w:t>
      </w:r>
      <w:r w:rsidRPr="001C2926">
        <w:rPr>
          <w:rFonts w:ascii="MinionPro-Regular" w:hAnsi="MinionPro-Regular"/>
          <w:sz w:val="20"/>
          <w:szCs w:val="24"/>
        </w:rPr>
        <w:t>8,7</w:t>
      </w:r>
      <w:r>
        <w:rPr>
          <w:rFonts w:ascii="MinionPro-Regular" w:hAnsi="MinionPro-Regular"/>
          <w:sz w:val="20"/>
          <w:szCs w:val="24"/>
        </w:rPr>
        <w:t>%.</w:t>
      </w:r>
    </w:p>
    <w:p w:rsidR="00E2336B" w:rsidRDefault="00E2336B" w:rsidP="001B0EA4">
      <w:pPr>
        <w:autoSpaceDE w:val="0"/>
        <w:autoSpaceDN w:val="0"/>
        <w:spacing w:line="360" w:lineRule="auto"/>
        <w:jc w:val="both"/>
        <w:rPr>
          <w:rFonts w:ascii="MinionPro-Regular" w:hAnsi="MinionPro-Regular"/>
          <w:sz w:val="24"/>
          <w:szCs w:val="24"/>
          <w:lang w:val="es-ES_tradnl"/>
        </w:rPr>
      </w:pPr>
    </w:p>
    <w:p w:rsidR="00E2336B" w:rsidRPr="0048338E" w:rsidRDefault="00E2336B" w:rsidP="001B0EA4">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En el ámbito educativo, las desigualdades también se manifiestan en la formación de grado superior. De acuerdo a los datos publicados por la Academic Network of European Disability Experts</w:t>
      </w:r>
      <w:r>
        <w:rPr>
          <w:rStyle w:val="Refdenotaalpie"/>
          <w:rFonts w:ascii="MinionPro-Regular" w:hAnsi="MinionPro-Regular"/>
          <w:sz w:val="24"/>
          <w:szCs w:val="24"/>
          <w:lang w:val="es-ES_tradnl"/>
        </w:rPr>
        <w:footnoteReference w:id="25"/>
      </w:r>
      <w:r>
        <w:rPr>
          <w:rFonts w:ascii="MinionPro-Regular" w:hAnsi="MinionPro-Regular"/>
          <w:sz w:val="24"/>
          <w:szCs w:val="24"/>
          <w:lang w:val="es-ES_tradnl"/>
        </w:rPr>
        <w:t xml:space="preserve">, el porcentaje de personas de la población general que, en Europa, había completado educación superior en 2009 se situaba en el 35,1%. Por su parte, la tasa para las personas con discapacidad disminuía hasta el 21,4%. Los datos para España parecen ser incluso peores. De acuerdo al número 33 de la Colección de Estudios Sociales de la Obra Social de La Caixa, tomando datos de 2008, las personas con discapacidad con educación superior en España suponían tan sólo un tercio de la población general. </w:t>
      </w:r>
    </w:p>
    <w:p w:rsidR="00E2336B" w:rsidRPr="007A408D" w:rsidRDefault="00F724E7" w:rsidP="0007541A">
      <w:pPr>
        <w:pStyle w:val="Ttulo3"/>
        <w:numPr>
          <w:ilvl w:val="2"/>
          <w:numId w:val="3"/>
        </w:numPr>
        <w:autoSpaceDE w:val="0"/>
        <w:autoSpaceDN w:val="0"/>
        <w:spacing w:line="360" w:lineRule="auto"/>
        <w:jc w:val="both"/>
        <w:rPr>
          <w:lang w:val="es-ES_tradnl"/>
        </w:rPr>
      </w:pPr>
      <w:bookmarkStart w:id="279" w:name="_Toc352773574"/>
      <w:r w:rsidRPr="007A408D">
        <w:rPr>
          <w:lang w:val="es-ES_tradnl"/>
        </w:rPr>
        <w:t>El diferencial del riesgo de pobreza entre las personas con y sin discapacidad es menor en España que en Alemania y Reino Unido.</w:t>
      </w:r>
      <w:bookmarkEnd w:id="279"/>
      <w:r w:rsidRPr="007A408D">
        <w:rPr>
          <w:lang w:val="es-ES_tradnl"/>
        </w:rPr>
        <w:t xml:space="preserve"> </w:t>
      </w:r>
    </w:p>
    <w:p w:rsidR="007A408D" w:rsidRPr="007A408D" w:rsidRDefault="007A408D" w:rsidP="007A408D">
      <w:pPr>
        <w:pStyle w:val="Textoindependiente"/>
        <w:rPr>
          <w:lang w:val="es-ES_tradnl"/>
        </w:rPr>
      </w:pPr>
    </w:p>
    <w:p w:rsidR="00E2336B" w:rsidRDefault="00E2336B" w:rsidP="001B0EA4">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 xml:space="preserve">Por último, resulta asimismo relevante conocer la tasa de la población con y sin discapacidad en riesgo de pobreza. Como es sabido, la tasa de riesgo de pobreza entre la población con discapacidad es significativamente mayor que la de la población general. </w:t>
      </w:r>
    </w:p>
    <w:p w:rsidR="00E2336B" w:rsidRDefault="00E2336B" w:rsidP="001B0EA4">
      <w:pPr>
        <w:autoSpaceDE w:val="0"/>
        <w:autoSpaceDN w:val="0"/>
        <w:spacing w:line="360" w:lineRule="auto"/>
        <w:jc w:val="both"/>
        <w:rPr>
          <w:rFonts w:ascii="MinionPro-Regular" w:hAnsi="MinionPro-Regular"/>
          <w:sz w:val="24"/>
          <w:szCs w:val="24"/>
          <w:lang w:val="es-ES_tradnl"/>
        </w:rPr>
      </w:pPr>
    </w:p>
    <w:p w:rsidR="00E2336B" w:rsidRDefault="00E2336B" w:rsidP="001B0EA4">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 xml:space="preserve">España muestra niveles de riesgo de pobreza para las personas con discapacidad similares a los de Alemania, siendo los de UK ligeramente superiores y los de Suecia los </w:t>
      </w:r>
      <w:r>
        <w:rPr>
          <w:rFonts w:ascii="MinionPro-Regular" w:hAnsi="MinionPro-Regular"/>
          <w:sz w:val="24"/>
          <w:szCs w:val="24"/>
          <w:lang w:val="es-ES_tradnl"/>
        </w:rPr>
        <w:lastRenderedPageBreak/>
        <w:t>más bajos de los analizados. Sin embargo, si nos fijamos en el riesgo de pobreza de las personas sin discapacidad, en España e Italia es donde se encuentran los valores más altos. En Alemania, por otra parte, es donde se encuentra un mayor diferencial entre el riesgo de pobreza de las personas con y sin discapacidad, seguido del Reino Unido.</w:t>
      </w:r>
    </w:p>
    <w:p w:rsidR="00E2336B" w:rsidRDefault="00E2336B" w:rsidP="001B0EA4">
      <w:pPr>
        <w:autoSpaceDE w:val="0"/>
        <w:autoSpaceDN w:val="0"/>
        <w:spacing w:line="360" w:lineRule="auto"/>
        <w:jc w:val="both"/>
        <w:rPr>
          <w:rFonts w:ascii="Arial" w:hAnsi="Arial" w:cs="Arial"/>
          <w:sz w:val="20"/>
        </w:rPr>
      </w:pPr>
    </w:p>
    <w:p w:rsidR="00E2336B" w:rsidRDefault="00E2336B" w:rsidP="001B0EA4">
      <w:pPr>
        <w:pBdr>
          <w:top w:val="single" w:sz="4" w:space="1" w:color="auto"/>
        </w:pBdr>
        <w:autoSpaceDE w:val="0"/>
        <w:autoSpaceDN w:val="0"/>
        <w:spacing w:line="360" w:lineRule="auto"/>
        <w:jc w:val="both"/>
        <w:rPr>
          <w:rFonts w:ascii="MinionPro-Regular" w:hAnsi="MinionPro-Regular"/>
          <w:sz w:val="20"/>
        </w:rPr>
      </w:pPr>
      <w:r w:rsidRPr="00B44100">
        <w:rPr>
          <w:rFonts w:ascii="MinionPro-Regular" w:hAnsi="MinionPro-Regular"/>
          <w:sz w:val="20"/>
        </w:rPr>
        <w:t>Porcentaje de personas con discapacidad en situación de riesgo de pobreza en edades comprendidas entre los 16 y 64 años.</w:t>
      </w:r>
    </w:p>
    <w:p w:rsidR="00E2336B" w:rsidRDefault="00336AEF" w:rsidP="001B0EA4">
      <w:pPr>
        <w:autoSpaceDE w:val="0"/>
        <w:autoSpaceDN w:val="0"/>
        <w:spacing w:line="360" w:lineRule="auto"/>
        <w:rPr>
          <w:rFonts w:ascii="MinionPro-Regular" w:hAnsi="MinionPro-Regular"/>
          <w:sz w:val="24"/>
          <w:szCs w:val="24"/>
        </w:rPr>
      </w:pPr>
      <w:r>
        <w:rPr>
          <w:rFonts w:ascii="MinionPro-Regular" w:hAnsi="MinionPro-Regular"/>
          <w:noProof/>
          <w:sz w:val="24"/>
          <w:szCs w:val="24"/>
          <w:lang w:eastAsia="es-ES"/>
        </w:rPr>
        <w:drawing>
          <wp:inline distT="0" distB="0" distL="0" distR="0">
            <wp:extent cx="4451350" cy="2786380"/>
            <wp:effectExtent l="0" t="0" r="0" b="0"/>
            <wp:docPr id="201" name="Picture 8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0"/>
              </a:graphicData>
            </a:graphic>
          </wp:inline>
        </w:drawing>
      </w:r>
    </w:p>
    <w:p w:rsidR="00E2336B" w:rsidRDefault="00E2336B" w:rsidP="001B0EA4">
      <w:pPr>
        <w:autoSpaceDE w:val="0"/>
        <w:autoSpaceDN w:val="0"/>
        <w:spacing w:line="360" w:lineRule="auto"/>
        <w:jc w:val="both"/>
        <w:rPr>
          <w:rFonts w:ascii="MinionPro-Regular" w:hAnsi="MinionPro-Regular"/>
          <w:sz w:val="20"/>
        </w:rPr>
      </w:pPr>
      <w:r>
        <w:rPr>
          <w:rFonts w:ascii="MinionPro-Regular" w:hAnsi="MinionPro-Regular"/>
          <w:sz w:val="20"/>
        </w:rPr>
        <w:t xml:space="preserve">Fuente: </w:t>
      </w:r>
      <w:r w:rsidRPr="00B44100">
        <w:rPr>
          <w:rFonts w:ascii="MinionPro-Regular" w:hAnsi="MinionPro-Regular"/>
          <w:sz w:val="20"/>
        </w:rPr>
        <w:t>Elaboración propia a partir de los datos obtenidos de la fuente: Eurostat, EU-SILC 2008; EU-SILC 200.9, IDEE Indicators of  Disability Equality in Europe. ANED 2011.</w:t>
      </w:r>
    </w:p>
    <w:p w:rsidR="00E2336B" w:rsidRDefault="00E2336B" w:rsidP="001B0EA4">
      <w:pPr>
        <w:pBdr>
          <w:bottom w:val="single" w:sz="4" w:space="1" w:color="auto"/>
        </w:pBdr>
        <w:autoSpaceDE w:val="0"/>
        <w:autoSpaceDN w:val="0"/>
        <w:spacing w:line="360" w:lineRule="auto"/>
        <w:jc w:val="both"/>
        <w:rPr>
          <w:rFonts w:ascii="MinionPro-Regular" w:hAnsi="MinionPro-Regular"/>
          <w:sz w:val="24"/>
          <w:szCs w:val="24"/>
        </w:rPr>
      </w:pPr>
      <w:r w:rsidRPr="001B0FD3">
        <w:rPr>
          <w:rFonts w:ascii="MinionPro-Regular" w:hAnsi="MinionPro-Regular"/>
          <w:sz w:val="20"/>
          <w:szCs w:val="24"/>
        </w:rPr>
        <w:t>Nota explicativa de la gráfica: Eje de vertical</w:t>
      </w:r>
      <w:r>
        <w:rPr>
          <w:rFonts w:ascii="MinionPro-Regular" w:hAnsi="MinionPro-Regular"/>
          <w:sz w:val="20"/>
          <w:szCs w:val="24"/>
        </w:rPr>
        <w:t>,</w:t>
      </w:r>
      <w:r w:rsidRPr="00A030FA">
        <w:rPr>
          <w:rFonts w:ascii="MinionPro-Regular" w:hAnsi="MinionPro-Regular"/>
          <w:sz w:val="20"/>
          <w:szCs w:val="24"/>
        </w:rPr>
        <w:t xml:space="preserve"> </w:t>
      </w:r>
      <w:r>
        <w:rPr>
          <w:rFonts w:ascii="MinionPro-Regular" w:hAnsi="MinionPro-Regular"/>
          <w:sz w:val="20"/>
          <w:szCs w:val="24"/>
        </w:rPr>
        <w:t>Porcentaje</w:t>
      </w:r>
      <w:r w:rsidRPr="001B0FD3">
        <w:rPr>
          <w:rFonts w:ascii="MinionPro-Regular" w:hAnsi="MinionPro-Regular"/>
          <w:sz w:val="20"/>
          <w:szCs w:val="24"/>
        </w:rPr>
        <w:t xml:space="preserve">. Eje horizontal, </w:t>
      </w:r>
      <w:r>
        <w:rPr>
          <w:rFonts w:ascii="MinionPro-Regular" w:hAnsi="MinionPro-Regular"/>
          <w:sz w:val="20"/>
          <w:szCs w:val="24"/>
        </w:rPr>
        <w:t xml:space="preserve">Años. España en 2008 </w:t>
      </w:r>
      <w:r w:rsidRPr="001C2926">
        <w:rPr>
          <w:rFonts w:ascii="MinionPro-Regular" w:hAnsi="MinionPro-Regular"/>
          <w:sz w:val="20"/>
          <w:szCs w:val="24"/>
        </w:rPr>
        <w:t>22,0</w:t>
      </w:r>
      <w:r>
        <w:rPr>
          <w:rFonts w:ascii="MinionPro-Regular" w:hAnsi="MinionPro-Regular"/>
          <w:sz w:val="20"/>
          <w:szCs w:val="24"/>
        </w:rPr>
        <w:t xml:space="preserve">% y en 2009 22,6%; Alemania en 2008 </w:t>
      </w:r>
      <w:r w:rsidRPr="001C2926">
        <w:rPr>
          <w:rFonts w:ascii="MinionPro-Regular" w:hAnsi="MinionPro-Regular"/>
          <w:sz w:val="20"/>
          <w:szCs w:val="24"/>
        </w:rPr>
        <w:t>22,0</w:t>
      </w:r>
      <w:r>
        <w:rPr>
          <w:rFonts w:ascii="MinionPro-Regular" w:hAnsi="MinionPro-Regular"/>
          <w:sz w:val="20"/>
          <w:szCs w:val="24"/>
        </w:rPr>
        <w:t>% y en 2009 22,8</w:t>
      </w:r>
      <w:r w:rsidRPr="00A030FA">
        <w:rPr>
          <w:rFonts w:ascii="MinionPro-Regular" w:hAnsi="MinionPro-Regular"/>
          <w:sz w:val="20"/>
        </w:rPr>
        <w:t>%</w:t>
      </w:r>
      <w:r w:rsidRPr="00A030FA">
        <w:rPr>
          <w:rFonts w:ascii="MinionPro-Regular" w:hAnsi="MinionPro-Regular"/>
          <w:sz w:val="20"/>
          <w:szCs w:val="24"/>
        </w:rPr>
        <w:t>;</w:t>
      </w:r>
      <w:r>
        <w:rPr>
          <w:rFonts w:ascii="MinionPro-Regular" w:hAnsi="MinionPro-Regular"/>
          <w:sz w:val="20"/>
          <w:szCs w:val="24"/>
        </w:rPr>
        <w:t xml:space="preserve"> Suecia en 2008 </w:t>
      </w:r>
      <w:r w:rsidRPr="001C2926">
        <w:rPr>
          <w:rFonts w:ascii="MinionPro-Regular" w:hAnsi="MinionPro-Regular"/>
          <w:sz w:val="20"/>
          <w:szCs w:val="24"/>
        </w:rPr>
        <w:t>12,2</w:t>
      </w:r>
      <w:r>
        <w:rPr>
          <w:rFonts w:ascii="MinionPro-Regular" w:hAnsi="MinionPro-Regular"/>
          <w:sz w:val="20"/>
          <w:szCs w:val="24"/>
        </w:rPr>
        <w:t xml:space="preserve">% y en 2009 </w:t>
      </w:r>
      <w:r w:rsidRPr="001C2926">
        <w:rPr>
          <w:rFonts w:ascii="MinionPro-Regular" w:hAnsi="MinionPro-Regular"/>
          <w:sz w:val="20"/>
          <w:szCs w:val="24"/>
        </w:rPr>
        <w:t>15,9</w:t>
      </w:r>
      <w:r>
        <w:rPr>
          <w:rFonts w:ascii="MinionPro-Regular" w:hAnsi="MinionPro-Regular"/>
          <w:sz w:val="20"/>
          <w:szCs w:val="24"/>
        </w:rPr>
        <w:t xml:space="preserve">%; </w:t>
      </w:r>
      <w:r w:rsidRPr="00A030FA">
        <w:rPr>
          <w:rFonts w:ascii="MinionPro-Regular" w:hAnsi="MinionPro-Regular"/>
          <w:sz w:val="20"/>
          <w:szCs w:val="24"/>
        </w:rPr>
        <w:t xml:space="preserve">Reino Unido </w:t>
      </w:r>
      <w:r>
        <w:rPr>
          <w:rFonts w:ascii="MinionPro-Regular" w:hAnsi="MinionPro-Regular"/>
          <w:sz w:val="20"/>
          <w:szCs w:val="24"/>
        </w:rPr>
        <w:t xml:space="preserve">en 2008 </w:t>
      </w:r>
      <w:r w:rsidRPr="001C2926">
        <w:rPr>
          <w:rFonts w:ascii="MinionPro-Regular" w:hAnsi="MinionPro-Regular"/>
          <w:sz w:val="20"/>
          <w:szCs w:val="24"/>
        </w:rPr>
        <w:t>23,5</w:t>
      </w:r>
      <w:r>
        <w:rPr>
          <w:rFonts w:ascii="MinionPro-Regular" w:hAnsi="MinionPro-Regular"/>
          <w:sz w:val="20"/>
          <w:szCs w:val="24"/>
        </w:rPr>
        <w:t xml:space="preserve">% y en 2009 </w:t>
      </w:r>
      <w:r w:rsidRPr="001C2926">
        <w:rPr>
          <w:rFonts w:ascii="MinionPro-Regular" w:hAnsi="MinionPro-Regular"/>
          <w:sz w:val="20"/>
          <w:szCs w:val="24"/>
        </w:rPr>
        <w:t>22,5</w:t>
      </w:r>
      <w:r>
        <w:rPr>
          <w:rFonts w:ascii="MinionPro-Regular" w:hAnsi="MinionPro-Regular"/>
          <w:sz w:val="20"/>
          <w:szCs w:val="24"/>
        </w:rPr>
        <w:t>%; Italia</w:t>
      </w:r>
      <w:r w:rsidRPr="00A030FA">
        <w:rPr>
          <w:rFonts w:ascii="MinionPro-Regular" w:hAnsi="MinionPro-Regular"/>
          <w:sz w:val="20"/>
          <w:szCs w:val="24"/>
        </w:rPr>
        <w:t xml:space="preserve"> </w:t>
      </w:r>
      <w:r>
        <w:rPr>
          <w:rFonts w:ascii="MinionPro-Regular" w:hAnsi="MinionPro-Regular"/>
          <w:sz w:val="20"/>
          <w:szCs w:val="24"/>
        </w:rPr>
        <w:t xml:space="preserve">en 2008 </w:t>
      </w:r>
      <w:r w:rsidRPr="001C2926">
        <w:rPr>
          <w:rFonts w:ascii="MinionPro-Regular" w:hAnsi="MinionPro-Regular"/>
          <w:sz w:val="20"/>
          <w:szCs w:val="24"/>
        </w:rPr>
        <w:t>19,1</w:t>
      </w:r>
      <w:r>
        <w:rPr>
          <w:rFonts w:ascii="MinionPro-Regular" w:hAnsi="MinionPro-Regular"/>
          <w:sz w:val="20"/>
          <w:szCs w:val="24"/>
        </w:rPr>
        <w:t xml:space="preserve">% y en 2009 </w:t>
      </w:r>
      <w:r w:rsidRPr="001C2926">
        <w:rPr>
          <w:rFonts w:ascii="MinionPro-Regular" w:hAnsi="MinionPro-Regular"/>
          <w:sz w:val="20"/>
          <w:szCs w:val="24"/>
        </w:rPr>
        <w:t>19,4</w:t>
      </w:r>
      <w:r>
        <w:rPr>
          <w:rFonts w:ascii="MinionPro-Regular" w:hAnsi="MinionPro-Regular"/>
          <w:sz w:val="20"/>
          <w:szCs w:val="24"/>
        </w:rPr>
        <w:t>%</w:t>
      </w:r>
    </w:p>
    <w:p w:rsidR="00E2336B" w:rsidRDefault="00E2336B" w:rsidP="001B0EA4">
      <w:pPr>
        <w:autoSpaceDE w:val="0"/>
        <w:autoSpaceDN w:val="0"/>
        <w:spacing w:line="360" w:lineRule="auto"/>
        <w:jc w:val="both"/>
        <w:rPr>
          <w:rFonts w:ascii="MinionPro-Regular" w:hAnsi="MinionPro-Regular"/>
          <w:sz w:val="20"/>
        </w:rPr>
      </w:pPr>
    </w:p>
    <w:p w:rsidR="00E2336B" w:rsidRDefault="00E2336B" w:rsidP="001B0EA4">
      <w:pPr>
        <w:autoSpaceDE w:val="0"/>
        <w:autoSpaceDN w:val="0"/>
        <w:spacing w:line="360" w:lineRule="auto"/>
        <w:jc w:val="both"/>
        <w:rPr>
          <w:rFonts w:ascii="MinionPro-Regular" w:hAnsi="MinionPro-Regular"/>
          <w:sz w:val="20"/>
        </w:rPr>
      </w:pPr>
    </w:p>
    <w:p w:rsidR="00E2336B" w:rsidRDefault="00E2336B" w:rsidP="001B0EA4">
      <w:pPr>
        <w:autoSpaceDE w:val="0"/>
        <w:autoSpaceDN w:val="0"/>
        <w:spacing w:line="360" w:lineRule="auto"/>
        <w:jc w:val="both"/>
        <w:rPr>
          <w:rFonts w:ascii="MinionPro-Regular" w:hAnsi="MinionPro-Regular"/>
          <w:sz w:val="20"/>
        </w:rPr>
      </w:pPr>
    </w:p>
    <w:p w:rsidR="0096419A" w:rsidRDefault="0096419A" w:rsidP="001B0EA4">
      <w:pPr>
        <w:autoSpaceDE w:val="0"/>
        <w:autoSpaceDN w:val="0"/>
        <w:spacing w:line="360" w:lineRule="auto"/>
        <w:jc w:val="both"/>
        <w:rPr>
          <w:rFonts w:ascii="MinionPro-Regular" w:hAnsi="MinionPro-Regular"/>
          <w:sz w:val="20"/>
        </w:rPr>
      </w:pPr>
    </w:p>
    <w:p w:rsidR="0096419A" w:rsidRDefault="0096419A" w:rsidP="001B0EA4">
      <w:pPr>
        <w:autoSpaceDE w:val="0"/>
        <w:autoSpaceDN w:val="0"/>
        <w:spacing w:line="360" w:lineRule="auto"/>
        <w:jc w:val="both"/>
        <w:rPr>
          <w:rFonts w:ascii="MinionPro-Regular" w:hAnsi="MinionPro-Regular"/>
          <w:sz w:val="20"/>
        </w:rPr>
      </w:pPr>
    </w:p>
    <w:p w:rsidR="0096419A" w:rsidRDefault="0096419A" w:rsidP="001B0EA4">
      <w:pPr>
        <w:autoSpaceDE w:val="0"/>
        <w:autoSpaceDN w:val="0"/>
        <w:spacing w:line="360" w:lineRule="auto"/>
        <w:jc w:val="both"/>
        <w:rPr>
          <w:rFonts w:ascii="MinionPro-Regular" w:hAnsi="MinionPro-Regular"/>
          <w:sz w:val="20"/>
        </w:rPr>
      </w:pPr>
    </w:p>
    <w:p w:rsidR="0096419A" w:rsidRDefault="0096419A" w:rsidP="001B0EA4">
      <w:pPr>
        <w:autoSpaceDE w:val="0"/>
        <w:autoSpaceDN w:val="0"/>
        <w:spacing w:line="360" w:lineRule="auto"/>
        <w:jc w:val="both"/>
        <w:rPr>
          <w:rFonts w:ascii="MinionPro-Regular" w:hAnsi="MinionPro-Regular"/>
          <w:sz w:val="20"/>
        </w:rPr>
      </w:pPr>
    </w:p>
    <w:p w:rsidR="0096419A" w:rsidRDefault="0096419A" w:rsidP="001B0EA4">
      <w:pPr>
        <w:autoSpaceDE w:val="0"/>
        <w:autoSpaceDN w:val="0"/>
        <w:spacing w:line="360" w:lineRule="auto"/>
        <w:jc w:val="both"/>
        <w:rPr>
          <w:rFonts w:ascii="MinionPro-Regular" w:hAnsi="MinionPro-Regular"/>
          <w:sz w:val="20"/>
        </w:rPr>
      </w:pPr>
    </w:p>
    <w:p w:rsidR="0096419A" w:rsidRDefault="0096419A" w:rsidP="001B0EA4">
      <w:pPr>
        <w:autoSpaceDE w:val="0"/>
        <w:autoSpaceDN w:val="0"/>
        <w:spacing w:line="360" w:lineRule="auto"/>
        <w:jc w:val="both"/>
        <w:rPr>
          <w:rFonts w:ascii="MinionPro-Regular" w:hAnsi="MinionPro-Regular"/>
          <w:sz w:val="20"/>
        </w:rPr>
      </w:pPr>
    </w:p>
    <w:p w:rsidR="0096419A" w:rsidRDefault="0096419A" w:rsidP="001B0EA4">
      <w:pPr>
        <w:autoSpaceDE w:val="0"/>
        <w:autoSpaceDN w:val="0"/>
        <w:spacing w:line="360" w:lineRule="auto"/>
        <w:jc w:val="both"/>
        <w:rPr>
          <w:rFonts w:ascii="MinionPro-Regular" w:hAnsi="MinionPro-Regular"/>
          <w:sz w:val="20"/>
        </w:rPr>
      </w:pPr>
    </w:p>
    <w:p w:rsidR="0096419A" w:rsidRDefault="0096419A" w:rsidP="001B0EA4">
      <w:pPr>
        <w:autoSpaceDE w:val="0"/>
        <w:autoSpaceDN w:val="0"/>
        <w:spacing w:line="360" w:lineRule="auto"/>
        <w:jc w:val="both"/>
        <w:rPr>
          <w:rFonts w:ascii="MinionPro-Regular" w:hAnsi="MinionPro-Regular"/>
          <w:sz w:val="20"/>
        </w:rPr>
      </w:pPr>
    </w:p>
    <w:p w:rsidR="00E2336B" w:rsidRDefault="00E2336B" w:rsidP="001B0EA4">
      <w:pPr>
        <w:pBdr>
          <w:top w:val="single" w:sz="4" w:space="1" w:color="auto"/>
        </w:pBdr>
        <w:autoSpaceDE w:val="0"/>
        <w:autoSpaceDN w:val="0"/>
        <w:spacing w:line="360" w:lineRule="auto"/>
        <w:jc w:val="both"/>
        <w:rPr>
          <w:rFonts w:ascii="MinionPro-Regular" w:hAnsi="MinionPro-Regular"/>
          <w:sz w:val="20"/>
        </w:rPr>
      </w:pPr>
      <w:r w:rsidRPr="00B44100">
        <w:rPr>
          <w:rFonts w:ascii="MinionPro-Regular" w:hAnsi="MinionPro-Regular"/>
          <w:sz w:val="20"/>
        </w:rPr>
        <w:t xml:space="preserve">Porcentaje de personas </w:t>
      </w:r>
      <w:r>
        <w:rPr>
          <w:rFonts w:ascii="MinionPro-Regular" w:hAnsi="MinionPro-Regular"/>
          <w:sz w:val="20"/>
        </w:rPr>
        <w:t>sin</w:t>
      </w:r>
      <w:r w:rsidRPr="00B44100">
        <w:rPr>
          <w:rFonts w:ascii="MinionPro-Regular" w:hAnsi="MinionPro-Regular"/>
          <w:sz w:val="20"/>
        </w:rPr>
        <w:t xml:space="preserve"> discapacidad en situación de riesgo de pobreza en edades comprendidas entre </w:t>
      </w:r>
      <w:r>
        <w:rPr>
          <w:rFonts w:ascii="MinionPro-Regular" w:hAnsi="MinionPro-Regular"/>
          <w:sz w:val="20"/>
        </w:rPr>
        <w:t>los 16 y 64 años.</w:t>
      </w:r>
    </w:p>
    <w:p w:rsidR="00E2336B" w:rsidRDefault="00E1516B" w:rsidP="001B0EA4">
      <w:pPr>
        <w:autoSpaceDE w:val="0"/>
        <w:autoSpaceDN w:val="0"/>
        <w:spacing w:line="360" w:lineRule="auto"/>
        <w:rPr>
          <w:rFonts w:ascii="MinionPro-Regular" w:hAnsi="MinionPro-Regular"/>
          <w:sz w:val="24"/>
          <w:szCs w:val="24"/>
        </w:rPr>
      </w:pPr>
      <w:r>
        <w:rPr>
          <w:rFonts w:ascii="MinionPro-Regular" w:hAnsi="MinionPro-Regular"/>
          <w:noProof/>
          <w:sz w:val="24"/>
          <w:szCs w:val="24"/>
          <w:lang w:eastAsia="es-ES"/>
        </w:rPr>
        <w:drawing>
          <wp:inline distT="0" distB="0" distL="0" distR="0">
            <wp:extent cx="4399280" cy="2760345"/>
            <wp:effectExtent l="0" t="0" r="0" b="0"/>
            <wp:docPr id="87" name="Picture 8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1"/>
              </a:graphicData>
            </a:graphic>
          </wp:inline>
        </w:drawing>
      </w:r>
    </w:p>
    <w:p w:rsidR="00E2336B" w:rsidRDefault="00E2336B" w:rsidP="001B0EA4">
      <w:pPr>
        <w:pBdr>
          <w:bottom w:val="single" w:sz="4" w:space="1" w:color="auto"/>
        </w:pBdr>
        <w:autoSpaceDE w:val="0"/>
        <w:autoSpaceDN w:val="0"/>
        <w:spacing w:line="360" w:lineRule="auto"/>
        <w:jc w:val="both"/>
        <w:rPr>
          <w:rFonts w:ascii="MinionPro-Regular" w:hAnsi="MinionPro-Regular"/>
          <w:sz w:val="20"/>
        </w:rPr>
      </w:pPr>
      <w:r>
        <w:rPr>
          <w:rFonts w:ascii="MinionPro-Regular" w:hAnsi="MinionPro-Regular"/>
          <w:sz w:val="20"/>
        </w:rPr>
        <w:t xml:space="preserve">Fuente: </w:t>
      </w:r>
      <w:r w:rsidRPr="00B44100">
        <w:rPr>
          <w:rFonts w:ascii="MinionPro-Regular" w:hAnsi="MinionPro-Regular"/>
          <w:sz w:val="20"/>
        </w:rPr>
        <w:t>Elaboración propia a partir de los datos obtenidos de la fuente: Eurostat, EU-SILC 2008; EU-SILC 200.9, IDEE Indicators of  Disability Equality in Europe. ANED 2011.</w:t>
      </w:r>
    </w:p>
    <w:p w:rsidR="00E2336B" w:rsidRDefault="00E2336B" w:rsidP="001B0EA4">
      <w:pPr>
        <w:pBdr>
          <w:bottom w:val="single" w:sz="4" w:space="1" w:color="auto"/>
        </w:pBdr>
        <w:autoSpaceDE w:val="0"/>
        <w:autoSpaceDN w:val="0"/>
        <w:spacing w:line="360" w:lineRule="auto"/>
        <w:jc w:val="both"/>
        <w:rPr>
          <w:rFonts w:ascii="MinionPro-Regular" w:hAnsi="MinionPro-Regular"/>
          <w:sz w:val="20"/>
        </w:rPr>
      </w:pPr>
      <w:r w:rsidRPr="001B0FD3">
        <w:rPr>
          <w:rFonts w:ascii="MinionPro-Regular" w:hAnsi="MinionPro-Regular"/>
          <w:sz w:val="20"/>
          <w:szCs w:val="24"/>
        </w:rPr>
        <w:t>Nota explicativa de la gráfica: Eje de vertical</w:t>
      </w:r>
      <w:r>
        <w:rPr>
          <w:rFonts w:ascii="MinionPro-Regular" w:hAnsi="MinionPro-Regular"/>
          <w:sz w:val="20"/>
          <w:szCs w:val="24"/>
        </w:rPr>
        <w:t>,</w:t>
      </w:r>
      <w:r w:rsidRPr="00A030FA">
        <w:rPr>
          <w:rFonts w:ascii="MinionPro-Regular" w:hAnsi="MinionPro-Regular"/>
          <w:sz w:val="20"/>
          <w:szCs w:val="24"/>
        </w:rPr>
        <w:t xml:space="preserve"> </w:t>
      </w:r>
      <w:r>
        <w:rPr>
          <w:rFonts w:ascii="MinionPro-Regular" w:hAnsi="MinionPro-Regular"/>
          <w:sz w:val="20"/>
          <w:szCs w:val="24"/>
        </w:rPr>
        <w:t>Porcentaje</w:t>
      </w:r>
      <w:r w:rsidRPr="001B0FD3">
        <w:rPr>
          <w:rFonts w:ascii="MinionPro-Regular" w:hAnsi="MinionPro-Regular"/>
          <w:sz w:val="20"/>
          <w:szCs w:val="24"/>
        </w:rPr>
        <w:t xml:space="preserve">. Eje horizontal, </w:t>
      </w:r>
      <w:r>
        <w:rPr>
          <w:rFonts w:ascii="MinionPro-Regular" w:hAnsi="MinionPro-Regular"/>
          <w:sz w:val="20"/>
          <w:szCs w:val="24"/>
        </w:rPr>
        <w:t>Años. España en 2008 15,9% y en 2009 16,4%; Alemania en 2008 11,7% y en 2009 11,8</w:t>
      </w:r>
      <w:r w:rsidRPr="00A030FA">
        <w:rPr>
          <w:rFonts w:ascii="MinionPro-Regular" w:hAnsi="MinionPro-Regular"/>
          <w:sz w:val="20"/>
        </w:rPr>
        <w:t>%</w:t>
      </w:r>
      <w:r w:rsidRPr="00A030FA">
        <w:rPr>
          <w:rFonts w:ascii="MinionPro-Regular" w:hAnsi="MinionPro-Regular"/>
          <w:sz w:val="20"/>
          <w:szCs w:val="24"/>
        </w:rPr>
        <w:t>;</w:t>
      </w:r>
      <w:r>
        <w:rPr>
          <w:rFonts w:ascii="MinionPro-Regular" w:hAnsi="MinionPro-Regular"/>
          <w:sz w:val="20"/>
          <w:szCs w:val="24"/>
        </w:rPr>
        <w:t xml:space="preserve"> Suecia en 2008 11,3% y en 2009 11,8%; </w:t>
      </w:r>
      <w:r w:rsidRPr="00A030FA">
        <w:rPr>
          <w:rFonts w:ascii="MinionPro-Regular" w:hAnsi="MinionPro-Regular"/>
          <w:sz w:val="20"/>
          <w:szCs w:val="24"/>
        </w:rPr>
        <w:t xml:space="preserve">Reino Unido </w:t>
      </w:r>
      <w:r>
        <w:rPr>
          <w:rFonts w:ascii="MinionPro-Regular" w:hAnsi="MinionPro-Regular"/>
          <w:sz w:val="20"/>
          <w:szCs w:val="24"/>
        </w:rPr>
        <w:t>en 2008 13,6% y en 2009 13,8%; Italia</w:t>
      </w:r>
      <w:r w:rsidRPr="00A030FA">
        <w:rPr>
          <w:rFonts w:ascii="MinionPro-Regular" w:hAnsi="MinionPro-Regular"/>
          <w:sz w:val="20"/>
          <w:szCs w:val="24"/>
        </w:rPr>
        <w:t xml:space="preserve"> </w:t>
      </w:r>
      <w:r>
        <w:rPr>
          <w:rFonts w:ascii="MinionPro-Regular" w:hAnsi="MinionPro-Regular"/>
          <w:sz w:val="20"/>
          <w:szCs w:val="24"/>
        </w:rPr>
        <w:t>en 2008 16,1% y en 2009 16,1%.</w:t>
      </w:r>
    </w:p>
    <w:p w:rsidR="00E2336B" w:rsidRDefault="00E2336B" w:rsidP="001B0EA4">
      <w:pPr>
        <w:rPr>
          <w:rFonts w:ascii="MinionPro-Regular" w:hAnsi="MinionPro-Regular"/>
          <w:sz w:val="24"/>
          <w:szCs w:val="24"/>
        </w:rPr>
      </w:pPr>
    </w:p>
    <w:p w:rsidR="00E2336B" w:rsidRDefault="00E2336B" w:rsidP="001B0EA4">
      <w:pPr>
        <w:rPr>
          <w:rFonts w:ascii="MinionPro-Regular" w:hAnsi="MinionPro-Regular"/>
          <w:sz w:val="24"/>
          <w:szCs w:val="24"/>
        </w:rPr>
      </w:pPr>
    </w:p>
    <w:p w:rsidR="0096419A" w:rsidRDefault="0096419A" w:rsidP="001B0EA4">
      <w:pPr>
        <w:rPr>
          <w:rFonts w:ascii="MinionPro-Regular" w:hAnsi="MinionPro-Regular"/>
          <w:sz w:val="24"/>
          <w:szCs w:val="24"/>
        </w:rPr>
      </w:pPr>
    </w:p>
    <w:p w:rsidR="0096419A" w:rsidRDefault="0096419A" w:rsidP="001B0EA4">
      <w:pPr>
        <w:rPr>
          <w:rFonts w:ascii="MinionPro-Regular" w:hAnsi="MinionPro-Regular"/>
          <w:sz w:val="24"/>
          <w:szCs w:val="24"/>
        </w:rPr>
      </w:pPr>
    </w:p>
    <w:p w:rsidR="0096419A" w:rsidRDefault="0096419A" w:rsidP="001B0EA4">
      <w:pPr>
        <w:rPr>
          <w:rFonts w:ascii="MinionPro-Regular" w:hAnsi="MinionPro-Regular"/>
          <w:sz w:val="24"/>
          <w:szCs w:val="24"/>
        </w:rPr>
      </w:pPr>
    </w:p>
    <w:p w:rsidR="0096419A" w:rsidRDefault="0096419A" w:rsidP="001B0EA4">
      <w:pPr>
        <w:rPr>
          <w:rFonts w:ascii="MinionPro-Regular" w:hAnsi="MinionPro-Regular"/>
          <w:sz w:val="24"/>
          <w:szCs w:val="24"/>
        </w:rPr>
      </w:pPr>
    </w:p>
    <w:p w:rsidR="0096419A" w:rsidRDefault="0096419A" w:rsidP="001B0EA4">
      <w:pPr>
        <w:rPr>
          <w:rFonts w:ascii="MinionPro-Regular" w:hAnsi="MinionPro-Regular"/>
          <w:sz w:val="24"/>
          <w:szCs w:val="24"/>
        </w:rPr>
      </w:pPr>
    </w:p>
    <w:p w:rsidR="0096419A" w:rsidRDefault="0096419A" w:rsidP="001B0EA4">
      <w:pPr>
        <w:rPr>
          <w:rFonts w:ascii="MinionPro-Regular" w:hAnsi="MinionPro-Regular"/>
          <w:sz w:val="24"/>
          <w:szCs w:val="24"/>
        </w:rPr>
      </w:pPr>
    </w:p>
    <w:p w:rsidR="0096419A" w:rsidRDefault="0096419A" w:rsidP="001B0EA4">
      <w:pPr>
        <w:rPr>
          <w:rFonts w:ascii="MinionPro-Regular" w:hAnsi="MinionPro-Regular"/>
          <w:sz w:val="24"/>
          <w:szCs w:val="24"/>
        </w:rPr>
      </w:pPr>
    </w:p>
    <w:p w:rsidR="0096419A" w:rsidRDefault="0096419A" w:rsidP="001B0EA4">
      <w:pPr>
        <w:rPr>
          <w:rFonts w:ascii="MinionPro-Regular" w:hAnsi="MinionPro-Regular"/>
          <w:sz w:val="24"/>
          <w:szCs w:val="24"/>
        </w:rPr>
      </w:pPr>
    </w:p>
    <w:p w:rsidR="0096419A" w:rsidRDefault="0096419A" w:rsidP="001B0EA4">
      <w:pPr>
        <w:rPr>
          <w:rFonts w:ascii="MinionPro-Regular" w:hAnsi="MinionPro-Regular"/>
          <w:sz w:val="24"/>
          <w:szCs w:val="24"/>
        </w:rPr>
      </w:pPr>
    </w:p>
    <w:p w:rsidR="0096419A" w:rsidRDefault="0096419A" w:rsidP="001B0EA4">
      <w:pPr>
        <w:rPr>
          <w:rFonts w:ascii="MinionPro-Regular" w:hAnsi="MinionPro-Regular"/>
          <w:sz w:val="24"/>
          <w:szCs w:val="24"/>
        </w:rPr>
      </w:pPr>
    </w:p>
    <w:p w:rsidR="0096419A" w:rsidRDefault="0096419A" w:rsidP="001B0EA4">
      <w:pPr>
        <w:rPr>
          <w:rFonts w:ascii="MinionPro-Regular" w:hAnsi="MinionPro-Regular"/>
          <w:sz w:val="24"/>
          <w:szCs w:val="24"/>
        </w:rPr>
      </w:pPr>
    </w:p>
    <w:p w:rsidR="0096419A" w:rsidRDefault="0096419A" w:rsidP="001B0EA4">
      <w:pPr>
        <w:rPr>
          <w:rFonts w:ascii="MinionPro-Regular" w:hAnsi="MinionPro-Regular"/>
          <w:sz w:val="24"/>
          <w:szCs w:val="24"/>
        </w:rPr>
      </w:pPr>
    </w:p>
    <w:p w:rsidR="0096419A" w:rsidRDefault="0096419A" w:rsidP="001B0EA4">
      <w:pPr>
        <w:rPr>
          <w:rFonts w:ascii="MinionPro-Regular" w:hAnsi="MinionPro-Regular"/>
          <w:sz w:val="24"/>
          <w:szCs w:val="24"/>
        </w:rPr>
      </w:pPr>
    </w:p>
    <w:p w:rsidR="0096419A" w:rsidRDefault="0096419A" w:rsidP="001B0EA4">
      <w:pPr>
        <w:rPr>
          <w:rFonts w:ascii="MinionPro-Regular" w:hAnsi="MinionPro-Regular"/>
          <w:sz w:val="24"/>
          <w:szCs w:val="24"/>
        </w:rPr>
      </w:pPr>
    </w:p>
    <w:p w:rsidR="0096419A" w:rsidRDefault="0096419A" w:rsidP="001B0EA4">
      <w:pPr>
        <w:rPr>
          <w:rFonts w:ascii="MinionPro-Regular" w:hAnsi="MinionPro-Regular"/>
          <w:sz w:val="24"/>
          <w:szCs w:val="24"/>
        </w:rPr>
      </w:pPr>
    </w:p>
    <w:p w:rsidR="0096419A" w:rsidRDefault="0096419A" w:rsidP="001B0EA4">
      <w:pPr>
        <w:rPr>
          <w:rFonts w:ascii="MinionPro-Regular" w:hAnsi="MinionPro-Regular"/>
          <w:sz w:val="24"/>
          <w:szCs w:val="24"/>
        </w:rPr>
      </w:pPr>
    </w:p>
    <w:p w:rsidR="00E2336B" w:rsidRDefault="00E2336B" w:rsidP="001B0EA4">
      <w:pPr>
        <w:pBdr>
          <w:top w:val="single" w:sz="4" w:space="1" w:color="auto"/>
        </w:pBdr>
        <w:autoSpaceDE w:val="0"/>
        <w:autoSpaceDN w:val="0"/>
        <w:spacing w:line="360" w:lineRule="auto"/>
        <w:jc w:val="both"/>
        <w:rPr>
          <w:rFonts w:ascii="MinionPro-Regular" w:hAnsi="MinionPro-Regular"/>
          <w:sz w:val="20"/>
        </w:rPr>
      </w:pPr>
      <w:r w:rsidRPr="00B44100">
        <w:rPr>
          <w:rFonts w:ascii="MinionPro-Regular" w:hAnsi="MinionPro-Regular"/>
          <w:sz w:val="20"/>
        </w:rPr>
        <w:t>Diferencial del porcentaje de personas con y sin discapacidad en situación de riesgo de pobreza en edades comprendidas entre los 16 y 64 años. Comparativa y evolución durante los años 2008 y 2009.</w:t>
      </w:r>
    </w:p>
    <w:p w:rsidR="00E2336B" w:rsidRDefault="00E1516B" w:rsidP="001B0EA4">
      <w:pPr>
        <w:autoSpaceDE w:val="0"/>
        <w:autoSpaceDN w:val="0"/>
        <w:spacing w:line="360" w:lineRule="auto"/>
        <w:rPr>
          <w:rFonts w:ascii="MinionPro-Regular" w:hAnsi="MinionPro-Regular"/>
          <w:sz w:val="24"/>
          <w:szCs w:val="24"/>
        </w:rPr>
      </w:pPr>
      <w:r>
        <w:rPr>
          <w:rFonts w:ascii="MinionPro-Regular" w:hAnsi="MinionPro-Regular"/>
          <w:noProof/>
          <w:sz w:val="24"/>
          <w:szCs w:val="24"/>
          <w:lang w:eastAsia="es-ES"/>
        </w:rPr>
        <w:drawing>
          <wp:inline distT="0" distB="0" distL="0" distR="0">
            <wp:extent cx="4356100" cy="2786380"/>
            <wp:effectExtent l="0" t="0" r="0" b="0"/>
            <wp:docPr id="88" name="Picture 8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2"/>
              </a:graphicData>
            </a:graphic>
          </wp:inline>
        </w:drawing>
      </w:r>
    </w:p>
    <w:p w:rsidR="00E2336B" w:rsidRDefault="00E2336B" w:rsidP="001B0EA4">
      <w:pPr>
        <w:pBdr>
          <w:bottom w:val="single" w:sz="4" w:space="1" w:color="auto"/>
        </w:pBdr>
        <w:autoSpaceDE w:val="0"/>
        <w:autoSpaceDN w:val="0"/>
        <w:spacing w:line="360" w:lineRule="auto"/>
        <w:jc w:val="both"/>
        <w:rPr>
          <w:rFonts w:ascii="MinionPro-Regular" w:hAnsi="MinionPro-Regular"/>
          <w:sz w:val="20"/>
        </w:rPr>
      </w:pPr>
      <w:r>
        <w:rPr>
          <w:rFonts w:ascii="MinionPro-Regular" w:hAnsi="MinionPro-Regular"/>
          <w:sz w:val="20"/>
        </w:rPr>
        <w:t>Fuente: E</w:t>
      </w:r>
      <w:r w:rsidRPr="00B44100">
        <w:rPr>
          <w:rFonts w:ascii="MinionPro-Regular" w:hAnsi="MinionPro-Regular"/>
          <w:sz w:val="20"/>
        </w:rPr>
        <w:t>laboración propia a partir de los datos obtenidos de Eurostat, EU-SILC 2008; EU-SILC 200.9, IDEE Indicators of  Disability Equality in Europe. ANED 2011.</w:t>
      </w:r>
    </w:p>
    <w:p w:rsidR="00E2336B" w:rsidRDefault="00E2336B" w:rsidP="001B0EA4">
      <w:pPr>
        <w:pBdr>
          <w:bottom w:val="single" w:sz="4" w:space="1" w:color="auto"/>
        </w:pBdr>
        <w:autoSpaceDE w:val="0"/>
        <w:autoSpaceDN w:val="0"/>
        <w:spacing w:line="360" w:lineRule="auto"/>
        <w:jc w:val="both"/>
        <w:rPr>
          <w:rFonts w:ascii="MinionPro-Regular" w:hAnsi="MinionPro-Regular"/>
          <w:sz w:val="20"/>
        </w:rPr>
      </w:pPr>
      <w:r w:rsidRPr="001B0FD3">
        <w:rPr>
          <w:rFonts w:ascii="MinionPro-Regular" w:hAnsi="MinionPro-Regular"/>
          <w:sz w:val="20"/>
          <w:szCs w:val="24"/>
        </w:rPr>
        <w:t>Nota explicativa de la gráfica: Eje de vertical</w:t>
      </w:r>
      <w:r>
        <w:rPr>
          <w:rFonts w:ascii="MinionPro-Regular" w:hAnsi="MinionPro-Regular"/>
          <w:sz w:val="20"/>
          <w:szCs w:val="24"/>
        </w:rPr>
        <w:t>,</w:t>
      </w:r>
      <w:r w:rsidRPr="00A030FA">
        <w:rPr>
          <w:rFonts w:ascii="MinionPro-Regular" w:hAnsi="MinionPro-Regular"/>
          <w:sz w:val="20"/>
          <w:szCs w:val="24"/>
        </w:rPr>
        <w:t xml:space="preserve"> </w:t>
      </w:r>
      <w:r>
        <w:rPr>
          <w:rFonts w:ascii="MinionPro-Regular" w:hAnsi="MinionPro-Regular"/>
          <w:sz w:val="20"/>
          <w:szCs w:val="24"/>
        </w:rPr>
        <w:t>Porcentaje</w:t>
      </w:r>
      <w:r w:rsidRPr="001B0FD3">
        <w:rPr>
          <w:rFonts w:ascii="MinionPro-Regular" w:hAnsi="MinionPro-Regular"/>
          <w:sz w:val="20"/>
          <w:szCs w:val="24"/>
        </w:rPr>
        <w:t xml:space="preserve">. Eje horizontal, </w:t>
      </w:r>
      <w:r>
        <w:rPr>
          <w:rFonts w:ascii="MinionPro-Regular" w:hAnsi="MinionPro-Regular"/>
          <w:sz w:val="20"/>
          <w:szCs w:val="24"/>
        </w:rPr>
        <w:t xml:space="preserve">Años. España en 2008 </w:t>
      </w:r>
      <w:r w:rsidRPr="001C2926">
        <w:rPr>
          <w:rFonts w:ascii="MinionPro-Regular" w:hAnsi="MinionPro-Regular"/>
          <w:sz w:val="20"/>
          <w:szCs w:val="24"/>
        </w:rPr>
        <w:t>6,1</w:t>
      </w:r>
      <w:r>
        <w:rPr>
          <w:rFonts w:ascii="MinionPro-Regular" w:hAnsi="MinionPro-Regular"/>
          <w:sz w:val="20"/>
          <w:szCs w:val="24"/>
        </w:rPr>
        <w:t xml:space="preserve">% y en 2009 6,2%; Alemania en 2008 </w:t>
      </w:r>
      <w:r w:rsidRPr="001C2926">
        <w:rPr>
          <w:rFonts w:ascii="MinionPro-Regular" w:hAnsi="MinionPro-Regular"/>
          <w:sz w:val="20"/>
          <w:szCs w:val="24"/>
        </w:rPr>
        <w:t>10,3</w:t>
      </w:r>
      <w:r>
        <w:rPr>
          <w:rFonts w:ascii="MinionPro-Regular" w:hAnsi="MinionPro-Regular"/>
          <w:sz w:val="20"/>
          <w:szCs w:val="24"/>
        </w:rPr>
        <w:t>% y en 2009 11,0</w:t>
      </w:r>
      <w:r w:rsidRPr="00A030FA">
        <w:rPr>
          <w:rFonts w:ascii="MinionPro-Regular" w:hAnsi="MinionPro-Regular"/>
          <w:sz w:val="20"/>
        </w:rPr>
        <w:t>%</w:t>
      </w:r>
      <w:r w:rsidRPr="00A030FA">
        <w:rPr>
          <w:rFonts w:ascii="MinionPro-Regular" w:hAnsi="MinionPro-Regular"/>
          <w:sz w:val="20"/>
          <w:szCs w:val="24"/>
        </w:rPr>
        <w:t>;</w:t>
      </w:r>
      <w:r>
        <w:rPr>
          <w:rFonts w:ascii="MinionPro-Regular" w:hAnsi="MinionPro-Regular"/>
          <w:sz w:val="20"/>
          <w:szCs w:val="24"/>
        </w:rPr>
        <w:t xml:space="preserve"> Suecia en 2008 </w:t>
      </w:r>
      <w:r w:rsidRPr="001C2926">
        <w:rPr>
          <w:rFonts w:ascii="MinionPro-Regular" w:hAnsi="MinionPro-Regular"/>
          <w:sz w:val="20"/>
          <w:szCs w:val="24"/>
        </w:rPr>
        <w:t>0,9</w:t>
      </w:r>
      <w:r>
        <w:rPr>
          <w:rFonts w:ascii="MinionPro-Regular" w:hAnsi="MinionPro-Regular"/>
          <w:sz w:val="20"/>
          <w:szCs w:val="24"/>
        </w:rPr>
        <w:t xml:space="preserve">% y en 2009 </w:t>
      </w:r>
      <w:r w:rsidRPr="001C2926">
        <w:rPr>
          <w:rFonts w:ascii="MinionPro-Regular" w:hAnsi="MinionPro-Regular"/>
          <w:sz w:val="20"/>
          <w:szCs w:val="24"/>
        </w:rPr>
        <w:t>4,1</w:t>
      </w:r>
      <w:r>
        <w:rPr>
          <w:rFonts w:ascii="MinionPro-Regular" w:hAnsi="MinionPro-Regular"/>
          <w:sz w:val="20"/>
          <w:szCs w:val="24"/>
        </w:rPr>
        <w:t xml:space="preserve">%; </w:t>
      </w:r>
      <w:r w:rsidRPr="00A030FA">
        <w:rPr>
          <w:rFonts w:ascii="MinionPro-Regular" w:hAnsi="MinionPro-Regular"/>
          <w:sz w:val="20"/>
          <w:szCs w:val="24"/>
        </w:rPr>
        <w:t xml:space="preserve">Reino Unido </w:t>
      </w:r>
      <w:r>
        <w:rPr>
          <w:rFonts w:ascii="MinionPro-Regular" w:hAnsi="MinionPro-Regular"/>
          <w:sz w:val="20"/>
          <w:szCs w:val="24"/>
        </w:rPr>
        <w:t xml:space="preserve">en 2008 </w:t>
      </w:r>
      <w:r w:rsidRPr="001C2926">
        <w:rPr>
          <w:rFonts w:ascii="MinionPro-Regular" w:hAnsi="MinionPro-Regular"/>
          <w:sz w:val="20"/>
          <w:szCs w:val="24"/>
        </w:rPr>
        <w:t>9,9</w:t>
      </w:r>
      <w:r>
        <w:rPr>
          <w:rFonts w:ascii="MinionPro-Regular" w:hAnsi="MinionPro-Regular"/>
          <w:sz w:val="20"/>
          <w:szCs w:val="24"/>
        </w:rPr>
        <w:t xml:space="preserve">% y en 2009 </w:t>
      </w:r>
      <w:r w:rsidRPr="001C2926">
        <w:rPr>
          <w:rFonts w:ascii="MinionPro-Regular" w:hAnsi="MinionPro-Regular"/>
          <w:sz w:val="20"/>
          <w:szCs w:val="24"/>
        </w:rPr>
        <w:t>8,7</w:t>
      </w:r>
      <w:r>
        <w:rPr>
          <w:rFonts w:ascii="MinionPro-Regular" w:hAnsi="MinionPro-Regular"/>
          <w:sz w:val="20"/>
          <w:szCs w:val="24"/>
        </w:rPr>
        <w:t>%; Italia</w:t>
      </w:r>
      <w:r w:rsidRPr="00A030FA">
        <w:rPr>
          <w:rFonts w:ascii="MinionPro-Regular" w:hAnsi="MinionPro-Regular"/>
          <w:sz w:val="20"/>
          <w:szCs w:val="24"/>
        </w:rPr>
        <w:t xml:space="preserve"> </w:t>
      </w:r>
      <w:r>
        <w:rPr>
          <w:rFonts w:ascii="MinionPro-Regular" w:hAnsi="MinionPro-Regular"/>
          <w:sz w:val="20"/>
          <w:szCs w:val="24"/>
        </w:rPr>
        <w:t xml:space="preserve">en 2008 </w:t>
      </w:r>
      <w:r w:rsidRPr="001C2926">
        <w:rPr>
          <w:rFonts w:ascii="MinionPro-Regular" w:hAnsi="MinionPro-Regular"/>
          <w:sz w:val="20"/>
          <w:szCs w:val="24"/>
        </w:rPr>
        <w:t>3,0</w:t>
      </w:r>
      <w:r>
        <w:rPr>
          <w:rFonts w:ascii="MinionPro-Regular" w:hAnsi="MinionPro-Regular"/>
          <w:sz w:val="20"/>
          <w:szCs w:val="24"/>
        </w:rPr>
        <w:t xml:space="preserve">% y en 2009 </w:t>
      </w:r>
      <w:r w:rsidRPr="001C2926">
        <w:rPr>
          <w:rFonts w:ascii="MinionPro-Regular" w:hAnsi="MinionPro-Regular"/>
          <w:sz w:val="20"/>
          <w:szCs w:val="24"/>
        </w:rPr>
        <w:t>3,3</w:t>
      </w:r>
      <w:r>
        <w:rPr>
          <w:rFonts w:ascii="MinionPro-Regular" w:hAnsi="MinionPro-Regular"/>
          <w:sz w:val="20"/>
          <w:szCs w:val="24"/>
        </w:rPr>
        <w:t>%.</w:t>
      </w:r>
    </w:p>
    <w:p w:rsidR="00E2336B" w:rsidRDefault="00E2336B" w:rsidP="001B0EA4">
      <w:pPr>
        <w:autoSpaceDE w:val="0"/>
        <w:autoSpaceDN w:val="0"/>
        <w:spacing w:line="360" w:lineRule="auto"/>
        <w:jc w:val="both"/>
        <w:rPr>
          <w:rFonts w:ascii="MinionPro-Regular" w:hAnsi="MinionPro-Regular"/>
          <w:sz w:val="24"/>
          <w:szCs w:val="24"/>
          <w:lang w:val="es-ES_tradnl"/>
        </w:rPr>
      </w:pPr>
    </w:p>
    <w:p w:rsidR="00E2336B" w:rsidRDefault="00E2336B" w:rsidP="001B0EA4">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El apoyo</w:t>
      </w:r>
      <w:r w:rsidRPr="008B461D">
        <w:rPr>
          <w:rFonts w:ascii="MinionPro-Regular" w:hAnsi="MinionPro-Regular"/>
          <w:sz w:val="24"/>
          <w:szCs w:val="24"/>
          <w:lang w:val="es-ES_tradnl"/>
        </w:rPr>
        <w:t xml:space="preserve"> a la discapacidad en cada uno de los países </w:t>
      </w:r>
      <w:r>
        <w:rPr>
          <w:rFonts w:ascii="MinionPro-Regular" w:hAnsi="MinionPro-Regular"/>
          <w:sz w:val="24"/>
          <w:szCs w:val="24"/>
          <w:lang w:val="es-ES_tradnl"/>
        </w:rPr>
        <w:t xml:space="preserve">puede evaluarse también en función de los recursos </w:t>
      </w:r>
      <w:r w:rsidRPr="008B461D">
        <w:rPr>
          <w:rFonts w:ascii="MinionPro-Regular" w:hAnsi="MinionPro-Regular"/>
          <w:sz w:val="24"/>
          <w:szCs w:val="24"/>
          <w:lang w:val="es-ES_tradnl"/>
        </w:rPr>
        <w:t>destinados a la integración laboral de las personas con discapacidad</w:t>
      </w:r>
      <w:r w:rsidR="00F724E7" w:rsidRPr="001740FD">
        <w:rPr>
          <w:rFonts w:ascii="MinionPro-Regular" w:hAnsi="MinionPro-Regular"/>
          <w:color w:val="4F81BD" w:themeColor="accent1"/>
          <w:sz w:val="24"/>
          <w:szCs w:val="24"/>
          <w:lang w:val="es-ES_tradnl"/>
        </w:rPr>
        <w:t xml:space="preserve">. </w:t>
      </w:r>
      <w:r w:rsidR="00F724E7" w:rsidRPr="007A408D">
        <w:rPr>
          <w:rFonts w:ascii="MinionPro-Regular" w:hAnsi="MinionPro-Regular"/>
          <w:sz w:val="24"/>
          <w:szCs w:val="24"/>
          <w:lang w:val="es-ES_tradnl"/>
        </w:rPr>
        <w:t xml:space="preserve">En </w:t>
      </w:r>
      <w:r w:rsidR="00F724E7" w:rsidRPr="007A408D">
        <w:rPr>
          <w:rFonts w:ascii="MinionPro-Regular" w:hAnsi="MinionPro-Regular"/>
          <w:sz w:val="24"/>
          <w:szCs w:val="24"/>
          <w:lang w:val="es-ES_tradnl"/>
        </w:rPr>
        <w:lastRenderedPageBreak/>
        <w:t xml:space="preserve">España, las ayudas se mantuvieron constantes en relación con el PIB siendo este porcentaje superior a países como Italia o incluso Alemania. </w:t>
      </w:r>
    </w:p>
    <w:p w:rsidR="0096419A" w:rsidRDefault="0096419A" w:rsidP="001B0EA4">
      <w:pPr>
        <w:autoSpaceDE w:val="0"/>
        <w:autoSpaceDN w:val="0"/>
        <w:spacing w:line="360" w:lineRule="auto"/>
        <w:jc w:val="both"/>
        <w:rPr>
          <w:rFonts w:ascii="MinionPro-Regular" w:hAnsi="MinionPro-Regular"/>
          <w:sz w:val="24"/>
          <w:szCs w:val="24"/>
          <w:lang w:val="es-ES_tradnl"/>
        </w:rPr>
      </w:pPr>
    </w:p>
    <w:p w:rsidR="0096419A" w:rsidRDefault="0096419A" w:rsidP="001B0EA4">
      <w:pPr>
        <w:autoSpaceDE w:val="0"/>
        <w:autoSpaceDN w:val="0"/>
        <w:spacing w:line="360" w:lineRule="auto"/>
        <w:jc w:val="both"/>
        <w:rPr>
          <w:rFonts w:ascii="MinionPro-Regular" w:hAnsi="MinionPro-Regular"/>
          <w:sz w:val="24"/>
          <w:szCs w:val="24"/>
          <w:lang w:val="es-ES_tradnl"/>
        </w:rPr>
      </w:pPr>
    </w:p>
    <w:p w:rsidR="0096419A" w:rsidRDefault="0096419A" w:rsidP="001B0EA4">
      <w:pPr>
        <w:autoSpaceDE w:val="0"/>
        <w:autoSpaceDN w:val="0"/>
        <w:spacing w:line="360" w:lineRule="auto"/>
        <w:jc w:val="both"/>
        <w:rPr>
          <w:rFonts w:ascii="MinionPro-Regular" w:hAnsi="MinionPro-Regular"/>
          <w:sz w:val="24"/>
          <w:szCs w:val="24"/>
          <w:lang w:val="es-ES_tradnl"/>
        </w:rPr>
      </w:pPr>
    </w:p>
    <w:p w:rsidR="0096419A" w:rsidRDefault="0096419A" w:rsidP="001B0EA4">
      <w:pPr>
        <w:autoSpaceDE w:val="0"/>
        <w:autoSpaceDN w:val="0"/>
        <w:spacing w:line="360" w:lineRule="auto"/>
        <w:jc w:val="both"/>
        <w:rPr>
          <w:rFonts w:ascii="MinionPro-Regular" w:hAnsi="MinionPro-Regular"/>
          <w:sz w:val="24"/>
          <w:szCs w:val="24"/>
          <w:lang w:val="es-ES_tradnl"/>
        </w:rPr>
      </w:pPr>
    </w:p>
    <w:p w:rsidR="0096419A" w:rsidRDefault="0096419A" w:rsidP="001B0EA4">
      <w:pPr>
        <w:autoSpaceDE w:val="0"/>
        <w:autoSpaceDN w:val="0"/>
        <w:spacing w:line="360" w:lineRule="auto"/>
        <w:jc w:val="both"/>
        <w:rPr>
          <w:rFonts w:ascii="MinionPro-Regular" w:hAnsi="MinionPro-Regular"/>
          <w:sz w:val="24"/>
          <w:szCs w:val="24"/>
          <w:lang w:val="es-ES_tradnl"/>
        </w:rPr>
      </w:pPr>
    </w:p>
    <w:p w:rsidR="0096419A" w:rsidRDefault="0096419A" w:rsidP="001B0EA4">
      <w:pPr>
        <w:autoSpaceDE w:val="0"/>
        <w:autoSpaceDN w:val="0"/>
        <w:spacing w:line="360" w:lineRule="auto"/>
        <w:jc w:val="both"/>
        <w:rPr>
          <w:rFonts w:ascii="MinionPro-Regular" w:hAnsi="MinionPro-Regular"/>
          <w:sz w:val="24"/>
          <w:szCs w:val="24"/>
          <w:lang w:val="es-ES_tradnl"/>
        </w:rPr>
      </w:pPr>
    </w:p>
    <w:p w:rsidR="0096419A" w:rsidRDefault="0096419A" w:rsidP="001B0EA4">
      <w:pPr>
        <w:autoSpaceDE w:val="0"/>
        <w:autoSpaceDN w:val="0"/>
        <w:spacing w:line="360" w:lineRule="auto"/>
        <w:jc w:val="both"/>
        <w:rPr>
          <w:rFonts w:ascii="MinionPro-Regular" w:hAnsi="MinionPro-Regular"/>
          <w:sz w:val="24"/>
          <w:szCs w:val="24"/>
          <w:lang w:val="es-ES_tradnl"/>
        </w:rPr>
      </w:pPr>
    </w:p>
    <w:p w:rsidR="007A408D" w:rsidRPr="007A408D" w:rsidRDefault="007A408D" w:rsidP="001B0EA4">
      <w:pPr>
        <w:autoSpaceDE w:val="0"/>
        <w:autoSpaceDN w:val="0"/>
        <w:spacing w:line="360" w:lineRule="auto"/>
        <w:jc w:val="both"/>
        <w:rPr>
          <w:rFonts w:ascii="MinionPro-Regular" w:hAnsi="MinionPro-Regular"/>
          <w:sz w:val="24"/>
          <w:szCs w:val="24"/>
          <w:lang w:val="es-ES_tradnl"/>
        </w:rPr>
      </w:pPr>
    </w:p>
    <w:p w:rsidR="00E2336B" w:rsidRDefault="00E2336B" w:rsidP="001B0EA4">
      <w:pPr>
        <w:pBdr>
          <w:top w:val="single" w:sz="4" w:space="1" w:color="auto"/>
        </w:pBdr>
        <w:autoSpaceDE w:val="0"/>
        <w:autoSpaceDN w:val="0"/>
        <w:spacing w:line="360" w:lineRule="auto"/>
        <w:jc w:val="both"/>
        <w:rPr>
          <w:rFonts w:ascii="MinionPro-Regular" w:hAnsi="MinionPro-Regular"/>
          <w:sz w:val="20"/>
        </w:rPr>
      </w:pPr>
      <w:r w:rsidRPr="00B44100">
        <w:rPr>
          <w:rFonts w:ascii="MinionPro-Regular" w:hAnsi="MinionPro-Regular"/>
          <w:sz w:val="20"/>
        </w:rPr>
        <w:t>Porcentaje del PIB destinado a ayudas para la integración de las personas con discapacidad</w:t>
      </w:r>
    </w:p>
    <w:p w:rsidR="00E2336B" w:rsidRDefault="00E1516B" w:rsidP="001B0EA4">
      <w:pPr>
        <w:autoSpaceDE w:val="0"/>
        <w:autoSpaceDN w:val="0"/>
        <w:spacing w:line="360" w:lineRule="auto"/>
        <w:rPr>
          <w:rFonts w:ascii="MinionPro-Regular" w:hAnsi="MinionPro-Regular"/>
          <w:sz w:val="24"/>
          <w:szCs w:val="24"/>
          <w:lang w:val="es-ES_tradnl"/>
        </w:rPr>
      </w:pPr>
      <w:r>
        <w:rPr>
          <w:rFonts w:ascii="MinionPro-Regular" w:hAnsi="MinionPro-Regular"/>
          <w:noProof/>
          <w:sz w:val="24"/>
          <w:szCs w:val="24"/>
          <w:lang w:eastAsia="es-ES"/>
        </w:rPr>
        <w:drawing>
          <wp:inline distT="0" distB="0" distL="0" distR="0">
            <wp:extent cx="4485640" cy="2639695"/>
            <wp:effectExtent l="0" t="0" r="0" b="0"/>
            <wp:docPr id="89" name="Picture 8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3"/>
              </a:graphicData>
            </a:graphic>
          </wp:inline>
        </w:drawing>
      </w:r>
    </w:p>
    <w:p w:rsidR="00E2336B" w:rsidRDefault="00E2336B" w:rsidP="001B0EA4">
      <w:pPr>
        <w:autoSpaceDE w:val="0"/>
        <w:autoSpaceDN w:val="0"/>
        <w:spacing w:line="360" w:lineRule="auto"/>
        <w:rPr>
          <w:rFonts w:ascii="MinionPro-Regular" w:hAnsi="MinionPro-Regular"/>
          <w:sz w:val="24"/>
          <w:szCs w:val="24"/>
          <w:lang w:val="es-ES_tradnl"/>
        </w:rPr>
      </w:pPr>
    </w:p>
    <w:p w:rsidR="00E2336B" w:rsidRDefault="00E2336B" w:rsidP="001B0EA4">
      <w:pPr>
        <w:pBdr>
          <w:bottom w:val="single" w:sz="4" w:space="1" w:color="auto"/>
        </w:pBdr>
        <w:autoSpaceDE w:val="0"/>
        <w:autoSpaceDN w:val="0"/>
        <w:spacing w:line="360" w:lineRule="auto"/>
        <w:jc w:val="both"/>
        <w:rPr>
          <w:rFonts w:ascii="MinionPro-Regular" w:hAnsi="MinionPro-Regular"/>
          <w:sz w:val="20"/>
        </w:rPr>
      </w:pPr>
      <w:r>
        <w:rPr>
          <w:rFonts w:ascii="MinionPro-Regular" w:hAnsi="MinionPro-Regular"/>
          <w:sz w:val="20"/>
        </w:rPr>
        <w:t>Fuente: E</w:t>
      </w:r>
      <w:r w:rsidRPr="00EE4EE5">
        <w:rPr>
          <w:rFonts w:ascii="MinionPro-Regular" w:hAnsi="MinionPro-Regular"/>
          <w:sz w:val="20"/>
        </w:rPr>
        <w:t>laboración propia a partir de los datos obtenidos de Eurostat, EU-SILC 2008; EU-SILC 200.9, IDEE Indicators of  Disability Equality in Europe. ANED 2011.</w:t>
      </w:r>
    </w:p>
    <w:p w:rsidR="00E2336B" w:rsidRPr="00EE4EE5" w:rsidRDefault="00E2336B" w:rsidP="001B0EA4">
      <w:pPr>
        <w:pBdr>
          <w:bottom w:val="single" w:sz="4" w:space="1" w:color="auto"/>
        </w:pBdr>
        <w:autoSpaceDE w:val="0"/>
        <w:autoSpaceDN w:val="0"/>
        <w:spacing w:line="360" w:lineRule="auto"/>
        <w:jc w:val="both"/>
        <w:rPr>
          <w:rFonts w:ascii="MinionPro-Regular" w:hAnsi="MinionPro-Regular"/>
          <w:sz w:val="20"/>
        </w:rPr>
      </w:pPr>
      <w:r w:rsidRPr="001B0FD3">
        <w:rPr>
          <w:rFonts w:ascii="MinionPro-Regular" w:hAnsi="MinionPro-Regular"/>
          <w:sz w:val="20"/>
          <w:szCs w:val="24"/>
        </w:rPr>
        <w:t>Nota explicativa de la gráfica: Eje vertical</w:t>
      </w:r>
      <w:r>
        <w:rPr>
          <w:rFonts w:ascii="MinionPro-Regular" w:hAnsi="MinionPro-Regular"/>
          <w:sz w:val="20"/>
          <w:szCs w:val="24"/>
        </w:rPr>
        <w:t>,</w:t>
      </w:r>
      <w:r w:rsidRPr="00A030FA">
        <w:rPr>
          <w:rFonts w:ascii="MinionPro-Regular" w:hAnsi="MinionPro-Regular"/>
          <w:sz w:val="20"/>
          <w:szCs w:val="24"/>
        </w:rPr>
        <w:t xml:space="preserve"> </w:t>
      </w:r>
      <w:r>
        <w:rPr>
          <w:rFonts w:ascii="MinionPro-Regular" w:hAnsi="MinionPro-Regular"/>
          <w:sz w:val="20"/>
          <w:szCs w:val="24"/>
        </w:rPr>
        <w:t>Porcentaje</w:t>
      </w:r>
      <w:r w:rsidRPr="001B0FD3">
        <w:rPr>
          <w:rFonts w:ascii="MinionPro-Regular" w:hAnsi="MinionPro-Regular"/>
          <w:sz w:val="20"/>
          <w:szCs w:val="24"/>
        </w:rPr>
        <w:t xml:space="preserve">. Eje horizontal, </w:t>
      </w:r>
      <w:r>
        <w:rPr>
          <w:rFonts w:ascii="MinionPro-Regular" w:hAnsi="MinionPro-Regular"/>
          <w:sz w:val="20"/>
          <w:szCs w:val="24"/>
        </w:rPr>
        <w:t xml:space="preserve">Años. España en 1990 </w:t>
      </w:r>
      <w:r w:rsidRPr="001C2926">
        <w:rPr>
          <w:rFonts w:ascii="MinionPro-Regular" w:hAnsi="MinionPro-Regular"/>
          <w:sz w:val="20"/>
          <w:szCs w:val="24"/>
        </w:rPr>
        <w:t>1,2</w:t>
      </w:r>
      <w:r>
        <w:rPr>
          <w:rFonts w:ascii="MinionPro-Regular" w:hAnsi="MinionPro-Regular"/>
          <w:sz w:val="20"/>
          <w:szCs w:val="24"/>
        </w:rPr>
        <w:t xml:space="preserve">% en 2000 </w:t>
      </w:r>
      <w:r w:rsidRPr="001C2926">
        <w:rPr>
          <w:rFonts w:ascii="MinionPro-Regular" w:hAnsi="MinionPro-Regular"/>
          <w:sz w:val="20"/>
          <w:szCs w:val="24"/>
        </w:rPr>
        <w:t>1,2</w:t>
      </w:r>
      <w:r>
        <w:rPr>
          <w:rFonts w:ascii="MinionPro-Regular" w:hAnsi="MinionPro-Regular"/>
          <w:sz w:val="20"/>
          <w:szCs w:val="24"/>
        </w:rPr>
        <w:t xml:space="preserve">%  y en 2007 </w:t>
      </w:r>
      <w:r w:rsidRPr="001C2926">
        <w:rPr>
          <w:rFonts w:ascii="MinionPro-Regular" w:hAnsi="MinionPro-Regular"/>
          <w:sz w:val="20"/>
          <w:szCs w:val="24"/>
        </w:rPr>
        <w:t>1,2</w:t>
      </w:r>
      <w:r>
        <w:rPr>
          <w:rFonts w:ascii="MinionPro-Regular" w:hAnsi="MinionPro-Regular"/>
          <w:sz w:val="20"/>
          <w:szCs w:val="24"/>
        </w:rPr>
        <w:t xml:space="preserve">%; Alemania en 1990 </w:t>
      </w:r>
      <w:r w:rsidRPr="001C2926">
        <w:rPr>
          <w:rFonts w:ascii="MinionPro-Regular" w:hAnsi="MinionPro-Regular"/>
          <w:sz w:val="20"/>
          <w:szCs w:val="24"/>
        </w:rPr>
        <w:t>1,3</w:t>
      </w:r>
      <w:r>
        <w:rPr>
          <w:rFonts w:ascii="MinionPro-Regular" w:hAnsi="MinionPro-Regular"/>
          <w:sz w:val="20"/>
          <w:szCs w:val="24"/>
        </w:rPr>
        <w:t xml:space="preserve">% en 2000 </w:t>
      </w:r>
      <w:r w:rsidRPr="001C2926">
        <w:rPr>
          <w:rFonts w:ascii="MinionPro-Regular" w:hAnsi="MinionPro-Regular"/>
          <w:sz w:val="20"/>
          <w:szCs w:val="24"/>
        </w:rPr>
        <w:t>1,3</w:t>
      </w:r>
      <w:r>
        <w:rPr>
          <w:rFonts w:ascii="MinionPro-Regular" w:hAnsi="MinionPro-Regular"/>
          <w:sz w:val="20"/>
          <w:szCs w:val="24"/>
        </w:rPr>
        <w:t xml:space="preserve">%  y en 2007 </w:t>
      </w:r>
      <w:r w:rsidRPr="001C2926">
        <w:rPr>
          <w:rFonts w:ascii="MinionPro-Regular" w:hAnsi="MinionPro-Regular"/>
          <w:sz w:val="20"/>
          <w:szCs w:val="24"/>
        </w:rPr>
        <w:t>1,1</w:t>
      </w:r>
      <w:r>
        <w:rPr>
          <w:rFonts w:ascii="MinionPro-Regular" w:hAnsi="MinionPro-Regular"/>
          <w:sz w:val="20"/>
          <w:szCs w:val="24"/>
        </w:rPr>
        <w:t>%</w:t>
      </w:r>
      <w:r w:rsidRPr="00A030FA">
        <w:rPr>
          <w:rFonts w:ascii="MinionPro-Regular" w:hAnsi="MinionPro-Regular"/>
          <w:sz w:val="20"/>
          <w:szCs w:val="24"/>
        </w:rPr>
        <w:t>;</w:t>
      </w:r>
      <w:r>
        <w:rPr>
          <w:rFonts w:ascii="MinionPro-Regular" w:hAnsi="MinionPro-Regular"/>
          <w:sz w:val="20"/>
          <w:szCs w:val="24"/>
        </w:rPr>
        <w:t xml:space="preserve"> Suecia en 1990 </w:t>
      </w:r>
      <w:r w:rsidRPr="001C2926">
        <w:rPr>
          <w:rFonts w:ascii="MinionPro-Regular" w:hAnsi="MinionPro-Regular"/>
          <w:sz w:val="20"/>
          <w:szCs w:val="24"/>
        </w:rPr>
        <w:t>1,9</w:t>
      </w:r>
      <w:r>
        <w:rPr>
          <w:rFonts w:ascii="MinionPro-Regular" w:hAnsi="MinionPro-Regular"/>
          <w:sz w:val="20"/>
          <w:szCs w:val="24"/>
        </w:rPr>
        <w:t xml:space="preserve">% en 2000 </w:t>
      </w:r>
      <w:r>
        <w:rPr>
          <w:rFonts w:ascii="MinionPro-Regular" w:hAnsi="MinionPro-Regular"/>
          <w:sz w:val="20"/>
          <w:szCs w:val="24"/>
        </w:rPr>
        <w:lastRenderedPageBreak/>
        <w:t xml:space="preserve">2,0%  y en 2007 </w:t>
      </w:r>
      <w:r w:rsidRPr="001C2926">
        <w:rPr>
          <w:rFonts w:ascii="MinionPro-Regular" w:hAnsi="MinionPro-Regular"/>
          <w:sz w:val="20"/>
          <w:szCs w:val="24"/>
        </w:rPr>
        <w:t>2,2</w:t>
      </w:r>
      <w:r>
        <w:rPr>
          <w:rFonts w:ascii="MinionPro-Regular" w:hAnsi="MinionPro-Regular"/>
          <w:sz w:val="20"/>
          <w:szCs w:val="24"/>
        </w:rPr>
        <w:t xml:space="preserve">%; </w:t>
      </w:r>
      <w:r w:rsidRPr="00A030FA">
        <w:rPr>
          <w:rFonts w:ascii="MinionPro-Regular" w:hAnsi="MinionPro-Regular"/>
          <w:sz w:val="20"/>
          <w:szCs w:val="24"/>
        </w:rPr>
        <w:t xml:space="preserve">Reino Unido </w:t>
      </w:r>
      <w:r>
        <w:rPr>
          <w:rFonts w:ascii="MinionPro-Regular" w:hAnsi="MinionPro-Regular"/>
          <w:sz w:val="20"/>
          <w:szCs w:val="24"/>
        </w:rPr>
        <w:t xml:space="preserve">en 1990 </w:t>
      </w:r>
      <w:r w:rsidRPr="001C2926">
        <w:rPr>
          <w:rFonts w:ascii="MinionPro-Regular" w:hAnsi="MinionPro-Regular"/>
          <w:sz w:val="20"/>
          <w:szCs w:val="24"/>
        </w:rPr>
        <w:t>1,6</w:t>
      </w:r>
      <w:r>
        <w:rPr>
          <w:rFonts w:ascii="MinionPro-Regular" w:hAnsi="MinionPro-Regular"/>
          <w:sz w:val="20"/>
          <w:szCs w:val="24"/>
        </w:rPr>
        <w:t xml:space="preserve">% en 2000 2,0%  y en 2007 </w:t>
      </w:r>
      <w:r w:rsidRPr="001C2926">
        <w:rPr>
          <w:rFonts w:ascii="MinionPro-Regular" w:hAnsi="MinionPro-Regular"/>
          <w:sz w:val="20"/>
          <w:szCs w:val="24"/>
        </w:rPr>
        <w:t>1,9</w:t>
      </w:r>
      <w:r>
        <w:rPr>
          <w:rFonts w:ascii="MinionPro-Regular" w:hAnsi="MinionPro-Regular"/>
          <w:sz w:val="20"/>
          <w:szCs w:val="24"/>
        </w:rPr>
        <w:t>%; Italia</w:t>
      </w:r>
      <w:r w:rsidRPr="00A030FA">
        <w:rPr>
          <w:rFonts w:ascii="MinionPro-Regular" w:hAnsi="MinionPro-Regular"/>
          <w:sz w:val="20"/>
          <w:szCs w:val="24"/>
        </w:rPr>
        <w:t xml:space="preserve"> </w:t>
      </w:r>
      <w:r>
        <w:rPr>
          <w:rFonts w:ascii="MinionPro-Regular" w:hAnsi="MinionPro-Regular"/>
          <w:sz w:val="20"/>
          <w:szCs w:val="24"/>
        </w:rPr>
        <w:t xml:space="preserve">en 1990 </w:t>
      </w:r>
      <w:r w:rsidRPr="001C2926">
        <w:rPr>
          <w:rFonts w:ascii="MinionPro-Regular" w:hAnsi="MinionPro-Regular"/>
          <w:sz w:val="20"/>
          <w:szCs w:val="24"/>
        </w:rPr>
        <w:t>1,2</w:t>
      </w:r>
      <w:r>
        <w:rPr>
          <w:rFonts w:ascii="MinionPro-Regular" w:hAnsi="MinionPro-Regular"/>
          <w:sz w:val="20"/>
          <w:szCs w:val="24"/>
        </w:rPr>
        <w:t xml:space="preserve">% en 2000 </w:t>
      </w:r>
      <w:r w:rsidRPr="001C2926">
        <w:rPr>
          <w:rFonts w:ascii="MinionPro-Regular" w:hAnsi="MinionPro-Regular"/>
          <w:sz w:val="20"/>
          <w:szCs w:val="24"/>
        </w:rPr>
        <w:t>0,9</w:t>
      </w:r>
      <w:r>
        <w:rPr>
          <w:rFonts w:ascii="MinionPro-Regular" w:hAnsi="MinionPro-Regular"/>
          <w:sz w:val="20"/>
          <w:szCs w:val="24"/>
        </w:rPr>
        <w:t xml:space="preserve">%  y en 2007 </w:t>
      </w:r>
      <w:r w:rsidRPr="001C2926">
        <w:rPr>
          <w:rFonts w:ascii="MinionPro-Regular" w:hAnsi="MinionPro-Regular"/>
          <w:sz w:val="20"/>
          <w:szCs w:val="24"/>
        </w:rPr>
        <w:t>0,7</w:t>
      </w:r>
      <w:r>
        <w:rPr>
          <w:rFonts w:ascii="MinionPro-Regular" w:hAnsi="MinionPro-Regular"/>
          <w:sz w:val="20"/>
          <w:szCs w:val="24"/>
        </w:rPr>
        <w:t>%.</w:t>
      </w:r>
    </w:p>
    <w:p w:rsidR="00E2336B" w:rsidRDefault="00E2336B" w:rsidP="001B0EA4">
      <w:pPr>
        <w:autoSpaceDE w:val="0"/>
        <w:autoSpaceDN w:val="0"/>
        <w:spacing w:line="360" w:lineRule="auto"/>
        <w:jc w:val="both"/>
        <w:rPr>
          <w:rFonts w:ascii="MinionPro-Regular" w:hAnsi="MinionPro-Regular"/>
          <w:sz w:val="24"/>
          <w:szCs w:val="24"/>
          <w:lang w:val="es-ES_tradnl"/>
        </w:rPr>
      </w:pPr>
    </w:p>
    <w:p w:rsidR="00E2336B" w:rsidRDefault="00E2336B" w:rsidP="001B0EA4">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La tabla a continuación muestra la posición relativa de cada uno de los países tomando en consideración los indicadores utilizados anteriormente. A cada uno de los países se le asigna una puntuación, para cada uno de los indicadores, en función de su posición en el indicador considerado y respecto al resto de los países analizados. En todos ellos, un cinco indica que el país es el peor de los del grupo considerado. Por el contrario, un uno significa que el país es el que obtiene mejores resultados. Una puntuación mayor indica, por lo tanto, una peor posición relativa del país en cuestión en el marco del grupo considerado.</w:t>
      </w:r>
    </w:p>
    <w:p w:rsidR="00E2336B" w:rsidRDefault="00E2336B" w:rsidP="001B0EA4">
      <w:pPr>
        <w:autoSpaceDE w:val="0"/>
        <w:autoSpaceDN w:val="0"/>
        <w:spacing w:line="360" w:lineRule="auto"/>
        <w:jc w:val="both"/>
        <w:rPr>
          <w:rFonts w:ascii="MinionPro-Regular" w:hAnsi="MinionPro-Regular"/>
          <w:sz w:val="24"/>
          <w:szCs w:val="24"/>
          <w:lang w:val="es-ES_tradnl"/>
        </w:rPr>
      </w:pPr>
    </w:p>
    <w:p w:rsidR="00E2336B" w:rsidRDefault="00E2336B" w:rsidP="001B0EA4">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 xml:space="preserve">España obtiene la peor puntuación en los indicadores considerados. Es Suecia, seguido de Reino Unido y Alemania, los que obtienen una mejor puntuación global. </w:t>
      </w:r>
    </w:p>
    <w:p w:rsidR="00E2336B" w:rsidRDefault="00E2336B" w:rsidP="001B0EA4">
      <w:pPr>
        <w:pStyle w:val="Textoindependiente"/>
        <w:pBdr>
          <w:top w:val="single" w:sz="4" w:space="1" w:color="auto"/>
        </w:pBdr>
        <w:jc w:val="left"/>
        <w:rPr>
          <w:rFonts w:ascii="MinionPro-Regular" w:hAnsi="MinionPro-Regular"/>
          <w:lang w:val="es-ES_tradnl"/>
        </w:rPr>
      </w:pPr>
      <w:r w:rsidRPr="00B44100">
        <w:rPr>
          <w:rFonts w:ascii="MinionPro-Regular" w:hAnsi="MinionPro-Regular"/>
          <w:sz w:val="20"/>
          <w:lang w:val="es-ES_tradnl"/>
        </w:rPr>
        <w:t>Tabla resumen: situación en los diferentes países en base a los indicadores analizados</w:t>
      </w:r>
    </w:p>
    <w:tbl>
      <w:tblPr>
        <w:tblW w:w="5000" w:type="pct"/>
        <w:tblLayout w:type="fixed"/>
        <w:tblCellMar>
          <w:left w:w="57" w:type="dxa"/>
          <w:right w:w="57" w:type="dxa"/>
        </w:tblCellMar>
        <w:tblLook w:val="0000"/>
      </w:tblPr>
      <w:tblGrid>
        <w:gridCol w:w="3176"/>
        <w:gridCol w:w="1088"/>
        <w:gridCol w:w="1089"/>
        <w:gridCol w:w="1088"/>
        <w:gridCol w:w="1089"/>
        <w:gridCol w:w="1089"/>
      </w:tblGrid>
      <w:tr w:rsidR="00E2336B" w:rsidRPr="007E120F" w:rsidTr="00B212D7">
        <w:trPr>
          <w:cantSplit/>
        </w:trPr>
        <w:tc>
          <w:tcPr>
            <w:tcW w:w="1842" w:type="pct"/>
            <w:tcBorders>
              <w:bottom w:val="single" w:sz="4" w:space="0" w:color="auto"/>
            </w:tcBorders>
          </w:tcPr>
          <w:p w:rsidR="00E2336B" w:rsidRPr="007E120F" w:rsidRDefault="00E2336B" w:rsidP="00B212D7">
            <w:pPr>
              <w:pStyle w:val="Textoindependiente3"/>
              <w:rPr>
                <w:rFonts w:ascii="MinionPro-Regular" w:hAnsi="MinionPro-Regular"/>
                <w:lang w:val="es-ES_tradnl"/>
              </w:rPr>
            </w:pPr>
          </w:p>
        </w:tc>
        <w:tc>
          <w:tcPr>
            <w:tcW w:w="631" w:type="pct"/>
            <w:tcBorders>
              <w:bottom w:val="single" w:sz="4" w:space="0" w:color="auto"/>
            </w:tcBorders>
          </w:tcPr>
          <w:p w:rsidR="00E2336B" w:rsidRPr="007E120F" w:rsidRDefault="00E2336B" w:rsidP="00B212D7">
            <w:pPr>
              <w:pStyle w:val="Textoindependiente3"/>
              <w:jc w:val="center"/>
              <w:rPr>
                <w:rFonts w:ascii="MinionPro-Regular" w:hAnsi="MinionPro-Regular"/>
                <w:lang w:val="es-ES_tradnl"/>
              </w:rPr>
            </w:pPr>
            <w:r w:rsidRPr="007E120F">
              <w:rPr>
                <w:rFonts w:ascii="MinionPro-Regular" w:hAnsi="MinionPro-Regular"/>
                <w:lang w:val="es-ES_tradnl"/>
              </w:rPr>
              <w:t>Alemania</w:t>
            </w:r>
          </w:p>
        </w:tc>
        <w:tc>
          <w:tcPr>
            <w:tcW w:w="632" w:type="pct"/>
            <w:tcBorders>
              <w:bottom w:val="single" w:sz="4" w:space="0" w:color="auto"/>
            </w:tcBorders>
          </w:tcPr>
          <w:p w:rsidR="00E2336B" w:rsidRPr="007E120F" w:rsidRDefault="00E2336B" w:rsidP="00B212D7">
            <w:pPr>
              <w:pStyle w:val="Textoindependiente3"/>
              <w:jc w:val="center"/>
              <w:rPr>
                <w:rFonts w:ascii="MinionPro-Regular" w:hAnsi="MinionPro-Regular"/>
                <w:lang w:val="es-ES_tradnl"/>
              </w:rPr>
            </w:pPr>
            <w:r w:rsidRPr="007E120F">
              <w:rPr>
                <w:rFonts w:ascii="MinionPro-Regular" w:hAnsi="MinionPro-Regular"/>
                <w:lang w:val="es-ES_tradnl"/>
              </w:rPr>
              <w:t>España</w:t>
            </w:r>
          </w:p>
        </w:tc>
        <w:tc>
          <w:tcPr>
            <w:tcW w:w="631" w:type="pct"/>
            <w:tcBorders>
              <w:bottom w:val="single" w:sz="4" w:space="0" w:color="auto"/>
            </w:tcBorders>
          </w:tcPr>
          <w:p w:rsidR="00E2336B" w:rsidRPr="007E120F" w:rsidRDefault="00E2336B" w:rsidP="00B212D7">
            <w:pPr>
              <w:pStyle w:val="Textoindependiente3"/>
              <w:jc w:val="center"/>
              <w:rPr>
                <w:rFonts w:ascii="MinionPro-Regular" w:hAnsi="MinionPro-Regular"/>
                <w:lang w:val="es-ES_tradnl"/>
              </w:rPr>
            </w:pPr>
            <w:r w:rsidRPr="007E120F">
              <w:rPr>
                <w:rFonts w:ascii="MinionPro-Regular" w:hAnsi="MinionPro-Regular"/>
                <w:lang w:val="es-ES_tradnl"/>
              </w:rPr>
              <w:t>Italia</w:t>
            </w:r>
          </w:p>
        </w:tc>
        <w:tc>
          <w:tcPr>
            <w:tcW w:w="632" w:type="pct"/>
            <w:tcBorders>
              <w:bottom w:val="single" w:sz="4" w:space="0" w:color="auto"/>
            </w:tcBorders>
          </w:tcPr>
          <w:p w:rsidR="00E2336B" w:rsidRPr="007E120F" w:rsidRDefault="00E2336B" w:rsidP="00B212D7">
            <w:pPr>
              <w:pStyle w:val="Textoindependiente3"/>
              <w:jc w:val="center"/>
              <w:rPr>
                <w:rFonts w:ascii="MinionPro-Regular" w:hAnsi="MinionPro-Regular"/>
                <w:lang w:val="es-ES_tradnl"/>
              </w:rPr>
            </w:pPr>
            <w:r w:rsidRPr="007E120F">
              <w:rPr>
                <w:rFonts w:ascii="MinionPro-Regular" w:hAnsi="MinionPro-Regular"/>
                <w:lang w:val="es-ES_tradnl"/>
              </w:rPr>
              <w:t>Reino Unido</w:t>
            </w:r>
          </w:p>
        </w:tc>
        <w:tc>
          <w:tcPr>
            <w:tcW w:w="632" w:type="pct"/>
            <w:tcBorders>
              <w:bottom w:val="single" w:sz="4" w:space="0" w:color="auto"/>
            </w:tcBorders>
          </w:tcPr>
          <w:p w:rsidR="00E2336B" w:rsidRPr="007E120F" w:rsidRDefault="00E2336B" w:rsidP="00B212D7">
            <w:pPr>
              <w:pStyle w:val="Textoindependiente3"/>
              <w:ind w:left="0" w:firstLine="0"/>
              <w:jc w:val="center"/>
              <w:rPr>
                <w:rFonts w:ascii="MinionPro-Regular" w:hAnsi="MinionPro-Regular"/>
                <w:lang w:val="es-ES_tradnl"/>
              </w:rPr>
            </w:pPr>
            <w:r w:rsidRPr="007E120F">
              <w:rPr>
                <w:rFonts w:ascii="MinionPro-Regular" w:hAnsi="MinionPro-Regular"/>
                <w:lang w:val="es-ES_tradnl"/>
              </w:rPr>
              <w:t>Suecia</w:t>
            </w:r>
          </w:p>
        </w:tc>
      </w:tr>
      <w:tr w:rsidR="00E2336B" w:rsidRPr="007E120F" w:rsidTr="00B212D7">
        <w:tc>
          <w:tcPr>
            <w:tcW w:w="1842" w:type="pct"/>
            <w:tcBorders>
              <w:top w:val="single" w:sz="4" w:space="0" w:color="auto"/>
            </w:tcBorders>
          </w:tcPr>
          <w:p w:rsidR="00E2336B" w:rsidRPr="007E120F" w:rsidRDefault="00E2336B" w:rsidP="00B212D7">
            <w:pPr>
              <w:pStyle w:val="Textoindependiente3"/>
              <w:ind w:left="0" w:firstLine="0"/>
              <w:rPr>
                <w:rFonts w:ascii="MinionPro-Regular" w:hAnsi="MinionPro-Regular"/>
                <w:lang w:val="es-ES_tradnl"/>
              </w:rPr>
            </w:pPr>
            <w:r w:rsidRPr="007E120F">
              <w:rPr>
                <w:rFonts w:ascii="MinionPro-Regular" w:hAnsi="MinionPro-Regular"/>
                <w:lang w:val="es-ES_tradnl"/>
              </w:rPr>
              <w:t>Personas con discapacidad ocupadas</w:t>
            </w:r>
          </w:p>
        </w:tc>
        <w:tc>
          <w:tcPr>
            <w:tcW w:w="631" w:type="pct"/>
            <w:tcBorders>
              <w:top w:val="single" w:sz="4" w:space="0" w:color="auto"/>
            </w:tcBorders>
            <w:vAlign w:val="center"/>
          </w:tcPr>
          <w:p w:rsidR="00E2336B" w:rsidRPr="007E120F" w:rsidRDefault="00E2336B" w:rsidP="00B212D7">
            <w:pPr>
              <w:pStyle w:val="Textoindependiente3"/>
              <w:jc w:val="center"/>
              <w:rPr>
                <w:rFonts w:ascii="MinionPro-Regular" w:hAnsi="MinionPro-Regular"/>
                <w:lang w:val="es-ES_tradnl"/>
              </w:rPr>
            </w:pPr>
            <w:r w:rsidRPr="007E120F">
              <w:rPr>
                <w:rFonts w:ascii="MinionPro-Regular" w:hAnsi="MinionPro-Regular"/>
                <w:lang w:val="es-ES_tradnl"/>
              </w:rPr>
              <w:t>1</w:t>
            </w:r>
          </w:p>
        </w:tc>
        <w:tc>
          <w:tcPr>
            <w:tcW w:w="632" w:type="pct"/>
            <w:tcBorders>
              <w:top w:val="single" w:sz="4" w:space="0" w:color="auto"/>
            </w:tcBorders>
            <w:vAlign w:val="center"/>
          </w:tcPr>
          <w:p w:rsidR="00E2336B" w:rsidRPr="007E120F" w:rsidRDefault="00E2336B" w:rsidP="00B212D7">
            <w:pPr>
              <w:pStyle w:val="Textoindependiente3"/>
              <w:jc w:val="center"/>
              <w:rPr>
                <w:rFonts w:ascii="MinionPro-Regular" w:hAnsi="MinionPro-Regular"/>
                <w:lang w:val="es-ES_tradnl"/>
              </w:rPr>
            </w:pPr>
            <w:r w:rsidRPr="007E120F">
              <w:rPr>
                <w:rFonts w:ascii="MinionPro-Regular" w:hAnsi="MinionPro-Regular"/>
                <w:lang w:val="es-ES_tradnl"/>
              </w:rPr>
              <w:t>5</w:t>
            </w:r>
          </w:p>
        </w:tc>
        <w:tc>
          <w:tcPr>
            <w:tcW w:w="631" w:type="pct"/>
            <w:tcBorders>
              <w:top w:val="single" w:sz="4" w:space="0" w:color="auto"/>
            </w:tcBorders>
            <w:vAlign w:val="center"/>
          </w:tcPr>
          <w:p w:rsidR="00E2336B" w:rsidRPr="007E120F" w:rsidRDefault="00E2336B" w:rsidP="00B212D7">
            <w:pPr>
              <w:pStyle w:val="Textoindependiente3"/>
              <w:jc w:val="center"/>
              <w:rPr>
                <w:rFonts w:ascii="MinionPro-Regular" w:hAnsi="MinionPro-Regular"/>
                <w:lang w:val="es-ES_tradnl"/>
              </w:rPr>
            </w:pPr>
            <w:r w:rsidRPr="007E120F">
              <w:rPr>
                <w:rFonts w:ascii="MinionPro-Regular" w:hAnsi="MinionPro-Regular"/>
                <w:lang w:val="es-ES_tradnl"/>
              </w:rPr>
              <w:t>3</w:t>
            </w:r>
          </w:p>
        </w:tc>
        <w:tc>
          <w:tcPr>
            <w:tcW w:w="632" w:type="pct"/>
            <w:tcBorders>
              <w:top w:val="single" w:sz="4" w:space="0" w:color="auto"/>
            </w:tcBorders>
            <w:vAlign w:val="center"/>
          </w:tcPr>
          <w:p w:rsidR="00E2336B" w:rsidRPr="007E120F" w:rsidRDefault="00E2336B" w:rsidP="00B212D7">
            <w:pPr>
              <w:pStyle w:val="Textoindependiente3"/>
              <w:jc w:val="center"/>
              <w:rPr>
                <w:rFonts w:ascii="MinionPro-Regular" w:hAnsi="MinionPro-Regular"/>
                <w:lang w:val="es-ES_tradnl"/>
              </w:rPr>
            </w:pPr>
            <w:r w:rsidRPr="007E120F">
              <w:rPr>
                <w:rFonts w:ascii="MinionPro-Regular" w:hAnsi="MinionPro-Regular"/>
                <w:lang w:val="es-ES_tradnl"/>
              </w:rPr>
              <w:t>4</w:t>
            </w:r>
          </w:p>
        </w:tc>
        <w:tc>
          <w:tcPr>
            <w:tcW w:w="632" w:type="pct"/>
            <w:tcBorders>
              <w:top w:val="single" w:sz="4" w:space="0" w:color="auto"/>
            </w:tcBorders>
            <w:vAlign w:val="center"/>
          </w:tcPr>
          <w:p w:rsidR="00E2336B" w:rsidRPr="007E120F" w:rsidRDefault="00E2336B" w:rsidP="00B212D7">
            <w:pPr>
              <w:pStyle w:val="Textoindependiente3"/>
              <w:ind w:left="0" w:firstLine="0"/>
              <w:jc w:val="center"/>
              <w:rPr>
                <w:rFonts w:ascii="MinionPro-Regular" w:hAnsi="MinionPro-Regular"/>
                <w:lang w:val="es-ES_tradnl"/>
              </w:rPr>
            </w:pPr>
            <w:r w:rsidRPr="007E120F">
              <w:rPr>
                <w:rFonts w:ascii="MinionPro-Regular" w:hAnsi="MinionPro-Regular"/>
                <w:lang w:val="es-ES_tradnl"/>
              </w:rPr>
              <w:t>2</w:t>
            </w:r>
          </w:p>
        </w:tc>
      </w:tr>
      <w:tr w:rsidR="00E2336B" w:rsidRPr="007E120F" w:rsidTr="00B212D7">
        <w:tc>
          <w:tcPr>
            <w:tcW w:w="1842" w:type="pct"/>
          </w:tcPr>
          <w:p w:rsidR="00E2336B" w:rsidRPr="007E120F" w:rsidRDefault="00E2336B" w:rsidP="00B212D7">
            <w:pPr>
              <w:pStyle w:val="Textoindependiente3"/>
              <w:ind w:left="0" w:firstLine="0"/>
              <w:rPr>
                <w:rFonts w:ascii="MinionPro-Regular" w:hAnsi="MinionPro-Regular"/>
                <w:lang w:val="es-ES_tradnl"/>
              </w:rPr>
            </w:pPr>
            <w:r w:rsidRPr="007E120F">
              <w:rPr>
                <w:rFonts w:ascii="MinionPro-Regular" w:hAnsi="MinionPro-Regular"/>
                <w:lang w:val="es-ES_tradnl"/>
              </w:rPr>
              <w:t>Fracaso escolar entre personas con discapacidad</w:t>
            </w:r>
          </w:p>
        </w:tc>
        <w:tc>
          <w:tcPr>
            <w:tcW w:w="631" w:type="pct"/>
            <w:vAlign w:val="center"/>
          </w:tcPr>
          <w:p w:rsidR="00E2336B" w:rsidRPr="007E120F" w:rsidRDefault="00E2336B" w:rsidP="00B212D7">
            <w:pPr>
              <w:pStyle w:val="Textoindependiente3"/>
              <w:jc w:val="center"/>
              <w:rPr>
                <w:rFonts w:ascii="MinionPro-Regular" w:hAnsi="MinionPro-Regular"/>
                <w:lang w:val="es-ES_tradnl"/>
              </w:rPr>
            </w:pPr>
            <w:r>
              <w:rPr>
                <w:rFonts w:ascii="MinionPro-Regular" w:hAnsi="MinionPro-Regular"/>
                <w:lang w:val="es-ES_tradnl"/>
              </w:rPr>
              <w:t>3</w:t>
            </w:r>
          </w:p>
        </w:tc>
        <w:tc>
          <w:tcPr>
            <w:tcW w:w="632" w:type="pct"/>
            <w:vAlign w:val="center"/>
          </w:tcPr>
          <w:p w:rsidR="00E2336B" w:rsidRPr="007E120F" w:rsidRDefault="00E2336B" w:rsidP="00B212D7">
            <w:pPr>
              <w:pStyle w:val="Textoindependiente3"/>
              <w:jc w:val="center"/>
              <w:rPr>
                <w:rFonts w:ascii="MinionPro-Regular" w:hAnsi="MinionPro-Regular"/>
                <w:lang w:val="es-ES_tradnl"/>
              </w:rPr>
            </w:pPr>
            <w:r w:rsidRPr="007E120F">
              <w:rPr>
                <w:rFonts w:ascii="MinionPro-Regular" w:hAnsi="MinionPro-Regular"/>
                <w:lang w:val="es-ES_tradnl"/>
              </w:rPr>
              <w:t>4</w:t>
            </w:r>
          </w:p>
        </w:tc>
        <w:tc>
          <w:tcPr>
            <w:tcW w:w="631" w:type="pct"/>
            <w:vAlign w:val="center"/>
          </w:tcPr>
          <w:p w:rsidR="00E2336B" w:rsidRPr="007E120F" w:rsidRDefault="00E2336B" w:rsidP="00B212D7">
            <w:pPr>
              <w:pStyle w:val="Textoindependiente3"/>
              <w:jc w:val="center"/>
              <w:rPr>
                <w:rFonts w:ascii="MinionPro-Regular" w:hAnsi="MinionPro-Regular"/>
                <w:lang w:val="es-ES_tradnl"/>
              </w:rPr>
            </w:pPr>
            <w:r>
              <w:rPr>
                <w:rFonts w:ascii="MinionPro-Regular" w:hAnsi="MinionPro-Regular"/>
                <w:lang w:val="es-ES_tradnl"/>
              </w:rPr>
              <w:t>5</w:t>
            </w:r>
          </w:p>
        </w:tc>
        <w:tc>
          <w:tcPr>
            <w:tcW w:w="632" w:type="pct"/>
            <w:vAlign w:val="center"/>
          </w:tcPr>
          <w:p w:rsidR="00E2336B" w:rsidRPr="007E120F" w:rsidRDefault="00E2336B" w:rsidP="00B212D7">
            <w:pPr>
              <w:pStyle w:val="Textoindependiente3"/>
              <w:jc w:val="center"/>
              <w:rPr>
                <w:rFonts w:ascii="MinionPro-Regular" w:hAnsi="MinionPro-Regular"/>
                <w:lang w:val="es-ES_tradnl"/>
              </w:rPr>
            </w:pPr>
            <w:r w:rsidRPr="007E120F">
              <w:rPr>
                <w:rFonts w:ascii="MinionPro-Regular" w:hAnsi="MinionPro-Regular"/>
                <w:lang w:val="es-ES_tradnl"/>
              </w:rPr>
              <w:t>2</w:t>
            </w:r>
          </w:p>
        </w:tc>
        <w:tc>
          <w:tcPr>
            <w:tcW w:w="632" w:type="pct"/>
            <w:vAlign w:val="center"/>
          </w:tcPr>
          <w:p w:rsidR="00E2336B" w:rsidRPr="007E120F" w:rsidRDefault="00E2336B" w:rsidP="00B212D7">
            <w:pPr>
              <w:pStyle w:val="Textoindependiente3"/>
              <w:ind w:left="0" w:firstLine="0"/>
              <w:jc w:val="center"/>
              <w:rPr>
                <w:rFonts w:ascii="MinionPro-Regular" w:hAnsi="MinionPro-Regular"/>
                <w:lang w:val="es-ES_tradnl"/>
              </w:rPr>
            </w:pPr>
            <w:r w:rsidRPr="007E120F">
              <w:rPr>
                <w:rFonts w:ascii="MinionPro-Regular" w:hAnsi="MinionPro-Regular"/>
                <w:lang w:val="es-ES_tradnl"/>
              </w:rPr>
              <w:t>1</w:t>
            </w:r>
          </w:p>
        </w:tc>
      </w:tr>
      <w:tr w:rsidR="00E2336B" w:rsidRPr="007E120F" w:rsidTr="00B212D7">
        <w:tc>
          <w:tcPr>
            <w:tcW w:w="1842" w:type="pct"/>
          </w:tcPr>
          <w:p w:rsidR="00E2336B" w:rsidRPr="007E120F" w:rsidRDefault="00E2336B" w:rsidP="00B212D7">
            <w:pPr>
              <w:pStyle w:val="Textoindependiente3"/>
              <w:ind w:left="0" w:firstLine="0"/>
              <w:rPr>
                <w:rFonts w:ascii="MinionPro-Regular" w:hAnsi="MinionPro-Regular"/>
                <w:lang w:val="es-ES_tradnl"/>
              </w:rPr>
            </w:pPr>
            <w:r w:rsidRPr="007E120F">
              <w:rPr>
                <w:rFonts w:ascii="MinionPro-Regular" w:hAnsi="MinionPro-Regular"/>
                <w:lang w:val="es-ES_tradnl"/>
              </w:rPr>
              <w:t>Personas con discapacidad en riesgo de pobreza</w:t>
            </w:r>
          </w:p>
        </w:tc>
        <w:tc>
          <w:tcPr>
            <w:tcW w:w="631" w:type="pct"/>
            <w:vAlign w:val="center"/>
          </w:tcPr>
          <w:p w:rsidR="00E2336B" w:rsidRPr="007E120F" w:rsidRDefault="00E2336B" w:rsidP="00B212D7">
            <w:pPr>
              <w:pStyle w:val="Textoindependiente3"/>
              <w:jc w:val="center"/>
              <w:rPr>
                <w:rFonts w:ascii="MinionPro-Regular" w:hAnsi="MinionPro-Regular"/>
                <w:lang w:val="es-ES_tradnl"/>
              </w:rPr>
            </w:pPr>
            <w:r>
              <w:rPr>
                <w:rFonts w:ascii="MinionPro-Regular" w:hAnsi="MinionPro-Regular"/>
                <w:lang w:val="es-ES_tradnl"/>
              </w:rPr>
              <w:t>5</w:t>
            </w:r>
          </w:p>
        </w:tc>
        <w:tc>
          <w:tcPr>
            <w:tcW w:w="632" w:type="pct"/>
            <w:vAlign w:val="center"/>
          </w:tcPr>
          <w:p w:rsidR="00E2336B" w:rsidRPr="007E120F" w:rsidRDefault="00E2336B" w:rsidP="00B212D7">
            <w:pPr>
              <w:pStyle w:val="Textoindependiente3"/>
              <w:jc w:val="center"/>
              <w:rPr>
                <w:rFonts w:ascii="MinionPro-Regular" w:hAnsi="MinionPro-Regular"/>
                <w:lang w:val="es-ES_tradnl"/>
              </w:rPr>
            </w:pPr>
            <w:r>
              <w:rPr>
                <w:rFonts w:ascii="MinionPro-Regular" w:hAnsi="MinionPro-Regular"/>
                <w:lang w:val="es-ES_tradnl"/>
              </w:rPr>
              <w:t>4</w:t>
            </w:r>
          </w:p>
        </w:tc>
        <w:tc>
          <w:tcPr>
            <w:tcW w:w="631" w:type="pct"/>
            <w:vAlign w:val="center"/>
          </w:tcPr>
          <w:p w:rsidR="00E2336B" w:rsidRPr="007E120F" w:rsidRDefault="00E2336B" w:rsidP="00B212D7">
            <w:pPr>
              <w:pStyle w:val="Textoindependiente3"/>
              <w:jc w:val="center"/>
              <w:rPr>
                <w:rFonts w:ascii="MinionPro-Regular" w:hAnsi="MinionPro-Regular"/>
                <w:lang w:val="es-ES_tradnl"/>
              </w:rPr>
            </w:pPr>
            <w:r>
              <w:rPr>
                <w:rFonts w:ascii="MinionPro-Regular" w:hAnsi="MinionPro-Regular"/>
                <w:lang w:val="es-ES_tradnl"/>
              </w:rPr>
              <w:t>2</w:t>
            </w:r>
          </w:p>
        </w:tc>
        <w:tc>
          <w:tcPr>
            <w:tcW w:w="632" w:type="pct"/>
            <w:vAlign w:val="center"/>
          </w:tcPr>
          <w:p w:rsidR="00E2336B" w:rsidRPr="007E120F" w:rsidRDefault="00E2336B" w:rsidP="00B212D7">
            <w:pPr>
              <w:pStyle w:val="Textoindependiente3"/>
              <w:jc w:val="center"/>
              <w:rPr>
                <w:rFonts w:ascii="MinionPro-Regular" w:hAnsi="MinionPro-Regular"/>
                <w:lang w:val="es-ES_tradnl"/>
              </w:rPr>
            </w:pPr>
            <w:r>
              <w:rPr>
                <w:rFonts w:ascii="MinionPro-Regular" w:hAnsi="MinionPro-Regular"/>
                <w:lang w:val="es-ES_tradnl"/>
              </w:rPr>
              <w:t>3</w:t>
            </w:r>
          </w:p>
        </w:tc>
        <w:tc>
          <w:tcPr>
            <w:tcW w:w="632" w:type="pct"/>
            <w:vAlign w:val="center"/>
          </w:tcPr>
          <w:p w:rsidR="00E2336B" w:rsidRPr="007E120F" w:rsidRDefault="00E2336B" w:rsidP="00B212D7">
            <w:pPr>
              <w:pStyle w:val="Textoindependiente3"/>
              <w:ind w:left="0" w:firstLine="0"/>
              <w:jc w:val="center"/>
              <w:rPr>
                <w:rFonts w:ascii="MinionPro-Regular" w:hAnsi="MinionPro-Regular"/>
                <w:lang w:val="es-ES_tradnl"/>
              </w:rPr>
            </w:pPr>
            <w:r w:rsidRPr="007E120F">
              <w:rPr>
                <w:rFonts w:ascii="MinionPro-Regular" w:hAnsi="MinionPro-Regular"/>
                <w:lang w:val="es-ES_tradnl"/>
              </w:rPr>
              <w:t>1</w:t>
            </w:r>
          </w:p>
        </w:tc>
      </w:tr>
      <w:tr w:rsidR="00E2336B" w:rsidRPr="007E120F" w:rsidTr="00B212D7">
        <w:tc>
          <w:tcPr>
            <w:tcW w:w="1842" w:type="pct"/>
            <w:tcBorders>
              <w:top w:val="single" w:sz="4" w:space="0" w:color="auto"/>
            </w:tcBorders>
          </w:tcPr>
          <w:p w:rsidR="00E2336B" w:rsidRDefault="00E2336B" w:rsidP="00B212D7">
            <w:pPr>
              <w:pStyle w:val="Textoindependiente3"/>
              <w:rPr>
                <w:rFonts w:ascii="MinionPro-Regular" w:hAnsi="MinionPro-Regular"/>
                <w:lang w:val="es-ES_tradnl"/>
              </w:rPr>
            </w:pPr>
            <w:r w:rsidRPr="007E120F">
              <w:rPr>
                <w:rFonts w:ascii="MinionPro-Regular" w:hAnsi="MinionPro-Regular"/>
                <w:lang w:val="es-ES_tradnl"/>
              </w:rPr>
              <w:t>Total</w:t>
            </w:r>
          </w:p>
        </w:tc>
        <w:tc>
          <w:tcPr>
            <w:tcW w:w="631" w:type="pct"/>
            <w:tcBorders>
              <w:top w:val="single" w:sz="4" w:space="0" w:color="auto"/>
            </w:tcBorders>
            <w:vAlign w:val="center"/>
          </w:tcPr>
          <w:p w:rsidR="00E2336B" w:rsidRPr="007E120F" w:rsidRDefault="00E2336B" w:rsidP="00B212D7">
            <w:pPr>
              <w:pStyle w:val="Textoindependiente3"/>
              <w:jc w:val="center"/>
              <w:rPr>
                <w:rFonts w:ascii="MinionPro-Regular" w:hAnsi="MinionPro-Regular"/>
                <w:lang w:val="es-ES_tradnl"/>
              </w:rPr>
            </w:pPr>
            <w:r>
              <w:rPr>
                <w:rFonts w:ascii="MinionPro-Regular" w:hAnsi="MinionPro-Regular"/>
                <w:lang w:val="es-ES_tradnl"/>
              </w:rPr>
              <w:t>9</w:t>
            </w:r>
          </w:p>
        </w:tc>
        <w:tc>
          <w:tcPr>
            <w:tcW w:w="632" w:type="pct"/>
            <w:tcBorders>
              <w:top w:val="single" w:sz="4" w:space="0" w:color="auto"/>
            </w:tcBorders>
            <w:vAlign w:val="center"/>
          </w:tcPr>
          <w:p w:rsidR="00E2336B" w:rsidRPr="007E120F" w:rsidRDefault="00E2336B" w:rsidP="00B212D7">
            <w:pPr>
              <w:pStyle w:val="Textoindependiente3"/>
              <w:jc w:val="center"/>
              <w:rPr>
                <w:rFonts w:ascii="MinionPro-Regular" w:hAnsi="MinionPro-Regular"/>
                <w:lang w:val="es-ES_tradnl"/>
              </w:rPr>
            </w:pPr>
            <w:r>
              <w:rPr>
                <w:rFonts w:ascii="MinionPro-Regular" w:hAnsi="MinionPro-Regular"/>
                <w:lang w:val="es-ES_tradnl"/>
              </w:rPr>
              <w:t>13</w:t>
            </w:r>
          </w:p>
        </w:tc>
        <w:tc>
          <w:tcPr>
            <w:tcW w:w="631" w:type="pct"/>
            <w:tcBorders>
              <w:top w:val="single" w:sz="4" w:space="0" w:color="auto"/>
            </w:tcBorders>
            <w:vAlign w:val="center"/>
          </w:tcPr>
          <w:p w:rsidR="00E2336B" w:rsidRPr="007E120F" w:rsidRDefault="00E2336B" w:rsidP="00B212D7">
            <w:pPr>
              <w:pStyle w:val="Textoindependiente3"/>
              <w:jc w:val="center"/>
              <w:rPr>
                <w:rFonts w:ascii="MinionPro-Regular" w:hAnsi="MinionPro-Regular"/>
                <w:lang w:val="es-ES_tradnl"/>
              </w:rPr>
            </w:pPr>
            <w:r>
              <w:rPr>
                <w:rFonts w:ascii="MinionPro-Regular" w:hAnsi="MinionPro-Regular"/>
                <w:lang w:val="es-ES_tradnl"/>
              </w:rPr>
              <w:t>10</w:t>
            </w:r>
          </w:p>
        </w:tc>
        <w:tc>
          <w:tcPr>
            <w:tcW w:w="632" w:type="pct"/>
            <w:tcBorders>
              <w:top w:val="single" w:sz="4" w:space="0" w:color="auto"/>
            </w:tcBorders>
            <w:vAlign w:val="center"/>
          </w:tcPr>
          <w:p w:rsidR="00E2336B" w:rsidRPr="007E120F" w:rsidRDefault="00E2336B" w:rsidP="00B212D7">
            <w:pPr>
              <w:pStyle w:val="Textoindependiente3"/>
              <w:jc w:val="center"/>
              <w:rPr>
                <w:rFonts w:ascii="MinionPro-Regular" w:hAnsi="MinionPro-Regular"/>
                <w:lang w:val="es-ES_tradnl"/>
              </w:rPr>
            </w:pPr>
            <w:r>
              <w:rPr>
                <w:rFonts w:ascii="MinionPro-Regular" w:hAnsi="MinionPro-Regular"/>
                <w:lang w:val="es-ES_tradnl"/>
              </w:rPr>
              <w:t>9</w:t>
            </w:r>
          </w:p>
        </w:tc>
        <w:tc>
          <w:tcPr>
            <w:tcW w:w="632" w:type="pct"/>
            <w:tcBorders>
              <w:top w:val="single" w:sz="4" w:space="0" w:color="auto"/>
            </w:tcBorders>
            <w:vAlign w:val="center"/>
          </w:tcPr>
          <w:p w:rsidR="00E2336B" w:rsidRPr="007E120F" w:rsidRDefault="00E2336B" w:rsidP="00B212D7">
            <w:pPr>
              <w:pStyle w:val="Textoindependiente3"/>
              <w:ind w:left="0" w:firstLine="0"/>
              <w:jc w:val="center"/>
              <w:rPr>
                <w:rFonts w:ascii="MinionPro-Regular" w:hAnsi="MinionPro-Regular"/>
                <w:lang w:val="es-ES_tradnl"/>
              </w:rPr>
            </w:pPr>
            <w:r>
              <w:rPr>
                <w:rFonts w:ascii="MinionPro-Regular" w:hAnsi="MinionPro-Regular"/>
                <w:lang w:val="es-ES_tradnl"/>
              </w:rPr>
              <w:t>4</w:t>
            </w:r>
          </w:p>
        </w:tc>
      </w:tr>
    </w:tbl>
    <w:p w:rsidR="00E2336B" w:rsidRDefault="00E2336B" w:rsidP="001B0EA4">
      <w:pPr>
        <w:pStyle w:val="Textoindependiente"/>
        <w:pBdr>
          <w:bottom w:val="single" w:sz="4" w:space="1" w:color="auto"/>
        </w:pBdr>
        <w:rPr>
          <w:rFonts w:ascii="MinionPro-Regular" w:hAnsi="MinionPro-Regular"/>
          <w:sz w:val="20"/>
          <w:lang w:val="es-ES_tradnl"/>
        </w:rPr>
      </w:pPr>
      <w:r w:rsidRPr="00B44100">
        <w:rPr>
          <w:rFonts w:ascii="MinionPro-Regular" w:hAnsi="MinionPro-Regular"/>
          <w:sz w:val="20"/>
          <w:lang w:val="es-ES_tradnl"/>
        </w:rPr>
        <w:t xml:space="preserve">Fuente: </w:t>
      </w:r>
      <w:r>
        <w:rPr>
          <w:rFonts w:ascii="MinionPro-Regular" w:hAnsi="MinionPro-Regular"/>
          <w:sz w:val="20"/>
          <w:lang w:val="es-ES_tradnl"/>
        </w:rPr>
        <w:t>E</w:t>
      </w:r>
      <w:r w:rsidRPr="00B44100">
        <w:rPr>
          <w:rFonts w:ascii="MinionPro-Regular" w:hAnsi="MinionPro-Regular"/>
          <w:sz w:val="20"/>
          <w:lang w:val="es-ES_tradnl"/>
        </w:rPr>
        <w:t>laboración propia</w:t>
      </w:r>
    </w:p>
    <w:p w:rsidR="00E2336B" w:rsidRDefault="00E2336B" w:rsidP="001B0EA4">
      <w:pPr>
        <w:pStyle w:val="Textoindependiente"/>
        <w:rPr>
          <w:lang w:val="es-ES_tradnl"/>
        </w:rPr>
      </w:pPr>
    </w:p>
    <w:p w:rsidR="00E2336B" w:rsidRPr="00E2336B" w:rsidRDefault="00E2336B" w:rsidP="0007541A">
      <w:pPr>
        <w:pStyle w:val="Ttulo2"/>
        <w:numPr>
          <w:ilvl w:val="1"/>
          <w:numId w:val="3"/>
        </w:numPr>
        <w:ind w:left="0"/>
        <w:rPr>
          <w:rFonts w:ascii="MinionPro-Regular" w:hAnsi="MinionPro-Regular"/>
          <w:strike/>
          <w:color w:val="FF0000"/>
          <w:lang w:val="es-ES_tradnl"/>
        </w:rPr>
      </w:pPr>
      <w:bookmarkStart w:id="280" w:name="_Toc352773575"/>
      <w:r>
        <w:rPr>
          <w:rFonts w:ascii="MinionPro-Regular" w:hAnsi="MinionPro-Regular"/>
          <w:lang w:val="es-ES_tradnl"/>
        </w:rPr>
        <w:t>Existen diferentes medidas de discriminación positiva</w:t>
      </w:r>
      <w:bookmarkEnd w:id="280"/>
    </w:p>
    <w:p w:rsidR="00B03776" w:rsidRPr="001740FD" w:rsidRDefault="00B03776" w:rsidP="001B0EA4">
      <w:pPr>
        <w:autoSpaceDE w:val="0"/>
        <w:autoSpaceDN w:val="0"/>
        <w:spacing w:line="360" w:lineRule="auto"/>
        <w:jc w:val="both"/>
        <w:rPr>
          <w:rFonts w:ascii="MinionPro-Regular" w:hAnsi="MinionPro-Regular"/>
          <w:color w:val="4F81BD" w:themeColor="accent1"/>
          <w:sz w:val="24"/>
          <w:szCs w:val="24"/>
          <w:lang w:val="es-ES_tradnl"/>
        </w:rPr>
      </w:pPr>
    </w:p>
    <w:p w:rsidR="00B03776" w:rsidRPr="007A408D" w:rsidRDefault="00F724E7" w:rsidP="001B0EA4">
      <w:pPr>
        <w:autoSpaceDE w:val="0"/>
        <w:autoSpaceDN w:val="0"/>
        <w:spacing w:line="360" w:lineRule="auto"/>
        <w:jc w:val="both"/>
        <w:rPr>
          <w:rFonts w:ascii="MinionPro-Regular" w:hAnsi="MinionPro-Regular"/>
          <w:sz w:val="24"/>
          <w:szCs w:val="24"/>
          <w:lang w:val="es-ES_tradnl"/>
        </w:rPr>
      </w:pPr>
      <w:r w:rsidRPr="007A408D">
        <w:rPr>
          <w:rFonts w:ascii="MinionPro-Regular" w:hAnsi="MinionPro-Regular"/>
          <w:sz w:val="24"/>
          <w:szCs w:val="24"/>
          <w:lang w:val="es-ES_tradnl"/>
        </w:rPr>
        <w:t xml:space="preserve">En el análisis realizado se ha comprobado que existen diferentes medidas de discriminación positiva en cada uno de los países que han formado parte del estudio. A continuación se </w:t>
      </w:r>
      <w:r w:rsidR="007A408D">
        <w:rPr>
          <w:rFonts w:ascii="MinionPro-Regular" w:hAnsi="MinionPro-Regular"/>
          <w:sz w:val="24"/>
          <w:szCs w:val="24"/>
          <w:lang w:val="es-ES_tradnl"/>
        </w:rPr>
        <w:t xml:space="preserve">describen </w:t>
      </w:r>
      <w:r w:rsidRPr="007A408D">
        <w:rPr>
          <w:rFonts w:ascii="MinionPro-Regular" w:hAnsi="MinionPro-Regular"/>
          <w:sz w:val="24"/>
          <w:szCs w:val="24"/>
          <w:lang w:val="es-ES_tradnl"/>
        </w:rPr>
        <w:t xml:space="preserve">algunas </w:t>
      </w:r>
      <w:r w:rsidR="00B03776" w:rsidRPr="007A408D">
        <w:rPr>
          <w:rFonts w:ascii="MinionPro-Regular" w:hAnsi="MinionPro-Regular"/>
          <w:sz w:val="24"/>
          <w:szCs w:val="24"/>
          <w:lang w:val="es-ES_tradnl"/>
        </w:rPr>
        <w:t>de ellas</w:t>
      </w:r>
      <w:r w:rsidRPr="007A408D">
        <w:rPr>
          <w:rFonts w:ascii="MinionPro-Regular" w:hAnsi="MinionPro-Regular"/>
          <w:sz w:val="24"/>
          <w:szCs w:val="24"/>
          <w:lang w:val="es-ES_tradnl"/>
        </w:rPr>
        <w:t>.</w:t>
      </w:r>
    </w:p>
    <w:p w:rsidR="00B03776" w:rsidRDefault="00B03776" w:rsidP="001B0EA4">
      <w:pPr>
        <w:autoSpaceDE w:val="0"/>
        <w:autoSpaceDN w:val="0"/>
        <w:spacing w:line="360" w:lineRule="auto"/>
        <w:jc w:val="both"/>
        <w:rPr>
          <w:rFonts w:ascii="MinionPro-Regular" w:hAnsi="MinionPro-Regular"/>
          <w:sz w:val="24"/>
          <w:szCs w:val="24"/>
          <w:lang w:val="es-ES_tradnl"/>
        </w:rPr>
      </w:pPr>
    </w:p>
    <w:p w:rsidR="00E2336B" w:rsidRPr="00F15BBF" w:rsidRDefault="00E2336B" w:rsidP="001B0EA4">
      <w:pPr>
        <w:autoSpaceDE w:val="0"/>
        <w:autoSpaceDN w:val="0"/>
        <w:spacing w:line="360" w:lineRule="auto"/>
        <w:jc w:val="both"/>
        <w:rPr>
          <w:rFonts w:ascii="MinionPro-Regular" w:hAnsi="MinionPro-Regular"/>
          <w:sz w:val="24"/>
          <w:szCs w:val="24"/>
        </w:rPr>
      </w:pPr>
      <w:r w:rsidRPr="00D866DE">
        <w:rPr>
          <w:rFonts w:ascii="MinionPro-Regular" w:hAnsi="MinionPro-Regular"/>
          <w:sz w:val="24"/>
          <w:szCs w:val="24"/>
          <w:lang w:val="es-ES_tradnl"/>
        </w:rPr>
        <w:t xml:space="preserve">En el </w:t>
      </w:r>
      <w:r w:rsidR="00F23441" w:rsidRPr="00F23441">
        <w:rPr>
          <w:rFonts w:ascii="MinionPro-Regular" w:hAnsi="MinionPro-Regular"/>
          <w:b/>
          <w:sz w:val="24"/>
          <w:szCs w:val="24"/>
          <w:lang w:val="es-ES_tradnl"/>
        </w:rPr>
        <w:t>Reino Unido</w:t>
      </w:r>
      <w:r w:rsidRPr="00D866DE">
        <w:rPr>
          <w:rFonts w:ascii="MinionPro-Regular" w:hAnsi="MinionPro-Regular"/>
          <w:sz w:val="24"/>
          <w:szCs w:val="24"/>
          <w:lang w:val="es-ES_tradnl"/>
        </w:rPr>
        <w:t xml:space="preserve">, </w:t>
      </w:r>
      <w:r>
        <w:rPr>
          <w:rFonts w:ascii="MinionPro-Regular" w:hAnsi="MinionPro-Regular"/>
          <w:sz w:val="24"/>
          <w:szCs w:val="24"/>
          <w:lang w:val="es-ES_tradnl"/>
        </w:rPr>
        <w:t xml:space="preserve">de acuerdo a la Equality Act de 2010, el </w:t>
      </w:r>
      <w:r w:rsidRPr="00D866DE">
        <w:rPr>
          <w:rFonts w:ascii="MinionPro-Regular" w:hAnsi="MinionPro-Regular"/>
          <w:sz w:val="24"/>
          <w:szCs w:val="24"/>
          <w:lang w:val="es-ES_tradnl"/>
        </w:rPr>
        <w:t xml:space="preserve">empleador de la empresa </w:t>
      </w:r>
      <w:r w:rsidRPr="0096419A">
        <w:rPr>
          <w:rFonts w:ascii="MinionPro-Regular" w:hAnsi="MinionPro-Regular"/>
          <w:sz w:val="24"/>
          <w:szCs w:val="24"/>
          <w:lang w:val="es-ES_tradnl"/>
        </w:rPr>
        <w:t>ordinaria está obligado a adaptar el puesto para permitir el acceso y el desarrollo normal</w:t>
      </w:r>
      <w:r w:rsidRPr="00D866DE">
        <w:rPr>
          <w:rFonts w:ascii="MinionPro-Regular" w:hAnsi="MinionPro-Regular"/>
          <w:sz w:val="24"/>
          <w:szCs w:val="24"/>
          <w:lang w:val="es-ES_tradnl"/>
        </w:rPr>
        <w:t xml:space="preserve"> al puesto trabajo de la persona con discapacidad. </w:t>
      </w:r>
      <w:r>
        <w:rPr>
          <w:rFonts w:ascii="MinionPro-Regular" w:hAnsi="MinionPro-Regular"/>
          <w:sz w:val="24"/>
          <w:szCs w:val="24"/>
          <w:lang w:val="es-ES_tradnl"/>
        </w:rPr>
        <w:t>L</w:t>
      </w:r>
      <w:r w:rsidRPr="00D866DE">
        <w:rPr>
          <w:rFonts w:ascii="MinionPro-Regular" w:hAnsi="MinionPro-Regular"/>
          <w:sz w:val="24"/>
          <w:szCs w:val="24"/>
          <w:lang w:val="es-ES_tradnl"/>
        </w:rPr>
        <w:t xml:space="preserve">a mayoría de personas con algún tipo de discapacidad ocupadas se encuentra insertadas y trabajando en </w:t>
      </w:r>
      <w:r>
        <w:rPr>
          <w:rFonts w:ascii="MinionPro-Regular" w:hAnsi="MinionPro-Regular"/>
          <w:sz w:val="24"/>
          <w:szCs w:val="24"/>
          <w:lang w:val="es-ES_tradnl"/>
        </w:rPr>
        <w:t>empresas ordinarias</w:t>
      </w:r>
      <w:r w:rsidRPr="00D866DE">
        <w:rPr>
          <w:rFonts w:ascii="MinionPro-Regular" w:hAnsi="MinionPro-Regular"/>
          <w:sz w:val="24"/>
          <w:szCs w:val="24"/>
          <w:lang w:val="es-ES_tradnl"/>
        </w:rPr>
        <w:t>.</w:t>
      </w:r>
      <w:r>
        <w:rPr>
          <w:rFonts w:ascii="MinionPro-Regular" w:hAnsi="MinionPro-Regular"/>
          <w:sz w:val="24"/>
          <w:szCs w:val="24"/>
          <w:lang w:val="es-ES_tradnl"/>
        </w:rPr>
        <w:t xml:space="preserve"> Adicionalmente, la Disability Discrimination Act establece que es ilegal discriminar a las personas con discapacidad en relación al empleo o la provisión de bienes, instalaciones y servicios. Establece disposiciones sobre el empleo de personas con discapacidad, así como un consejo nacional de la discapacidad.</w:t>
      </w:r>
    </w:p>
    <w:p w:rsidR="00E2336B" w:rsidRDefault="00E2336B" w:rsidP="001B0EA4">
      <w:pPr>
        <w:autoSpaceDE w:val="0"/>
        <w:autoSpaceDN w:val="0"/>
        <w:spacing w:line="360" w:lineRule="auto"/>
        <w:jc w:val="both"/>
        <w:rPr>
          <w:rFonts w:ascii="MinionPro-Regular" w:hAnsi="MinionPro-Regular"/>
          <w:sz w:val="24"/>
          <w:szCs w:val="24"/>
          <w:lang w:val="es-ES_tradnl"/>
        </w:rPr>
      </w:pPr>
    </w:p>
    <w:p w:rsidR="00E2336B" w:rsidRDefault="00E2336B" w:rsidP="001B0EA4">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 xml:space="preserve">Cabe destacar, asimismo, en el Reino Unido, la existencia de asesores especiales para personas con discapacidad en los servicios de empleo público. </w:t>
      </w:r>
    </w:p>
    <w:p w:rsidR="00E2336B" w:rsidRPr="002F73CE" w:rsidRDefault="00E2336B" w:rsidP="001B0EA4">
      <w:pPr>
        <w:autoSpaceDE w:val="0"/>
        <w:autoSpaceDN w:val="0"/>
        <w:spacing w:line="360" w:lineRule="auto"/>
        <w:jc w:val="both"/>
        <w:rPr>
          <w:rFonts w:ascii="MinionPro-Regular" w:hAnsi="MinionPro-Regular"/>
          <w:sz w:val="24"/>
          <w:szCs w:val="24"/>
          <w:lang w:val="es-ES_tradnl"/>
        </w:rPr>
      </w:pPr>
    </w:p>
    <w:p w:rsidR="00E2336B" w:rsidRDefault="00E2336B" w:rsidP="001B0EA4">
      <w:pPr>
        <w:autoSpaceDE w:val="0"/>
        <w:autoSpaceDN w:val="0"/>
        <w:spacing w:line="360" w:lineRule="auto"/>
        <w:jc w:val="both"/>
        <w:rPr>
          <w:rFonts w:ascii="MinionPro-Regular" w:hAnsi="MinionPro-Regular"/>
          <w:sz w:val="24"/>
          <w:szCs w:val="24"/>
        </w:rPr>
      </w:pPr>
      <w:r>
        <w:rPr>
          <w:rFonts w:ascii="MinionPro-Regular" w:hAnsi="MinionPro-Regular"/>
          <w:sz w:val="24"/>
          <w:szCs w:val="24"/>
        </w:rPr>
        <w:t xml:space="preserve">En el caso del empleo ordinario en </w:t>
      </w:r>
      <w:r w:rsidR="00F23441" w:rsidRPr="00F23441">
        <w:rPr>
          <w:rFonts w:ascii="MinionPro-Regular" w:hAnsi="MinionPro-Regular"/>
          <w:b/>
          <w:sz w:val="24"/>
          <w:szCs w:val="24"/>
        </w:rPr>
        <w:t>Alemania</w:t>
      </w:r>
      <w:r w:rsidRPr="00B76610">
        <w:rPr>
          <w:rFonts w:ascii="MinionPro-Regular" w:hAnsi="MinionPro-Regular"/>
          <w:sz w:val="24"/>
          <w:szCs w:val="24"/>
        </w:rPr>
        <w:t>, la</w:t>
      </w:r>
      <w:r>
        <w:rPr>
          <w:rFonts w:ascii="MinionPro-Regular" w:hAnsi="MinionPro-Regular"/>
          <w:sz w:val="24"/>
          <w:szCs w:val="24"/>
        </w:rPr>
        <w:t xml:space="preserve"> ley sobre las personas con discapacidades graves</w:t>
      </w:r>
      <w:r w:rsidRPr="00B76610">
        <w:rPr>
          <w:rFonts w:ascii="MinionPro-Regular" w:hAnsi="MinionPro-Regular"/>
          <w:sz w:val="24"/>
          <w:szCs w:val="24"/>
        </w:rPr>
        <w:t xml:space="preserve"> obliga a las empresas a fomentar y a adaptar el empleo de personas con discapacidad, estableciendo un sistema de cuotas, completado por el pago de una tasa compensatoria por cada empleo obligator</w:t>
      </w:r>
      <w:r>
        <w:rPr>
          <w:rFonts w:ascii="MinionPro-Regular" w:hAnsi="MinionPro-Regular"/>
          <w:sz w:val="24"/>
          <w:szCs w:val="24"/>
        </w:rPr>
        <w:t>io no ocupado. Asimismo, la ley prevé</w:t>
      </w:r>
      <w:r w:rsidRPr="00B76610">
        <w:rPr>
          <w:rFonts w:ascii="MinionPro-Regular" w:hAnsi="MinionPro-Regular"/>
          <w:sz w:val="24"/>
          <w:szCs w:val="24"/>
        </w:rPr>
        <w:t xml:space="preserve"> una protección especial de las personas con discapacidad contra el despido y la defensa de sus intereses por medio de un representante especial en el medio laboral.</w:t>
      </w:r>
    </w:p>
    <w:p w:rsidR="00E2336B" w:rsidRPr="00B76610" w:rsidRDefault="00E2336B" w:rsidP="001B0EA4">
      <w:pPr>
        <w:autoSpaceDE w:val="0"/>
        <w:autoSpaceDN w:val="0"/>
        <w:spacing w:line="360" w:lineRule="auto"/>
        <w:jc w:val="both"/>
        <w:rPr>
          <w:rFonts w:ascii="MinionPro-Regular" w:hAnsi="MinionPro-Regular"/>
          <w:sz w:val="24"/>
          <w:szCs w:val="24"/>
        </w:rPr>
      </w:pPr>
    </w:p>
    <w:p w:rsidR="00E2336B" w:rsidRDefault="00E2336B" w:rsidP="001B0EA4">
      <w:pPr>
        <w:autoSpaceDE w:val="0"/>
        <w:autoSpaceDN w:val="0"/>
        <w:spacing w:line="360" w:lineRule="auto"/>
        <w:jc w:val="both"/>
        <w:rPr>
          <w:rFonts w:ascii="MinionPro-Regular" w:hAnsi="MinionPro-Regular"/>
          <w:sz w:val="24"/>
          <w:szCs w:val="24"/>
        </w:rPr>
      </w:pPr>
      <w:r>
        <w:rPr>
          <w:rFonts w:ascii="MinionPro-Regular" w:hAnsi="MinionPro-Regular"/>
          <w:sz w:val="24"/>
          <w:szCs w:val="24"/>
        </w:rPr>
        <w:t>Al igual que en el caso inglés, la agencia federal de empleo tiene entre su mandato el ofrecimiento de servicios de búsqueda de empleo a las personas con discapacidad.</w:t>
      </w:r>
    </w:p>
    <w:p w:rsidR="00E2336B" w:rsidRDefault="00E2336B" w:rsidP="001B0EA4">
      <w:pPr>
        <w:autoSpaceDE w:val="0"/>
        <w:autoSpaceDN w:val="0"/>
        <w:spacing w:line="360" w:lineRule="auto"/>
        <w:jc w:val="both"/>
        <w:rPr>
          <w:rFonts w:ascii="MinionPro-Regular" w:hAnsi="MinionPro-Regular"/>
          <w:sz w:val="24"/>
          <w:szCs w:val="24"/>
        </w:rPr>
      </w:pPr>
    </w:p>
    <w:p w:rsidR="00E2336B" w:rsidRPr="006176ED" w:rsidRDefault="00E2336B" w:rsidP="001B0EA4">
      <w:pPr>
        <w:autoSpaceDE w:val="0"/>
        <w:autoSpaceDN w:val="0"/>
        <w:spacing w:line="360" w:lineRule="auto"/>
        <w:jc w:val="both"/>
        <w:rPr>
          <w:rFonts w:ascii="MinionPro-Regular" w:hAnsi="MinionPro-Regular"/>
          <w:sz w:val="24"/>
          <w:szCs w:val="24"/>
          <w:lang w:val="es-ES_tradnl"/>
        </w:rPr>
      </w:pPr>
      <w:r w:rsidRPr="008B461D">
        <w:rPr>
          <w:rFonts w:ascii="MinionPro-Regular" w:hAnsi="MinionPro-Regular"/>
          <w:sz w:val="24"/>
          <w:szCs w:val="24"/>
          <w:lang w:val="es-ES_tradnl"/>
        </w:rPr>
        <w:t>Seg</w:t>
      </w:r>
      <w:r>
        <w:rPr>
          <w:rFonts w:ascii="MinionPro-Regular" w:hAnsi="MinionPro-Regular"/>
          <w:sz w:val="24"/>
          <w:szCs w:val="24"/>
          <w:lang w:val="es-ES_tradnl"/>
        </w:rPr>
        <w:t xml:space="preserve">ún la ley de igualdad de oportunidades para las personas con discapacidad (2002), todas las empresas (públicas o privadas) con 20 o más trabajadores tienen la obligación </w:t>
      </w:r>
      <w:r>
        <w:rPr>
          <w:rFonts w:ascii="MinionPro-Regular" w:hAnsi="MinionPro-Regular"/>
          <w:sz w:val="24"/>
          <w:szCs w:val="24"/>
          <w:lang w:val="es-ES_tradnl"/>
        </w:rPr>
        <w:lastRenderedPageBreak/>
        <w:t>de contratar al 5% de su plantilla con discapacidades severas</w:t>
      </w:r>
      <w:r>
        <w:rPr>
          <w:rStyle w:val="Refdenotaalpie"/>
          <w:rFonts w:ascii="MinionPro-Regular" w:hAnsi="MinionPro-Regular"/>
          <w:sz w:val="24"/>
          <w:szCs w:val="24"/>
          <w:lang w:val="es-ES_tradnl"/>
        </w:rPr>
        <w:footnoteReference w:id="26"/>
      </w:r>
      <w:r>
        <w:rPr>
          <w:rFonts w:ascii="MinionPro-Regular" w:hAnsi="MinionPro-Regular"/>
          <w:sz w:val="24"/>
          <w:szCs w:val="24"/>
          <w:lang w:val="es-ES_tradnl"/>
        </w:rPr>
        <w:t>. Aquellas que no cumplan con la cuota establecida tienen que hacer frente a sanciones económicas. De acuerdo a la Agencia Federal de Trabajo, la cuota media de empleo de personas con discapacidad está por debajo del 5% establecido.</w:t>
      </w:r>
      <w:r w:rsidRPr="008B461D">
        <w:rPr>
          <w:rFonts w:ascii="MinionPro-Regular" w:hAnsi="MinionPro-Regular"/>
          <w:sz w:val="24"/>
          <w:szCs w:val="24"/>
          <w:lang w:val="es-ES_tradnl"/>
        </w:rPr>
        <w:t xml:space="preserve"> </w:t>
      </w:r>
      <w:r w:rsidRPr="008B461D">
        <w:rPr>
          <w:rFonts w:ascii="MinionPro-Regular" w:hAnsi="MinionPro-Regular"/>
          <w:sz w:val="24"/>
          <w:szCs w:val="24"/>
        </w:rPr>
        <w:t>Igualmente</w:t>
      </w:r>
      <w:r w:rsidRPr="00B76610">
        <w:rPr>
          <w:rFonts w:ascii="MinionPro-Regular" w:hAnsi="MinionPro-Regular"/>
          <w:sz w:val="24"/>
          <w:szCs w:val="24"/>
        </w:rPr>
        <w:t xml:space="preserve"> se debe tener en cuenta que un trabajador puede representar</w:t>
      </w:r>
      <w:r>
        <w:rPr>
          <w:rFonts w:ascii="MinionPro-Regular" w:hAnsi="MinionPro-Regular"/>
          <w:sz w:val="24"/>
          <w:szCs w:val="24"/>
        </w:rPr>
        <w:t xml:space="preserve"> o contabilizar</w:t>
      </w:r>
      <w:r w:rsidRPr="00B76610">
        <w:rPr>
          <w:rFonts w:ascii="MinionPro-Regular" w:hAnsi="MinionPro-Regular"/>
          <w:sz w:val="24"/>
          <w:szCs w:val="24"/>
        </w:rPr>
        <w:t>, si la autoridad laboral lo permite, más de un puesto reservado cuando su incorporación suponga dificultades particularmente graves para la empresa.</w:t>
      </w:r>
    </w:p>
    <w:p w:rsidR="00E2336B" w:rsidRPr="00B76610" w:rsidRDefault="00E2336B" w:rsidP="001B0EA4">
      <w:pPr>
        <w:autoSpaceDE w:val="0"/>
        <w:autoSpaceDN w:val="0"/>
        <w:spacing w:line="360" w:lineRule="auto"/>
        <w:jc w:val="both"/>
        <w:rPr>
          <w:rFonts w:ascii="MinionPro-Regular" w:hAnsi="MinionPro-Regular"/>
          <w:sz w:val="24"/>
          <w:szCs w:val="24"/>
        </w:rPr>
      </w:pPr>
    </w:p>
    <w:p w:rsidR="00E2336B" w:rsidRDefault="00E2336B" w:rsidP="001B0EA4">
      <w:pPr>
        <w:autoSpaceDE w:val="0"/>
        <w:autoSpaceDN w:val="0"/>
        <w:spacing w:line="360" w:lineRule="auto"/>
        <w:jc w:val="both"/>
        <w:rPr>
          <w:rFonts w:ascii="MinionPro-Regular" w:hAnsi="MinionPro-Regular"/>
          <w:sz w:val="24"/>
          <w:szCs w:val="24"/>
        </w:rPr>
      </w:pPr>
      <w:r w:rsidRPr="00B76610">
        <w:rPr>
          <w:rFonts w:ascii="MinionPro-Regular" w:hAnsi="MinionPro-Regular"/>
          <w:sz w:val="24"/>
          <w:szCs w:val="24"/>
        </w:rPr>
        <w:t xml:space="preserve">Las empresas que no cumplan con la cuota mínima deben pagar una </w:t>
      </w:r>
      <w:r>
        <w:rPr>
          <w:rFonts w:ascii="MinionPro-Regular" w:hAnsi="MinionPro-Regular"/>
          <w:sz w:val="24"/>
          <w:szCs w:val="24"/>
        </w:rPr>
        <w:t xml:space="preserve">sanción mensual </w:t>
      </w:r>
      <w:r w:rsidRPr="00B76610">
        <w:rPr>
          <w:rFonts w:ascii="MinionPro-Regular" w:hAnsi="MinionPro-Regular"/>
          <w:sz w:val="24"/>
          <w:szCs w:val="24"/>
        </w:rPr>
        <w:t>por cada puesto no cubierto (105</w:t>
      </w:r>
      <w:r>
        <w:rPr>
          <w:rFonts w:ascii="MinionPro-Regular" w:hAnsi="MinionPro-Regular"/>
          <w:sz w:val="24"/>
          <w:szCs w:val="24"/>
        </w:rPr>
        <w:t xml:space="preserve"> </w:t>
      </w:r>
      <w:r w:rsidRPr="00B76610">
        <w:rPr>
          <w:rFonts w:ascii="MinionPro-Regular" w:hAnsi="MinionPro-Regular"/>
          <w:sz w:val="24"/>
          <w:szCs w:val="24"/>
        </w:rPr>
        <w:t>€ si está por encima del 3%, 180</w:t>
      </w:r>
      <w:r>
        <w:rPr>
          <w:rFonts w:ascii="MinionPro-Regular" w:hAnsi="MinionPro-Regular"/>
          <w:sz w:val="24"/>
          <w:szCs w:val="24"/>
        </w:rPr>
        <w:t xml:space="preserve"> </w:t>
      </w:r>
      <w:r w:rsidRPr="00B76610">
        <w:rPr>
          <w:rFonts w:ascii="MinionPro-Regular" w:hAnsi="MinionPro-Regular"/>
          <w:sz w:val="24"/>
          <w:szCs w:val="24"/>
        </w:rPr>
        <w:t>€ si está entre el 2 y el 3% y 260</w:t>
      </w:r>
      <w:r>
        <w:rPr>
          <w:rFonts w:ascii="MinionPro-Regular" w:hAnsi="MinionPro-Regular"/>
          <w:sz w:val="24"/>
          <w:szCs w:val="24"/>
        </w:rPr>
        <w:t xml:space="preserve"> </w:t>
      </w:r>
      <w:r w:rsidRPr="00B76610">
        <w:rPr>
          <w:rFonts w:ascii="MinionPro-Regular" w:hAnsi="MinionPro-Regular"/>
          <w:sz w:val="24"/>
          <w:szCs w:val="24"/>
        </w:rPr>
        <w:t>€ si está por debajo del 2%)</w:t>
      </w:r>
      <w:r>
        <w:rPr>
          <w:rStyle w:val="Refdenotaalpie"/>
          <w:rFonts w:ascii="MinionPro-Regular" w:hAnsi="MinionPro-Regular"/>
          <w:sz w:val="24"/>
          <w:szCs w:val="24"/>
        </w:rPr>
        <w:footnoteReference w:id="27"/>
      </w:r>
      <w:r w:rsidRPr="00B76610">
        <w:rPr>
          <w:rFonts w:ascii="MinionPro-Regular" w:hAnsi="MinionPro-Regular"/>
          <w:sz w:val="24"/>
          <w:szCs w:val="24"/>
        </w:rPr>
        <w:t>. Las personas con discapacidades severas, además, cuentan con especial protección.</w:t>
      </w:r>
      <w:r>
        <w:rPr>
          <w:rFonts w:ascii="MinionPro-Regular" w:hAnsi="MinionPro-Regular"/>
          <w:sz w:val="24"/>
          <w:szCs w:val="24"/>
        </w:rPr>
        <w:t xml:space="preserve"> </w:t>
      </w:r>
      <w:r w:rsidRPr="00B76610">
        <w:rPr>
          <w:rFonts w:ascii="MinionPro-Regular" w:hAnsi="MinionPro-Regular"/>
          <w:sz w:val="24"/>
          <w:szCs w:val="24"/>
        </w:rPr>
        <w:t xml:space="preserve">Sin embargo, </w:t>
      </w:r>
      <w:r>
        <w:rPr>
          <w:rFonts w:ascii="MinionPro-Regular" w:hAnsi="MinionPro-Regular"/>
          <w:sz w:val="24"/>
          <w:szCs w:val="24"/>
        </w:rPr>
        <w:t>numerosas</w:t>
      </w:r>
      <w:r w:rsidRPr="00B76610">
        <w:rPr>
          <w:rFonts w:ascii="MinionPro-Regular" w:hAnsi="MinionPro-Regular"/>
          <w:sz w:val="24"/>
          <w:szCs w:val="24"/>
        </w:rPr>
        <w:t xml:space="preserve"> empresas no cumplen con la cuota establecida y tienen que pagar</w:t>
      </w:r>
      <w:r>
        <w:rPr>
          <w:rFonts w:ascii="MinionPro-Regular" w:hAnsi="MinionPro-Regular"/>
          <w:sz w:val="24"/>
          <w:szCs w:val="24"/>
        </w:rPr>
        <w:t>, por lo tanto, las sanciones previstas</w:t>
      </w:r>
      <w:r w:rsidRPr="00B76610">
        <w:rPr>
          <w:rFonts w:ascii="MinionPro-Regular" w:hAnsi="MinionPro-Regular"/>
          <w:sz w:val="24"/>
          <w:szCs w:val="24"/>
        </w:rPr>
        <w:t xml:space="preserve">. </w:t>
      </w:r>
      <w:r>
        <w:rPr>
          <w:rFonts w:ascii="MinionPro-Regular" w:hAnsi="MinionPro-Regular"/>
          <w:sz w:val="24"/>
          <w:szCs w:val="24"/>
        </w:rPr>
        <w:t>Las oficinas de integración</w:t>
      </w:r>
      <w:r>
        <w:rPr>
          <w:rStyle w:val="Refdenotaalpie"/>
          <w:rFonts w:ascii="MinionPro-Regular" w:hAnsi="MinionPro-Regular"/>
          <w:sz w:val="24"/>
          <w:szCs w:val="24"/>
        </w:rPr>
        <w:footnoteReference w:id="28"/>
      </w:r>
      <w:r>
        <w:rPr>
          <w:rFonts w:ascii="MinionPro-Regular" w:hAnsi="MinionPro-Regular"/>
          <w:sz w:val="24"/>
          <w:szCs w:val="24"/>
        </w:rPr>
        <w:t xml:space="preserve"> son las encargadas de gestionar y recaudar las sanciones establecidas como consecuencia del no cumplimiento de la cuota. Estas oficinas, organizadas en el ámbito regional, son asimismo las encargadas de gestionar los asuntos relativos al empleo de las personas con discapacidad.</w:t>
      </w:r>
      <w:r w:rsidRPr="00EB080B">
        <w:rPr>
          <w:rFonts w:ascii="MinionPro-Regular" w:hAnsi="MinionPro-Regular"/>
          <w:sz w:val="24"/>
          <w:szCs w:val="24"/>
        </w:rPr>
        <w:t xml:space="preserve"> </w:t>
      </w:r>
      <w:r>
        <w:rPr>
          <w:rFonts w:ascii="MinionPro-Regular" w:hAnsi="MinionPro-Regular"/>
          <w:sz w:val="24"/>
          <w:szCs w:val="24"/>
        </w:rPr>
        <w:t>Es importante remarcar que en el caso alemán, el f</w:t>
      </w:r>
      <w:r w:rsidRPr="00B76610">
        <w:rPr>
          <w:rFonts w:ascii="MinionPro-Regular" w:hAnsi="MinionPro-Regular"/>
          <w:sz w:val="24"/>
          <w:szCs w:val="24"/>
        </w:rPr>
        <w:t xml:space="preserve">ondo de contribuciones compensatorias </w:t>
      </w:r>
      <w:r>
        <w:rPr>
          <w:rFonts w:ascii="MinionPro-Regular" w:hAnsi="MinionPro-Regular"/>
          <w:sz w:val="24"/>
          <w:szCs w:val="24"/>
        </w:rPr>
        <w:t xml:space="preserve">va destinado a la mejora de la inserción de las personas con discapacidad ya que </w:t>
      </w:r>
      <w:r w:rsidRPr="00B76610">
        <w:rPr>
          <w:rFonts w:ascii="MinionPro-Regular" w:hAnsi="MinionPro-Regular"/>
          <w:sz w:val="24"/>
          <w:szCs w:val="24"/>
        </w:rPr>
        <w:t>financia la creación y la adaptación de puestos de trabajo.</w:t>
      </w:r>
    </w:p>
    <w:p w:rsidR="00E2336B" w:rsidRDefault="00E2336B" w:rsidP="001B0EA4">
      <w:pPr>
        <w:autoSpaceDE w:val="0"/>
        <w:autoSpaceDN w:val="0"/>
        <w:spacing w:line="360" w:lineRule="auto"/>
        <w:jc w:val="both"/>
        <w:rPr>
          <w:rFonts w:ascii="MinionPro-Regular" w:hAnsi="MinionPro-Regular"/>
          <w:sz w:val="24"/>
          <w:szCs w:val="24"/>
        </w:rPr>
      </w:pPr>
    </w:p>
    <w:p w:rsidR="00E2336B" w:rsidRDefault="00E2336B" w:rsidP="001B0EA4">
      <w:pPr>
        <w:autoSpaceDE w:val="0"/>
        <w:autoSpaceDN w:val="0"/>
        <w:spacing w:line="360" w:lineRule="auto"/>
        <w:jc w:val="both"/>
        <w:rPr>
          <w:rFonts w:ascii="MinionPro-Regular" w:hAnsi="MinionPro-Regular"/>
          <w:sz w:val="24"/>
          <w:szCs w:val="24"/>
        </w:rPr>
      </w:pPr>
      <w:r w:rsidRPr="00B76610">
        <w:rPr>
          <w:rFonts w:ascii="MinionPro-Regular" w:hAnsi="MinionPro-Regular"/>
          <w:sz w:val="24"/>
          <w:szCs w:val="24"/>
        </w:rPr>
        <w:t>Finalmente, cabe destacar que las empresas que contratan personas con discapacidad graves pueden percibir subvencio</w:t>
      </w:r>
      <w:r>
        <w:rPr>
          <w:rFonts w:ascii="MinionPro-Regular" w:hAnsi="MinionPro-Regular"/>
          <w:sz w:val="24"/>
          <w:szCs w:val="24"/>
        </w:rPr>
        <w:t>nes de salario por parte de la o</w:t>
      </w:r>
      <w:r w:rsidRPr="00B76610">
        <w:rPr>
          <w:rFonts w:ascii="MinionPro-Regular" w:hAnsi="MinionPro-Regular"/>
          <w:sz w:val="24"/>
          <w:szCs w:val="24"/>
        </w:rPr>
        <w:t>fici</w:t>
      </w:r>
      <w:r>
        <w:rPr>
          <w:rFonts w:ascii="MinionPro-Regular" w:hAnsi="MinionPro-Regular"/>
          <w:sz w:val="24"/>
          <w:szCs w:val="24"/>
        </w:rPr>
        <w:t>na f</w:t>
      </w:r>
      <w:r w:rsidRPr="00B76610">
        <w:rPr>
          <w:rFonts w:ascii="MinionPro-Regular" w:hAnsi="MinionPro-Regular"/>
          <w:sz w:val="24"/>
          <w:szCs w:val="24"/>
        </w:rPr>
        <w:t>ederal</w:t>
      </w:r>
      <w:r>
        <w:rPr>
          <w:rFonts w:ascii="MinionPro-Regular" w:hAnsi="MinionPro-Regular"/>
          <w:sz w:val="24"/>
          <w:szCs w:val="24"/>
        </w:rPr>
        <w:t xml:space="preserve"> de empleo. </w:t>
      </w:r>
    </w:p>
    <w:p w:rsidR="00E2336B" w:rsidRDefault="00E2336B" w:rsidP="001B0EA4">
      <w:pPr>
        <w:autoSpaceDE w:val="0"/>
        <w:autoSpaceDN w:val="0"/>
        <w:spacing w:line="360" w:lineRule="auto"/>
        <w:jc w:val="both"/>
        <w:rPr>
          <w:rFonts w:ascii="MinionPro-Regular" w:hAnsi="MinionPro-Regular"/>
          <w:sz w:val="24"/>
          <w:szCs w:val="24"/>
        </w:rPr>
      </w:pPr>
    </w:p>
    <w:p w:rsidR="00E2336B" w:rsidRDefault="00E2336B" w:rsidP="001B0EA4">
      <w:pPr>
        <w:autoSpaceDE w:val="0"/>
        <w:autoSpaceDN w:val="0"/>
        <w:spacing w:line="360" w:lineRule="auto"/>
        <w:jc w:val="both"/>
        <w:rPr>
          <w:rFonts w:ascii="MinionPro-Regular" w:hAnsi="MinionPro-Regular"/>
          <w:sz w:val="24"/>
          <w:szCs w:val="24"/>
        </w:rPr>
      </w:pPr>
      <w:r>
        <w:rPr>
          <w:rFonts w:ascii="MinionPro-Regular" w:hAnsi="MinionPro-Regular"/>
          <w:sz w:val="24"/>
          <w:szCs w:val="24"/>
        </w:rPr>
        <w:t>Las oficinas de integración prestan su apoyo asimismo a las compañías en la implementación de programas de gestión de la integración</w:t>
      </w:r>
      <w:r>
        <w:rPr>
          <w:rStyle w:val="Refdenotaalpie"/>
          <w:rFonts w:ascii="MinionPro-Regular" w:hAnsi="MinionPro-Regular"/>
          <w:sz w:val="24"/>
          <w:szCs w:val="24"/>
        </w:rPr>
        <w:footnoteReference w:id="29"/>
      </w:r>
      <w:r>
        <w:rPr>
          <w:rFonts w:ascii="MinionPro-Regular" w:hAnsi="MinionPro-Regular"/>
          <w:sz w:val="24"/>
          <w:szCs w:val="24"/>
        </w:rPr>
        <w:t xml:space="preserve">. Los programas engloban a todos los empleados, con y sin discapacidad y tienen como propósito ayudar a superar la discapacidad y pretende abarcar el conjunto de las medidas necesarias para la reintegración en el empleo. </w:t>
      </w:r>
    </w:p>
    <w:p w:rsidR="00E2336B" w:rsidRDefault="00E2336B" w:rsidP="001B0EA4">
      <w:pPr>
        <w:autoSpaceDE w:val="0"/>
        <w:autoSpaceDN w:val="0"/>
        <w:spacing w:line="360" w:lineRule="auto"/>
        <w:jc w:val="both"/>
        <w:rPr>
          <w:rFonts w:ascii="MinionPro-Regular" w:hAnsi="MinionPro-Regular"/>
          <w:sz w:val="24"/>
          <w:szCs w:val="24"/>
        </w:rPr>
      </w:pPr>
    </w:p>
    <w:p w:rsidR="00E2336B" w:rsidRDefault="00E2336B" w:rsidP="001B0EA4">
      <w:pPr>
        <w:autoSpaceDE w:val="0"/>
        <w:autoSpaceDN w:val="0"/>
        <w:spacing w:line="360" w:lineRule="auto"/>
        <w:jc w:val="both"/>
        <w:rPr>
          <w:rFonts w:ascii="MinionPro-Regular" w:hAnsi="MinionPro-Regular"/>
          <w:sz w:val="24"/>
          <w:szCs w:val="24"/>
        </w:rPr>
      </w:pPr>
      <w:r>
        <w:rPr>
          <w:rFonts w:ascii="MinionPro-Regular" w:hAnsi="MinionPro-Regular"/>
          <w:sz w:val="24"/>
          <w:szCs w:val="24"/>
        </w:rPr>
        <w:t xml:space="preserve">En </w:t>
      </w:r>
      <w:r w:rsidR="00F23441" w:rsidRPr="00F23441">
        <w:rPr>
          <w:rFonts w:ascii="MinionPro-Regular" w:hAnsi="MinionPro-Regular"/>
          <w:b/>
          <w:sz w:val="24"/>
          <w:szCs w:val="24"/>
        </w:rPr>
        <w:t>Italia</w:t>
      </w:r>
      <w:r>
        <w:rPr>
          <w:rFonts w:ascii="MinionPro-Regular" w:hAnsi="MinionPro-Regular"/>
          <w:sz w:val="24"/>
          <w:szCs w:val="24"/>
        </w:rPr>
        <w:t xml:space="preserve"> la </w:t>
      </w:r>
      <w:r w:rsidRPr="00B76610">
        <w:rPr>
          <w:rFonts w:ascii="MinionPro-Regular" w:hAnsi="MinionPro-Regular"/>
          <w:sz w:val="24"/>
          <w:szCs w:val="24"/>
        </w:rPr>
        <w:t xml:space="preserve">ley de 1968 establecía un sistema de cuotas para los sectores privado y público. En 1992 se revisó el sistema, ampliándolo en favor de </w:t>
      </w:r>
      <w:r>
        <w:rPr>
          <w:rFonts w:ascii="MinionPro-Regular" w:hAnsi="MinionPro-Regular"/>
          <w:sz w:val="24"/>
          <w:szCs w:val="24"/>
        </w:rPr>
        <w:t>personas con discapacidad mental</w:t>
      </w:r>
      <w:r w:rsidRPr="00B76610">
        <w:rPr>
          <w:rFonts w:ascii="MinionPro-Regular" w:hAnsi="MinionPro-Regular"/>
          <w:sz w:val="24"/>
          <w:szCs w:val="24"/>
        </w:rPr>
        <w:t xml:space="preserve"> y estableciendo una cuota del 15%, que variaba en función del tamaño de la empresa y de la categoría de discapacidad.</w:t>
      </w:r>
      <w:r>
        <w:rPr>
          <w:rFonts w:ascii="MinionPro-Regular" w:hAnsi="MinionPro-Regular"/>
          <w:sz w:val="24"/>
          <w:szCs w:val="24"/>
        </w:rPr>
        <w:t xml:space="preserve"> Normas más recientes sobre el d</w:t>
      </w:r>
      <w:r w:rsidRPr="00B76610">
        <w:rPr>
          <w:rFonts w:ascii="MinionPro-Regular" w:hAnsi="MinionPro-Regular"/>
          <w:sz w:val="24"/>
          <w:szCs w:val="24"/>
        </w:rPr>
        <w:t xml:space="preserve">erecho a trabajar de las personas con discapacidad establecieron una cuota del 7% para </w:t>
      </w:r>
      <w:r>
        <w:rPr>
          <w:rFonts w:ascii="MinionPro-Regular" w:hAnsi="MinionPro-Regular"/>
          <w:sz w:val="24"/>
          <w:szCs w:val="24"/>
        </w:rPr>
        <w:t xml:space="preserve">organizaciones </w:t>
      </w:r>
      <w:r w:rsidRPr="00B76610">
        <w:rPr>
          <w:rFonts w:ascii="MinionPro-Regular" w:hAnsi="MinionPro-Regular"/>
          <w:sz w:val="24"/>
          <w:szCs w:val="24"/>
        </w:rPr>
        <w:t xml:space="preserve">con 50 o más trabajadores, pero con una escala móvil de una plaza por cada 15-35 empleados y dos plazas por cada 36-50 empleados. </w:t>
      </w:r>
      <w:r>
        <w:rPr>
          <w:rFonts w:ascii="MinionPro-Regular" w:hAnsi="MinionPro-Regular"/>
          <w:sz w:val="24"/>
          <w:szCs w:val="24"/>
        </w:rPr>
        <w:t xml:space="preserve">Quedan exentas del cumplimiento de la cuota aquellas compañías en dificultades. Las empresas que no cumplen con lo establecido deben pagar sanciones que van destinadas a fondos regionales que, al igual que ocurre en Alemania, posteriormente son utilizados para la promoción del empleo de las personas con discapacidad. </w:t>
      </w:r>
      <w:r w:rsidRPr="00B76610">
        <w:rPr>
          <w:rFonts w:ascii="MinionPro-Regular" w:hAnsi="MinionPro-Regular"/>
          <w:sz w:val="24"/>
          <w:szCs w:val="24"/>
        </w:rPr>
        <w:t xml:space="preserve">Los trabajadores con discapacidad contratados con contratos temporales por un período de menos de 9 meses no </w:t>
      </w:r>
      <w:r>
        <w:rPr>
          <w:rFonts w:ascii="MinionPro-Regular" w:hAnsi="MinionPro-Regular"/>
          <w:sz w:val="24"/>
          <w:szCs w:val="24"/>
        </w:rPr>
        <w:t xml:space="preserve">computan a efectos de cuota. </w:t>
      </w:r>
    </w:p>
    <w:p w:rsidR="00E2336B" w:rsidRPr="00B76610" w:rsidRDefault="00E2336B" w:rsidP="001B0EA4">
      <w:pPr>
        <w:autoSpaceDE w:val="0"/>
        <w:autoSpaceDN w:val="0"/>
        <w:spacing w:line="360" w:lineRule="auto"/>
        <w:jc w:val="both"/>
        <w:rPr>
          <w:rFonts w:ascii="MinionPro-Regular" w:hAnsi="MinionPro-Regular"/>
          <w:sz w:val="24"/>
          <w:szCs w:val="24"/>
        </w:rPr>
      </w:pPr>
    </w:p>
    <w:p w:rsidR="00E2336B" w:rsidRDefault="00E2336B" w:rsidP="001B0EA4">
      <w:pPr>
        <w:autoSpaceDE w:val="0"/>
        <w:autoSpaceDN w:val="0"/>
        <w:spacing w:line="360" w:lineRule="auto"/>
        <w:jc w:val="both"/>
        <w:rPr>
          <w:rFonts w:ascii="MinionPro-Regular" w:hAnsi="MinionPro-Regular"/>
          <w:sz w:val="24"/>
          <w:szCs w:val="24"/>
        </w:rPr>
      </w:pPr>
      <w:r w:rsidRPr="00B76610">
        <w:rPr>
          <w:rFonts w:ascii="MinionPro-Regular" w:hAnsi="MinionPro-Regular"/>
          <w:sz w:val="24"/>
          <w:szCs w:val="24"/>
        </w:rPr>
        <w:t>Las personas con discapacidad sensorial visual, que cuentan con una larga tradición en la política de empleo italiana, reciben una consideración especial. Se ven favorecidos con disposiciones legales especiales de empleo reservado.</w:t>
      </w:r>
    </w:p>
    <w:p w:rsidR="00E2336B" w:rsidRPr="00B76610" w:rsidRDefault="00E2336B" w:rsidP="001B0EA4">
      <w:pPr>
        <w:autoSpaceDE w:val="0"/>
        <w:autoSpaceDN w:val="0"/>
        <w:spacing w:line="360" w:lineRule="auto"/>
        <w:jc w:val="both"/>
        <w:rPr>
          <w:rFonts w:ascii="MinionPro-Regular" w:hAnsi="MinionPro-Regular"/>
          <w:sz w:val="24"/>
          <w:szCs w:val="24"/>
        </w:rPr>
      </w:pPr>
    </w:p>
    <w:p w:rsidR="00E2336B" w:rsidRDefault="00E2336B" w:rsidP="001B0EA4">
      <w:pPr>
        <w:autoSpaceDE w:val="0"/>
        <w:autoSpaceDN w:val="0"/>
        <w:spacing w:line="360" w:lineRule="auto"/>
        <w:jc w:val="both"/>
        <w:rPr>
          <w:rFonts w:ascii="MinionPro-Regular" w:hAnsi="MinionPro-Regular"/>
          <w:sz w:val="24"/>
          <w:szCs w:val="24"/>
        </w:rPr>
      </w:pPr>
      <w:r>
        <w:rPr>
          <w:rFonts w:ascii="MinionPro-Regular" w:hAnsi="MinionPro-Regular"/>
          <w:sz w:val="24"/>
          <w:szCs w:val="24"/>
        </w:rPr>
        <w:t>Con respecto a las ayudas económicas, lo</w:t>
      </w:r>
      <w:r w:rsidRPr="00B76610">
        <w:rPr>
          <w:rFonts w:ascii="MinionPro-Regular" w:hAnsi="MinionPro-Regular"/>
          <w:sz w:val="24"/>
          <w:szCs w:val="24"/>
        </w:rPr>
        <w:t xml:space="preserve">s servicios regionales </w:t>
      </w:r>
      <w:r>
        <w:rPr>
          <w:rFonts w:ascii="MinionPro-Regular" w:hAnsi="MinionPro-Regular"/>
          <w:sz w:val="24"/>
          <w:szCs w:val="24"/>
        </w:rPr>
        <w:t xml:space="preserve">son quienes otorgan las </w:t>
      </w:r>
      <w:r w:rsidRPr="00B76610">
        <w:rPr>
          <w:rFonts w:ascii="MinionPro-Regular" w:hAnsi="MinionPro-Regular"/>
          <w:sz w:val="24"/>
          <w:szCs w:val="24"/>
        </w:rPr>
        <w:t>ayudas a las empresas. No existe ninguna medida compensatoria a nivel nacional. La ley de 1992 da a las regiones competencia para financiar las ayudas económicas, que comprenden subvenciones de salario (hasta el 70%) y ayudas a la adaptación del puesto de trabajo, o incluso contribuciones para financiar el transporte.</w:t>
      </w:r>
      <w:r>
        <w:rPr>
          <w:rFonts w:ascii="MinionPro-Regular" w:hAnsi="MinionPro-Regular"/>
          <w:sz w:val="24"/>
          <w:szCs w:val="24"/>
        </w:rPr>
        <w:t xml:space="preserve"> </w:t>
      </w:r>
    </w:p>
    <w:p w:rsidR="00E2336B" w:rsidRDefault="00E2336B" w:rsidP="001B0EA4">
      <w:pPr>
        <w:autoSpaceDE w:val="0"/>
        <w:autoSpaceDN w:val="0"/>
        <w:spacing w:line="360" w:lineRule="auto"/>
        <w:jc w:val="both"/>
        <w:rPr>
          <w:rFonts w:ascii="MinionPro-Regular" w:hAnsi="MinionPro-Regular"/>
          <w:sz w:val="24"/>
          <w:szCs w:val="24"/>
        </w:rPr>
      </w:pPr>
    </w:p>
    <w:p w:rsidR="00E2336B" w:rsidRDefault="00F23441" w:rsidP="001B0EA4">
      <w:pPr>
        <w:autoSpaceDE w:val="0"/>
        <w:autoSpaceDN w:val="0"/>
        <w:spacing w:line="360" w:lineRule="auto"/>
        <w:jc w:val="both"/>
        <w:rPr>
          <w:rFonts w:ascii="MinionPro-Regular" w:hAnsi="MinionPro-Regular"/>
          <w:sz w:val="24"/>
          <w:szCs w:val="24"/>
        </w:rPr>
      </w:pPr>
      <w:r w:rsidRPr="00F23441">
        <w:rPr>
          <w:rFonts w:ascii="MinionPro-Regular" w:hAnsi="MinionPro-Regular"/>
          <w:b/>
          <w:sz w:val="24"/>
          <w:szCs w:val="24"/>
        </w:rPr>
        <w:t>Suecia</w:t>
      </w:r>
      <w:r w:rsidR="00E2336B">
        <w:rPr>
          <w:rFonts w:ascii="MinionPro-Regular" w:hAnsi="MinionPro-Regular"/>
          <w:sz w:val="24"/>
          <w:szCs w:val="24"/>
        </w:rPr>
        <w:t>, al igual que el Reino Unido, tampoco ha establecido una cuota de reserva para las personas con discapacidad.  Cabe destacar la existencia de la figura del Defensor de la Discapacidad</w:t>
      </w:r>
      <w:r w:rsidR="00E2336B">
        <w:rPr>
          <w:rStyle w:val="Refdenotaalpie"/>
          <w:rFonts w:ascii="MinionPro-Regular" w:hAnsi="MinionPro-Regular"/>
          <w:sz w:val="24"/>
          <w:szCs w:val="24"/>
        </w:rPr>
        <w:footnoteReference w:id="30"/>
      </w:r>
      <w:r w:rsidR="00E2336B">
        <w:rPr>
          <w:rFonts w:ascii="MinionPro-Regular" w:hAnsi="MinionPro-Regular"/>
          <w:sz w:val="24"/>
          <w:szCs w:val="24"/>
        </w:rPr>
        <w:t>, que tiene como misión defender los intereses de este colectivo.</w:t>
      </w:r>
      <w:r w:rsidR="00E2336B" w:rsidRPr="00B76610">
        <w:rPr>
          <w:rFonts w:ascii="MinionPro-Regular" w:hAnsi="MinionPro-Regular"/>
          <w:sz w:val="24"/>
          <w:szCs w:val="24"/>
        </w:rPr>
        <w:t xml:space="preserve"> </w:t>
      </w:r>
      <w:r w:rsidR="00E2336B">
        <w:rPr>
          <w:rFonts w:ascii="MinionPro-Regular" w:hAnsi="MinionPro-Regular"/>
          <w:sz w:val="24"/>
          <w:szCs w:val="24"/>
        </w:rPr>
        <w:t xml:space="preserve">Los servicios públicos de empleo del país gestionan y financian las ayudas que reciben los empleadores que contratan a personas con discapacidad. Estas ayudas aplican también a los empleados con discapacidad sobrevenida. En principio, las ayudas, que cubren un porcentaje del salario fijo, tienen una duración máxima de cuatro años.  </w:t>
      </w:r>
      <w:r w:rsidR="00E2336B" w:rsidRPr="00B76610">
        <w:rPr>
          <w:rFonts w:ascii="MinionPro-Regular" w:hAnsi="MinionPro-Regular"/>
          <w:sz w:val="24"/>
          <w:szCs w:val="24"/>
        </w:rPr>
        <w:t xml:space="preserve">Las administraciones públicas reciben subsidios específicos para el empleo de </w:t>
      </w:r>
      <w:r w:rsidR="00E2336B">
        <w:rPr>
          <w:rFonts w:ascii="MinionPro-Regular" w:hAnsi="MinionPro-Regular"/>
          <w:sz w:val="24"/>
          <w:szCs w:val="24"/>
        </w:rPr>
        <w:t>colectivos en riesgo de exclusión</w:t>
      </w:r>
      <w:r w:rsidR="00E2336B" w:rsidRPr="00B76610">
        <w:rPr>
          <w:rFonts w:ascii="MinionPro-Regular" w:hAnsi="MinionPro-Regular"/>
          <w:sz w:val="24"/>
          <w:szCs w:val="24"/>
        </w:rPr>
        <w:t>, llegando a cubrir hasta el 75% del salario. Se otorgan también otras ayudas económicas para la compra de aparatos de asistencia técnica, la adaptación de locales, entradas y comunicaciones</w:t>
      </w:r>
      <w:r w:rsidR="00E2336B">
        <w:rPr>
          <w:rFonts w:ascii="MinionPro-Regular" w:hAnsi="MinionPro-Regular"/>
          <w:sz w:val="24"/>
          <w:szCs w:val="24"/>
        </w:rPr>
        <w:t xml:space="preserve"> o</w:t>
      </w:r>
      <w:r w:rsidR="00E2336B" w:rsidRPr="00B76610">
        <w:rPr>
          <w:rFonts w:ascii="MinionPro-Regular" w:hAnsi="MinionPro-Regular"/>
          <w:sz w:val="24"/>
          <w:szCs w:val="24"/>
        </w:rPr>
        <w:t xml:space="preserve"> un ayudan</w:t>
      </w:r>
      <w:r w:rsidR="00E2336B">
        <w:rPr>
          <w:rFonts w:ascii="MinionPro-Regular" w:hAnsi="MinionPro-Regular"/>
          <w:sz w:val="24"/>
          <w:szCs w:val="24"/>
        </w:rPr>
        <w:t>te personal</w:t>
      </w:r>
      <w:r w:rsidR="00E2336B" w:rsidRPr="00B76610">
        <w:rPr>
          <w:rFonts w:ascii="MinionPro-Regular" w:hAnsi="MinionPro-Regular"/>
          <w:sz w:val="24"/>
          <w:szCs w:val="24"/>
        </w:rPr>
        <w:t>.  Asimismo, existen también subvenciones para el autoempleo.</w:t>
      </w:r>
      <w:r w:rsidR="00E2336B">
        <w:rPr>
          <w:rFonts w:ascii="MinionPro-Regular" w:hAnsi="MinionPro-Regular"/>
          <w:sz w:val="24"/>
          <w:szCs w:val="24"/>
        </w:rPr>
        <w:t xml:space="preserve"> En el caso de los empleados que necesitan asistencia, la normativa sueca ofrece ayudas que cubren tanto la designación de un empleado de la propia compañía para que preste asistencia a la persona con discapacidad como la contratación de un nuevo empleado en aquellos casos en los que la persona con discapacidad precisa de ayuda en el ámbito personal y profesional. </w:t>
      </w:r>
    </w:p>
    <w:p w:rsidR="00E2336B" w:rsidRDefault="00E2336B" w:rsidP="001B0EA4">
      <w:pPr>
        <w:autoSpaceDE w:val="0"/>
        <w:autoSpaceDN w:val="0"/>
        <w:spacing w:line="360" w:lineRule="auto"/>
        <w:jc w:val="both"/>
        <w:rPr>
          <w:lang w:val="es-ES_tradnl"/>
        </w:rPr>
      </w:pPr>
    </w:p>
    <w:p w:rsidR="00E2336B" w:rsidRPr="00B76610" w:rsidRDefault="00E2336B" w:rsidP="001B0EA4">
      <w:pPr>
        <w:autoSpaceDE w:val="0"/>
        <w:autoSpaceDN w:val="0"/>
        <w:spacing w:line="360" w:lineRule="auto"/>
        <w:jc w:val="both"/>
        <w:rPr>
          <w:rFonts w:ascii="MinionPro-Regular" w:hAnsi="MinionPro-Regular"/>
          <w:sz w:val="24"/>
          <w:szCs w:val="24"/>
        </w:rPr>
      </w:pPr>
      <w:r w:rsidRPr="00B76610">
        <w:rPr>
          <w:rFonts w:ascii="MinionPro-Regular" w:hAnsi="MinionPro-Regular"/>
          <w:sz w:val="24"/>
          <w:szCs w:val="24"/>
        </w:rPr>
        <w:lastRenderedPageBreak/>
        <w:t xml:space="preserve">Además, </w:t>
      </w:r>
      <w:r>
        <w:rPr>
          <w:rFonts w:ascii="MinionPro-Regular" w:hAnsi="MinionPro-Regular"/>
          <w:sz w:val="24"/>
          <w:szCs w:val="24"/>
        </w:rPr>
        <w:t>la “Working Environment</w:t>
      </w:r>
      <w:r w:rsidRPr="00B76610">
        <w:rPr>
          <w:rFonts w:ascii="MinionPro-Regular" w:hAnsi="MinionPro-Regular"/>
          <w:sz w:val="24"/>
          <w:szCs w:val="24"/>
        </w:rPr>
        <w:t xml:space="preserve"> </w:t>
      </w:r>
      <w:r>
        <w:rPr>
          <w:rFonts w:ascii="MinionPro-Regular" w:hAnsi="MinionPro-Regular"/>
          <w:sz w:val="24"/>
          <w:szCs w:val="24"/>
        </w:rPr>
        <w:t>Act”</w:t>
      </w:r>
      <w:r w:rsidRPr="00B76610">
        <w:rPr>
          <w:rFonts w:ascii="MinionPro-Regular" w:hAnsi="MinionPro-Regular"/>
          <w:sz w:val="24"/>
          <w:szCs w:val="24"/>
        </w:rPr>
        <w:t>, obliga a las empresas a adaptar las condiciones de trabajo a las necesidades de las personas. La Ley de Fomento del Empleo</w:t>
      </w:r>
      <w:r>
        <w:rPr>
          <w:rStyle w:val="Refdenotaalpie"/>
          <w:rFonts w:ascii="MinionPro-Regular" w:hAnsi="MinionPro-Regular"/>
          <w:sz w:val="24"/>
          <w:szCs w:val="24"/>
        </w:rPr>
        <w:footnoteReference w:id="31"/>
      </w:r>
      <w:r w:rsidRPr="00B76610">
        <w:rPr>
          <w:rFonts w:ascii="MinionPro-Regular" w:hAnsi="MinionPro-Regular"/>
          <w:sz w:val="24"/>
          <w:szCs w:val="24"/>
        </w:rPr>
        <w:t>, de 1974, establece un sistema de control obligando a los empresarios a proporcionar toda la información relativa a la contratación de</w:t>
      </w:r>
      <w:r>
        <w:rPr>
          <w:rFonts w:ascii="MinionPro-Regular" w:hAnsi="MinionPro-Regular"/>
          <w:sz w:val="24"/>
          <w:szCs w:val="24"/>
        </w:rPr>
        <w:t xml:space="preserve"> trabajadores con discapacidad </w:t>
      </w:r>
      <w:r w:rsidRPr="00B76610">
        <w:rPr>
          <w:rFonts w:ascii="MinionPro-Regular" w:hAnsi="MinionPro-Regular"/>
          <w:sz w:val="24"/>
          <w:szCs w:val="24"/>
        </w:rPr>
        <w:t xml:space="preserve"> que l</w:t>
      </w:r>
      <w:r>
        <w:rPr>
          <w:rFonts w:ascii="MinionPro-Regular" w:hAnsi="MinionPro-Regular"/>
          <w:sz w:val="24"/>
          <w:szCs w:val="24"/>
        </w:rPr>
        <w:t>a a</w:t>
      </w:r>
      <w:r w:rsidRPr="00B76610">
        <w:rPr>
          <w:rFonts w:ascii="MinionPro-Regular" w:hAnsi="MinionPro-Regular"/>
          <w:sz w:val="24"/>
          <w:szCs w:val="24"/>
        </w:rPr>
        <w:t xml:space="preserve">gencia nacional pueda solicitarles. </w:t>
      </w:r>
    </w:p>
    <w:p w:rsidR="00E2336B" w:rsidRPr="007E120F" w:rsidRDefault="00E2336B" w:rsidP="0007541A">
      <w:pPr>
        <w:pStyle w:val="Ttulo2"/>
        <w:numPr>
          <w:ilvl w:val="1"/>
          <w:numId w:val="3"/>
        </w:numPr>
        <w:ind w:left="0"/>
        <w:rPr>
          <w:rFonts w:ascii="MinionPro-Regular" w:hAnsi="MinionPro-Regular"/>
          <w:lang w:val="es-ES_tradnl"/>
        </w:rPr>
      </w:pPr>
      <w:bookmarkStart w:id="281" w:name="_Toc344964078"/>
      <w:bookmarkStart w:id="282" w:name="_Toc352773576"/>
      <w:r w:rsidRPr="007E120F">
        <w:rPr>
          <w:rFonts w:ascii="MinionPro-Regular" w:hAnsi="MinionPro-Regular"/>
          <w:lang w:val="es-ES_tradnl"/>
        </w:rPr>
        <w:t>El empleo protegido</w:t>
      </w:r>
      <w:bookmarkEnd w:id="281"/>
      <w:bookmarkEnd w:id="282"/>
      <w:r w:rsidRPr="007E120F">
        <w:rPr>
          <w:rFonts w:ascii="MinionPro-Regular" w:hAnsi="MinionPro-Regular"/>
          <w:lang w:val="es-ES_tradnl"/>
        </w:rPr>
        <w:t xml:space="preserve"> </w:t>
      </w:r>
    </w:p>
    <w:p w:rsidR="00E2336B" w:rsidRDefault="00E2336B" w:rsidP="001B0EA4">
      <w:pPr>
        <w:autoSpaceDE w:val="0"/>
        <w:autoSpaceDN w:val="0"/>
        <w:spacing w:line="360" w:lineRule="auto"/>
        <w:jc w:val="both"/>
        <w:rPr>
          <w:rFonts w:ascii="MinionPro-Regular" w:hAnsi="MinionPro-Regular"/>
          <w:sz w:val="24"/>
          <w:szCs w:val="24"/>
          <w:lang w:val="es-ES_tradnl"/>
        </w:rPr>
      </w:pPr>
    </w:p>
    <w:p w:rsidR="00E2336B" w:rsidRDefault="00E2336B" w:rsidP="001B0EA4">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El empleo protegido está estructurado, organizado y financiado de muy diferentes formas en cada uno de los países de la Unión Europea por lo que su comparación no resulta sencilla.</w:t>
      </w:r>
    </w:p>
    <w:p w:rsidR="00E2336B" w:rsidRDefault="00E2336B" w:rsidP="001B0EA4">
      <w:pPr>
        <w:autoSpaceDE w:val="0"/>
        <w:autoSpaceDN w:val="0"/>
        <w:spacing w:line="360" w:lineRule="auto"/>
        <w:jc w:val="both"/>
        <w:rPr>
          <w:rFonts w:ascii="MinionPro-Regular" w:hAnsi="MinionPro-Regular"/>
          <w:sz w:val="24"/>
          <w:szCs w:val="24"/>
          <w:lang w:val="es-ES_tradnl"/>
        </w:rPr>
      </w:pPr>
    </w:p>
    <w:p w:rsidR="00E2336B" w:rsidRDefault="00E2336B" w:rsidP="001B0EA4">
      <w:pPr>
        <w:autoSpaceDE w:val="0"/>
        <w:autoSpaceDN w:val="0"/>
        <w:spacing w:line="360" w:lineRule="auto"/>
        <w:jc w:val="both"/>
        <w:rPr>
          <w:rFonts w:ascii="MinionPro-Regular" w:hAnsi="MinionPro-Regular"/>
          <w:sz w:val="24"/>
          <w:szCs w:val="24"/>
          <w:lang w:val="es-ES_tradnl"/>
        </w:rPr>
      </w:pPr>
      <w:r w:rsidRPr="003778E9">
        <w:rPr>
          <w:rFonts w:ascii="MinionPro-Regular" w:hAnsi="MinionPro-Regular"/>
          <w:sz w:val="24"/>
          <w:szCs w:val="24"/>
          <w:lang w:val="es-ES_tradnl"/>
        </w:rPr>
        <w:t>En el empleo protegido de</w:t>
      </w:r>
      <w:r>
        <w:rPr>
          <w:rFonts w:ascii="MinionPro-Regular" w:hAnsi="MinionPro-Regular"/>
          <w:sz w:val="24"/>
          <w:szCs w:val="24"/>
          <w:lang w:val="es-ES_tradnl"/>
        </w:rPr>
        <w:t>l</w:t>
      </w:r>
      <w:r w:rsidRPr="003778E9">
        <w:rPr>
          <w:rFonts w:ascii="MinionPro-Regular" w:hAnsi="MinionPro-Regular"/>
          <w:sz w:val="24"/>
          <w:szCs w:val="24"/>
          <w:lang w:val="es-ES_tradnl"/>
        </w:rPr>
        <w:t xml:space="preserve"> </w:t>
      </w:r>
      <w:r w:rsidR="00F23441" w:rsidRPr="00F23441">
        <w:rPr>
          <w:rFonts w:ascii="MinionPro-Regular" w:hAnsi="MinionPro-Regular"/>
          <w:b/>
          <w:sz w:val="24"/>
          <w:szCs w:val="24"/>
          <w:lang w:val="es-ES_tradnl"/>
        </w:rPr>
        <w:t>Reino Unido</w:t>
      </w:r>
      <w:r w:rsidRPr="003778E9">
        <w:rPr>
          <w:rFonts w:ascii="MinionPro-Regular" w:hAnsi="MinionPro-Regular"/>
          <w:sz w:val="24"/>
          <w:szCs w:val="24"/>
          <w:lang w:val="es-ES_tradnl"/>
        </w:rPr>
        <w:t>, al menos el 50% de las personas con discapacidad deben presentar un  grado de discapacidad de entre un 30% y un 80%.</w:t>
      </w:r>
      <w:r>
        <w:rPr>
          <w:rFonts w:ascii="MinionPro-Regular" w:hAnsi="MinionPro-Regular"/>
          <w:sz w:val="24"/>
          <w:szCs w:val="24"/>
          <w:lang w:val="es-ES_tradnl"/>
        </w:rPr>
        <w:t xml:space="preserve"> </w:t>
      </w:r>
      <w:r w:rsidRPr="003778E9">
        <w:rPr>
          <w:rFonts w:ascii="MinionPro-Regular" w:hAnsi="MinionPro-Regular"/>
          <w:sz w:val="24"/>
          <w:szCs w:val="24"/>
          <w:lang w:val="es-ES_tradnl"/>
        </w:rPr>
        <w:t>A continuación se explican resumidamente los diferentes modelos de empleo protegido presentes en el país</w:t>
      </w:r>
      <w:r>
        <w:rPr>
          <w:rFonts w:ascii="MinionPro-Regular" w:hAnsi="MinionPro-Regular"/>
          <w:sz w:val="24"/>
          <w:szCs w:val="24"/>
          <w:lang w:val="es-ES_tradnl"/>
        </w:rPr>
        <w:t>. C</w:t>
      </w:r>
      <w:r w:rsidRPr="00E9206D">
        <w:rPr>
          <w:rFonts w:ascii="MinionPro-Regular" w:hAnsi="MinionPro-Regular"/>
          <w:sz w:val="24"/>
          <w:szCs w:val="24"/>
          <w:lang w:val="es-ES_tradnl"/>
        </w:rPr>
        <w:t xml:space="preserve">entros protegidos </w:t>
      </w:r>
      <w:r>
        <w:rPr>
          <w:rFonts w:ascii="MinionPro-Regular" w:hAnsi="MinionPro-Regular"/>
          <w:sz w:val="24"/>
          <w:szCs w:val="24"/>
          <w:lang w:val="es-ES_tradnl"/>
        </w:rPr>
        <w:t>son</w:t>
      </w:r>
      <w:r w:rsidRPr="00E9206D">
        <w:rPr>
          <w:rFonts w:ascii="MinionPro-Regular" w:hAnsi="MinionPro-Regular"/>
          <w:sz w:val="24"/>
          <w:szCs w:val="24"/>
          <w:lang w:val="es-ES_tradnl"/>
        </w:rPr>
        <w:t xml:space="preserve"> aquellas empresas sin ánimo de lucro, en las que al menos el 50% de sus trabajadores tienen discapacidades graves, y perciben un salario similar o muy parecido a los que percibe un trabajador sin discapacidad realizando una tarea similar. Ésta es la fórmula de empleo que más se asemeja al modelo de centro especial de empleo español</w:t>
      </w:r>
      <w:r>
        <w:rPr>
          <w:rFonts w:ascii="MinionPro-Regular" w:hAnsi="MinionPro-Regular"/>
          <w:sz w:val="24"/>
          <w:szCs w:val="24"/>
          <w:lang w:val="es-ES_tradnl"/>
        </w:rPr>
        <w:t>, aunque el impacto del modelo, en términos de generación de empleo es mucho menor que el del español.</w:t>
      </w:r>
      <w:r w:rsidRPr="00E9206D">
        <w:rPr>
          <w:rFonts w:ascii="MinionPro-Regular" w:hAnsi="MinionPro-Regular"/>
          <w:sz w:val="24"/>
          <w:szCs w:val="24"/>
          <w:lang w:val="es-ES_tradnl"/>
        </w:rPr>
        <w:t xml:space="preserve"> </w:t>
      </w:r>
      <w:r>
        <w:rPr>
          <w:rFonts w:ascii="MinionPro-Regular" w:hAnsi="MinionPro-Regular"/>
          <w:sz w:val="24"/>
          <w:szCs w:val="24"/>
          <w:lang w:val="es-ES_tradnl"/>
        </w:rPr>
        <w:t xml:space="preserve">El caso más destacado es el de Remploy, </w:t>
      </w:r>
      <w:r w:rsidRPr="0081432A">
        <w:rPr>
          <w:rFonts w:ascii="MinionPro-Regular" w:hAnsi="MinionPro-Regular"/>
          <w:sz w:val="24"/>
          <w:szCs w:val="24"/>
          <w:lang w:val="es-ES_tradnl"/>
        </w:rPr>
        <w:t>un organismo público creado en 1945 que tiene como misión "aumentar de forma significativa las oportunidades de las personas con discapacidad y de aquellas que experimentan barreras complejas ante el trabajo."</w:t>
      </w:r>
      <w:r w:rsidRPr="0081432A">
        <w:rPr>
          <w:rFonts w:ascii="MinionPro-Regular" w:hAnsi="MinionPro-Regular"/>
          <w:sz w:val="24"/>
          <w:szCs w:val="24"/>
          <w:vertAlign w:val="superscript"/>
          <w:lang w:val="es-ES_tradnl"/>
        </w:rPr>
        <w:footnoteReference w:id="32"/>
      </w:r>
      <w:r w:rsidRPr="0081432A">
        <w:rPr>
          <w:rFonts w:ascii="MinionPro-Regular" w:hAnsi="MinionPro-Regular"/>
          <w:sz w:val="24"/>
          <w:szCs w:val="24"/>
          <w:lang w:val="es-ES_tradnl"/>
        </w:rPr>
        <w:t xml:space="preserve"> </w:t>
      </w:r>
    </w:p>
    <w:p w:rsidR="00E2336B" w:rsidRDefault="00E2336B" w:rsidP="001B0EA4">
      <w:pPr>
        <w:autoSpaceDE w:val="0"/>
        <w:autoSpaceDN w:val="0"/>
        <w:spacing w:line="360" w:lineRule="auto"/>
        <w:jc w:val="both"/>
        <w:rPr>
          <w:rFonts w:ascii="MinionPro-Regular" w:hAnsi="MinionPro-Regular"/>
          <w:sz w:val="24"/>
          <w:szCs w:val="24"/>
          <w:lang w:val="es-ES_tradnl"/>
        </w:rPr>
      </w:pPr>
    </w:p>
    <w:p w:rsidR="00E2336B" w:rsidRDefault="00E2336B" w:rsidP="001B0EA4">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Remploy tiene dos</w:t>
      </w:r>
      <w:r w:rsidRPr="0081432A">
        <w:rPr>
          <w:rFonts w:ascii="MinionPro-Regular" w:hAnsi="MinionPro-Regular"/>
          <w:sz w:val="24"/>
          <w:szCs w:val="24"/>
          <w:lang w:val="es-ES_tradnl"/>
        </w:rPr>
        <w:t xml:space="preserve"> </w:t>
      </w:r>
      <w:r>
        <w:rPr>
          <w:rFonts w:ascii="MinionPro-Regular" w:hAnsi="MinionPro-Regular"/>
          <w:sz w:val="24"/>
          <w:szCs w:val="24"/>
          <w:lang w:val="es-ES_tradnl"/>
        </w:rPr>
        <w:t>unidades</w:t>
      </w:r>
      <w:r w:rsidRPr="0081432A">
        <w:rPr>
          <w:rFonts w:ascii="MinionPro-Regular" w:hAnsi="MinionPro-Regular"/>
          <w:sz w:val="24"/>
          <w:szCs w:val="24"/>
          <w:lang w:val="es-ES_tradnl"/>
        </w:rPr>
        <w:t xml:space="preserve"> distintas enfocadas a dar empleo a las personas con discapacidad. </w:t>
      </w:r>
      <w:r>
        <w:rPr>
          <w:rFonts w:ascii="MinionPro-Regular" w:hAnsi="MinionPro-Regular"/>
          <w:sz w:val="24"/>
          <w:szCs w:val="24"/>
          <w:lang w:val="es-ES_tradnl"/>
        </w:rPr>
        <w:t>“</w:t>
      </w:r>
      <w:r w:rsidRPr="0081432A">
        <w:rPr>
          <w:rFonts w:ascii="MinionPro-Regular" w:hAnsi="MinionPro-Regular"/>
          <w:sz w:val="24"/>
          <w:szCs w:val="24"/>
          <w:lang w:val="es-ES_tradnl"/>
        </w:rPr>
        <w:t>Enterprise Businesses</w:t>
      </w:r>
      <w:r>
        <w:rPr>
          <w:rFonts w:ascii="MinionPro-Regular" w:hAnsi="MinionPro-Regular"/>
          <w:sz w:val="24"/>
          <w:szCs w:val="24"/>
          <w:lang w:val="es-ES_tradnl"/>
        </w:rPr>
        <w:t>”</w:t>
      </w:r>
      <w:r w:rsidRPr="0081432A">
        <w:rPr>
          <w:rFonts w:ascii="MinionPro-Regular" w:hAnsi="MinionPro-Regular"/>
          <w:sz w:val="24"/>
          <w:szCs w:val="24"/>
          <w:lang w:val="es-ES_tradnl"/>
        </w:rPr>
        <w:t xml:space="preserve">, es la rama de negocio </w:t>
      </w:r>
      <w:r>
        <w:rPr>
          <w:rFonts w:ascii="MinionPro-Regular" w:hAnsi="MinionPro-Regular"/>
          <w:sz w:val="24"/>
          <w:szCs w:val="24"/>
          <w:lang w:val="es-ES_tradnl"/>
        </w:rPr>
        <w:t>que proporciona</w:t>
      </w:r>
      <w:r w:rsidRPr="0081432A">
        <w:rPr>
          <w:rFonts w:ascii="MinionPro-Regular" w:hAnsi="MinionPro-Regular"/>
          <w:sz w:val="24"/>
          <w:szCs w:val="24"/>
          <w:lang w:val="es-ES_tradnl"/>
        </w:rPr>
        <w:t xml:space="preserve"> empleo directo a las personas con discapacidad en su red de c</w:t>
      </w:r>
      <w:r>
        <w:rPr>
          <w:rFonts w:ascii="MinionPro-Regular" w:hAnsi="MinionPro-Regular"/>
          <w:sz w:val="24"/>
          <w:szCs w:val="24"/>
          <w:lang w:val="es-ES_tradnl"/>
        </w:rPr>
        <w:t xml:space="preserve">entros. Actualmente opera en doce </w:t>
      </w:r>
      <w:r w:rsidRPr="0081432A">
        <w:rPr>
          <w:rFonts w:ascii="MinionPro-Regular" w:hAnsi="MinionPro-Regular"/>
          <w:sz w:val="24"/>
          <w:szCs w:val="24"/>
          <w:lang w:val="es-ES_tradnl"/>
        </w:rPr>
        <w:t xml:space="preserve">sectores distintos </w:t>
      </w:r>
      <w:r>
        <w:rPr>
          <w:rFonts w:ascii="MinionPro-Regular" w:hAnsi="MinionPro-Regular"/>
          <w:sz w:val="24"/>
          <w:szCs w:val="24"/>
          <w:lang w:val="es-ES_tradnl"/>
        </w:rPr>
        <w:t>entre los que se encuentran el</w:t>
      </w:r>
      <w:r w:rsidRPr="0081432A">
        <w:rPr>
          <w:rFonts w:ascii="MinionPro-Regular" w:hAnsi="MinionPro-Regular"/>
          <w:sz w:val="24"/>
          <w:szCs w:val="24"/>
          <w:lang w:val="es-ES_tradnl"/>
        </w:rPr>
        <w:t xml:space="preserve"> reciclado, </w:t>
      </w:r>
      <w:r>
        <w:rPr>
          <w:rFonts w:ascii="MinionPro-Regular" w:hAnsi="MinionPro-Regular"/>
          <w:sz w:val="24"/>
          <w:szCs w:val="24"/>
          <w:lang w:val="es-ES_tradnl"/>
        </w:rPr>
        <w:t xml:space="preserve">el </w:t>
      </w:r>
      <w:r w:rsidRPr="0081432A">
        <w:rPr>
          <w:rFonts w:ascii="MinionPro-Regular" w:hAnsi="MinionPro-Regular"/>
          <w:sz w:val="24"/>
          <w:szCs w:val="24"/>
          <w:lang w:val="es-ES_tradnl"/>
        </w:rPr>
        <w:t>mobiliario</w:t>
      </w:r>
      <w:r>
        <w:rPr>
          <w:rFonts w:ascii="MinionPro-Regular" w:hAnsi="MinionPro-Regular"/>
          <w:sz w:val="24"/>
          <w:szCs w:val="24"/>
          <w:lang w:val="es-ES_tradnl"/>
        </w:rPr>
        <w:t xml:space="preserve"> o</w:t>
      </w:r>
      <w:r w:rsidRPr="0081432A">
        <w:rPr>
          <w:rFonts w:ascii="MinionPro-Regular" w:hAnsi="MinionPro-Regular"/>
          <w:sz w:val="24"/>
          <w:szCs w:val="24"/>
          <w:lang w:val="es-ES_tradnl"/>
        </w:rPr>
        <w:t xml:space="preserve"> </w:t>
      </w:r>
      <w:r>
        <w:rPr>
          <w:rFonts w:ascii="MinionPro-Regular" w:hAnsi="MinionPro-Regular"/>
          <w:sz w:val="24"/>
          <w:szCs w:val="24"/>
          <w:lang w:val="es-ES_tradnl"/>
        </w:rPr>
        <w:t xml:space="preserve">la </w:t>
      </w:r>
      <w:r w:rsidRPr="0081432A">
        <w:rPr>
          <w:rFonts w:ascii="MinionPro-Regular" w:hAnsi="MinionPro-Regular"/>
          <w:sz w:val="24"/>
          <w:szCs w:val="24"/>
          <w:lang w:val="es-ES_tradnl"/>
        </w:rPr>
        <w:t xml:space="preserve">automoción, </w:t>
      </w:r>
      <w:r>
        <w:rPr>
          <w:rFonts w:ascii="MinionPro-Regular" w:hAnsi="MinionPro-Regular"/>
          <w:sz w:val="24"/>
          <w:szCs w:val="24"/>
          <w:lang w:val="es-ES_tradnl"/>
        </w:rPr>
        <w:t>entre otros</w:t>
      </w:r>
      <w:r w:rsidRPr="0081432A">
        <w:rPr>
          <w:rFonts w:ascii="MinionPro-Regular" w:hAnsi="MinionPro-Regular"/>
          <w:sz w:val="24"/>
          <w:szCs w:val="24"/>
          <w:lang w:val="es-ES_tradnl"/>
        </w:rPr>
        <w:t xml:space="preserve">. Es la parte de negocio que trabaja de forma análoga a cómo lo hace </w:t>
      </w:r>
      <w:r>
        <w:rPr>
          <w:rFonts w:ascii="MinionPro-Regular" w:hAnsi="MinionPro-Regular"/>
          <w:sz w:val="24"/>
          <w:szCs w:val="24"/>
          <w:lang w:val="es-ES_tradnl"/>
        </w:rPr>
        <w:t>un c</w:t>
      </w:r>
      <w:r w:rsidRPr="0081432A">
        <w:rPr>
          <w:rFonts w:ascii="MinionPro-Regular" w:hAnsi="MinionPro-Regular"/>
          <w:sz w:val="24"/>
          <w:szCs w:val="24"/>
          <w:lang w:val="es-ES_tradnl"/>
        </w:rPr>
        <w:t xml:space="preserve">entro </w:t>
      </w:r>
      <w:r>
        <w:rPr>
          <w:rFonts w:ascii="MinionPro-Regular" w:hAnsi="MinionPro-Regular"/>
          <w:sz w:val="24"/>
          <w:szCs w:val="24"/>
          <w:lang w:val="es-ES_tradnl"/>
        </w:rPr>
        <w:t>e</w:t>
      </w:r>
      <w:r w:rsidRPr="0081432A">
        <w:rPr>
          <w:rFonts w:ascii="MinionPro-Regular" w:hAnsi="MinionPro-Regular"/>
          <w:sz w:val="24"/>
          <w:szCs w:val="24"/>
          <w:lang w:val="es-ES_tradnl"/>
        </w:rPr>
        <w:t xml:space="preserve">special de </w:t>
      </w:r>
      <w:r>
        <w:rPr>
          <w:rFonts w:ascii="MinionPro-Regular" w:hAnsi="MinionPro-Regular"/>
          <w:sz w:val="24"/>
          <w:szCs w:val="24"/>
          <w:lang w:val="es-ES_tradnl"/>
        </w:rPr>
        <w:t>e</w:t>
      </w:r>
      <w:r w:rsidRPr="0081432A">
        <w:rPr>
          <w:rFonts w:ascii="MinionPro-Regular" w:hAnsi="MinionPro-Regular"/>
          <w:sz w:val="24"/>
          <w:szCs w:val="24"/>
          <w:lang w:val="es-ES_tradnl"/>
        </w:rPr>
        <w:t>mpleo en España.</w:t>
      </w:r>
      <w:r>
        <w:rPr>
          <w:rFonts w:ascii="MinionPro-Regular" w:hAnsi="MinionPro-Regular"/>
          <w:sz w:val="24"/>
          <w:szCs w:val="24"/>
          <w:lang w:val="es-ES_tradnl"/>
        </w:rPr>
        <w:t xml:space="preserve"> </w:t>
      </w:r>
      <w:r w:rsidRPr="0081432A">
        <w:rPr>
          <w:rFonts w:ascii="MinionPro-Regular" w:hAnsi="MinionPro-Regular"/>
          <w:sz w:val="24"/>
          <w:szCs w:val="24"/>
          <w:lang w:val="es-ES_tradnl"/>
        </w:rPr>
        <w:t>Al final de 2011</w:t>
      </w:r>
      <w:r>
        <w:rPr>
          <w:rFonts w:ascii="MinionPro-Regular" w:hAnsi="MinionPro-Regular"/>
          <w:sz w:val="24"/>
          <w:szCs w:val="24"/>
          <w:lang w:val="es-ES_tradnl"/>
        </w:rPr>
        <w:t>,</w:t>
      </w:r>
      <w:r w:rsidRPr="0081432A">
        <w:rPr>
          <w:rFonts w:ascii="MinionPro-Regular" w:hAnsi="MinionPro-Regular"/>
          <w:sz w:val="24"/>
          <w:szCs w:val="24"/>
          <w:lang w:val="es-ES_tradnl"/>
        </w:rPr>
        <w:t xml:space="preserve"> cerca de 2.200 empleados con discapacidad trabajaban en </w:t>
      </w:r>
      <w:r>
        <w:rPr>
          <w:rFonts w:ascii="MinionPro-Regular" w:hAnsi="MinionPro-Regular"/>
          <w:sz w:val="24"/>
          <w:szCs w:val="24"/>
          <w:lang w:val="es-ES_tradnl"/>
        </w:rPr>
        <w:t>los centros de Remploy</w:t>
      </w:r>
      <w:r w:rsidRPr="0081432A">
        <w:rPr>
          <w:rFonts w:ascii="MinionPro-Regular" w:hAnsi="MinionPro-Regular"/>
          <w:sz w:val="24"/>
          <w:szCs w:val="24"/>
          <w:lang w:val="es-ES_tradnl"/>
        </w:rPr>
        <w:t xml:space="preserve">. </w:t>
      </w:r>
    </w:p>
    <w:p w:rsidR="00E2336B" w:rsidRDefault="00E2336B" w:rsidP="001B0EA4">
      <w:pPr>
        <w:autoSpaceDE w:val="0"/>
        <w:autoSpaceDN w:val="0"/>
        <w:spacing w:line="360" w:lineRule="auto"/>
        <w:jc w:val="both"/>
        <w:rPr>
          <w:rFonts w:ascii="MinionPro-Regular" w:hAnsi="MinionPro-Regular"/>
          <w:sz w:val="24"/>
          <w:szCs w:val="24"/>
          <w:lang w:val="es-ES_tradnl"/>
        </w:rPr>
      </w:pPr>
    </w:p>
    <w:p w:rsidR="00E2336B" w:rsidRDefault="00E2336B" w:rsidP="001B0EA4">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La segunda rama de actividad destacable de Remploy</w:t>
      </w:r>
      <w:r w:rsidRPr="0081432A">
        <w:rPr>
          <w:rFonts w:ascii="MinionPro-Regular" w:hAnsi="MinionPro-Regular"/>
          <w:sz w:val="24"/>
          <w:szCs w:val="24"/>
          <w:lang w:val="es-ES_tradnl"/>
        </w:rPr>
        <w:t xml:space="preserve"> es </w:t>
      </w:r>
      <w:r>
        <w:rPr>
          <w:rFonts w:ascii="MinionPro-Regular" w:hAnsi="MinionPro-Regular"/>
          <w:sz w:val="24"/>
          <w:szCs w:val="24"/>
          <w:lang w:val="es-ES_tradnl"/>
        </w:rPr>
        <w:t>la denominada “</w:t>
      </w:r>
      <w:r w:rsidRPr="0081432A">
        <w:rPr>
          <w:rFonts w:ascii="MinionPro-Regular" w:hAnsi="MinionPro-Regular"/>
          <w:sz w:val="24"/>
          <w:szCs w:val="24"/>
          <w:lang w:val="es-ES_tradnl"/>
        </w:rPr>
        <w:t>Employment Services Network</w:t>
      </w:r>
      <w:r>
        <w:rPr>
          <w:rFonts w:ascii="MinionPro-Regular" w:hAnsi="MinionPro-Regular"/>
          <w:sz w:val="24"/>
          <w:szCs w:val="24"/>
          <w:lang w:val="es-ES_tradnl"/>
        </w:rPr>
        <w:t>”</w:t>
      </w:r>
      <w:r w:rsidRPr="0081432A">
        <w:rPr>
          <w:rFonts w:ascii="MinionPro-Regular" w:hAnsi="MinionPro-Regular"/>
          <w:sz w:val="24"/>
          <w:szCs w:val="24"/>
          <w:lang w:val="es-ES_tradnl"/>
        </w:rPr>
        <w:t xml:space="preserve"> o red de servicios de empleo, dedicada a apoyar a las personas con discapacidad en la búsqueda de trabajo en la empresa ordinaria. Durante 2011</w:t>
      </w:r>
      <w:r>
        <w:rPr>
          <w:rFonts w:ascii="MinionPro-Regular" w:hAnsi="MinionPro-Regular"/>
          <w:sz w:val="24"/>
          <w:szCs w:val="24"/>
          <w:lang w:val="es-ES_tradnl"/>
        </w:rPr>
        <w:t xml:space="preserve"> sus servicios contribuyeron a proporcionar oportunidades de empleo a</w:t>
      </w:r>
      <w:r w:rsidRPr="0081432A">
        <w:rPr>
          <w:rFonts w:ascii="MinionPro-Regular" w:hAnsi="MinionPro-Regular"/>
          <w:sz w:val="24"/>
          <w:szCs w:val="24"/>
          <w:lang w:val="es-ES_tradnl"/>
        </w:rPr>
        <w:t xml:space="preserve"> cerca de 20.000 personas con discapacidad. La mayoría de </w:t>
      </w:r>
      <w:r>
        <w:rPr>
          <w:rFonts w:ascii="MinionPro-Regular" w:hAnsi="MinionPro-Regular"/>
          <w:sz w:val="24"/>
          <w:szCs w:val="24"/>
          <w:lang w:val="es-ES_tradnl"/>
        </w:rPr>
        <w:t>estas personas</w:t>
      </w:r>
      <w:r w:rsidRPr="0081432A">
        <w:rPr>
          <w:rFonts w:ascii="MinionPro-Regular" w:hAnsi="MinionPro-Regular"/>
          <w:sz w:val="24"/>
          <w:szCs w:val="24"/>
          <w:lang w:val="es-ES_tradnl"/>
        </w:rPr>
        <w:t xml:space="preserve"> poseían algún tipo de discapacidad </w:t>
      </w:r>
      <w:r>
        <w:rPr>
          <w:rFonts w:ascii="MinionPro-Regular" w:hAnsi="MinionPro-Regular"/>
          <w:sz w:val="24"/>
          <w:szCs w:val="24"/>
          <w:lang w:val="es-ES_tradnl"/>
        </w:rPr>
        <w:t>intelectual</w:t>
      </w:r>
      <w:r w:rsidRPr="0081432A">
        <w:rPr>
          <w:rFonts w:ascii="MinionPro-Regular" w:hAnsi="MinionPro-Regular"/>
          <w:sz w:val="24"/>
          <w:szCs w:val="24"/>
          <w:lang w:val="es-ES_tradnl"/>
        </w:rPr>
        <w:t>.</w:t>
      </w:r>
    </w:p>
    <w:p w:rsidR="00E2336B" w:rsidRDefault="00E2336B" w:rsidP="001B0EA4">
      <w:pPr>
        <w:autoSpaceDE w:val="0"/>
        <w:autoSpaceDN w:val="0"/>
        <w:spacing w:line="360" w:lineRule="auto"/>
        <w:jc w:val="both"/>
        <w:rPr>
          <w:rFonts w:ascii="MinionPro-Regular" w:hAnsi="MinionPro-Regular"/>
          <w:sz w:val="24"/>
          <w:szCs w:val="24"/>
          <w:lang w:val="es-ES_tradnl"/>
        </w:rPr>
      </w:pPr>
    </w:p>
    <w:p w:rsidR="00E2336B" w:rsidRPr="001A6986" w:rsidRDefault="00E2336B" w:rsidP="001B0EA4">
      <w:pPr>
        <w:autoSpaceDE w:val="0"/>
        <w:autoSpaceDN w:val="0"/>
        <w:spacing w:line="360" w:lineRule="auto"/>
        <w:jc w:val="both"/>
        <w:rPr>
          <w:rFonts w:ascii="MinionPro-Regular" w:hAnsi="MinionPro-Regular"/>
          <w:sz w:val="24"/>
          <w:szCs w:val="24"/>
        </w:rPr>
      </w:pPr>
      <w:r w:rsidRPr="008B461D">
        <w:rPr>
          <w:rFonts w:ascii="MinionPro-Regular" w:hAnsi="MinionPro-Regular"/>
          <w:sz w:val="24"/>
          <w:szCs w:val="24"/>
        </w:rPr>
        <w:t xml:space="preserve">Hay que destacar que una de las principales diferencias con el modelo español, es que en </w:t>
      </w:r>
      <w:r>
        <w:rPr>
          <w:rFonts w:ascii="MinionPro-Regular" w:hAnsi="MinionPro-Regular"/>
          <w:sz w:val="24"/>
          <w:szCs w:val="24"/>
        </w:rPr>
        <w:t xml:space="preserve">el </w:t>
      </w:r>
      <w:r w:rsidRPr="008B461D">
        <w:rPr>
          <w:rFonts w:ascii="MinionPro-Regular" w:hAnsi="MinionPro-Regular"/>
          <w:sz w:val="24"/>
          <w:szCs w:val="24"/>
        </w:rPr>
        <w:t xml:space="preserve">Reino Unido es condición indispensable que la empresa esté constituida sin ánimo de lucro y por lo tanto se reinviertan todos los beneficios en </w:t>
      </w:r>
      <w:r>
        <w:rPr>
          <w:rFonts w:ascii="MinionPro-Regular" w:hAnsi="MinionPro-Regular"/>
          <w:sz w:val="24"/>
          <w:szCs w:val="24"/>
        </w:rPr>
        <w:t>la función social</w:t>
      </w:r>
      <w:r w:rsidRPr="008B461D">
        <w:rPr>
          <w:rFonts w:ascii="MinionPro-Regular" w:hAnsi="MinionPro-Regular"/>
          <w:sz w:val="24"/>
          <w:szCs w:val="24"/>
        </w:rPr>
        <w:t xml:space="preserve"> para la que fue constituida.</w:t>
      </w:r>
    </w:p>
    <w:p w:rsidR="00E2336B" w:rsidRPr="004C7C3E" w:rsidRDefault="00E2336B" w:rsidP="001B0EA4">
      <w:pPr>
        <w:autoSpaceDE w:val="0"/>
        <w:autoSpaceDN w:val="0"/>
        <w:spacing w:line="360" w:lineRule="auto"/>
        <w:jc w:val="both"/>
        <w:rPr>
          <w:rFonts w:ascii="MinionPro-Regular" w:hAnsi="MinionPro-Regular"/>
          <w:sz w:val="24"/>
          <w:szCs w:val="24"/>
        </w:rPr>
      </w:pPr>
    </w:p>
    <w:p w:rsidR="00E2336B" w:rsidRDefault="00E2336B" w:rsidP="001B0EA4">
      <w:pPr>
        <w:autoSpaceDE w:val="0"/>
        <w:autoSpaceDN w:val="0"/>
        <w:spacing w:line="360" w:lineRule="auto"/>
        <w:jc w:val="both"/>
        <w:rPr>
          <w:rFonts w:ascii="MinionPro-Regular" w:hAnsi="MinionPro-Regular"/>
          <w:sz w:val="24"/>
          <w:szCs w:val="24"/>
          <w:lang w:val="es-ES_tradnl"/>
        </w:rPr>
      </w:pPr>
      <w:r w:rsidRPr="003778E9">
        <w:rPr>
          <w:rFonts w:ascii="MinionPro-Regular" w:hAnsi="MinionPro-Regular"/>
          <w:sz w:val="24"/>
          <w:szCs w:val="24"/>
          <w:lang w:val="es-ES_tradnl"/>
        </w:rPr>
        <w:t xml:space="preserve">En </w:t>
      </w:r>
      <w:r w:rsidR="00F23441" w:rsidRPr="00F23441">
        <w:rPr>
          <w:rFonts w:ascii="MinionPro-Regular" w:hAnsi="MinionPro-Regular"/>
          <w:b/>
          <w:sz w:val="24"/>
          <w:szCs w:val="24"/>
          <w:lang w:val="es-ES_tradnl"/>
        </w:rPr>
        <w:t>Alemania</w:t>
      </w:r>
      <w:r>
        <w:rPr>
          <w:rFonts w:ascii="MinionPro-Regular" w:hAnsi="MinionPro-Regular"/>
          <w:sz w:val="24"/>
          <w:szCs w:val="24"/>
          <w:lang w:val="es-ES_tradnl"/>
        </w:rPr>
        <w:t>, d</w:t>
      </w:r>
      <w:r w:rsidRPr="003778E9">
        <w:rPr>
          <w:rFonts w:ascii="MinionPro-Regular" w:hAnsi="MinionPro-Regular"/>
          <w:sz w:val="24"/>
          <w:szCs w:val="24"/>
          <w:lang w:val="es-ES_tradnl"/>
        </w:rPr>
        <w:t xml:space="preserve">esde la reforma de 1996, existe un derecho legal al trabajo en talleres protegidos, que acogen a todas las personas con discapacidad siempre que alcancen una capacidad mínima de producción económica, ya que la financiación de los talleres </w:t>
      </w:r>
      <w:r w:rsidRPr="003778E9">
        <w:rPr>
          <w:rFonts w:ascii="MinionPro-Regular" w:hAnsi="MinionPro-Regular"/>
          <w:sz w:val="24"/>
          <w:szCs w:val="24"/>
          <w:lang w:val="es-ES_tradnl"/>
        </w:rPr>
        <w:lastRenderedPageBreak/>
        <w:t>proviene de</w:t>
      </w:r>
      <w:r>
        <w:rPr>
          <w:rFonts w:ascii="MinionPro-Regular" w:hAnsi="MinionPro-Regular"/>
          <w:sz w:val="24"/>
          <w:szCs w:val="24"/>
          <w:lang w:val="es-ES_tradnl"/>
        </w:rPr>
        <w:t xml:space="preserve"> su propia actividad económica</w:t>
      </w:r>
      <w:r>
        <w:rPr>
          <w:rStyle w:val="Refdenotaalpie"/>
          <w:rFonts w:ascii="MinionPro-Regular" w:hAnsi="MinionPro-Regular"/>
          <w:sz w:val="24"/>
          <w:szCs w:val="24"/>
          <w:lang w:val="es-ES_tradnl"/>
        </w:rPr>
        <w:footnoteReference w:id="33"/>
      </w:r>
      <w:r>
        <w:rPr>
          <w:rFonts w:ascii="MinionPro-Regular" w:hAnsi="MinionPro-Regular"/>
          <w:sz w:val="24"/>
          <w:szCs w:val="24"/>
          <w:lang w:val="es-ES_tradnl"/>
        </w:rPr>
        <w:t>. N</w:t>
      </w:r>
      <w:r w:rsidRPr="003778E9">
        <w:rPr>
          <w:rFonts w:ascii="MinionPro-Regular" w:hAnsi="MinionPro-Regular"/>
          <w:sz w:val="24"/>
          <w:szCs w:val="24"/>
          <w:lang w:val="es-ES_tradnl"/>
        </w:rPr>
        <w:t>o obstante</w:t>
      </w:r>
      <w:r>
        <w:rPr>
          <w:rFonts w:ascii="MinionPro-Regular" w:hAnsi="MinionPro-Regular"/>
          <w:sz w:val="24"/>
          <w:szCs w:val="24"/>
          <w:lang w:val="es-ES_tradnl"/>
        </w:rPr>
        <w:t>,</w:t>
      </w:r>
      <w:r w:rsidRPr="003778E9">
        <w:rPr>
          <w:rFonts w:ascii="MinionPro-Regular" w:hAnsi="MinionPro-Regular"/>
          <w:sz w:val="24"/>
          <w:szCs w:val="24"/>
          <w:lang w:val="es-ES_tradnl"/>
        </w:rPr>
        <w:t xml:space="preserve"> siempre que estén legalmente reconocidos</w:t>
      </w:r>
      <w:r>
        <w:rPr>
          <w:rFonts w:ascii="MinionPro-Regular" w:hAnsi="MinionPro-Regular"/>
          <w:sz w:val="24"/>
          <w:szCs w:val="24"/>
          <w:lang w:val="es-ES_tradnl"/>
        </w:rPr>
        <w:t xml:space="preserve"> los talleres</w:t>
      </w:r>
      <w:r w:rsidRPr="003778E9">
        <w:rPr>
          <w:rFonts w:ascii="MinionPro-Regular" w:hAnsi="MinionPro-Regular"/>
          <w:sz w:val="24"/>
          <w:szCs w:val="24"/>
          <w:lang w:val="es-ES_tradnl"/>
        </w:rPr>
        <w:t xml:space="preserve"> </w:t>
      </w:r>
      <w:r>
        <w:rPr>
          <w:rFonts w:ascii="MinionPro-Regular" w:hAnsi="MinionPro-Regular"/>
          <w:sz w:val="24"/>
          <w:szCs w:val="24"/>
          <w:lang w:val="es-ES_tradnl"/>
        </w:rPr>
        <w:t>pueden</w:t>
      </w:r>
      <w:r w:rsidRPr="003778E9">
        <w:rPr>
          <w:rFonts w:ascii="MinionPro-Regular" w:hAnsi="MinionPro-Regular"/>
          <w:sz w:val="24"/>
          <w:szCs w:val="24"/>
          <w:lang w:val="es-ES_tradnl"/>
        </w:rPr>
        <w:t xml:space="preserve"> solicitar subvenciones públicas. </w:t>
      </w:r>
      <w:r>
        <w:rPr>
          <w:rFonts w:ascii="MinionPro-Regular" w:hAnsi="MinionPro-Regular"/>
          <w:sz w:val="24"/>
          <w:szCs w:val="24"/>
          <w:lang w:val="es-ES_tradnl"/>
        </w:rPr>
        <w:t xml:space="preserve"> </w:t>
      </w:r>
    </w:p>
    <w:p w:rsidR="00E2336B" w:rsidRDefault="00E2336B" w:rsidP="001B0EA4">
      <w:pPr>
        <w:autoSpaceDE w:val="0"/>
        <w:autoSpaceDN w:val="0"/>
        <w:spacing w:line="360" w:lineRule="auto"/>
        <w:jc w:val="both"/>
        <w:rPr>
          <w:rFonts w:ascii="MinionPro-Regular" w:hAnsi="MinionPro-Regular"/>
          <w:sz w:val="24"/>
          <w:szCs w:val="24"/>
          <w:lang w:val="es-ES_tradnl"/>
        </w:rPr>
      </w:pPr>
    </w:p>
    <w:p w:rsidR="00E2336B" w:rsidRDefault="00E2336B" w:rsidP="001B0EA4">
      <w:pPr>
        <w:autoSpaceDE w:val="0"/>
        <w:autoSpaceDN w:val="0"/>
        <w:spacing w:line="360" w:lineRule="auto"/>
        <w:jc w:val="both"/>
        <w:rPr>
          <w:rFonts w:ascii="MinionPro-Regular" w:hAnsi="MinionPro-Regular"/>
          <w:sz w:val="24"/>
          <w:szCs w:val="24"/>
        </w:rPr>
      </w:pPr>
      <w:r>
        <w:rPr>
          <w:rFonts w:ascii="MinionPro-Regular" w:hAnsi="MinionPro-Regular"/>
          <w:sz w:val="24"/>
          <w:szCs w:val="24"/>
          <w:lang w:val="es-ES_tradnl"/>
        </w:rPr>
        <w:t xml:space="preserve">Existen subvenciones para las adaptaciones de accesibilidad al lugar de trabajo. </w:t>
      </w:r>
      <w:r>
        <w:rPr>
          <w:rFonts w:ascii="MinionPro-Regular" w:hAnsi="MinionPro-Regular"/>
          <w:sz w:val="24"/>
          <w:szCs w:val="24"/>
        </w:rPr>
        <w:t xml:space="preserve">La oficina de empleo aporta además unas ayudas básicas que </w:t>
      </w:r>
      <w:r w:rsidRPr="004A7438">
        <w:rPr>
          <w:rFonts w:ascii="MinionPro-Regular" w:hAnsi="MinionPro-Regular"/>
          <w:sz w:val="24"/>
          <w:szCs w:val="24"/>
        </w:rPr>
        <w:t>se complementa</w:t>
      </w:r>
      <w:r>
        <w:rPr>
          <w:rFonts w:ascii="MinionPro-Regular" w:hAnsi="MinionPro-Regular"/>
          <w:sz w:val="24"/>
          <w:szCs w:val="24"/>
        </w:rPr>
        <w:t>n</w:t>
      </w:r>
      <w:r w:rsidRPr="004A7438">
        <w:rPr>
          <w:rFonts w:ascii="MinionPro-Regular" w:hAnsi="MinionPro-Regular"/>
          <w:sz w:val="24"/>
          <w:szCs w:val="24"/>
        </w:rPr>
        <w:t xml:space="preserve"> </w:t>
      </w:r>
      <w:r>
        <w:rPr>
          <w:rFonts w:ascii="MinionPro-Regular" w:hAnsi="MinionPro-Regular"/>
          <w:sz w:val="24"/>
          <w:szCs w:val="24"/>
        </w:rPr>
        <w:t xml:space="preserve">de forma individualizada </w:t>
      </w:r>
      <w:r w:rsidRPr="004A7438">
        <w:rPr>
          <w:rFonts w:ascii="MinionPro-Regular" w:hAnsi="MinionPro-Regular"/>
          <w:sz w:val="24"/>
          <w:szCs w:val="24"/>
        </w:rPr>
        <w:t xml:space="preserve">con </w:t>
      </w:r>
      <w:r>
        <w:rPr>
          <w:rFonts w:ascii="MinionPro-Regular" w:hAnsi="MinionPro-Regular"/>
          <w:sz w:val="24"/>
          <w:szCs w:val="24"/>
        </w:rPr>
        <w:t xml:space="preserve">criterios como el </w:t>
      </w:r>
      <w:r w:rsidRPr="004A7438">
        <w:rPr>
          <w:rFonts w:ascii="MinionPro-Regular" w:hAnsi="MinionPro-Regular"/>
          <w:sz w:val="24"/>
          <w:szCs w:val="24"/>
        </w:rPr>
        <w:t>volumen y la calidad del trabajo de la persona</w:t>
      </w:r>
      <w:r>
        <w:rPr>
          <w:rFonts w:ascii="MinionPro-Regular" w:hAnsi="MinionPro-Regular"/>
          <w:sz w:val="24"/>
          <w:szCs w:val="24"/>
        </w:rPr>
        <w:t xml:space="preserve">, que </w:t>
      </w:r>
      <w:r>
        <w:rPr>
          <w:rFonts w:ascii="MinionPro-Regular" w:hAnsi="MinionPro-Regular"/>
          <w:sz w:val="24"/>
          <w:szCs w:val="24"/>
          <w:lang w:val="es-ES_tradnl"/>
        </w:rPr>
        <w:t>requieren una solicitud formal,</w:t>
      </w:r>
      <w:r w:rsidRPr="00232373">
        <w:rPr>
          <w:rFonts w:ascii="MinionPro-Regular" w:hAnsi="MinionPro-Regular"/>
          <w:sz w:val="24"/>
          <w:szCs w:val="24"/>
        </w:rPr>
        <w:t xml:space="preserve"> </w:t>
      </w:r>
      <w:r w:rsidRPr="009D6A8F">
        <w:rPr>
          <w:rFonts w:ascii="MinionPro-Regular" w:hAnsi="MinionPro-Regular"/>
          <w:sz w:val="24"/>
          <w:szCs w:val="24"/>
        </w:rPr>
        <w:t xml:space="preserve">procedimientos </w:t>
      </w:r>
      <w:r>
        <w:rPr>
          <w:rFonts w:ascii="MinionPro-Regular" w:hAnsi="MinionPro-Regular"/>
          <w:sz w:val="24"/>
          <w:szCs w:val="24"/>
        </w:rPr>
        <w:t xml:space="preserve">administrativos </w:t>
      </w:r>
      <w:r w:rsidRPr="009D6A8F">
        <w:rPr>
          <w:rFonts w:ascii="MinionPro-Regular" w:hAnsi="MinionPro-Regular"/>
          <w:sz w:val="24"/>
          <w:szCs w:val="24"/>
        </w:rPr>
        <w:t xml:space="preserve"> y</w:t>
      </w:r>
      <w:r>
        <w:rPr>
          <w:rFonts w:ascii="MinionPro-Regular" w:hAnsi="MinionPro-Regular"/>
          <w:sz w:val="24"/>
          <w:szCs w:val="24"/>
        </w:rPr>
        <w:t>, en ocasiones,</w:t>
      </w:r>
      <w:r w:rsidRPr="009D6A8F">
        <w:rPr>
          <w:rFonts w:ascii="MinionPro-Regular" w:hAnsi="MinionPro-Regular"/>
          <w:sz w:val="24"/>
          <w:szCs w:val="24"/>
        </w:rPr>
        <w:t xml:space="preserve"> </w:t>
      </w:r>
      <w:r>
        <w:rPr>
          <w:rFonts w:ascii="MinionPro-Regular" w:hAnsi="MinionPro-Regular"/>
          <w:sz w:val="24"/>
          <w:szCs w:val="24"/>
        </w:rPr>
        <w:t>una revisión de los</w:t>
      </w:r>
      <w:r w:rsidRPr="009D6A8F">
        <w:rPr>
          <w:rFonts w:ascii="MinionPro-Regular" w:hAnsi="MinionPro-Regular"/>
          <w:sz w:val="24"/>
          <w:szCs w:val="24"/>
        </w:rPr>
        <w:t xml:space="preserve"> ingresos</w:t>
      </w:r>
      <w:r>
        <w:rPr>
          <w:rStyle w:val="Refdenotaalpie"/>
          <w:rFonts w:ascii="MinionPro-Regular" w:hAnsi="MinionPro-Regular"/>
          <w:sz w:val="24"/>
          <w:szCs w:val="24"/>
        </w:rPr>
        <w:footnoteReference w:id="34"/>
      </w:r>
      <w:r>
        <w:rPr>
          <w:rFonts w:ascii="MinionPro-Regular" w:hAnsi="MinionPro-Regular"/>
          <w:sz w:val="24"/>
          <w:szCs w:val="24"/>
          <w:lang w:val="es-ES_tradnl"/>
        </w:rPr>
        <w:t xml:space="preserve">. </w:t>
      </w:r>
    </w:p>
    <w:p w:rsidR="00E2336B" w:rsidRPr="003778E9" w:rsidRDefault="00E2336B" w:rsidP="001B0EA4">
      <w:pPr>
        <w:autoSpaceDE w:val="0"/>
        <w:autoSpaceDN w:val="0"/>
        <w:spacing w:line="360" w:lineRule="auto"/>
        <w:jc w:val="both"/>
        <w:rPr>
          <w:rFonts w:ascii="MinionPro-Regular" w:hAnsi="MinionPro-Regular"/>
          <w:sz w:val="24"/>
          <w:szCs w:val="24"/>
          <w:lang w:val="es-ES_tradnl"/>
        </w:rPr>
      </w:pPr>
    </w:p>
    <w:p w:rsidR="00E2336B" w:rsidRDefault="00E2336B" w:rsidP="001B0EA4">
      <w:pPr>
        <w:autoSpaceDE w:val="0"/>
        <w:autoSpaceDN w:val="0"/>
        <w:spacing w:line="360" w:lineRule="auto"/>
        <w:jc w:val="both"/>
        <w:rPr>
          <w:rFonts w:ascii="MinionPro-Regular" w:hAnsi="MinionPro-Regular"/>
          <w:color w:val="4F81BD" w:themeColor="accent1"/>
          <w:sz w:val="24"/>
          <w:szCs w:val="24"/>
          <w:lang w:val="es-ES_tradnl"/>
        </w:rPr>
      </w:pPr>
      <w:r w:rsidRPr="003778E9">
        <w:rPr>
          <w:rFonts w:ascii="MinionPro-Regular" w:hAnsi="MinionPro-Regular"/>
          <w:sz w:val="24"/>
          <w:szCs w:val="24"/>
          <w:lang w:val="es-ES_tradnl"/>
        </w:rPr>
        <w:t>En Alemania</w:t>
      </w:r>
      <w:r>
        <w:rPr>
          <w:rFonts w:ascii="MinionPro-Regular" w:hAnsi="MinionPro-Regular"/>
          <w:sz w:val="24"/>
          <w:szCs w:val="24"/>
          <w:lang w:val="es-ES_tradnl"/>
        </w:rPr>
        <w:t xml:space="preserve"> existe la figura del empleo protegido. Sin embargo, en esta tipología de empleo no existen empresas sino que existen talleres y </w:t>
      </w:r>
      <w:r>
        <w:rPr>
          <w:rFonts w:ascii="MinionPro-Regular" w:hAnsi="MinionPro-Regular"/>
          <w:sz w:val="24"/>
          <w:szCs w:val="24"/>
        </w:rPr>
        <w:t>l</w:t>
      </w:r>
      <w:r w:rsidRPr="004A7438">
        <w:rPr>
          <w:rFonts w:ascii="MinionPro-Regular" w:hAnsi="MinionPro-Regular"/>
          <w:sz w:val="24"/>
          <w:szCs w:val="24"/>
        </w:rPr>
        <w:t xml:space="preserve">os trabajadores del sector </w:t>
      </w:r>
      <w:r>
        <w:rPr>
          <w:rFonts w:ascii="MinionPro-Regular" w:hAnsi="MinionPro-Regular"/>
          <w:sz w:val="24"/>
          <w:szCs w:val="24"/>
        </w:rPr>
        <w:t xml:space="preserve"> no son considerados como empleados, sino como </w:t>
      </w:r>
      <w:r w:rsidRPr="004A7438">
        <w:rPr>
          <w:rFonts w:ascii="MinionPro-Regular" w:hAnsi="MinionPro-Regular"/>
          <w:sz w:val="24"/>
          <w:szCs w:val="24"/>
        </w:rPr>
        <w:t xml:space="preserve">personas </w:t>
      </w:r>
      <w:r w:rsidRPr="003737D2">
        <w:rPr>
          <w:rFonts w:ascii="MinionPro-Regular" w:hAnsi="MinionPro-Regular"/>
          <w:sz w:val="24"/>
          <w:szCs w:val="24"/>
        </w:rPr>
        <w:t>en formación</w:t>
      </w:r>
      <w:r w:rsidRPr="003737D2">
        <w:rPr>
          <w:rStyle w:val="Refdenotaalpie"/>
          <w:rFonts w:ascii="MinionPro-Regular" w:hAnsi="MinionPro-Regular"/>
          <w:sz w:val="24"/>
          <w:szCs w:val="24"/>
        </w:rPr>
        <w:footnoteReference w:id="35"/>
      </w:r>
      <w:r w:rsidRPr="003737D2">
        <w:rPr>
          <w:rFonts w:ascii="MinionPro-Regular" w:hAnsi="MinionPro-Regular"/>
          <w:sz w:val="24"/>
          <w:szCs w:val="24"/>
        </w:rPr>
        <w:t xml:space="preserve">. El empleo protegido en Alemania es más parecido, por lo tanto, </w:t>
      </w:r>
      <w:r w:rsidRPr="003737D2">
        <w:rPr>
          <w:rFonts w:ascii="MinionPro-Regular" w:hAnsi="MinionPro-Regular"/>
          <w:sz w:val="24"/>
          <w:szCs w:val="24"/>
          <w:lang w:val="es-ES_tradnl"/>
        </w:rPr>
        <w:t xml:space="preserve">a los </w:t>
      </w:r>
      <w:r w:rsidR="00A87133" w:rsidRPr="003737D2">
        <w:rPr>
          <w:rFonts w:ascii="MinionPro-Regular" w:hAnsi="MinionPro-Regular"/>
          <w:sz w:val="24"/>
          <w:szCs w:val="24"/>
          <w:lang w:val="es-ES_tradnl"/>
        </w:rPr>
        <w:t>centros</w:t>
      </w:r>
      <w:r>
        <w:rPr>
          <w:rFonts w:ascii="MinionPro-Regular" w:hAnsi="MinionPro-Regular"/>
          <w:sz w:val="24"/>
          <w:szCs w:val="24"/>
          <w:lang w:val="es-ES_tradnl"/>
        </w:rPr>
        <w:t xml:space="preserve"> ocupacionales españoles</w:t>
      </w:r>
      <w:r w:rsidRPr="00BF7F16">
        <w:rPr>
          <w:rFonts w:ascii="MinionPro-Regular" w:hAnsi="MinionPro-Regular"/>
          <w:color w:val="4F81BD" w:themeColor="accent1"/>
          <w:sz w:val="24"/>
          <w:szCs w:val="24"/>
          <w:lang w:val="es-ES_tradnl"/>
        </w:rPr>
        <w:t xml:space="preserve">. </w:t>
      </w:r>
      <w:r w:rsidR="00F724E7" w:rsidRPr="007A408D">
        <w:rPr>
          <w:rFonts w:ascii="MinionPro-Regular" w:hAnsi="MinionPro-Regular"/>
          <w:sz w:val="24"/>
          <w:szCs w:val="24"/>
        </w:rPr>
        <w:t xml:space="preserve">El número total de personas con discapacidad en los </w:t>
      </w:r>
      <w:r w:rsidR="00A87133" w:rsidRPr="007A408D">
        <w:rPr>
          <w:rFonts w:ascii="MinionPro-Regular" w:hAnsi="MinionPro-Regular"/>
          <w:sz w:val="24"/>
          <w:szCs w:val="24"/>
        </w:rPr>
        <w:t>centros</w:t>
      </w:r>
      <w:r w:rsidR="00F724E7" w:rsidRPr="007A408D">
        <w:rPr>
          <w:rFonts w:ascii="MinionPro-Regular" w:hAnsi="MinionPro-Regular"/>
          <w:sz w:val="24"/>
          <w:szCs w:val="24"/>
        </w:rPr>
        <w:t xml:space="preserve"> </w:t>
      </w:r>
      <w:r w:rsidR="00A87133" w:rsidRPr="007A408D">
        <w:rPr>
          <w:rFonts w:ascii="MinionPro-Regular" w:hAnsi="MinionPro-Regular"/>
          <w:sz w:val="24"/>
          <w:szCs w:val="24"/>
        </w:rPr>
        <w:t xml:space="preserve">ocupacionales </w:t>
      </w:r>
      <w:r w:rsidR="007A408D" w:rsidRPr="007A408D">
        <w:rPr>
          <w:rFonts w:ascii="MinionPro-Regular" w:hAnsi="MinionPro-Regular"/>
          <w:sz w:val="24"/>
          <w:szCs w:val="24"/>
        </w:rPr>
        <w:t>en Alemania</w:t>
      </w:r>
      <w:r w:rsidR="00F724E7" w:rsidRPr="007A408D">
        <w:rPr>
          <w:rFonts w:ascii="MinionPro-Regular" w:hAnsi="MinionPro-Regular"/>
          <w:sz w:val="24"/>
          <w:szCs w:val="24"/>
        </w:rPr>
        <w:t xml:space="preserve"> es alto en comparación con el número de personas con discapacidad que están activas en el mercado laboral: en 2005, alrededor de 914.000 personas con discapacidad severa fueron empleados en el mercado de trabajo regular, pero cerca de 256.500 personas trabajaron en </w:t>
      </w:r>
      <w:r w:rsidR="00A87133" w:rsidRPr="007A408D">
        <w:rPr>
          <w:rFonts w:ascii="MinionPro-Regular" w:hAnsi="MinionPro-Regular"/>
          <w:sz w:val="24"/>
          <w:szCs w:val="24"/>
        </w:rPr>
        <w:t>centros ocupacionales</w:t>
      </w:r>
      <w:r w:rsidR="00F724E7" w:rsidRPr="007A408D">
        <w:rPr>
          <w:rFonts w:ascii="MinionPro-Regular" w:hAnsi="MinionPro-Regular"/>
          <w:sz w:val="24"/>
          <w:szCs w:val="24"/>
        </w:rPr>
        <w:t>. La cifra de nuevas inscripciones en los talleres de formación profesional se mantuvo en los años 2005 a 2007 en un promedio de 12.000 jóvenes</w:t>
      </w:r>
      <w:r w:rsidR="00F724E7" w:rsidRPr="007A408D">
        <w:rPr>
          <w:rStyle w:val="Refdenotaalpie"/>
          <w:rFonts w:ascii="MinionPro-Regular" w:hAnsi="MinionPro-Regular"/>
          <w:sz w:val="24"/>
          <w:szCs w:val="24"/>
        </w:rPr>
        <w:footnoteReference w:id="36"/>
      </w:r>
      <w:r w:rsidR="00F724E7" w:rsidRPr="007A408D">
        <w:rPr>
          <w:rFonts w:ascii="MinionPro-Regular" w:hAnsi="MinionPro-Regular"/>
          <w:sz w:val="24"/>
          <w:szCs w:val="24"/>
        </w:rPr>
        <w:t>.</w:t>
      </w:r>
      <w:r w:rsidR="00F724E7" w:rsidRPr="007A408D">
        <w:rPr>
          <w:rFonts w:ascii="MinionPro-Regular" w:hAnsi="MinionPro-Regular"/>
          <w:sz w:val="24"/>
          <w:szCs w:val="24"/>
          <w:lang w:val="es-ES_tradnl"/>
        </w:rPr>
        <w:t xml:space="preserve"> Dentro del empleo protegido alemán también tienen cabida las empresas sociales, que emplean en su mayoría a personas con discapacidades mentales, proporcionando condiciones y contratos convencionales y salarios según el </w:t>
      </w:r>
      <w:r w:rsidR="00F724E7" w:rsidRPr="007A408D">
        <w:rPr>
          <w:rFonts w:ascii="MinionPro-Regular" w:hAnsi="MinionPro-Regular"/>
          <w:sz w:val="24"/>
          <w:szCs w:val="24"/>
          <w:lang w:val="es-ES_tradnl"/>
        </w:rPr>
        <w:lastRenderedPageBreak/>
        <w:t>convenio colectivo del sector, en las mismas condiciones que las personas sin discapacidad</w:t>
      </w:r>
      <w:r w:rsidR="007A408D" w:rsidRPr="007A408D">
        <w:rPr>
          <w:rFonts w:ascii="MinionPro-Regular" w:hAnsi="MinionPro-Regular"/>
          <w:sz w:val="24"/>
          <w:szCs w:val="24"/>
          <w:lang w:val="es-ES_tradnl"/>
        </w:rPr>
        <w:t>.</w:t>
      </w:r>
    </w:p>
    <w:p w:rsidR="007A408D" w:rsidRPr="003778E9" w:rsidRDefault="007A408D" w:rsidP="001B0EA4">
      <w:pPr>
        <w:autoSpaceDE w:val="0"/>
        <w:autoSpaceDN w:val="0"/>
        <w:spacing w:line="360" w:lineRule="auto"/>
        <w:jc w:val="both"/>
        <w:rPr>
          <w:rFonts w:ascii="MinionPro-Regular" w:hAnsi="MinionPro-Regular"/>
          <w:sz w:val="24"/>
          <w:szCs w:val="24"/>
          <w:lang w:val="es-ES_tradnl"/>
        </w:rPr>
      </w:pPr>
    </w:p>
    <w:p w:rsidR="00E2336B" w:rsidRPr="008B461D" w:rsidRDefault="00E2336B" w:rsidP="001B0EA4">
      <w:pPr>
        <w:autoSpaceDE w:val="0"/>
        <w:autoSpaceDN w:val="0"/>
        <w:spacing w:line="360" w:lineRule="auto"/>
        <w:jc w:val="both"/>
        <w:rPr>
          <w:rFonts w:ascii="MinionPro-Regular" w:hAnsi="MinionPro-Regular"/>
          <w:sz w:val="24"/>
          <w:szCs w:val="24"/>
        </w:rPr>
      </w:pPr>
      <w:r>
        <w:rPr>
          <w:rFonts w:ascii="MinionPro-Regular" w:hAnsi="MinionPro-Regular"/>
          <w:sz w:val="24"/>
          <w:szCs w:val="24"/>
        </w:rPr>
        <w:t>L</w:t>
      </w:r>
      <w:r w:rsidRPr="008B461D">
        <w:rPr>
          <w:rFonts w:ascii="MinionPro-Regular" w:hAnsi="MinionPro-Regular"/>
          <w:sz w:val="24"/>
          <w:szCs w:val="24"/>
        </w:rPr>
        <w:t>a rehabilitación</w:t>
      </w:r>
      <w:r>
        <w:rPr>
          <w:rFonts w:ascii="MinionPro-Regular" w:hAnsi="MinionPro-Regular"/>
          <w:sz w:val="24"/>
          <w:szCs w:val="24"/>
        </w:rPr>
        <w:t xml:space="preserve"> es</w:t>
      </w:r>
      <w:r w:rsidRPr="008B461D">
        <w:rPr>
          <w:rFonts w:ascii="MinionPro-Regular" w:hAnsi="MinionPro-Regular"/>
          <w:sz w:val="24"/>
          <w:szCs w:val="24"/>
        </w:rPr>
        <w:t xml:space="preserve"> </w:t>
      </w:r>
      <w:r>
        <w:rPr>
          <w:rFonts w:ascii="MinionPro-Regular" w:hAnsi="MinionPro-Regular"/>
          <w:sz w:val="24"/>
          <w:szCs w:val="24"/>
        </w:rPr>
        <w:t xml:space="preserve">una </w:t>
      </w:r>
      <w:r w:rsidRPr="008B461D">
        <w:rPr>
          <w:rFonts w:ascii="MinionPro-Regular" w:hAnsi="MinionPro-Regular"/>
          <w:sz w:val="24"/>
          <w:szCs w:val="24"/>
        </w:rPr>
        <w:t xml:space="preserve">noción fundamental en la política de integración alemana. En este </w:t>
      </w:r>
      <w:r>
        <w:rPr>
          <w:rFonts w:ascii="MinionPro-Regular" w:hAnsi="MinionPro-Regular"/>
          <w:sz w:val="24"/>
          <w:szCs w:val="24"/>
        </w:rPr>
        <w:t xml:space="preserve">sentido, tienen enorme importancia </w:t>
      </w:r>
      <w:r w:rsidRPr="008B461D">
        <w:rPr>
          <w:rFonts w:ascii="MinionPro-Regular" w:hAnsi="MinionPro-Regular"/>
          <w:sz w:val="24"/>
          <w:szCs w:val="24"/>
        </w:rPr>
        <w:t xml:space="preserve">los programas de formación profesional, cuyo principal objetivo es ofrecer a las personas con discapacidad </w:t>
      </w:r>
      <w:r>
        <w:rPr>
          <w:rFonts w:ascii="MinionPro-Regular" w:hAnsi="MinionPro-Regular"/>
          <w:sz w:val="24"/>
          <w:szCs w:val="24"/>
        </w:rPr>
        <w:t>igualdad</w:t>
      </w:r>
      <w:r w:rsidRPr="008B461D">
        <w:rPr>
          <w:rFonts w:ascii="MinionPro-Regular" w:hAnsi="MinionPro-Regular"/>
          <w:sz w:val="24"/>
          <w:szCs w:val="24"/>
        </w:rPr>
        <w:t xml:space="preserve"> de oportunidades a la hora de competir en el mercado laboral. </w:t>
      </w:r>
    </w:p>
    <w:p w:rsidR="00E2336B" w:rsidRPr="008B461D" w:rsidRDefault="00E2336B" w:rsidP="001B0EA4">
      <w:pPr>
        <w:autoSpaceDE w:val="0"/>
        <w:autoSpaceDN w:val="0"/>
        <w:spacing w:line="360" w:lineRule="auto"/>
        <w:jc w:val="both"/>
        <w:rPr>
          <w:rFonts w:ascii="MinionPro-Regular" w:hAnsi="MinionPro-Regular"/>
          <w:sz w:val="24"/>
          <w:szCs w:val="24"/>
        </w:rPr>
      </w:pPr>
    </w:p>
    <w:p w:rsidR="00E2336B" w:rsidRPr="001A6986" w:rsidRDefault="00E2336B" w:rsidP="001B0EA4">
      <w:pPr>
        <w:autoSpaceDE w:val="0"/>
        <w:autoSpaceDN w:val="0"/>
        <w:spacing w:line="360" w:lineRule="auto"/>
        <w:jc w:val="both"/>
        <w:rPr>
          <w:rFonts w:ascii="MinionPro-Regular" w:hAnsi="MinionPro-Regular"/>
          <w:sz w:val="24"/>
          <w:szCs w:val="24"/>
        </w:rPr>
      </w:pPr>
      <w:r>
        <w:rPr>
          <w:rFonts w:ascii="MinionPro-Regular" w:hAnsi="MinionPro-Regular"/>
          <w:sz w:val="24"/>
          <w:szCs w:val="24"/>
        </w:rPr>
        <w:t>Asimismo, las oficinas de empleo</w:t>
      </w:r>
      <w:r w:rsidRPr="008B461D">
        <w:rPr>
          <w:rFonts w:ascii="MinionPro-Regular" w:hAnsi="MinionPro-Regular"/>
          <w:sz w:val="24"/>
          <w:szCs w:val="24"/>
        </w:rPr>
        <w:t xml:space="preserve"> cuentan con especialistas encargados de encontrar plazas para las personas con discapacidad en empresas, </w:t>
      </w:r>
      <w:r>
        <w:rPr>
          <w:rFonts w:ascii="MinionPro-Regular" w:hAnsi="MinionPro-Regular"/>
          <w:sz w:val="24"/>
          <w:szCs w:val="24"/>
        </w:rPr>
        <w:t>analizando</w:t>
      </w:r>
      <w:r w:rsidRPr="008B461D">
        <w:rPr>
          <w:rFonts w:ascii="MinionPro-Regular" w:hAnsi="MinionPro-Regular"/>
          <w:sz w:val="24"/>
          <w:szCs w:val="24"/>
        </w:rPr>
        <w:t xml:space="preserve"> las </w:t>
      </w:r>
      <w:r>
        <w:rPr>
          <w:rFonts w:ascii="MinionPro-Regular" w:hAnsi="MinionPro-Regular"/>
          <w:sz w:val="24"/>
          <w:szCs w:val="24"/>
        </w:rPr>
        <w:t>vacantes</w:t>
      </w:r>
      <w:r w:rsidRPr="008B461D">
        <w:rPr>
          <w:rFonts w:ascii="MinionPro-Regular" w:hAnsi="MinionPro-Regular"/>
          <w:sz w:val="24"/>
          <w:szCs w:val="24"/>
        </w:rPr>
        <w:t xml:space="preserve"> disponibles y su adecuación a las posibilidades del trabajador </w:t>
      </w:r>
      <w:r>
        <w:rPr>
          <w:rFonts w:ascii="MinionPro-Regular" w:hAnsi="MinionPro-Regular"/>
          <w:sz w:val="24"/>
          <w:szCs w:val="24"/>
        </w:rPr>
        <w:t>con discapacidad</w:t>
      </w:r>
      <w:r w:rsidRPr="008B461D">
        <w:rPr>
          <w:rFonts w:ascii="MinionPro-Regular" w:hAnsi="MinionPro-Regular"/>
          <w:sz w:val="24"/>
          <w:szCs w:val="24"/>
        </w:rPr>
        <w:t>.</w:t>
      </w:r>
    </w:p>
    <w:p w:rsidR="00E2336B" w:rsidRPr="004C7C3E" w:rsidRDefault="00E2336B" w:rsidP="001B0EA4">
      <w:pPr>
        <w:autoSpaceDE w:val="0"/>
        <w:autoSpaceDN w:val="0"/>
        <w:spacing w:line="360" w:lineRule="auto"/>
        <w:jc w:val="both"/>
        <w:rPr>
          <w:rFonts w:ascii="MinionPro-Regular" w:hAnsi="MinionPro-Regular"/>
          <w:sz w:val="24"/>
          <w:szCs w:val="24"/>
        </w:rPr>
      </w:pPr>
    </w:p>
    <w:p w:rsidR="00E2336B" w:rsidRPr="00284E0E" w:rsidRDefault="00E2336B" w:rsidP="001B0EA4">
      <w:pPr>
        <w:autoSpaceDE w:val="0"/>
        <w:autoSpaceDN w:val="0"/>
        <w:spacing w:line="360" w:lineRule="auto"/>
        <w:jc w:val="both"/>
        <w:rPr>
          <w:rFonts w:ascii="MinionPro-Regular" w:hAnsi="MinionPro-Regular"/>
          <w:sz w:val="24"/>
          <w:szCs w:val="24"/>
        </w:rPr>
      </w:pPr>
      <w:r>
        <w:rPr>
          <w:rFonts w:ascii="MinionPro-Regular" w:hAnsi="MinionPro-Regular"/>
          <w:sz w:val="24"/>
          <w:szCs w:val="24"/>
        </w:rPr>
        <w:t xml:space="preserve">En </w:t>
      </w:r>
      <w:r w:rsidR="00F23441" w:rsidRPr="00F23441">
        <w:rPr>
          <w:rFonts w:ascii="MinionPro-Regular" w:hAnsi="MinionPro-Regular"/>
          <w:b/>
          <w:sz w:val="24"/>
          <w:szCs w:val="24"/>
        </w:rPr>
        <w:t>Italia</w:t>
      </w:r>
      <w:r>
        <w:rPr>
          <w:rFonts w:ascii="MinionPro-Regular" w:hAnsi="MinionPro-Regular"/>
          <w:sz w:val="24"/>
          <w:szCs w:val="24"/>
        </w:rPr>
        <w:t xml:space="preserve"> las </w:t>
      </w:r>
      <w:r>
        <w:rPr>
          <w:rFonts w:ascii="MinionPro-Regular" w:hAnsi="MinionPro-Regular"/>
          <w:sz w:val="24"/>
          <w:szCs w:val="24"/>
          <w:lang w:val="es-ES_tradnl"/>
        </w:rPr>
        <w:t>c</w:t>
      </w:r>
      <w:r w:rsidRPr="003778E9">
        <w:rPr>
          <w:rFonts w:ascii="MinionPro-Regular" w:hAnsi="MinionPro-Regular"/>
          <w:sz w:val="24"/>
          <w:szCs w:val="24"/>
          <w:lang w:val="es-ES_tradnl"/>
        </w:rPr>
        <w:t xml:space="preserve">ooperativas sociales </w:t>
      </w:r>
      <w:r>
        <w:rPr>
          <w:rFonts w:ascii="MinionPro-Regular" w:hAnsi="MinionPro-Regular"/>
          <w:sz w:val="24"/>
          <w:szCs w:val="24"/>
          <w:lang w:val="es-ES_tradnl"/>
        </w:rPr>
        <w:t xml:space="preserve">tienen como objetivo </w:t>
      </w:r>
      <w:r w:rsidRPr="00A938A7">
        <w:rPr>
          <w:rFonts w:ascii="MinionPro-Regular" w:hAnsi="MinionPro-Regular"/>
          <w:sz w:val="24"/>
          <w:szCs w:val="24"/>
          <w:lang w:val="es-ES_tradnl"/>
        </w:rPr>
        <w:t>proveer servicios sociales como la atención de los niños, los ancianos y los discapa</w:t>
      </w:r>
      <w:r>
        <w:rPr>
          <w:rFonts w:ascii="MinionPro-Regular" w:hAnsi="MinionPro-Regular"/>
          <w:sz w:val="24"/>
          <w:szCs w:val="24"/>
          <w:lang w:val="es-ES_tradnl"/>
        </w:rPr>
        <w:t xml:space="preserve">citados, y la integración laboral de las </w:t>
      </w:r>
      <w:r w:rsidRPr="00A938A7">
        <w:rPr>
          <w:rFonts w:ascii="MinionPro-Regular" w:hAnsi="MinionPro-Regular"/>
          <w:sz w:val="24"/>
          <w:szCs w:val="24"/>
          <w:lang w:val="es-ES_tradnl"/>
        </w:rPr>
        <w:t>personas</w:t>
      </w:r>
      <w:r>
        <w:rPr>
          <w:rFonts w:ascii="MinionPro-Regular" w:hAnsi="MinionPro-Regular"/>
          <w:sz w:val="24"/>
          <w:szCs w:val="24"/>
          <w:lang w:val="es-ES_tradnl"/>
        </w:rPr>
        <w:t xml:space="preserve"> desempleadas. </w:t>
      </w:r>
      <w:r w:rsidRPr="003778E9">
        <w:rPr>
          <w:rFonts w:ascii="MinionPro-Regular" w:hAnsi="MinionPro-Regular"/>
          <w:sz w:val="24"/>
          <w:szCs w:val="24"/>
          <w:lang w:val="es-ES_tradnl"/>
        </w:rPr>
        <w:t xml:space="preserve">Son organizaciones independientes que funcionan según el principio de solidaridad y de intereses mutuos. </w:t>
      </w:r>
      <w:r>
        <w:rPr>
          <w:rFonts w:ascii="MinionPro-Regular" w:hAnsi="MinionPro-Regular"/>
          <w:sz w:val="24"/>
          <w:szCs w:val="24"/>
          <w:lang w:val="es-ES_tradnl"/>
        </w:rPr>
        <w:t>D</w:t>
      </w:r>
      <w:r w:rsidRPr="003778E9">
        <w:rPr>
          <w:rFonts w:ascii="MinionPro-Regular" w:hAnsi="MinionPro-Regular"/>
          <w:sz w:val="24"/>
          <w:szCs w:val="24"/>
          <w:lang w:val="es-ES_tradnl"/>
        </w:rPr>
        <w:t>eben contratar como mínimo a un 30% de personas pertenecientes al grupo objetivo.</w:t>
      </w:r>
    </w:p>
    <w:p w:rsidR="00E2336B" w:rsidRPr="003778E9" w:rsidRDefault="00E2336B" w:rsidP="001B0EA4">
      <w:pPr>
        <w:autoSpaceDE w:val="0"/>
        <w:autoSpaceDN w:val="0"/>
        <w:spacing w:line="360" w:lineRule="auto"/>
        <w:jc w:val="both"/>
        <w:rPr>
          <w:rFonts w:ascii="MinionPro-Regular" w:hAnsi="MinionPro-Regular"/>
          <w:sz w:val="24"/>
          <w:szCs w:val="24"/>
          <w:lang w:val="es-ES_tradnl"/>
        </w:rPr>
      </w:pPr>
    </w:p>
    <w:p w:rsidR="00E2336B" w:rsidRDefault="00E2336B" w:rsidP="001B0EA4">
      <w:pPr>
        <w:autoSpaceDE w:val="0"/>
        <w:autoSpaceDN w:val="0"/>
        <w:spacing w:line="360" w:lineRule="auto"/>
        <w:jc w:val="both"/>
        <w:rPr>
          <w:rFonts w:ascii="MinionPro-Regular" w:hAnsi="MinionPro-Regular"/>
          <w:sz w:val="24"/>
          <w:szCs w:val="24"/>
          <w:lang w:val="es-ES_tradnl"/>
        </w:rPr>
      </w:pPr>
      <w:r w:rsidRPr="003778E9">
        <w:rPr>
          <w:rFonts w:ascii="MinionPro-Regular" w:hAnsi="MinionPro-Regular"/>
          <w:sz w:val="24"/>
          <w:szCs w:val="24"/>
          <w:lang w:val="es-ES_tradnl"/>
        </w:rPr>
        <w:t>Dentro de las cooperativas sociales encontramos las de integración laboral,</w:t>
      </w:r>
      <w:r>
        <w:rPr>
          <w:rFonts w:ascii="MinionPro-Regular" w:hAnsi="MinionPro-Regular"/>
          <w:sz w:val="24"/>
          <w:szCs w:val="24"/>
          <w:lang w:val="es-ES_tradnl"/>
        </w:rPr>
        <w:t xml:space="preserve"> tipo A,</w:t>
      </w:r>
      <w:r w:rsidRPr="003778E9">
        <w:rPr>
          <w:rFonts w:ascii="MinionPro-Regular" w:hAnsi="MinionPro-Regular"/>
          <w:sz w:val="24"/>
          <w:szCs w:val="24"/>
          <w:lang w:val="es-ES_tradnl"/>
        </w:rPr>
        <w:t xml:space="preserve"> que llevan a cabo actividades de producción y de servicios, donde los participantes pueden mejorar sus cualificaciones profesionales, y las cooperativas de producción integrada</w:t>
      </w:r>
      <w:r>
        <w:rPr>
          <w:rFonts w:ascii="MinionPro-Regular" w:hAnsi="MinionPro-Regular"/>
          <w:sz w:val="24"/>
          <w:szCs w:val="24"/>
          <w:lang w:val="es-ES_tradnl"/>
        </w:rPr>
        <w:t xml:space="preserve">, tipo B, </w:t>
      </w:r>
      <w:r w:rsidRPr="003778E9">
        <w:rPr>
          <w:rFonts w:ascii="MinionPro-Regular" w:hAnsi="MinionPro-Regular"/>
          <w:sz w:val="24"/>
          <w:szCs w:val="24"/>
          <w:lang w:val="es-ES_tradnl"/>
        </w:rPr>
        <w:t xml:space="preserve"> que proporcionan un empleo permanente a l</w:t>
      </w:r>
      <w:r>
        <w:rPr>
          <w:rFonts w:ascii="MinionPro-Regular" w:hAnsi="MinionPro-Regular"/>
          <w:sz w:val="24"/>
          <w:szCs w:val="24"/>
          <w:lang w:val="es-ES_tradnl"/>
        </w:rPr>
        <w:t xml:space="preserve">as </w:t>
      </w:r>
      <w:r w:rsidRPr="008B461D">
        <w:rPr>
          <w:rFonts w:ascii="MinionPro-Regular" w:hAnsi="MinionPro-Regular"/>
          <w:sz w:val="24"/>
          <w:szCs w:val="24"/>
          <w:lang w:val="es-ES_tradnl"/>
        </w:rPr>
        <w:t>personas con discapacidad</w:t>
      </w:r>
      <w:r w:rsidRPr="003778E9">
        <w:rPr>
          <w:rFonts w:ascii="MinionPro-Regular" w:hAnsi="MinionPro-Regular"/>
          <w:sz w:val="24"/>
          <w:szCs w:val="24"/>
          <w:lang w:val="es-ES_tradnl"/>
        </w:rPr>
        <w:t xml:space="preserve"> y a otros grupos desfavorecidos. </w:t>
      </w:r>
    </w:p>
    <w:p w:rsidR="00E2336B" w:rsidRDefault="00E2336B" w:rsidP="001B0EA4">
      <w:pPr>
        <w:autoSpaceDE w:val="0"/>
        <w:autoSpaceDN w:val="0"/>
        <w:spacing w:line="360" w:lineRule="auto"/>
        <w:jc w:val="both"/>
        <w:rPr>
          <w:rFonts w:ascii="MinionPro-Regular" w:hAnsi="MinionPro-Regular"/>
          <w:sz w:val="24"/>
          <w:szCs w:val="24"/>
          <w:lang w:val="es-ES_tradnl"/>
        </w:rPr>
      </w:pPr>
    </w:p>
    <w:p w:rsidR="00E2336B" w:rsidRPr="00D76A8B" w:rsidRDefault="00E2336B" w:rsidP="001B0EA4">
      <w:pPr>
        <w:autoSpaceDE w:val="0"/>
        <w:autoSpaceDN w:val="0"/>
        <w:spacing w:line="360" w:lineRule="auto"/>
        <w:jc w:val="both"/>
        <w:rPr>
          <w:rFonts w:ascii="MinionPro-Regular" w:hAnsi="MinionPro-Regular"/>
          <w:sz w:val="24"/>
          <w:szCs w:val="24"/>
        </w:rPr>
      </w:pPr>
      <w:r>
        <w:rPr>
          <w:rFonts w:ascii="MinionPro-Regular" w:hAnsi="MinionPro-Regular"/>
          <w:sz w:val="24"/>
          <w:szCs w:val="24"/>
        </w:rPr>
        <w:lastRenderedPageBreak/>
        <w:t xml:space="preserve">Según la </w:t>
      </w:r>
      <w:r w:rsidRPr="00593521">
        <w:rPr>
          <w:rFonts w:ascii="MinionPro-Regular" w:hAnsi="MinionPro-Regular"/>
          <w:sz w:val="24"/>
          <w:szCs w:val="24"/>
        </w:rPr>
        <w:t>Ley 155/2006</w:t>
      </w:r>
      <w:r>
        <w:rPr>
          <w:rFonts w:ascii="MinionPro-Regular" w:hAnsi="MinionPro-Regular"/>
          <w:sz w:val="24"/>
          <w:szCs w:val="24"/>
        </w:rPr>
        <w:t>, tanto las cooperativas como otros regímenes jurídicos</w:t>
      </w:r>
      <w:r w:rsidRPr="00593521">
        <w:rPr>
          <w:rFonts w:ascii="MinionPro-Regular" w:hAnsi="MinionPro-Regular"/>
          <w:sz w:val="24"/>
          <w:szCs w:val="24"/>
        </w:rPr>
        <w:t xml:space="preserve"> (sociedades</w:t>
      </w:r>
      <w:r>
        <w:rPr>
          <w:rFonts w:ascii="MinionPro-Regular" w:hAnsi="MinionPro-Regular"/>
          <w:sz w:val="24"/>
          <w:szCs w:val="24"/>
        </w:rPr>
        <w:t xml:space="preserve"> anónimas y </w:t>
      </w:r>
      <w:r w:rsidRPr="00593521">
        <w:rPr>
          <w:rFonts w:ascii="MinionPro-Regular" w:hAnsi="MinionPro-Regular"/>
          <w:sz w:val="24"/>
          <w:szCs w:val="24"/>
        </w:rPr>
        <w:t>organizaciones sin fines de lucro, con exclusión de las entidades públicas)</w:t>
      </w:r>
      <w:r>
        <w:rPr>
          <w:rFonts w:ascii="MinionPro-Regular" w:hAnsi="MinionPro-Regular"/>
          <w:sz w:val="24"/>
          <w:szCs w:val="24"/>
        </w:rPr>
        <w:t xml:space="preserve"> </w:t>
      </w:r>
      <w:r w:rsidRPr="00593521">
        <w:rPr>
          <w:rFonts w:ascii="MinionPro-Regular" w:hAnsi="MinionPro-Regular"/>
          <w:sz w:val="24"/>
          <w:szCs w:val="24"/>
        </w:rPr>
        <w:t>pueden establecer una empresa social</w:t>
      </w:r>
      <w:r>
        <w:rPr>
          <w:rFonts w:ascii="MinionPro-Regular" w:hAnsi="MinionPro-Regular"/>
          <w:sz w:val="24"/>
          <w:szCs w:val="24"/>
        </w:rPr>
        <w:t>.</w:t>
      </w:r>
    </w:p>
    <w:p w:rsidR="00E2336B" w:rsidRDefault="00E2336B" w:rsidP="001B0EA4">
      <w:pPr>
        <w:autoSpaceDE w:val="0"/>
        <w:autoSpaceDN w:val="0"/>
        <w:spacing w:line="360" w:lineRule="auto"/>
        <w:jc w:val="both"/>
        <w:rPr>
          <w:rFonts w:ascii="MinionPro-Regular" w:hAnsi="MinionPro-Regular"/>
          <w:sz w:val="24"/>
          <w:szCs w:val="24"/>
          <w:lang w:val="es-ES_tradnl"/>
        </w:rPr>
      </w:pPr>
    </w:p>
    <w:p w:rsidR="00E2336B" w:rsidRDefault="00E2336B" w:rsidP="001B0EA4">
      <w:pPr>
        <w:autoSpaceDE w:val="0"/>
        <w:autoSpaceDN w:val="0"/>
        <w:spacing w:line="360" w:lineRule="auto"/>
        <w:jc w:val="both"/>
        <w:rPr>
          <w:rFonts w:ascii="MinionPro-Regular" w:hAnsi="MinionPro-Regular"/>
          <w:sz w:val="24"/>
          <w:szCs w:val="24"/>
        </w:rPr>
      </w:pPr>
      <w:r>
        <w:rPr>
          <w:rFonts w:ascii="MinionPro-Regular" w:hAnsi="MinionPro-Regular"/>
          <w:sz w:val="24"/>
          <w:szCs w:val="24"/>
        </w:rPr>
        <w:t>Estas c</w:t>
      </w:r>
      <w:r w:rsidRPr="00F14D94">
        <w:rPr>
          <w:rFonts w:ascii="MinionPro-Regular" w:hAnsi="MinionPro-Regular"/>
          <w:sz w:val="24"/>
          <w:szCs w:val="24"/>
        </w:rPr>
        <w:t xml:space="preserve">ooperativas </w:t>
      </w:r>
      <w:r>
        <w:rPr>
          <w:rFonts w:ascii="MinionPro-Regular" w:hAnsi="MinionPro-Regular"/>
          <w:sz w:val="24"/>
          <w:szCs w:val="24"/>
        </w:rPr>
        <w:t xml:space="preserve">han tenido éxito en Italia debido a que existe una estructura que las soporta y que incluye </w:t>
      </w:r>
      <w:r w:rsidRPr="00F14D94">
        <w:rPr>
          <w:rFonts w:ascii="MinionPro-Regular" w:hAnsi="MinionPro-Regular"/>
          <w:sz w:val="24"/>
          <w:szCs w:val="24"/>
        </w:rPr>
        <w:t xml:space="preserve"> </w:t>
      </w:r>
      <w:r>
        <w:rPr>
          <w:rFonts w:ascii="MinionPro-Regular" w:hAnsi="MinionPro-Regular"/>
          <w:sz w:val="24"/>
          <w:szCs w:val="24"/>
        </w:rPr>
        <w:t xml:space="preserve">la </w:t>
      </w:r>
      <w:r w:rsidRPr="00F14D94">
        <w:rPr>
          <w:rFonts w:ascii="MinionPro-Regular" w:hAnsi="MinionPro-Regular"/>
          <w:sz w:val="24"/>
          <w:szCs w:val="24"/>
        </w:rPr>
        <w:t>co</w:t>
      </w:r>
      <w:r>
        <w:rPr>
          <w:rFonts w:ascii="MinionPro-Regular" w:hAnsi="MinionPro-Regular"/>
          <w:sz w:val="24"/>
          <w:szCs w:val="24"/>
        </w:rPr>
        <w:t xml:space="preserve">ntratación pública preferencial, un </w:t>
      </w:r>
      <w:r w:rsidRPr="00F14D94">
        <w:rPr>
          <w:rFonts w:ascii="MinionPro-Regular" w:hAnsi="MinionPro-Regular"/>
          <w:sz w:val="24"/>
          <w:szCs w:val="24"/>
        </w:rPr>
        <w:t>reconocimiento legal</w:t>
      </w:r>
      <w:r>
        <w:rPr>
          <w:rFonts w:ascii="MinionPro-Regular" w:hAnsi="MinionPro-Regular"/>
          <w:sz w:val="24"/>
          <w:szCs w:val="24"/>
        </w:rPr>
        <w:t xml:space="preserve">, un régimen fiscal beneficioso, </w:t>
      </w:r>
      <w:r w:rsidRPr="00F14D94">
        <w:rPr>
          <w:rFonts w:ascii="MinionPro-Regular" w:hAnsi="MinionPro-Regular"/>
          <w:sz w:val="24"/>
          <w:szCs w:val="24"/>
        </w:rPr>
        <w:t>derechos legales de las empresas para apoya</w:t>
      </w:r>
      <w:r>
        <w:rPr>
          <w:rFonts w:ascii="MinionPro-Regular" w:hAnsi="MinionPro-Regular"/>
          <w:sz w:val="24"/>
          <w:szCs w:val="24"/>
        </w:rPr>
        <w:t xml:space="preserve">r a las personas desfavorecidas, </w:t>
      </w:r>
      <w:r w:rsidRPr="00F14D94">
        <w:rPr>
          <w:rFonts w:ascii="MinionPro-Regular" w:hAnsi="MinionPro-Regular"/>
          <w:sz w:val="24"/>
          <w:szCs w:val="24"/>
        </w:rPr>
        <w:t>consorcios que prestan asiste</w:t>
      </w:r>
      <w:r>
        <w:rPr>
          <w:rFonts w:ascii="MinionPro-Regular" w:hAnsi="MinionPro-Regular"/>
          <w:sz w:val="24"/>
          <w:szCs w:val="24"/>
        </w:rPr>
        <w:t xml:space="preserve">ncia social de las cooperativas y la </w:t>
      </w:r>
      <w:r w:rsidRPr="00F14D94">
        <w:rPr>
          <w:rFonts w:ascii="MinionPro-Regular" w:hAnsi="MinionPro-Regular"/>
          <w:sz w:val="24"/>
          <w:szCs w:val="24"/>
        </w:rPr>
        <w:t>disponibilidad de fi</w:t>
      </w:r>
      <w:r>
        <w:rPr>
          <w:rFonts w:ascii="MinionPro-Regular" w:hAnsi="MinionPro-Regular"/>
          <w:sz w:val="24"/>
          <w:szCs w:val="24"/>
        </w:rPr>
        <w:t>nanciación en términos ventajosos</w:t>
      </w:r>
      <w:r>
        <w:rPr>
          <w:rStyle w:val="Refdenotaalpie"/>
          <w:rFonts w:ascii="MinionPro-Regular" w:hAnsi="MinionPro-Regular"/>
          <w:sz w:val="24"/>
          <w:szCs w:val="24"/>
        </w:rPr>
        <w:footnoteReference w:id="37"/>
      </w:r>
      <w:r w:rsidRPr="00F14D94">
        <w:rPr>
          <w:rFonts w:ascii="MinionPro-Regular" w:hAnsi="MinionPro-Regular"/>
          <w:sz w:val="24"/>
          <w:szCs w:val="24"/>
        </w:rPr>
        <w:t>.</w:t>
      </w:r>
      <w:r>
        <w:rPr>
          <w:rFonts w:ascii="MinionPro-Regular" w:hAnsi="MinionPro-Regular"/>
          <w:sz w:val="24"/>
          <w:szCs w:val="24"/>
        </w:rPr>
        <w:t xml:space="preserve"> Por ejemplo, pueden eximirse de </w:t>
      </w:r>
      <w:r w:rsidRPr="00593521">
        <w:rPr>
          <w:rFonts w:ascii="MinionPro-Regular" w:hAnsi="MinionPro-Regular"/>
          <w:sz w:val="24"/>
          <w:szCs w:val="24"/>
        </w:rPr>
        <w:t xml:space="preserve">contribuciones a la seguridad </w:t>
      </w:r>
      <w:r>
        <w:rPr>
          <w:rFonts w:ascii="MinionPro-Regular" w:hAnsi="MinionPro-Regular"/>
          <w:sz w:val="24"/>
          <w:szCs w:val="24"/>
        </w:rPr>
        <w:t xml:space="preserve">social, </w:t>
      </w:r>
      <w:r w:rsidRPr="00593521">
        <w:rPr>
          <w:rFonts w:ascii="MinionPro-Regular" w:hAnsi="MinionPro-Regular"/>
          <w:sz w:val="24"/>
          <w:szCs w:val="24"/>
        </w:rPr>
        <w:t>que representan alrededor del 33% del costo de la mano de obra</w:t>
      </w:r>
      <w:r>
        <w:rPr>
          <w:rFonts w:ascii="MinionPro-Regular" w:hAnsi="MinionPro-Regular"/>
          <w:sz w:val="24"/>
          <w:szCs w:val="24"/>
        </w:rPr>
        <w:t>, pero</w:t>
      </w:r>
      <w:r w:rsidRPr="00593521">
        <w:rPr>
          <w:rFonts w:ascii="MinionPro-Regular" w:hAnsi="MinionPro-Regular"/>
          <w:sz w:val="24"/>
          <w:szCs w:val="24"/>
        </w:rPr>
        <w:t xml:space="preserve"> sólo para los trabajadores con discapacidad</w:t>
      </w:r>
      <w:r>
        <w:rPr>
          <w:rFonts w:ascii="MinionPro-Regular" w:hAnsi="MinionPro-Regular"/>
          <w:sz w:val="24"/>
          <w:szCs w:val="24"/>
        </w:rPr>
        <w:t>.</w:t>
      </w:r>
    </w:p>
    <w:p w:rsidR="00E2336B" w:rsidRPr="003778E9" w:rsidRDefault="00E2336B" w:rsidP="001B0EA4">
      <w:pPr>
        <w:autoSpaceDE w:val="0"/>
        <w:autoSpaceDN w:val="0"/>
        <w:spacing w:line="360" w:lineRule="auto"/>
        <w:jc w:val="both"/>
        <w:rPr>
          <w:rFonts w:ascii="MinionPro-Regular" w:hAnsi="MinionPro-Regular"/>
          <w:sz w:val="24"/>
          <w:szCs w:val="24"/>
          <w:lang w:val="es-ES_tradnl"/>
        </w:rPr>
      </w:pPr>
    </w:p>
    <w:p w:rsidR="00E2336B" w:rsidRDefault="00E2336B" w:rsidP="001B0EA4">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Por último, e</w:t>
      </w:r>
      <w:r w:rsidRPr="003778E9">
        <w:rPr>
          <w:rFonts w:ascii="MinionPro-Regular" w:hAnsi="MinionPro-Regular"/>
          <w:sz w:val="24"/>
          <w:szCs w:val="24"/>
          <w:lang w:val="es-ES_tradnl"/>
        </w:rPr>
        <w:t xml:space="preserve">n </w:t>
      </w:r>
      <w:r w:rsidR="00F23441" w:rsidRPr="00F23441">
        <w:rPr>
          <w:rFonts w:ascii="MinionPro-Regular" w:hAnsi="MinionPro-Regular"/>
          <w:b/>
          <w:sz w:val="24"/>
          <w:szCs w:val="24"/>
          <w:lang w:val="es-ES_tradnl"/>
        </w:rPr>
        <w:t>Suecia</w:t>
      </w:r>
      <w:r w:rsidRPr="003778E9">
        <w:rPr>
          <w:rFonts w:ascii="MinionPro-Regular" w:hAnsi="MinionPro-Regular"/>
          <w:sz w:val="24"/>
          <w:szCs w:val="24"/>
          <w:lang w:val="es-ES_tradnl"/>
        </w:rPr>
        <w:t xml:space="preserve">, </w:t>
      </w:r>
      <w:r>
        <w:rPr>
          <w:rFonts w:ascii="MinionPro-Regular" w:hAnsi="MinionPro-Regular"/>
          <w:sz w:val="24"/>
          <w:szCs w:val="24"/>
          <w:lang w:val="es-ES_tradnl"/>
        </w:rPr>
        <w:t>e</w:t>
      </w:r>
      <w:r w:rsidRPr="00B10D85">
        <w:rPr>
          <w:rFonts w:ascii="MinionPro-Regular" w:hAnsi="MinionPro-Regular"/>
          <w:sz w:val="24"/>
          <w:szCs w:val="24"/>
          <w:lang w:val="es-ES_tradnl"/>
        </w:rPr>
        <w:t>l programa de empleo con apoyo</w:t>
      </w:r>
      <w:r w:rsidR="00332846" w:rsidRPr="00BF7F16">
        <w:rPr>
          <w:rFonts w:ascii="MinionPro-Regular" w:hAnsi="MinionPro-Regular"/>
          <w:color w:val="4F81BD" w:themeColor="accent1"/>
          <w:sz w:val="24"/>
          <w:szCs w:val="24"/>
          <w:lang w:val="es-ES_tradnl"/>
        </w:rPr>
        <w:t xml:space="preserve">, </w:t>
      </w:r>
      <w:r w:rsidR="00F724E7" w:rsidRPr="007A408D">
        <w:rPr>
          <w:rFonts w:ascii="MinionPro-Regular" w:hAnsi="MinionPro-Regular"/>
          <w:sz w:val="24"/>
          <w:szCs w:val="24"/>
          <w:lang w:val="es-ES_tradnl"/>
        </w:rPr>
        <w:t xml:space="preserve">diferente </w:t>
      </w:r>
      <w:r w:rsidR="007A408D">
        <w:rPr>
          <w:rFonts w:ascii="MinionPro-Regular" w:hAnsi="MinionPro-Regular"/>
          <w:sz w:val="24"/>
          <w:szCs w:val="24"/>
          <w:lang w:val="es-ES_tradnl"/>
        </w:rPr>
        <w:t>a</w:t>
      </w:r>
      <w:r w:rsidR="00F724E7" w:rsidRPr="007A408D">
        <w:rPr>
          <w:rFonts w:ascii="MinionPro-Regular" w:hAnsi="MinionPro-Regular"/>
          <w:sz w:val="24"/>
          <w:szCs w:val="24"/>
          <w:lang w:val="es-ES_tradnl"/>
        </w:rPr>
        <w:t xml:space="preserve"> la figura de los CEE en España,</w:t>
      </w:r>
      <w:r w:rsidRPr="00B10D85">
        <w:rPr>
          <w:rFonts w:ascii="MinionPro-Regular" w:hAnsi="MinionPro-Regular"/>
          <w:sz w:val="24"/>
          <w:szCs w:val="24"/>
          <w:lang w:val="es-ES_tradnl"/>
        </w:rPr>
        <w:t xml:space="preserve"> comienza con el </w:t>
      </w:r>
      <w:r>
        <w:rPr>
          <w:rFonts w:ascii="MinionPro-Regular" w:hAnsi="MinionPro-Regular"/>
          <w:sz w:val="24"/>
          <w:szCs w:val="24"/>
          <w:lang w:val="es-ES_tradnl"/>
        </w:rPr>
        <w:t>soporte</w:t>
      </w:r>
      <w:r w:rsidRPr="00B10D85">
        <w:rPr>
          <w:rFonts w:ascii="MinionPro-Regular" w:hAnsi="MinionPro-Regular"/>
          <w:sz w:val="24"/>
          <w:szCs w:val="24"/>
          <w:lang w:val="es-ES_tradnl"/>
        </w:rPr>
        <w:t xml:space="preserve"> </w:t>
      </w:r>
      <w:r>
        <w:rPr>
          <w:rFonts w:ascii="MinionPro-Regular" w:hAnsi="MinionPro-Regular"/>
          <w:sz w:val="24"/>
          <w:szCs w:val="24"/>
          <w:lang w:val="es-ES_tradnl"/>
        </w:rPr>
        <w:t>a los demandantes de empleo y continúa con el período de adaptación al puesto de trabajo, teniendo en cuenta tanto al empleado como al empleador. Este programa es de aplicación para</w:t>
      </w:r>
      <w:r w:rsidRPr="00B10D85">
        <w:rPr>
          <w:rFonts w:ascii="MinionPro-Regular" w:hAnsi="MinionPro-Regular"/>
          <w:sz w:val="24"/>
          <w:szCs w:val="24"/>
          <w:lang w:val="es-ES_tradnl"/>
        </w:rPr>
        <w:t xml:space="preserve"> </w:t>
      </w:r>
      <w:r>
        <w:rPr>
          <w:rFonts w:ascii="MinionPro-Regular" w:hAnsi="MinionPro-Regular"/>
          <w:sz w:val="24"/>
          <w:szCs w:val="24"/>
          <w:lang w:val="es-ES_tradnl"/>
        </w:rPr>
        <w:t>las personas con discapacidad que no están en condiciones de acceder al mercado abierto.</w:t>
      </w:r>
      <w:r w:rsidRPr="00B10D85">
        <w:rPr>
          <w:rFonts w:ascii="MinionPro-Regular" w:hAnsi="MinionPro-Regular"/>
          <w:sz w:val="24"/>
          <w:szCs w:val="24"/>
          <w:lang w:val="es-ES_tradnl"/>
        </w:rPr>
        <w:t xml:space="preserve"> El esquema es similar a un plan de empleo con apoyo </w:t>
      </w:r>
      <w:r>
        <w:rPr>
          <w:rFonts w:ascii="MinionPro-Regular" w:hAnsi="MinionPro-Regular"/>
          <w:sz w:val="24"/>
          <w:szCs w:val="24"/>
          <w:lang w:val="es-ES_tradnl"/>
        </w:rPr>
        <w:t>que</w:t>
      </w:r>
      <w:r w:rsidRPr="00B10D85">
        <w:rPr>
          <w:rFonts w:ascii="MinionPro-Regular" w:hAnsi="MinionPro-Regular"/>
          <w:sz w:val="24"/>
          <w:szCs w:val="24"/>
          <w:lang w:val="es-ES_tradnl"/>
        </w:rPr>
        <w:t xml:space="preserve"> permite que el empleador reciba un alto nivel de subsidios de asistencia personal, apoyo y salarios sin limitación de tiempo.</w:t>
      </w:r>
      <w:r>
        <w:rPr>
          <w:rFonts w:ascii="MinionPro-Regular" w:hAnsi="MinionPro-Regular"/>
          <w:sz w:val="24"/>
          <w:szCs w:val="24"/>
          <w:lang w:val="es-ES_tradnl"/>
        </w:rPr>
        <w:t xml:space="preserve"> Además existe una </w:t>
      </w:r>
      <w:r w:rsidRPr="00B10D85">
        <w:rPr>
          <w:rFonts w:ascii="MinionPro-Regular" w:hAnsi="MinionPro-Regular"/>
          <w:sz w:val="24"/>
          <w:szCs w:val="24"/>
          <w:lang w:val="es-ES_tradnl"/>
        </w:rPr>
        <w:t xml:space="preserve">subvención específica disponible para el empleo protegido en el sector público. </w:t>
      </w:r>
      <w:r>
        <w:rPr>
          <w:rFonts w:ascii="MinionPro-Regular" w:hAnsi="MinionPro-Regular"/>
          <w:sz w:val="24"/>
          <w:szCs w:val="24"/>
          <w:lang w:val="es-ES_tradnl"/>
        </w:rPr>
        <w:t>A</w:t>
      </w:r>
      <w:r w:rsidRPr="003778E9">
        <w:rPr>
          <w:rFonts w:ascii="MinionPro-Regular" w:hAnsi="MinionPro-Regular"/>
          <w:sz w:val="24"/>
          <w:szCs w:val="24"/>
          <w:lang w:val="es-ES_tradnl"/>
        </w:rPr>
        <w:t>l menos el 40% de los trabajador</w:t>
      </w:r>
      <w:r>
        <w:rPr>
          <w:rFonts w:ascii="MinionPro-Regular" w:hAnsi="MinionPro-Regular"/>
          <w:sz w:val="24"/>
          <w:szCs w:val="24"/>
          <w:lang w:val="es-ES_tradnl"/>
        </w:rPr>
        <w:t xml:space="preserve">es de empleos </w:t>
      </w:r>
      <w:r w:rsidRPr="003778E9">
        <w:rPr>
          <w:rFonts w:ascii="MinionPro-Regular" w:hAnsi="MinionPro-Regular"/>
          <w:sz w:val="24"/>
          <w:szCs w:val="24"/>
          <w:lang w:val="es-ES_tradnl"/>
        </w:rPr>
        <w:t>protegidos deben ser pers</w:t>
      </w:r>
      <w:r>
        <w:rPr>
          <w:rFonts w:ascii="MinionPro-Regular" w:hAnsi="MinionPro-Regular"/>
          <w:sz w:val="24"/>
          <w:szCs w:val="24"/>
          <w:lang w:val="es-ES_tradnl"/>
        </w:rPr>
        <w:t xml:space="preserve">onas con discapacidades graves, </w:t>
      </w:r>
      <w:r w:rsidRPr="003778E9">
        <w:rPr>
          <w:rFonts w:ascii="MinionPro-Regular" w:hAnsi="MinionPro-Regular"/>
          <w:sz w:val="24"/>
          <w:szCs w:val="24"/>
          <w:lang w:val="es-ES_tradnl"/>
        </w:rPr>
        <w:t xml:space="preserve">superior </w:t>
      </w:r>
      <w:r>
        <w:rPr>
          <w:rFonts w:ascii="MinionPro-Regular" w:hAnsi="MinionPro-Regular"/>
          <w:sz w:val="24"/>
          <w:szCs w:val="24"/>
          <w:lang w:val="es-ES_tradnl"/>
        </w:rPr>
        <w:t>al 50%.</w:t>
      </w:r>
    </w:p>
    <w:p w:rsidR="00E2336B" w:rsidRPr="003778E9" w:rsidRDefault="00E2336B" w:rsidP="001B0EA4">
      <w:pPr>
        <w:autoSpaceDE w:val="0"/>
        <w:autoSpaceDN w:val="0"/>
        <w:spacing w:line="360" w:lineRule="auto"/>
        <w:jc w:val="both"/>
        <w:rPr>
          <w:rFonts w:ascii="MinionPro-Regular" w:hAnsi="MinionPro-Regular"/>
          <w:sz w:val="24"/>
          <w:szCs w:val="24"/>
          <w:lang w:val="es-ES_tradnl"/>
        </w:rPr>
      </w:pPr>
    </w:p>
    <w:p w:rsidR="00E2336B" w:rsidRDefault="00E2336B" w:rsidP="001B0EA4">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rPr>
        <w:lastRenderedPageBreak/>
        <w:t xml:space="preserve">Samhall, </w:t>
      </w:r>
      <w:r w:rsidRPr="00774493">
        <w:rPr>
          <w:rFonts w:ascii="MinionPro-Regular" w:hAnsi="MinionPro-Regular"/>
          <w:sz w:val="24"/>
          <w:szCs w:val="24"/>
        </w:rPr>
        <w:t xml:space="preserve">una empresa de propiedad estatal </w:t>
      </w:r>
      <w:r>
        <w:rPr>
          <w:rFonts w:ascii="MinionPro-Regular" w:hAnsi="MinionPro-Regular"/>
          <w:sz w:val="24"/>
          <w:szCs w:val="24"/>
        </w:rPr>
        <w:t>cuyo objetivo es</w:t>
      </w:r>
      <w:r w:rsidRPr="00774493">
        <w:rPr>
          <w:rFonts w:ascii="MinionPro-Regular" w:hAnsi="MinionPro-Regular"/>
          <w:sz w:val="24"/>
          <w:szCs w:val="24"/>
        </w:rPr>
        <w:t xml:space="preserve"> proporcionar </w:t>
      </w:r>
      <w:r>
        <w:rPr>
          <w:rFonts w:ascii="MinionPro-Regular" w:hAnsi="MinionPro-Regular"/>
          <w:sz w:val="24"/>
          <w:szCs w:val="24"/>
        </w:rPr>
        <w:t xml:space="preserve">un </w:t>
      </w:r>
      <w:r w:rsidRPr="00774493">
        <w:rPr>
          <w:rFonts w:ascii="MinionPro-Regular" w:hAnsi="MinionPro-Regular"/>
          <w:sz w:val="24"/>
          <w:szCs w:val="24"/>
        </w:rPr>
        <w:t>trabajo que contribuy</w:t>
      </w:r>
      <w:r>
        <w:rPr>
          <w:rFonts w:ascii="MinionPro-Regular" w:hAnsi="MinionPro-Regular"/>
          <w:sz w:val="24"/>
          <w:szCs w:val="24"/>
        </w:rPr>
        <w:t>a</w:t>
      </w:r>
      <w:r w:rsidRPr="00774493">
        <w:rPr>
          <w:rFonts w:ascii="MinionPro-Regular" w:hAnsi="MinionPro-Regular"/>
          <w:sz w:val="24"/>
          <w:szCs w:val="24"/>
        </w:rPr>
        <w:t xml:space="preserve"> al desarrollo personal de las personas con discapacidad</w:t>
      </w:r>
      <w:r>
        <w:rPr>
          <w:rStyle w:val="Refdenotaalpie"/>
          <w:rFonts w:ascii="MinionPro-Regular" w:hAnsi="MinionPro-Regular"/>
          <w:sz w:val="24"/>
          <w:szCs w:val="24"/>
          <w:lang w:val="es-ES_tradnl"/>
        </w:rPr>
        <w:footnoteReference w:id="38"/>
      </w:r>
      <w:r w:rsidRPr="003778E9">
        <w:rPr>
          <w:rFonts w:ascii="MinionPro-Regular" w:hAnsi="MinionPro-Regular"/>
          <w:sz w:val="24"/>
          <w:szCs w:val="24"/>
          <w:lang w:val="es-ES_tradnl"/>
        </w:rPr>
        <w:t xml:space="preserve"> constituye el sector de empleo protegido en Suecia</w:t>
      </w:r>
      <w:r w:rsidR="00332846">
        <w:rPr>
          <w:rFonts w:ascii="MinionPro-Regular" w:hAnsi="MinionPro-Regular"/>
          <w:sz w:val="24"/>
          <w:szCs w:val="24"/>
          <w:lang w:val="es-ES_tradnl"/>
        </w:rPr>
        <w:t xml:space="preserve">. </w:t>
      </w:r>
      <w:r w:rsidR="00F724E7" w:rsidRPr="007A408D">
        <w:rPr>
          <w:rFonts w:ascii="MinionPro-Regular" w:hAnsi="MinionPro-Regular"/>
          <w:sz w:val="24"/>
          <w:szCs w:val="24"/>
          <w:lang w:val="es-ES_tradnl"/>
        </w:rPr>
        <w:t>Es una figura muy similar a los CEE en España con la singularidad de que son públicos.</w:t>
      </w:r>
      <w:r>
        <w:rPr>
          <w:rFonts w:ascii="MinionPro-Regular" w:hAnsi="MinionPro-Regular"/>
          <w:color w:val="FF0000"/>
          <w:sz w:val="24"/>
          <w:szCs w:val="24"/>
          <w:lang w:val="es-ES_tradnl"/>
        </w:rPr>
        <w:t xml:space="preserve"> </w:t>
      </w:r>
      <w:r>
        <w:rPr>
          <w:rFonts w:ascii="MinionPro-Regular" w:hAnsi="MinionPro-Regular"/>
          <w:sz w:val="24"/>
          <w:szCs w:val="24"/>
          <w:lang w:val="es-ES_tradnl"/>
        </w:rPr>
        <w:t>Comprende</w:t>
      </w:r>
      <w:r w:rsidRPr="003778E9">
        <w:rPr>
          <w:rFonts w:ascii="MinionPro-Regular" w:hAnsi="MinionPro-Regular"/>
          <w:sz w:val="24"/>
          <w:szCs w:val="24"/>
          <w:lang w:val="es-ES_tradnl"/>
        </w:rPr>
        <w:t xml:space="preserve"> la sociedad </w:t>
      </w:r>
      <w:r>
        <w:rPr>
          <w:rFonts w:ascii="MinionPro-Regular" w:hAnsi="MinionPro-Regular"/>
          <w:sz w:val="24"/>
          <w:szCs w:val="24"/>
          <w:lang w:val="es-ES_tradnl"/>
        </w:rPr>
        <w:t>matriz</w:t>
      </w:r>
      <w:r w:rsidRPr="003778E9">
        <w:rPr>
          <w:rFonts w:ascii="MinionPro-Regular" w:hAnsi="MinionPro-Regular"/>
          <w:sz w:val="24"/>
          <w:szCs w:val="24"/>
          <w:lang w:val="es-ES_tradnl"/>
        </w:rPr>
        <w:t xml:space="preserve">, 24 filiales y unos 80 </w:t>
      </w:r>
      <w:r>
        <w:rPr>
          <w:rFonts w:ascii="MinionPro-Regular" w:hAnsi="MinionPro-Regular"/>
          <w:sz w:val="24"/>
          <w:szCs w:val="24"/>
          <w:lang w:val="es-ES_tradnl"/>
        </w:rPr>
        <w:t>centros</w:t>
      </w:r>
      <w:r w:rsidRPr="003778E9">
        <w:rPr>
          <w:rFonts w:ascii="MinionPro-Regular" w:hAnsi="MinionPro-Regular"/>
          <w:sz w:val="24"/>
          <w:szCs w:val="24"/>
          <w:lang w:val="es-ES_tradnl"/>
        </w:rPr>
        <w:t xml:space="preserve"> de trabajo autónomos o bien integrados en otros servicios públicos</w:t>
      </w:r>
      <w:r>
        <w:rPr>
          <w:rFonts w:ascii="MinionPro-Regular" w:hAnsi="MinionPro-Regular"/>
          <w:sz w:val="24"/>
          <w:szCs w:val="24"/>
          <w:lang w:val="es-ES_tradnl"/>
        </w:rPr>
        <w:t xml:space="preserve">.  </w:t>
      </w:r>
      <w:r w:rsidRPr="003778E9">
        <w:rPr>
          <w:rFonts w:ascii="MinionPro-Regular" w:hAnsi="MinionPro-Regular"/>
          <w:sz w:val="24"/>
          <w:szCs w:val="24"/>
          <w:lang w:val="es-ES_tradnl"/>
        </w:rPr>
        <w:t>En estos centros, los empleados tienen salarios, ventajas y derechos sociales equiparables al resto de trabajadores en Suecia. Uno de los objetivos principales es favorecer la transición de estos empleados hacia las empresas convencionales</w:t>
      </w:r>
      <w:r>
        <w:rPr>
          <w:rFonts w:ascii="MinionPro-Regular" w:hAnsi="MinionPro-Regular"/>
          <w:sz w:val="24"/>
          <w:szCs w:val="24"/>
          <w:lang w:val="es-ES_tradnl"/>
        </w:rPr>
        <w:t>. Su índice de transición</w:t>
      </w:r>
      <w:r w:rsidRPr="003778E9">
        <w:rPr>
          <w:rFonts w:ascii="MinionPro-Regular" w:hAnsi="MinionPro-Regular"/>
          <w:sz w:val="24"/>
          <w:szCs w:val="24"/>
          <w:lang w:val="es-ES_tradnl"/>
        </w:rPr>
        <w:t xml:space="preserve"> es </w:t>
      </w:r>
      <w:r>
        <w:rPr>
          <w:rFonts w:ascii="MinionPro-Regular" w:hAnsi="MinionPro-Regular"/>
          <w:sz w:val="24"/>
          <w:szCs w:val="24"/>
          <w:lang w:val="es-ES_tradnl"/>
        </w:rPr>
        <w:t xml:space="preserve">aproximadamente </w:t>
      </w:r>
      <w:r w:rsidRPr="003778E9">
        <w:rPr>
          <w:rFonts w:ascii="MinionPro-Regular" w:hAnsi="MinionPro-Regular"/>
          <w:sz w:val="24"/>
          <w:szCs w:val="24"/>
          <w:lang w:val="es-ES_tradnl"/>
        </w:rPr>
        <w:t>del 3 al 6% cada año.</w:t>
      </w:r>
    </w:p>
    <w:p w:rsidR="00E2336B" w:rsidRDefault="00E2336B" w:rsidP="001B0EA4">
      <w:pPr>
        <w:autoSpaceDE w:val="0"/>
        <w:autoSpaceDN w:val="0"/>
        <w:spacing w:line="360" w:lineRule="auto"/>
        <w:jc w:val="both"/>
        <w:rPr>
          <w:rFonts w:ascii="MinionPro-Regular" w:hAnsi="MinionPro-Regular"/>
          <w:sz w:val="24"/>
          <w:szCs w:val="24"/>
          <w:lang w:val="es-ES_tradnl"/>
        </w:rPr>
      </w:pPr>
    </w:p>
    <w:p w:rsidR="003737D2" w:rsidRDefault="00E2336B" w:rsidP="001B0EA4">
      <w:pPr>
        <w:autoSpaceDE w:val="0"/>
        <w:autoSpaceDN w:val="0"/>
        <w:spacing w:line="360" w:lineRule="auto"/>
        <w:jc w:val="both"/>
        <w:rPr>
          <w:rFonts w:ascii="MinionPro-Regular" w:hAnsi="MinionPro-Regular"/>
          <w:sz w:val="24"/>
          <w:szCs w:val="24"/>
        </w:rPr>
      </w:pPr>
      <w:r>
        <w:rPr>
          <w:rFonts w:ascii="MinionPro-Regular" w:hAnsi="MinionPro-Regular"/>
          <w:sz w:val="24"/>
          <w:szCs w:val="24"/>
        </w:rPr>
        <w:t>Samhall p</w:t>
      </w:r>
      <w:r w:rsidRPr="00774493">
        <w:rPr>
          <w:rFonts w:ascii="MinionPro-Regular" w:hAnsi="MinionPro-Regular"/>
          <w:sz w:val="24"/>
          <w:szCs w:val="24"/>
        </w:rPr>
        <w:t>rovee servi</w:t>
      </w:r>
      <w:r>
        <w:rPr>
          <w:rFonts w:ascii="MinionPro-Regular" w:hAnsi="MinionPro-Regular"/>
          <w:sz w:val="24"/>
          <w:szCs w:val="24"/>
        </w:rPr>
        <w:t xml:space="preserve">cios y productos </w:t>
      </w:r>
      <w:r w:rsidRPr="00774493">
        <w:rPr>
          <w:rFonts w:ascii="MinionPro-Regular" w:hAnsi="MinionPro-Regular"/>
          <w:sz w:val="24"/>
          <w:szCs w:val="24"/>
        </w:rPr>
        <w:t xml:space="preserve">en </w:t>
      </w:r>
      <w:r>
        <w:rPr>
          <w:rFonts w:ascii="MinionPro-Regular" w:hAnsi="MinionPro-Regular"/>
          <w:sz w:val="24"/>
          <w:szCs w:val="24"/>
        </w:rPr>
        <w:t>sectores como la</w:t>
      </w:r>
      <w:r w:rsidRPr="00774493">
        <w:rPr>
          <w:rFonts w:ascii="MinionPro-Regular" w:hAnsi="MinionPro-Regular"/>
          <w:sz w:val="24"/>
          <w:szCs w:val="24"/>
        </w:rPr>
        <w:t xml:space="preserve"> fabricación, montaje y embalaje, almacenaje y logística, suelo y mantenimiento de la propiedad, limpieza, así como servi</w:t>
      </w:r>
      <w:r>
        <w:rPr>
          <w:rFonts w:ascii="MinionPro-Regular" w:hAnsi="MinionPro-Regular"/>
          <w:sz w:val="24"/>
          <w:szCs w:val="24"/>
        </w:rPr>
        <w:t>cios para las personas mayores. E</w:t>
      </w:r>
      <w:r w:rsidRPr="00774493">
        <w:rPr>
          <w:rFonts w:ascii="MinionPro-Regular" w:hAnsi="MinionPro-Regular"/>
          <w:sz w:val="24"/>
          <w:szCs w:val="24"/>
        </w:rPr>
        <w:t xml:space="preserve">mplea a 20.000 personas en 250 localidades de toda Suecia y tiene una facturación anual </w:t>
      </w:r>
      <w:r>
        <w:rPr>
          <w:rFonts w:ascii="MinionPro-Regular" w:hAnsi="MinionPro-Regular"/>
          <w:sz w:val="24"/>
          <w:szCs w:val="24"/>
        </w:rPr>
        <w:t>significativa, de alrededor de siete mil millones de euros</w:t>
      </w:r>
      <w:r w:rsidR="003737D2">
        <w:rPr>
          <w:rFonts w:ascii="MinionPro-Regular" w:hAnsi="MinionPro-Regular"/>
          <w:sz w:val="24"/>
          <w:szCs w:val="24"/>
        </w:rPr>
        <w:t>.</w:t>
      </w:r>
    </w:p>
    <w:p w:rsidR="00E2336B" w:rsidRPr="007E120F" w:rsidRDefault="00E2336B" w:rsidP="0007541A">
      <w:pPr>
        <w:pStyle w:val="Ttulo2"/>
        <w:numPr>
          <w:ilvl w:val="1"/>
          <w:numId w:val="3"/>
        </w:numPr>
        <w:ind w:left="0"/>
        <w:rPr>
          <w:rFonts w:ascii="MinionPro-Regular" w:hAnsi="MinionPro-Regular"/>
          <w:lang w:val="es-ES_tradnl"/>
        </w:rPr>
      </w:pPr>
      <w:bookmarkStart w:id="283" w:name="_Toc352773577"/>
      <w:r>
        <w:rPr>
          <w:rFonts w:ascii="MinionPro-Regular" w:hAnsi="MinionPro-Regular"/>
          <w:lang w:val="es-ES_tradnl"/>
        </w:rPr>
        <w:t>Programas de apoyo al empleo y ejemplos destacados</w:t>
      </w:r>
      <w:bookmarkEnd w:id="283"/>
    </w:p>
    <w:p w:rsidR="00E2336B" w:rsidRDefault="00E2336B" w:rsidP="001B0EA4">
      <w:pPr>
        <w:autoSpaceDE w:val="0"/>
        <w:autoSpaceDN w:val="0"/>
        <w:spacing w:line="360" w:lineRule="auto"/>
        <w:jc w:val="both"/>
        <w:rPr>
          <w:rFonts w:ascii="MinionPro-Regular" w:hAnsi="MinionPro-Regular"/>
          <w:sz w:val="24"/>
          <w:szCs w:val="24"/>
          <w:lang w:val="es-ES_tradnl"/>
        </w:rPr>
      </w:pPr>
    </w:p>
    <w:p w:rsidR="00E2336B" w:rsidRDefault="00E2336B" w:rsidP="001B0EA4">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 xml:space="preserve"> “Access to W</w:t>
      </w:r>
      <w:r w:rsidRPr="002F73CE">
        <w:rPr>
          <w:rFonts w:ascii="MinionPro-Regular" w:hAnsi="MinionPro-Regular"/>
          <w:sz w:val="24"/>
          <w:szCs w:val="24"/>
          <w:lang w:val="es-ES_tradnl"/>
        </w:rPr>
        <w:t>ork</w:t>
      </w:r>
      <w:r>
        <w:rPr>
          <w:rFonts w:ascii="MinionPro-Regular" w:hAnsi="MinionPro-Regular"/>
          <w:sz w:val="24"/>
          <w:szCs w:val="24"/>
          <w:lang w:val="es-ES_tradnl"/>
        </w:rPr>
        <w:t>”</w:t>
      </w:r>
      <w:r w:rsidRPr="002F73CE">
        <w:rPr>
          <w:rFonts w:ascii="MinionPro-Regular" w:hAnsi="MinionPro-Regular"/>
          <w:sz w:val="24"/>
          <w:szCs w:val="24"/>
          <w:lang w:val="es-ES_tradnl"/>
        </w:rPr>
        <w:t xml:space="preserve"> es, quizá, el programa de</w:t>
      </w:r>
      <w:r>
        <w:rPr>
          <w:rFonts w:ascii="MinionPro-Regular" w:hAnsi="MinionPro-Regular"/>
          <w:sz w:val="24"/>
          <w:szCs w:val="24"/>
          <w:lang w:val="es-ES_tradnl"/>
        </w:rPr>
        <w:t xml:space="preserve"> referencia en el </w:t>
      </w:r>
      <w:r w:rsidR="00F23441" w:rsidRPr="00F23441">
        <w:rPr>
          <w:rFonts w:ascii="MinionPro-Regular" w:hAnsi="MinionPro-Regular"/>
          <w:b/>
          <w:sz w:val="24"/>
          <w:szCs w:val="24"/>
          <w:lang w:val="es-ES_tradnl"/>
        </w:rPr>
        <w:t>Reino Unido</w:t>
      </w:r>
      <w:r>
        <w:rPr>
          <w:rFonts w:ascii="MinionPro-Regular" w:hAnsi="MinionPro-Regular"/>
          <w:sz w:val="24"/>
          <w:szCs w:val="24"/>
          <w:lang w:val="es-ES_tradnl"/>
        </w:rPr>
        <w:t xml:space="preserve"> en lo que se refiere a las ayudas en materia de discapacidad. Está asociado a “Jobcentre Plus</w:t>
      </w:r>
      <w:r>
        <w:rPr>
          <w:rStyle w:val="Refdenotaalpie"/>
          <w:rFonts w:ascii="MinionPro-Regular" w:hAnsi="MinionPro-Regular"/>
          <w:sz w:val="24"/>
          <w:szCs w:val="24"/>
          <w:lang w:val="es-ES_tradnl"/>
        </w:rPr>
        <w:footnoteReference w:id="39"/>
      </w:r>
      <w:r>
        <w:rPr>
          <w:rFonts w:ascii="MinionPro-Regular" w:hAnsi="MinionPro-Regular"/>
          <w:sz w:val="24"/>
          <w:szCs w:val="24"/>
          <w:lang w:val="es-ES_tradnl"/>
        </w:rPr>
        <w:t xml:space="preserve">, la agencia del responsable de empleo. “Access to Work” otorga a las personas con discapacidad la posibilidad de recibir ayudas que les posibiliten realizar su trabajo. Las ayudas tienen que tener como destino la adquisición de equipo, el transporte cuando la persona no puede utilizar el transporte público y el apoyo por parte de personal </w:t>
      </w:r>
      <w:r>
        <w:rPr>
          <w:rFonts w:ascii="MinionPro-Regular" w:hAnsi="MinionPro-Regular"/>
          <w:sz w:val="24"/>
          <w:szCs w:val="24"/>
          <w:lang w:val="es-ES_tradnl"/>
        </w:rPr>
        <w:lastRenderedPageBreak/>
        <w:t>especializado, entre otros. Las ayudas son otorgadas directamente a la persona con discapacidad. Son elegibles empleados, autónomos o personas a punto de comenzar un nuevo empleo. Durante el año 2009/2010 proporcionó servicio a 37.300 personas con un coste medio por persona de 2.200 libras</w:t>
      </w:r>
      <w:r>
        <w:rPr>
          <w:rStyle w:val="Refdenotaalpie"/>
          <w:rFonts w:ascii="MinionPro-Regular" w:hAnsi="MinionPro-Regular"/>
          <w:sz w:val="24"/>
          <w:szCs w:val="24"/>
          <w:lang w:val="es-ES_tradnl"/>
        </w:rPr>
        <w:footnoteReference w:id="40"/>
      </w:r>
      <w:r>
        <w:rPr>
          <w:rFonts w:ascii="MinionPro-Regular" w:hAnsi="MinionPro-Regular"/>
          <w:sz w:val="24"/>
          <w:szCs w:val="24"/>
          <w:lang w:val="es-ES_tradnl"/>
        </w:rPr>
        <w:t>.</w:t>
      </w:r>
    </w:p>
    <w:p w:rsidR="00E2336B" w:rsidRDefault="00E2336B" w:rsidP="001B0EA4">
      <w:pPr>
        <w:autoSpaceDE w:val="0"/>
        <w:autoSpaceDN w:val="0"/>
        <w:spacing w:line="360" w:lineRule="auto"/>
        <w:jc w:val="both"/>
        <w:rPr>
          <w:rFonts w:ascii="MinionPro-Regular" w:hAnsi="MinionPro-Regular"/>
          <w:sz w:val="24"/>
          <w:szCs w:val="24"/>
          <w:lang w:val="es-ES_tradnl"/>
        </w:rPr>
      </w:pPr>
    </w:p>
    <w:p w:rsidR="00E2336B" w:rsidRDefault="00E2336B" w:rsidP="001B0EA4">
      <w:pPr>
        <w:autoSpaceDE w:val="0"/>
        <w:autoSpaceDN w:val="0"/>
        <w:spacing w:line="360" w:lineRule="auto"/>
        <w:jc w:val="both"/>
        <w:rPr>
          <w:rFonts w:ascii="MinionPro-Regular" w:hAnsi="MinionPro-Regular"/>
          <w:sz w:val="24"/>
          <w:szCs w:val="24"/>
        </w:rPr>
      </w:pPr>
      <w:r w:rsidRPr="00E7587A">
        <w:rPr>
          <w:rFonts w:ascii="MinionPro-Regular" w:hAnsi="MinionPro-Regular"/>
          <w:sz w:val="24"/>
          <w:szCs w:val="24"/>
          <w:lang w:val="es-ES_tradnl"/>
        </w:rPr>
        <w:t xml:space="preserve"> </w:t>
      </w:r>
      <w:r>
        <w:rPr>
          <w:rFonts w:ascii="MinionPro-Regular" w:hAnsi="MinionPro-Regular"/>
          <w:sz w:val="24"/>
          <w:szCs w:val="24"/>
        </w:rPr>
        <w:t>“</w:t>
      </w:r>
      <w:r w:rsidRPr="004C6720">
        <w:rPr>
          <w:rFonts w:ascii="MinionPro-Regular" w:hAnsi="MinionPro-Regular"/>
          <w:sz w:val="24"/>
          <w:szCs w:val="24"/>
        </w:rPr>
        <w:t>Work Choice</w:t>
      </w:r>
      <w:r>
        <w:rPr>
          <w:rFonts w:ascii="MinionPro-Regular" w:hAnsi="MinionPro-Regular"/>
          <w:sz w:val="24"/>
          <w:szCs w:val="24"/>
        </w:rPr>
        <w:t>”</w:t>
      </w:r>
      <w:r>
        <w:rPr>
          <w:rStyle w:val="Refdenotaalpie"/>
          <w:rFonts w:ascii="MinionPro-Regular" w:hAnsi="MinionPro-Regular"/>
          <w:sz w:val="24"/>
          <w:szCs w:val="24"/>
        </w:rPr>
        <w:footnoteReference w:id="41"/>
      </w:r>
      <w:r>
        <w:rPr>
          <w:rFonts w:ascii="MinionPro-Regular" w:hAnsi="MinionPro-Regular"/>
          <w:sz w:val="24"/>
          <w:szCs w:val="24"/>
        </w:rPr>
        <w:t xml:space="preserve"> es </w:t>
      </w:r>
      <w:r w:rsidRPr="004C6720">
        <w:rPr>
          <w:rFonts w:ascii="MinionPro-Regular" w:hAnsi="MinionPro-Regular"/>
          <w:sz w:val="24"/>
          <w:szCs w:val="24"/>
        </w:rPr>
        <w:t>un</w:t>
      </w:r>
      <w:r>
        <w:rPr>
          <w:rFonts w:ascii="MinionPro-Regular" w:hAnsi="MinionPro-Regular"/>
          <w:sz w:val="24"/>
          <w:szCs w:val="24"/>
        </w:rPr>
        <w:t xml:space="preserve"> programa de apoyo al empleo</w:t>
      </w:r>
      <w:r w:rsidRPr="004C6720">
        <w:rPr>
          <w:rFonts w:ascii="MinionPro-Regular" w:hAnsi="MinionPro-Regular"/>
          <w:sz w:val="24"/>
          <w:szCs w:val="24"/>
        </w:rPr>
        <w:t xml:space="preserve"> diseñado específicamente para personas que debido a su discapacidad pueden tener dificultades para encontrar o mantener un trabajo.</w:t>
      </w:r>
      <w:r>
        <w:rPr>
          <w:rFonts w:ascii="MinionPro-Regular" w:hAnsi="MinionPro-Regular"/>
          <w:sz w:val="24"/>
          <w:szCs w:val="24"/>
        </w:rPr>
        <w:t xml:space="preserve"> El programa toma como punto de partida la identificación individual de las necesidades de las personas con dificultad. </w:t>
      </w:r>
    </w:p>
    <w:p w:rsidR="00E2336B" w:rsidRDefault="00E2336B" w:rsidP="001B0EA4">
      <w:pPr>
        <w:autoSpaceDE w:val="0"/>
        <w:autoSpaceDN w:val="0"/>
        <w:spacing w:line="360" w:lineRule="auto"/>
        <w:jc w:val="both"/>
        <w:rPr>
          <w:rFonts w:ascii="MinionPro-Regular" w:hAnsi="MinionPro-Regular"/>
          <w:sz w:val="24"/>
          <w:szCs w:val="24"/>
          <w:lang w:val="es-ES_tradnl"/>
        </w:rPr>
      </w:pPr>
    </w:p>
    <w:p w:rsidR="00E2336B" w:rsidRDefault="00E2336B" w:rsidP="001B0EA4">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Del mismo modo existen otras iniciativas</w:t>
      </w:r>
      <w:r w:rsidRPr="0081432A">
        <w:rPr>
          <w:rFonts w:ascii="MinionPro-Regular" w:hAnsi="MinionPro-Regular"/>
          <w:sz w:val="24"/>
          <w:szCs w:val="24"/>
          <w:lang w:val="es-ES_tradnl"/>
        </w:rPr>
        <w:t xml:space="preserve"> como </w:t>
      </w:r>
      <w:r>
        <w:rPr>
          <w:rFonts w:ascii="MinionPro-Regular" w:hAnsi="MinionPro-Regular"/>
          <w:sz w:val="24"/>
          <w:szCs w:val="24"/>
          <w:lang w:val="es-ES_tradnl"/>
        </w:rPr>
        <w:t>“</w:t>
      </w:r>
      <w:r w:rsidRPr="005703CB">
        <w:rPr>
          <w:rFonts w:ascii="MinionPro-Regular" w:hAnsi="MinionPro-Regular"/>
          <w:sz w:val="24"/>
          <w:szCs w:val="24"/>
          <w:lang w:val="es-ES_tradnl"/>
        </w:rPr>
        <w:t>Valuing Employment Now</w:t>
      </w:r>
      <w:r>
        <w:rPr>
          <w:rFonts w:ascii="MinionPro-Regular" w:hAnsi="MinionPro-Regular"/>
          <w:sz w:val="24"/>
          <w:szCs w:val="24"/>
          <w:lang w:val="es-ES_tradnl"/>
        </w:rPr>
        <w:t>”</w:t>
      </w:r>
      <w:r>
        <w:rPr>
          <w:rStyle w:val="Refdenotaalpie"/>
          <w:rFonts w:ascii="MinionPro-Regular" w:hAnsi="MinionPro-Regular"/>
          <w:sz w:val="24"/>
          <w:szCs w:val="24"/>
          <w:lang w:val="es-ES_tradnl"/>
        </w:rPr>
        <w:footnoteReference w:id="42"/>
      </w:r>
      <w:r>
        <w:rPr>
          <w:rFonts w:ascii="MinionPro-Regular" w:hAnsi="MinionPro-Regular"/>
          <w:sz w:val="24"/>
          <w:szCs w:val="24"/>
          <w:lang w:val="es-ES_tradnl"/>
        </w:rPr>
        <w:t xml:space="preserve">, que tiene como finalidad incrementar </w:t>
      </w:r>
      <w:r w:rsidRPr="004C6720">
        <w:rPr>
          <w:rFonts w:ascii="MinionPro-Regular" w:hAnsi="MinionPro-Regular"/>
          <w:sz w:val="24"/>
          <w:szCs w:val="24"/>
          <w:lang w:val="es-ES_tradnl"/>
        </w:rPr>
        <w:t>el número de personas con dificultad moderada o severa ocupadas en 2025 y</w:t>
      </w:r>
      <w:r>
        <w:rPr>
          <w:rFonts w:ascii="MinionPro-Regular" w:hAnsi="MinionPro-Regular"/>
          <w:sz w:val="24"/>
          <w:szCs w:val="24"/>
          <w:lang w:val="es-ES_tradnl"/>
        </w:rPr>
        <w:t>,</w:t>
      </w:r>
      <w:r w:rsidRPr="004C6720">
        <w:rPr>
          <w:rFonts w:ascii="MinionPro-Regular" w:hAnsi="MinionPro-Regular"/>
          <w:sz w:val="24"/>
          <w:szCs w:val="24"/>
          <w:lang w:val="es-ES_tradnl"/>
        </w:rPr>
        <w:t xml:space="preserve"> al mismo tiempo, mejorar el acceso al empleo a aquellas personas c</w:t>
      </w:r>
      <w:r>
        <w:rPr>
          <w:rFonts w:ascii="MinionPro-Regular" w:hAnsi="MinionPro-Regular"/>
          <w:sz w:val="24"/>
          <w:szCs w:val="24"/>
          <w:lang w:val="es-ES_tradnl"/>
        </w:rPr>
        <w:t>on dificultades de aprendizaje. “</w:t>
      </w:r>
      <w:r w:rsidRPr="0081432A">
        <w:rPr>
          <w:rFonts w:ascii="MinionPro-Regular" w:hAnsi="MinionPro-Regular"/>
          <w:sz w:val="24"/>
          <w:szCs w:val="24"/>
          <w:lang w:val="es-ES_tradnl"/>
        </w:rPr>
        <w:t>Pathways to Work</w:t>
      </w:r>
      <w:r>
        <w:rPr>
          <w:rFonts w:ascii="MinionPro-Regular" w:hAnsi="MinionPro-Regular"/>
          <w:sz w:val="24"/>
          <w:szCs w:val="24"/>
          <w:lang w:val="es-ES_tradnl"/>
        </w:rPr>
        <w:t xml:space="preserve">”, por su parte, es un </w:t>
      </w:r>
      <w:r w:rsidRPr="004C6720">
        <w:rPr>
          <w:rFonts w:ascii="MinionPro-Regular" w:hAnsi="MinionPro-Regular"/>
          <w:sz w:val="24"/>
          <w:szCs w:val="24"/>
          <w:lang w:val="es-ES_tradnl"/>
        </w:rPr>
        <w:t>proyecto piloto que ofrece una amplia gama de apoyo enfocado en los factores que limitan el acceso al mercado laboral abierto</w:t>
      </w:r>
      <w:r>
        <w:rPr>
          <w:rFonts w:ascii="MinionPro-Regular" w:hAnsi="MinionPro-Regular"/>
          <w:sz w:val="24"/>
          <w:szCs w:val="24"/>
          <w:lang w:val="es-ES_tradnl"/>
        </w:rPr>
        <w:t>.</w:t>
      </w:r>
    </w:p>
    <w:p w:rsidR="00332846" w:rsidRDefault="00332846" w:rsidP="001B0EA4">
      <w:pPr>
        <w:autoSpaceDE w:val="0"/>
        <w:autoSpaceDN w:val="0"/>
        <w:spacing w:line="360" w:lineRule="auto"/>
        <w:jc w:val="both"/>
        <w:rPr>
          <w:rFonts w:ascii="MinionPro-Regular" w:hAnsi="MinionPro-Regular"/>
          <w:sz w:val="24"/>
          <w:szCs w:val="24"/>
          <w:lang w:val="es-ES_tradnl"/>
        </w:rPr>
      </w:pPr>
    </w:p>
    <w:p w:rsidR="00332846" w:rsidRDefault="00332846" w:rsidP="00332846">
      <w:pPr>
        <w:autoSpaceDE w:val="0"/>
        <w:autoSpaceDN w:val="0"/>
        <w:spacing w:line="360" w:lineRule="auto"/>
        <w:jc w:val="both"/>
        <w:rPr>
          <w:lang w:val="es-ES_tradnl"/>
        </w:rPr>
      </w:pPr>
      <w:r>
        <w:rPr>
          <w:rFonts w:ascii="MinionPro-Regular" w:hAnsi="MinionPro-Regular"/>
          <w:sz w:val="24"/>
          <w:szCs w:val="24"/>
          <w:lang w:val="es-ES_tradnl"/>
        </w:rPr>
        <w:t xml:space="preserve">En </w:t>
      </w:r>
      <w:r w:rsidRPr="00F23441">
        <w:rPr>
          <w:rFonts w:ascii="MinionPro-Regular" w:hAnsi="MinionPro-Regular"/>
          <w:b/>
          <w:sz w:val="24"/>
          <w:szCs w:val="24"/>
          <w:lang w:val="es-ES_tradnl"/>
        </w:rPr>
        <w:t>Suecia</w:t>
      </w:r>
      <w:r>
        <w:rPr>
          <w:rFonts w:ascii="MinionPro-Regular" w:hAnsi="MinionPro-Regular"/>
          <w:sz w:val="24"/>
          <w:szCs w:val="24"/>
          <w:lang w:val="es-ES_tradnl"/>
        </w:rPr>
        <w:t xml:space="preserve"> e</w:t>
      </w:r>
      <w:r w:rsidRPr="00BB223C">
        <w:rPr>
          <w:rFonts w:ascii="MinionPro-Regular" w:hAnsi="MinionPro-Regular"/>
          <w:sz w:val="24"/>
          <w:szCs w:val="24"/>
          <w:lang w:val="es-ES_tradnl"/>
        </w:rPr>
        <w:t xml:space="preserve">l programa </w:t>
      </w:r>
      <w:r>
        <w:rPr>
          <w:rFonts w:ascii="MinionPro-Regular" w:hAnsi="MinionPro-Regular"/>
          <w:sz w:val="24"/>
          <w:szCs w:val="24"/>
          <w:lang w:val="es-ES_tradnl"/>
        </w:rPr>
        <w:t>“Developing e</w:t>
      </w:r>
      <w:r w:rsidRPr="00BB223C">
        <w:rPr>
          <w:rFonts w:ascii="MinionPro-Regular" w:hAnsi="MinionPro-Regular"/>
          <w:sz w:val="24"/>
          <w:szCs w:val="24"/>
          <w:lang w:val="es-ES_tradnl"/>
        </w:rPr>
        <w:t>mployment</w:t>
      </w:r>
      <w:r>
        <w:rPr>
          <w:rFonts w:ascii="MinionPro-Regular" w:hAnsi="MinionPro-Regular"/>
          <w:sz w:val="24"/>
          <w:szCs w:val="24"/>
          <w:lang w:val="es-ES_tradnl"/>
        </w:rPr>
        <w:t>”</w:t>
      </w:r>
      <w:r w:rsidRPr="00BB223C">
        <w:rPr>
          <w:rFonts w:ascii="MinionPro-Regular" w:hAnsi="MinionPro-Regular"/>
          <w:sz w:val="24"/>
          <w:szCs w:val="24"/>
          <w:lang w:val="es-ES_tradnl"/>
        </w:rPr>
        <w:t xml:space="preserve"> tiene como objetivo mejorar la </w:t>
      </w:r>
      <w:r>
        <w:rPr>
          <w:rFonts w:ascii="MinionPro-Regular" w:hAnsi="MinionPro-Regular"/>
          <w:sz w:val="24"/>
          <w:szCs w:val="24"/>
          <w:lang w:val="es-ES_tradnl"/>
        </w:rPr>
        <w:t>inclusió</w:t>
      </w:r>
      <w:r w:rsidRPr="00BB223C">
        <w:rPr>
          <w:rFonts w:ascii="MinionPro-Regular" w:hAnsi="MinionPro-Regular"/>
          <w:sz w:val="24"/>
          <w:szCs w:val="24"/>
          <w:lang w:val="es-ES_tradnl"/>
        </w:rPr>
        <w:t>n de empleados con d</w:t>
      </w:r>
      <w:r>
        <w:rPr>
          <w:rFonts w:ascii="MinionPro-Regular" w:hAnsi="MinionPro-Regular"/>
          <w:sz w:val="24"/>
          <w:szCs w:val="24"/>
          <w:lang w:val="es-ES_tradnl"/>
        </w:rPr>
        <w:t>i</w:t>
      </w:r>
      <w:r w:rsidRPr="00BB223C">
        <w:rPr>
          <w:rFonts w:ascii="MinionPro-Regular" w:hAnsi="MinionPro-Regular"/>
          <w:sz w:val="24"/>
          <w:szCs w:val="24"/>
          <w:lang w:val="es-ES_tradnl"/>
        </w:rPr>
        <w:t>scapacidad.</w:t>
      </w:r>
      <w:r>
        <w:rPr>
          <w:rFonts w:ascii="MinionPro-Regular" w:hAnsi="MinionPro-Regular"/>
          <w:sz w:val="24"/>
          <w:szCs w:val="24"/>
          <w:lang w:val="es-ES_tradnl"/>
        </w:rPr>
        <w:t xml:space="preserve"> </w:t>
      </w:r>
      <w:r w:rsidRPr="00BB223C">
        <w:rPr>
          <w:rFonts w:ascii="MinionPro-Regular" w:hAnsi="MinionPro-Regular"/>
          <w:sz w:val="24"/>
          <w:szCs w:val="24"/>
          <w:lang w:val="es-ES_tradnl"/>
        </w:rPr>
        <w:t>Proporciona formación y otros ajustes adaptados al comenzar u</w:t>
      </w:r>
      <w:r>
        <w:rPr>
          <w:rFonts w:ascii="MinionPro-Regular" w:hAnsi="MinionPro-Regular"/>
          <w:sz w:val="24"/>
          <w:szCs w:val="24"/>
          <w:lang w:val="es-ES_tradnl"/>
        </w:rPr>
        <w:t xml:space="preserve">n nuevo trabajo. </w:t>
      </w:r>
      <w:r w:rsidRPr="00BB223C">
        <w:rPr>
          <w:rFonts w:ascii="MinionPro-Regular" w:hAnsi="MinionPro-Regular"/>
          <w:sz w:val="24"/>
          <w:szCs w:val="24"/>
          <w:lang w:val="es-ES_tradnl"/>
        </w:rPr>
        <w:t>Ofrece un subsidio al empleador y apoyo personal a empleado y empleador durante un añ</w:t>
      </w:r>
      <w:r>
        <w:rPr>
          <w:rFonts w:ascii="MinionPro-Regular" w:hAnsi="MinionPro-Regular"/>
          <w:sz w:val="24"/>
          <w:szCs w:val="24"/>
          <w:lang w:val="es-ES_tradnl"/>
        </w:rPr>
        <w:t xml:space="preserve">o. </w:t>
      </w:r>
      <w:r w:rsidRPr="00BB223C">
        <w:rPr>
          <w:rFonts w:ascii="MinionPro-Regular" w:hAnsi="MinionPro-Regular"/>
          <w:sz w:val="24"/>
          <w:szCs w:val="24"/>
          <w:lang w:val="es-ES_tradnl"/>
        </w:rPr>
        <w:t>Por su parte, otro programa adicional está específicamente orientado a aq</w:t>
      </w:r>
      <w:r>
        <w:rPr>
          <w:rFonts w:ascii="MinionPro-Regular" w:hAnsi="MinionPro-Regular"/>
          <w:sz w:val="24"/>
          <w:szCs w:val="24"/>
          <w:lang w:val="es-ES_tradnl"/>
        </w:rPr>
        <w:t xml:space="preserve">uellos trabajadores con discapacidad con especiales </w:t>
      </w:r>
      <w:r>
        <w:rPr>
          <w:rFonts w:ascii="MinionPro-Regular" w:hAnsi="MinionPro-Regular"/>
          <w:sz w:val="24"/>
          <w:szCs w:val="24"/>
          <w:lang w:val="es-ES_tradnl"/>
        </w:rPr>
        <w:lastRenderedPageBreak/>
        <w:t xml:space="preserve">dificultades para competir en el mercado laboral. </w:t>
      </w:r>
      <w:r w:rsidRPr="00BB223C">
        <w:rPr>
          <w:rFonts w:ascii="MinionPro-Regular" w:hAnsi="MinionPro-Regular"/>
          <w:sz w:val="24"/>
          <w:szCs w:val="24"/>
          <w:lang w:val="es-ES_tradnl"/>
        </w:rPr>
        <w:t>Ofrece un elevado nivel de subsidio personal así como apoyo durante u</w:t>
      </w:r>
      <w:r>
        <w:rPr>
          <w:rFonts w:ascii="MinionPro-Regular" w:hAnsi="MinionPro-Regular"/>
          <w:sz w:val="24"/>
          <w:szCs w:val="24"/>
          <w:lang w:val="es-ES_tradnl"/>
        </w:rPr>
        <w:t xml:space="preserve">n periodo de tiempo, en principio, ilimitado. </w:t>
      </w:r>
      <w:r w:rsidRPr="00BB223C">
        <w:rPr>
          <w:rFonts w:ascii="MinionPro-Regular" w:hAnsi="MinionPro-Regular"/>
          <w:sz w:val="24"/>
          <w:szCs w:val="24"/>
          <w:lang w:val="es-ES_tradnl"/>
        </w:rPr>
        <w:t xml:space="preserve"> </w:t>
      </w:r>
      <w:r w:rsidRPr="00BB223C">
        <w:rPr>
          <w:lang w:val="es-ES_tradnl"/>
        </w:rPr>
        <w:t xml:space="preserve"> </w:t>
      </w:r>
    </w:p>
    <w:p w:rsidR="00332846" w:rsidRDefault="00332846" w:rsidP="001B0EA4">
      <w:pPr>
        <w:autoSpaceDE w:val="0"/>
        <w:autoSpaceDN w:val="0"/>
        <w:spacing w:line="360" w:lineRule="auto"/>
        <w:jc w:val="both"/>
        <w:rPr>
          <w:rFonts w:ascii="MinionPro-Regular" w:hAnsi="MinionPro-Regular"/>
          <w:sz w:val="24"/>
          <w:szCs w:val="24"/>
          <w:lang w:val="es-ES_tradnl"/>
        </w:rPr>
      </w:pPr>
    </w:p>
    <w:p w:rsidR="001E0871" w:rsidRDefault="001E0871" w:rsidP="001B0EA4">
      <w:pPr>
        <w:autoSpaceDE w:val="0"/>
        <w:autoSpaceDN w:val="0"/>
        <w:spacing w:line="360" w:lineRule="auto"/>
        <w:jc w:val="both"/>
        <w:rPr>
          <w:rFonts w:ascii="MinionPro-Regular" w:hAnsi="MinionPro-Regular"/>
          <w:sz w:val="24"/>
          <w:szCs w:val="24"/>
          <w:lang w:val="es-ES_tradnl"/>
        </w:rPr>
      </w:pPr>
    </w:p>
    <w:p w:rsidR="001E0871" w:rsidRDefault="001E0871" w:rsidP="001B0EA4">
      <w:pPr>
        <w:autoSpaceDE w:val="0"/>
        <w:autoSpaceDN w:val="0"/>
        <w:spacing w:line="360" w:lineRule="auto"/>
        <w:jc w:val="both"/>
        <w:rPr>
          <w:rFonts w:ascii="MinionPro-Regular" w:hAnsi="MinionPro-Regular"/>
          <w:sz w:val="24"/>
          <w:szCs w:val="24"/>
          <w:lang w:val="es-ES_tradnl"/>
        </w:rPr>
      </w:pPr>
    </w:p>
    <w:p w:rsidR="001E0871" w:rsidRDefault="001E0871" w:rsidP="001B0EA4">
      <w:pPr>
        <w:autoSpaceDE w:val="0"/>
        <w:autoSpaceDN w:val="0"/>
        <w:spacing w:line="360" w:lineRule="auto"/>
        <w:jc w:val="both"/>
        <w:rPr>
          <w:rFonts w:ascii="MinionPro-Regular" w:hAnsi="MinionPro-Regular"/>
          <w:sz w:val="24"/>
          <w:szCs w:val="24"/>
          <w:lang w:val="es-ES_tradnl"/>
        </w:rPr>
      </w:pPr>
    </w:p>
    <w:p w:rsidR="001E0871" w:rsidRDefault="001E0871" w:rsidP="001B0EA4">
      <w:pPr>
        <w:autoSpaceDE w:val="0"/>
        <w:autoSpaceDN w:val="0"/>
        <w:spacing w:line="360" w:lineRule="auto"/>
        <w:jc w:val="both"/>
        <w:rPr>
          <w:rFonts w:ascii="MinionPro-Regular" w:hAnsi="MinionPro-Regular"/>
          <w:sz w:val="24"/>
          <w:szCs w:val="24"/>
          <w:lang w:val="es-ES_tradnl"/>
        </w:rPr>
      </w:pPr>
    </w:p>
    <w:p w:rsidR="00E2336B" w:rsidRDefault="00E2336B" w:rsidP="001B0EA4">
      <w:pPr>
        <w:pBdr>
          <w:top w:val="single" w:sz="4" w:space="1" w:color="auto"/>
          <w:left w:val="single" w:sz="4" w:space="4" w:color="auto"/>
          <w:bottom w:val="single" w:sz="4" w:space="1" w:color="auto"/>
          <w:right w:val="single" w:sz="4" w:space="4" w:color="auto"/>
        </w:pBdr>
        <w:shd w:val="clear" w:color="auto" w:fill="D9D9D9"/>
        <w:autoSpaceDE w:val="0"/>
        <w:autoSpaceDN w:val="0"/>
        <w:spacing w:line="360" w:lineRule="auto"/>
        <w:jc w:val="both"/>
        <w:rPr>
          <w:rFonts w:ascii="MinionPro-Regular" w:hAnsi="MinionPro-Regular"/>
          <w:sz w:val="24"/>
          <w:szCs w:val="24"/>
          <w:u w:val="single"/>
          <w:lang w:val="es-ES_tradnl"/>
        </w:rPr>
      </w:pPr>
      <w:r>
        <w:rPr>
          <w:rFonts w:ascii="MinionPro-Regular" w:hAnsi="MinionPro-Regular"/>
          <w:sz w:val="24"/>
          <w:szCs w:val="24"/>
          <w:u w:val="single"/>
          <w:lang w:val="es-ES_tradnl"/>
        </w:rPr>
        <w:t>Casos de éxito</w:t>
      </w:r>
    </w:p>
    <w:p w:rsidR="00E2336B" w:rsidRDefault="00E2336B" w:rsidP="001B0EA4">
      <w:pPr>
        <w:pBdr>
          <w:top w:val="single" w:sz="4" w:space="1" w:color="auto"/>
          <w:left w:val="single" w:sz="4" w:space="4" w:color="auto"/>
          <w:bottom w:val="single" w:sz="4" w:space="1" w:color="auto"/>
          <w:right w:val="single" w:sz="4" w:space="4" w:color="auto"/>
        </w:pBdr>
        <w:shd w:val="clear" w:color="auto" w:fill="D9D9D9"/>
        <w:autoSpaceDE w:val="0"/>
        <w:autoSpaceDN w:val="0"/>
        <w:spacing w:line="360" w:lineRule="auto"/>
        <w:jc w:val="both"/>
        <w:rPr>
          <w:rFonts w:ascii="MinionPro-Regular" w:hAnsi="MinionPro-Regular"/>
          <w:sz w:val="24"/>
          <w:szCs w:val="24"/>
        </w:rPr>
      </w:pPr>
      <w:r>
        <w:rPr>
          <w:rFonts w:ascii="MinionPro-Regular" w:hAnsi="MinionPro-Regular"/>
          <w:sz w:val="24"/>
          <w:szCs w:val="24"/>
          <w:lang w:val="es-ES_tradnl"/>
        </w:rPr>
        <w:t>E</w:t>
      </w:r>
      <w:r>
        <w:rPr>
          <w:rFonts w:ascii="MinionPro-Regular" w:hAnsi="MinionPro-Regular"/>
          <w:sz w:val="24"/>
          <w:szCs w:val="24"/>
        </w:rPr>
        <w:t>n Alemania, un ejemplo de c</w:t>
      </w:r>
      <w:r w:rsidRPr="004C2192">
        <w:rPr>
          <w:rFonts w:ascii="MinionPro-Regular" w:hAnsi="MinionPro-Regular"/>
          <w:sz w:val="24"/>
          <w:szCs w:val="24"/>
        </w:rPr>
        <w:t>ooperativa</w:t>
      </w:r>
      <w:r>
        <w:rPr>
          <w:rFonts w:ascii="MinionPro-Regular" w:hAnsi="MinionPro-Regular"/>
          <w:sz w:val="24"/>
          <w:szCs w:val="24"/>
        </w:rPr>
        <w:t>s</w:t>
      </w:r>
      <w:r w:rsidRPr="004C2192">
        <w:rPr>
          <w:rFonts w:ascii="MinionPro-Regular" w:hAnsi="MinionPro-Regular"/>
          <w:sz w:val="24"/>
          <w:szCs w:val="24"/>
        </w:rPr>
        <w:t xml:space="preserve"> para promover el empleo </w:t>
      </w:r>
      <w:r>
        <w:rPr>
          <w:rFonts w:ascii="MinionPro-Regular" w:hAnsi="MinionPro-Regular"/>
          <w:sz w:val="24"/>
          <w:szCs w:val="24"/>
        </w:rPr>
        <w:t>y la formación de</w:t>
      </w:r>
      <w:r w:rsidRPr="004C2192">
        <w:rPr>
          <w:rFonts w:ascii="MinionPro-Regular" w:hAnsi="MinionPro-Regular"/>
          <w:sz w:val="24"/>
          <w:szCs w:val="24"/>
        </w:rPr>
        <w:t xml:space="preserve"> las personas con discapacidad intelectual </w:t>
      </w:r>
      <w:r>
        <w:rPr>
          <w:rFonts w:ascii="MinionPro-Regular" w:hAnsi="MinionPro-Regular"/>
          <w:sz w:val="24"/>
          <w:szCs w:val="24"/>
        </w:rPr>
        <w:t>son las “</w:t>
      </w:r>
      <w:r w:rsidRPr="004C2192">
        <w:rPr>
          <w:rFonts w:ascii="MinionPro-Regular" w:hAnsi="MinionPro-Regular"/>
          <w:sz w:val="24"/>
          <w:szCs w:val="24"/>
        </w:rPr>
        <w:t>Baden-Württemberg Communities</w:t>
      </w:r>
      <w:r>
        <w:rPr>
          <w:rFonts w:ascii="MinionPro-Regular" w:hAnsi="MinionPro-Regular"/>
          <w:sz w:val="24"/>
          <w:szCs w:val="24"/>
        </w:rPr>
        <w:t>”</w:t>
      </w:r>
      <w:r>
        <w:rPr>
          <w:rStyle w:val="Refdenotaalpie"/>
          <w:rFonts w:ascii="MinionPro-Regular" w:hAnsi="MinionPro-Regular"/>
          <w:sz w:val="24"/>
          <w:szCs w:val="24"/>
        </w:rPr>
        <w:footnoteReference w:id="43"/>
      </w:r>
      <w:r>
        <w:rPr>
          <w:rFonts w:ascii="MinionPro-Regular" w:hAnsi="MinionPro-Regular"/>
          <w:sz w:val="24"/>
          <w:szCs w:val="24"/>
        </w:rPr>
        <w:t xml:space="preserve"> tales como CAP market, cadena de distribución y venta de alimentos cuyo </w:t>
      </w:r>
      <w:r w:rsidRPr="004C2192">
        <w:rPr>
          <w:rFonts w:ascii="MinionPro-Regular" w:hAnsi="MinionPro-Regular"/>
          <w:sz w:val="24"/>
          <w:szCs w:val="24"/>
        </w:rPr>
        <w:t xml:space="preserve">objetivo </w:t>
      </w:r>
      <w:r>
        <w:rPr>
          <w:rFonts w:ascii="MinionPro-Regular" w:hAnsi="MinionPro-Regular"/>
          <w:sz w:val="24"/>
          <w:szCs w:val="24"/>
        </w:rPr>
        <w:t>es</w:t>
      </w:r>
      <w:r w:rsidRPr="004C2192">
        <w:rPr>
          <w:rFonts w:ascii="MinionPro-Regular" w:hAnsi="MinionPro-Regular"/>
          <w:sz w:val="24"/>
          <w:szCs w:val="24"/>
        </w:rPr>
        <w:t xml:space="preserve"> garantizar a </w:t>
      </w:r>
      <w:r>
        <w:rPr>
          <w:rFonts w:ascii="MinionPro-Regular" w:hAnsi="MinionPro-Regular"/>
          <w:sz w:val="24"/>
          <w:szCs w:val="24"/>
        </w:rPr>
        <w:t xml:space="preserve">largo plazo un futuro orientado </w:t>
      </w:r>
      <w:r w:rsidRPr="004C2192">
        <w:rPr>
          <w:rFonts w:ascii="MinionPro-Regular" w:hAnsi="MinionPro-Regular"/>
          <w:sz w:val="24"/>
          <w:szCs w:val="24"/>
        </w:rPr>
        <w:t xml:space="preserve">al empleo para las personas con discapacidad. </w:t>
      </w:r>
      <w:r>
        <w:rPr>
          <w:rFonts w:ascii="MinionPro-Regular" w:hAnsi="MinionPro-Regular"/>
          <w:sz w:val="24"/>
          <w:szCs w:val="24"/>
        </w:rPr>
        <w:t>Para llevar a cabo este fin se encarga de la gestión de colaboraciones y asesoría técnica y económica a instituciones para la integración de las personas con discapacidad</w:t>
      </w:r>
      <w:r>
        <w:rPr>
          <w:rStyle w:val="Refdenotaalpie"/>
          <w:rFonts w:ascii="MinionPro-Regular" w:hAnsi="MinionPro-Regular"/>
          <w:sz w:val="24"/>
          <w:szCs w:val="24"/>
        </w:rPr>
        <w:footnoteReference w:id="44"/>
      </w:r>
      <w:r>
        <w:rPr>
          <w:rFonts w:ascii="MinionPro-Regular" w:hAnsi="MinionPro-Regular"/>
          <w:sz w:val="24"/>
          <w:szCs w:val="24"/>
        </w:rPr>
        <w:t xml:space="preserve">. </w:t>
      </w:r>
    </w:p>
    <w:p w:rsidR="00E2336B" w:rsidRDefault="00E2336B" w:rsidP="001B0EA4">
      <w:pPr>
        <w:autoSpaceDE w:val="0"/>
        <w:autoSpaceDN w:val="0"/>
        <w:spacing w:line="360" w:lineRule="auto"/>
        <w:jc w:val="both"/>
        <w:rPr>
          <w:rFonts w:ascii="MinionPro-Regular" w:hAnsi="MinionPro-Regular"/>
          <w:sz w:val="24"/>
          <w:szCs w:val="24"/>
        </w:rPr>
      </w:pPr>
    </w:p>
    <w:p w:rsidR="00E2336B" w:rsidRPr="0069752E" w:rsidRDefault="00E2336B" w:rsidP="001B0EA4">
      <w:pPr>
        <w:autoSpaceDE w:val="0"/>
        <w:autoSpaceDN w:val="0"/>
        <w:spacing w:line="360" w:lineRule="auto"/>
        <w:jc w:val="both"/>
        <w:rPr>
          <w:rFonts w:ascii="MinionPro-Regular" w:hAnsi="MinionPro-Regular"/>
          <w:sz w:val="24"/>
          <w:szCs w:val="24"/>
        </w:rPr>
      </w:pPr>
    </w:p>
    <w:p w:rsidR="00E2336B" w:rsidRDefault="00E2336B" w:rsidP="001B0EA4">
      <w:pPr>
        <w:pBdr>
          <w:top w:val="single" w:sz="4" w:space="1" w:color="auto"/>
          <w:left w:val="single" w:sz="4" w:space="4" w:color="auto"/>
          <w:bottom w:val="single" w:sz="4" w:space="1" w:color="auto"/>
          <w:right w:val="single" w:sz="4" w:space="4" w:color="auto"/>
        </w:pBdr>
        <w:shd w:val="clear" w:color="auto" w:fill="D9D9D9"/>
        <w:autoSpaceDE w:val="0"/>
        <w:autoSpaceDN w:val="0"/>
        <w:spacing w:line="360" w:lineRule="auto"/>
        <w:jc w:val="both"/>
        <w:rPr>
          <w:rFonts w:ascii="MinionPro-Regular" w:hAnsi="MinionPro-Regular"/>
          <w:sz w:val="24"/>
          <w:szCs w:val="24"/>
          <w:u w:val="single"/>
        </w:rPr>
      </w:pPr>
      <w:r w:rsidRPr="0059082A">
        <w:rPr>
          <w:rFonts w:ascii="MinionPro-Regular" w:hAnsi="MinionPro-Regular"/>
          <w:sz w:val="24"/>
          <w:szCs w:val="24"/>
          <w:u w:val="single"/>
        </w:rPr>
        <w:t>Casos de éxito</w:t>
      </w:r>
    </w:p>
    <w:p w:rsidR="00E2336B" w:rsidRDefault="00E2336B" w:rsidP="001B0EA4">
      <w:pPr>
        <w:pBdr>
          <w:top w:val="single" w:sz="4" w:space="1" w:color="auto"/>
          <w:left w:val="single" w:sz="4" w:space="4" w:color="auto"/>
          <w:bottom w:val="single" w:sz="4" w:space="1" w:color="auto"/>
          <w:right w:val="single" w:sz="4" w:space="4" w:color="auto"/>
        </w:pBdr>
        <w:shd w:val="clear" w:color="auto" w:fill="D9D9D9"/>
        <w:autoSpaceDE w:val="0"/>
        <w:autoSpaceDN w:val="0"/>
        <w:spacing w:line="360" w:lineRule="auto"/>
        <w:jc w:val="both"/>
        <w:rPr>
          <w:rFonts w:ascii="MinionPro-Regular" w:hAnsi="MinionPro-Regular"/>
          <w:sz w:val="24"/>
          <w:szCs w:val="24"/>
        </w:rPr>
      </w:pPr>
      <w:r>
        <w:rPr>
          <w:rFonts w:ascii="MinionPro-Regular" w:hAnsi="MinionPro-Regular"/>
          <w:sz w:val="24"/>
          <w:szCs w:val="24"/>
        </w:rPr>
        <w:t>Como ejemplo de cooperativa italiana que apuesta por la integración laboral, cabe destacar a Spazio Aperto</w:t>
      </w:r>
      <w:r>
        <w:rPr>
          <w:rStyle w:val="Refdenotaalpie"/>
          <w:rFonts w:ascii="MinionPro-Regular" w:hAnsi="MinionPro-Regular"/>
          <w:sz w:val="24"/>
          <w:szCs w:val="24"/>
        </w:rPr>
        <w:footnoteReference w:id="45"/>
      </w:r>
      <w:r>
        <w:rPr>
          <w:rFonts w:ascii="MinionPro-Regular" w:hAnsi="MinionPro-Regular"/>
          <w:sz w:val="24"/>
          <w:szCs w:val="24"/>
        </w:rPr>
        <w:t xml:space="preserve">, que se trata de una cooperativa de tipo B, cuya finalidad es trabajar en un mercado tanto público como privado en condiciones de mercado, al mismo tiempo que apoya la </w:t>
      </w:r>
      <w:r w:rsidRPr="00D76A8B">
        <w:rPr>
          <w:rFonts w:ascii="MinionPro-Regular" w:hAnsi="MinionPro-Regular"/>
          <w:sz w:val="24"/>
          <w:szCs w:val="24"/>
        </w:rPr>
        <w:t>inserción laboral</w:t>
      </w:r>
      <w:r>
        <w:rPr>
          <w:rFonts w:ascii="MinionPro-Regular" w:hAnsi="MinionPro-Regular"/>
          <w:sz w:val="24"/>
          <w:szCs w:val="24"/>
        </w:rPr>
        <w:t xml:space="preserve"> de las personas con más dificultades de acceso al empleo.</w:t>
      </w:r>
    </w:p>
    <w:p w:rsidR="00E2336B" w:rsidRDefault="00E2336B" w:rsidP="001B0EA4">
      <w:pPr>
        <w:pBdr>
          <w:top w:val="single" w:sz="4" w:space="1" w:color="auto"/>
          <w:left w:val="single" w:sz="4" w:space="4" w:color="auto"/>
          <w:bottom w:val="single" w:sz="4" w:space="1" w:color="auto"/>
          <w:right w:val="single" w:sz="4" w:space="4" w:color="auto"/>
        </w:pBdr>
        <w:shd w:val="clear" w:color="auto" w:fill="D9D9D9"/>
        <w:autoSpaceDE w:val="0"/>
        <w:autoSpaceDN w:val="0"/>
        <w:spacing w:line="360" w:lineRule="auto"/>
        <w:jc w:val="both"/>
        <w:rPr>
          <w:rFonts w:ascii="MinionPro-Regular" w:hAnsi="MinionPro-Regular"/>
          <w:sz w:val="24"/>
          <w:szCs w:val="24"/>
        </w:rPr>
      </w:pPr>
    </w:p>
    <w:p w:rsidR="00E2336B" w:rsidRDefault="00E2336B" w:rsidP="001B0EA4">
      <w:pPr>
        <w:pBdr>
          <w:top w:val="single" w:sz="4" w:space="1" w:color="auto"/>
          <w:left w:val="single" w:sz="4" w:space="4" w:color="auto"/>
          <w:bottom w:val="single" w:sz="4" w:space="1" w:color="auto"/>
          <w:right w:val="single" w:sz="4" w:space="4" w:color="auto"/>
        </w:pBdr>
        <w:shd w:val="clear" w:color="auto" w:fill="D9D9D9"/>
        <w:autoSpaceDE w:val="0"/>
        <w:autoSpaceDN w:val="0"/>
        <w:spacing w:line="360" w:lineRule="auto"/>
        <w:jc w:val="both"/>
        <w:rPr>
          <w:rFonts w:ascii="MinionPro-Regular" w:hAnsi="MinionPro-Regular"/>
          <w:sz w:val="24"/>
          <w:szCs w:val="24"/>
        </w:rPr>
      </w:pPr>
      <w:r>
        <w:rPr>
          <w:rFonts w:ascii="MinionPro-Regular" w:hAnsi="MinionPro-Regular"/>
          <w:sz w:val="24"/>
          <w:szCs w:val="24"/>
          <w:lang w:val="es-ES_tradnl"/>
        </w:rPr>
        <w:t>Además, cabe destacar SIL 22 como una buena práctica para</w:t>
      </w:r>
      <w:r w:rsidRPr="008620C0">
        <w:rPr>
          <w:rFonts w:ascii="MinionPro-Regular" w:hAnsi="MinionPro-Regular"/>
          <w:sz w:val="24"/>
          <w:szCs w:val="24"/>
          <w:lang w:val="es-ES_tradnl"/>
        </w:rPr>
        <w:t xml:space="preserve"> la inserción laboral y coordinación de los servicios para las personas </w:t>
      </w:r>
      <w:r>
        <w:rPr>
          <w:rFonts w:ascii="MinionPro-Regular" w:hAnsi="MinionPro-Regular"/>
          <w:sz w:val="24"/>
          <w:szCs w:val="24"/>
          <w:lang w:val="es-ES_tradnl"/>
        </w:rPr>
        <w:t>con discapacidad</w:t>
      </w:r>
      <w:r>
        <w:rPr>
          <w:rStyle w:val="Refdenotaalpie"/>
          <w:rFonts w:ascii="MinionPro-Regular" w:hAnsi="MinionPro-Regular"/>
          <w:sz w:val="24"/>
          <w:szCs w:val="24"/>
          <w:lang w:val="es-ES_tradnl"/>
        </w:rPr>
        <w:footnoteReference w:id="46"/>
      </w:r>
      <w:r>
        <w:rPr>
          <w:rFonts w:ascii="MinionPro-Regular" w:hAnsi="MinionPro-Regular"/>
          <w:sz w:val="24"/>
          <w:szCs w:val="24"/>
          <w:lang w:val="es-ES_tradnl"/>
        </w:rPr>
        <w:t xml:space="preserve">. </w:t>
      </w:r>
      <w:r>
        <w:rPr>
          <w:rFonts w:ascii="MinionPro-Regular" w:hAnsi="MinionPro-Regular"/>
          <w:sz w:val="24"/>
          <w:szCs w:val="24"/>
        </w:rPr>
        <w:t>Es una iniciativa</w:t>
      </w:r>
      <w:r w:rsidRPr="008921FC">
        <w:rPr>
          <w:rFonts w:ascii="MinionPro-Regular" w:hAnsi="MinionPro-Regular"/>
          <w:sz w:val="24"/>
          <w:szCs w:val="24"/>
        </w:rPr>
        <w:t xml:space="preserve"> regional </w:t>
      </w:r>
      <w:r>
        <w:rPr>
          <w:rFonts w:ascii="MinionPro-Regular" w:hAnsi="MinionPro-Regular"/>
          <w:sz w:val="24"/>
          <w:szCs w:val="24"/>
        </w:rPr>
        <w:t xml:space="preserve">que </w:t>
      </w:r>
      <w:r w:rsidRPr="008921FC">
        <w:rPr>
          <w:rFonts w:ascii="MinionPro-Regular" w:hAnsi="MinionPro-Regular"/>
          <w:sz w:val="24"/>
          <w:szCs w:val="24"/>
        </w:rPr>
        <w:t xml:space="preserve">tiene como objetivo </w:t>
      </w:r>
      <w:r>
        <w:rPr>
          <w:rFonts w:ascii="MinionPro-Regular" w:hAnsi="MinionPro-Regular"/>
          <w:sz w:val="24"/>
          <w:szCs w:val="24"/>
        </w:rPr>
        <w:t xml:space="preserve">el promover </w:t>
      </w:r>
      <w:r w:rsidRPr="008921FC">
        <w:rPr>
          <w:rFonts w:ascii="MinionPro-Regular" w:hAnsi="MinionPro-Regular"/>
          <w:sz w:val="24"/>
          <w:szCs w:val="24"/>
        </w:rPr>
        <w:t xml:space="preserve">el empleo de las personas con discapacidad a través de la coordinación de los servicios del sector público y privado. Entre los servicios que ofrece </w:t>
      </w:r>
      <w:r>
        <w:rPr>
          <w:rFonts w:ascii="MinionPro-Regular" w:hAnsi="MinionPro-Regular"/>
          <w:sz w:val="24"/>
          <w:szCs w:val="24"/>
        </w:rPr>
        <w:t>están</w:t>
      </w:r>
      <w:r w:rsidRPr="008921FC">
        <w:rPr>
          <w:rFonts w:ascii="MinionPro-Regular" w:hAnsi="MinionPro-Regular"/>
          <w:sz w:val="24"/>
          <w:szCs w:val="24"/>
        </w:rPr>
        <w:t xml:space="preserve"> la provisión de información, la formación profesiona</w:t>
      </w:r>
      <w:r>
        <w:rPr>
          <w:rFonts w:ascii="MinionPro-Regular" w:hAnsi="MinionPro-Regular"/>
          <w:sz w:val="24"/>
          <w:szCs w:val="24"/>
        </w:rPr>
        <w:t>l, la planificación de carrera</w:t>
      </w:r>
      <w:r w:rsidRPr="008921FC">
        <w:rPr>
          <w:rFonts w:ascii="MinionPro-Regular" w:hAnsi="MinionPro-Regular"/>
          <w:sz w:val="24"/>
          <w:szCs w:val="24"/>
        </w:rPr>
        <w:t>, la preparación de los client</w:t>
      </w:r>
      <w:r>
        <w:rPr>
          <w:rFonts w:ascii="MinionPro-Regular" w:hAnsi="MinionPro-Regular"/>
          <w:sz w:val="24"/>
          <w:szCs w:val="24"/>
        </w:rPr>
        <w:t xml:space="preserve">es para los puestos de trabajo y la </w:t>
      </w:r>
      <w:r w:rsidRPr="008921FC">
        <w:rPr>
          <w:rFonts w:ascii="MinionPro-Regular" w:hAnsi="MinionPro-Regular"/>
          <w:sz w:val="24"/>
          <w:szCs w:val="24"/>
        </w:rPr>
        <w:t>búsqueda de trabajo, y el apoyo posterior a la colocación.</w:t>
      </w:r>
    </w:p>
    <w:p w:rsidR="00E2336B" w:rsidRPr="0069752E" w:rsidRDefault="00E2336B" w:rsidP="001B0EA4">
      <w:pPr>
        <w:autoSpaceDE w:val="0"/>
        <w:autoSpaceDN w:val="0"/>
        <w:spacing w:line="360" w:lineRule="auto"/>
        <w:jc w:val="both"/>
        <w:rPr>
          <w:rFonts w:ascii="MinionPro-Regular" w:hAnsi="MinionPro-Regular"/>
          <w:sz w:val="24"/>
          <w:szCs w:val="24"/>
        </w:rPr>
      </w:pPr>
    </w:p>
    <w:p w:rsidR="00E2336B" w:rsidRDefault="00E2336B" w:rsidP="001B0EA4">
      <w:pPr>
        <w:autoSpaceDE w:val="0"/>
        <w:autoSpaceDN w:val="0"/>
        <w:spacing w:line="360" w:lineRule="auto"/>
        <w:jc w:val="both"/>
        <w:rPr>
          <w:rFonts w:ascii="MinionPro-Regular" w:hAnsi="MinionPro-Regular"/>
          <w:sz w:val="24"/>
          <w:szCs w:val="24"/>
          <w:lang w:val="es-ES_tradnl"/>
        </w:rPr>
      </w:pPr>
    </w:p>
    <w:p w:rsidR="002959F0" w:rsidRDefault="00E2336B">
      <w:pPr>
        <w:pBdr>
          <w:top w:val="single" w:sz="4" w:space="1" w:color="auto"/>
          <w:left w:val="single" w:sz="4" w:space="4" w:color="auto"/>
          <w:bottom w:val="single" w:sz="4" w:space="1" w:color="auto"/>
          <w:right w:val="single" w:sz="4" w:space="4" w:color="auto"/>
        </w:pBdr>
        <w:shd w:val="clear" w:color="auto" w:fill="D9D9D9"/>
        <w:autoSpaceDE w:val="0"/>
        <w:autoSpaceDN w:val="0"/>
        <w:spacing w:line="360" w:lineRule="auto"/>
        <w:jc w:val="both"/>
        <w:rPr>
          <w:rFonts w:ascii="MinionPro-Regular" w:hAnsi="MinionPro-Regular"/>
          <w:sz w:val="24"/>
          <w:szCs w:val="24"/>
          <w:u w:val="single"/>
          <w:lang w:val="es-ES_tradnl"/>
        </w:rPr>
      </w:pPr>
      <w:bookmarkStart w:id="284" w:name="_Toc344964079"/>
      <w:r>
        <w:rPr>
          <w:rFonts w:ascii="MinionPro-Regular" w:hAnsi="MinionPro-Regular"/>
          <w:sz w:val="24"/>
          <w:szCs w:val="24"/>
          <w:u w:val="single"/>
          <w:lang w:val="es-ES_tradnl"/>
        </w:rPr>
        <w:t>Casos de éxito</w:t>
      </w:r>
    </w:p>
    <w:p w:rsidR="002959F0" w:rsidRDefault="00E2336B">
      <w:pPr>
        <w:pBdr>
          <w:top w:val="single" w:sz="4" w:space="1" w:color="auto"/>
          <w:left w:val="single" w:sz="4" w:space="4" w:color="auto"/>
          <w:bottom w:val="single" w:sz="4" w:space="1" w:color="auto"/>
          <w:right w:val="single" w:sz="4" w:space="4" w:color="auto"/>
        </w:pBdr>
        <w:shd w:val="clear" w:color="auto" w:fill="D9D9D9"/>
        <w:autoSpaceDE w:val="0"/>
        <w:autoSpaceDN w:val="0"/>
        <w:spacing w:line="360" w:lineRule="auto"/>
        <w:jc w:val="both"/>
        <w:rPr>
          <w:rFonts w:ascii="MinionPro-Regular" w:hAnsi="MinionPro-Regular"/>
          <w:sz w:val="24"/>
          <w:szCs w:val="24"/>
        </w:rPr>
      </w:pPr>
      <w:r>
        <w:rPr>
          <w:rFonts w:ascii="MinionPro-Regular" w:hAnsi="MinionPro-Regular"/>
          <w:sz w:val="24"/>
          <w:szCs w:val="24"/>
        </w:rPr>
        <w:t>Samhall fue fundada en 1980 y se hizo cargo de todos los talleres, de ciertos tipos de trabajo realizados en el hogar  y de centros de trabajo tanto de oficina como industriales que existían y que hasta entonces estaban a cargo de las autoridades públicas suecas.</w:t>
      </w:r>
    </w:p>
    <w:p w:rsidR="002959F0" w:rsidRDefault="002959F0">
      <w:pPr>
        <w:pBdr>
          <w:top w:val="single" w:sz="4" w:space="1" w:color="auto"/>
          <w:left w:val="single" w:sz="4" w:space="4" w:color="auto"/>
          <w:bottom w:val="single" w:sz="4" w:space="1" w:color="auto"/>
          <w:right w:val="single" w:sz="4" w:space="4" w:color="auto"/>
        </w:pBdr>
        <w:shd w:val="clear" w:color="auto" w:fill="D9D9D9"/>
        <w:autoSpaceDE w:val="0"/>
        <w:autoSpaceDN w:val="0"/>
        <w:spacing w:line="360" w:lineRule="auto"/>
        <w:jc w:val="both"/>
        <w:rPr>
          <w:rFonts w:ascii="MinionPro-Regular" w:hAnsi="MinionPro-Regular"/>
          <w:sz w:val="24"/>
          <w:szCs w:val="24"/>
        </w:rPr>
      </w:pPr>
    </w:p>
    <w:p w:rsidR="002959F0" w:rsidRDefault="00E2336B">
      <w:pPr>
        <w:pBdr>
          <w:top w:val="single" w:sz="4" w:space="1" w:color="auto"/>
          <w:left w:val="single" w:sz="4" w:space="4" w:color="auto"/>
          <w:bottom w:val="single" w:sz="4" w:space="1" w:color="auto"/>
          <w:right w:val="single" w:sz="4" w:space="4" w:color="auto"/>
        </w:pBdr>
        <w:shd w:val="clear" w:color="auto" w:fill="D9D9D9"/>
        <w:autoSpaceDE w:val="0"/>
        <w:autoSpaceDN w:val="0"/>
        <w:spacing w:line="360" w:lineRule="auto"/>
        <w:jc w:val="both"/>
        <w:rPr>
          <w:rFonts w:ascii="MinionPro-Regular" w:hAnsi="MinionPro-Regular"/>
          <w:sz w:val="24"/>
          <w:szCs w:val="24"/>
        </w:rPr>
      </w:pPr>
      <w:r>
        <w:rPr>
          <w:rFonts w:ascii="MinionPro-Regular" w:hAnsi="MinionPro-Regular"/>
          <w:sz w:val="24"/>
          <w:szCs w:val="24"/>
        </w:rPr>
        <w:t xml:space="preserve">Cuando la compañía se creó trabajaban unos 27.000 empleados, teniendo unos 21.400 de ellos diversas discapacidades. Durante la década de los ochenta el número de empleados con discapacidad en Samhall aumentó gradualmente, hasta alcanzar unas 30.400 personas en 1990. Desde entonces, el número ha disminuido de manera constante, hasta llegar a un nivel actual de cerca de 22.000 empleados. Esto se ha debido a que casi un total de 25.000 personas con discapacidad han sido capaces de dar el paso a un empleo ordinario. A principios de los ochenta el número de transiciones año era alrededor  del 1% de los empleados, aumentando al 5% en el 1988. Entre 1990 a 2004, el porcentaje de transiciones varió entre 2,2 y 5,7%. En 1993, el gobierno estipuló un </w:t>
      </w:r>
      <w:r>
        <w:rPr>
          <w:rFonts w:ascii="MinionPro-Regular" w:hAnsi="MinionPro-Regular"/>
          <w:sz w:val="24"/>
          <w:szCs w:val="24"/>
        </w:rPr>
        <w:lastRenderedPageBreak/>
        <w:t>requisito para la transición de por lo menos un 3%, en el 2000 este umbral se elevó al 5% y en 2010 al 6%.</w:t>
      </w:r>
    </w:p>
    <w:p w:rsidR="002959F0" w:rsidRDefault="002959F0">
      <w:pPr>
        <w:pBdr>
          <w:top w:val="single" w:sz="4" w:space="1" w:color="auto"/>
          <w:left w:val="single" w:sz="4" w:space="4" w:color="auto"/>
          <w:bottom w:val="single" w:sz="4" w:space="1" w:color="auto"/>
          <w:right w:val="single" w:sz="4" w:space="4" w:color="auto"/>
        </w:pBdr>
        <w:shd w:val="clear" w:color="auto" w:fill="D9D9D9"/>
        <w:autoSpaceDE w:val="0"/>
        <w:autoSpaceDN w:val="0"/>
        <w:spacing w:line="360" w:lineRule="auto"/>
        <w:jc w:val="both"/>
        <w:rPr>
          <w:rFonts w:ascii="MinionPro-Regular" w:hAnsi="MinionPro-Regular"/>
          <w:sz w:val="24"/>
          <w:szCs w:val="24"/>
        </w:rPr>
      </w:pPr>
    </w:p>
    <w:p w:rsidR="002959F0" w:rsidRDefault="00E2336B">
      <w:pPr>
        <w:pBdr>
          <w:top w:val="single" w:sz="4" w:space="1" w:color="auto"/>
          <w:left w:val="single" w:sz="4" w:space="4" w:color="auto"/>
          <w:bottom w:val="single" w:sz="4" w:space="1" w:color="auto"/>
          <w:right w:val="single" w:sz="4" w:space="4" w:color="auto"/>
        </w:pBdr>
        <w:shd w:val="clear" w:color="auto" w:fill="D9D9D9"/>
        <w:autoSpaceDE w:val="0"/>
        <w:autoSpaceDN w:val="0"/>
        <w:spacing w:line="360" w:lineRule="auto"/>
        <w:jc w:val="both"/>
        <w:rPr>
          <w:rFonts w:ascii="MinionPro-Regular" w:hAnsi="MinionPro-Regular"/>
          <w:sz w:val="24"/>
          <w:szCs w:val="24"/>
        </w:rPr>
      </w:pPr>
      <w:r>
        <w:rPr>
          <w:rFonts w:ascii="MinionPro-Regular" w:hAnsi="MinionPro-Regular"/>
          <w:sz w:val="24"/>
          <w:szCs w:val="24"/>
        </w:rPr>
        <w:t>Durante los años ochenta y noventa, las operaciones de Samhall fueron evolucionando, desde una escala local hasta grupos industriales con importantes exportaciones en sectores tales como el de la fabricación de muebles y de componentes de telecomunicaciones. En la década de los noventa se inició un proceso de reestructuración por el que las actividades manufactureras fueron reemplazadas gradualmente por los servicios. De hecho, desde el comienzo de la década de los noventa, Samhall ha creado más de 10.000 nuevos puestos de trabajo en servicios.</w:t>
      </w:r>
    </w:p>
    <w:p w:rsidR="002959F0" w:rsidRDefault="002959F0">
      <w:pPr>
        <w:pBdr>
          <w:top w:val="single" w:sz="4" w:space="1" w:color="auto"/>
          <w:left w:val="single" w:sz="4" w:space="4" w:color="auto"/>
          <w:bottom w:val="single" w:sz="4" w:space="1" w:color="auto"/>
          <w:right w:val="single" w:sz="4" w:space="4" w:color="auto"/>
        </w:pBdr>
        <w:shd w:val="clear" w:color="auto" w:fill="D9D9D9"/>
        <w:autoSpaceDE w:val="0"/>
        <w:autoSpaceDN w:val="0"/>
        <w:spacing w:line="360" w:lineRule="auto"/>
        <w:jc w:val="both"/>
        <w:rPr>
          <w:rFonts w:ascii="MinionPro-Regular" w:hAnsi="MinionPro-Regular"/>
          <w:sz w:val="24"/>
          <w:szCs w:val="24"/>
        </w:rPr>
      </w:pPr>
    </w:p>
    <w:p w:rsidR="002959F0" w:rsidRDefault="00E2336B">
      <w:pPr>
        <w:pBdr>
          <w:top w:val="single" w:sz="4" w:space="1" w:color="auto"/>
          <w:left w:val="single" w:sz="4" w:space="4" w:color="auto"/>
          <w:bottom w:val="single" w:sz="4" w:space="1" w:color="auto"/>
          <w:right w:val="single" w:sz="4" w:space="4" w:color="auto"/>
        </w:pBdr>
        <w:shd w:val="clear" w:color="auto" w:fill="D9D9D9"/>
        <w:autoSpaceDE w:val="0"/>
        <w:autoSpaceDN w:val="0"/>
        <w:spacing w:line="360" w:lineRule="auto"/>
        <w:jc w:val="both"/>
        <w:rPr>
          <w:rFonts w:ascii="MinionPro-Regular" w:hAnsi="MinionPro-Regular"/>
          <w:sz w:val="24"/>
          <w:szCs w:val="24"/>
        </w:rPr>
      </w:pPr>
      <w:r>
        <w:rPr>
          <w:rFonts w:ascii="MinionPro-Regular" w:hAnsi="MinionPro-Regular"/>
          <w:sz w:val="24"/>
          <w:szCs w:val="24"/>
        </w:rPr>
        <w:t>Entre 1980 y 1992, las operaciones se llevaron a cabo bajo el paraguas de una fundación, con 24 sedes regionales y una central. En 1992, la organización se reestructuró en un grupo de empresas regionales siendo la empresa estatal Samhall AB, la matriz. Esto le permitió gestionar y cambiar libremente la estructura corporativa del Grupo. Después de 1992, el número de filiales regionales se redujo como consecuencia de fusiones. Desde 2002, todas las actividades en Suecia se han llevado a cabo dentro de una sola empresa: Samhall AB.</w:t>
      </w:r>
    </w:p>
    <w:p w:rsidR="00E2336B" w:rsidRPr="007A408D" w:rsidRDefault="00E2336B" w:rsidP="0007541A">
      <w:pPr>
        <w:pStyle w:val="Ttulo2"/>
        <w:numPr>
          <w:ilvl w:val="1"/>
          <w:numId w:val="3"/>
        </w:numPr>
        <w:autoSpaceDE w:val="0"/>
        <w:autoSpaceDN w:val="0"/>
        <w:spacing w:line="360" w:lineRule="auto"/>
        <w:ind w:left="0"/>
        <w:jc w:val="both"/>
        <w:rPr>
          <w:rFonts w:ascii="MinionPro-Regular" w:hAnsi="MinionPro-Regular"/>
          <w:lang w:val="es-ES_tradnl"/>
        </w:rPr>
      </w:pPr>
      <w:bookmarkStart w:id="285" w:name="_Toc352773578"/>
      <w:r w:rsidRPr="007A408D">
        <w:rPr>
          <w:rFonts w:ascii="MinionPro-Regular" w:hAnsi="MinionPro-Regular"/>
          <w:lang w:val="es-ES_tradnl"/>
        </w:rPr>
        <w:t>Ayudas y beneficios para las personas con discapacidad</w:t>
      </w:r>
      <w:bookmarkEnd w:id="284"/>
      <w:bookmarkEnd w:id="285"/>
      <w:r w:rsidRPr="007A408D">
        <w:rPr>
          <w:rFonts w:ascii="MinionPro-Regular" w:hAnsi="MinionPro-Regular"/>
          <w:lang w:val="es-ES_tradnl"/>
        </w:rPr>
        <w:t xml:space="preserve"> </w:t>
      </w:r>
    </w:p>
    <w:p w:rsidR="007A408D" w:rsidRPr="007A408D" w:rsidRDefault="007A408D" w:rsidP="007A408D">
      <w:pPr>
        <w:pStyle w:val="Textoindependiente"/>
        <w:rPr>
          <w:lang w:val="es-ES_tradnl"/>
        </w:rPr>
      </w:pPr>
    </w:p>
    <w:p w:rsidR="00E2336B" w:rsidRDefault="00E2336B" w:rsidP="001B0EA4">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 xml:space="preserve">En el </w:t>
      </w:r>
      <w:r w:rsidR="00F23441" w:rsidRPr="00F23441">
        <w:rPr>
          <w:rFonts w:ascii="MinionPro-Regular" w:hAnsi="MinionPro-Regular"/>
          <w:b/>
          <w:sz w:val="24"/>
          <w:szCs w:val="24"/>
          <w:lang w:val="es-ES_tradnl"/>
        </w:rPr>
        <w:t>Reino Unido</w:t>
      </w:r>
      <w:r>
        <w:rPr>
          <w:rFonts w:ascii="MinionPro-Regular" w:hAnsi="MinionPro-Regular"/>
          <w:sz w:val="24"/>
          <w:szCs w:val="24"/>
          <w:lang w:val="es-ES_tradnl"/>
        </w:rPr>
        <w:t xml:space="preserve"> existen numerosos tipos de ayudas a la discapacidad</w:t>
      </w:r>
      <w:r>
        <w:rPr>
          <w:rStyle w:val="Refdenotaalpie"/>
          <w:rFonts w:ascii="MinionPro-Regular" w:hAnsi="MinionPro-Regular"/>
          <w:sz w:val="24"/>
          <w:szCs w:val="24"/>
          <w:lang w:val="es-ES_tradnl"/>
        </w:rPr>
        <w:footnoteReference w:id="47"/>
      </w:r>
      <w:r>
        <w:rPr>
          <w:rFonts w:ascii="MinionPro-Regular" w:hAnsi="MinionPro-Regular"/>
          <w:sz w:val="24"/>
          <w:szCs w:val="24"/>
          <w:lang w:val="es-ES_tradnl"/>
        </w:rPr>
        <w:t xml:space="preserve">, algunas de ellas orientadas dar apoyo a las personas que se dedican al cuidado de personas, otras tienen como objetivo determinados colectivos, mientras </w:t>
      </w:r>
      <w:r w:rsidRPr="0016050E">
        <w:rPr>
          <w:rFonts w:ascii="MinionPro-Regular" w:hAnsi="MinionPro-Regular"/>
          <w:sz w:val="24"/>
          <w:szCs w:val="24"/>
          <w:lang w:val="es-ES_tradnl"/>
        </w:rPr>
        <w:t xml:space="preserve">otras </w:t>
      </w:r>
      <w:r>
        <w:rPr>
          <w:rFonts w:ascii="MinionPro-Regular" w:hAnsi="MinionPro-Regular"/>
          <w:sz w:val="24"/>
          <w:szCs w:val="24"/>
          <w:lang w:val="es-ES_tradnl"/>
        </w:rPr>
        <w:t xml:space="preserve">tienen como propósito la </w:t>
      </w:r>
      <w:r>
        <w:rPr>
          <w:rFonts w:ascii="MinionPro-Regular" w:hAnsi="MinionPro-Regular"/>
          <w:sz w:val="24"/>
          <w:szCs w:val="24"/>
          <w:lang w:val="es-ES_tradnl"/>
        </w:rPr>
        <w:lastRenderedPageBreak/>
        <w:t>adaptación para vehículos. Dentro de las ayudas existentes al empleo cabe destacar las siguientes:</w:t>
      </w:r>
    </w:p>
    <w:p w:rsidR="00E2336B" w:rsidRDefault="00E2336B" w:rsidP="001B0EA4">
      <w:pPr>
        <w:autoSpaceDE w:val="0"/>
        <w:autoSpaceDN w:val="0"/>
        <w:spacing w:line="360" w:lineRule="auto"/>
        <w:jc w:val="both"/>
        <w:rPr>
          <w:rFonts w:ascii="MinionPro-Regular" w:hAnsi="MinionPro-Regular"/>
          <w:sz w:val="24"/>
          <w:szCs w:val="24"/>
          <w:lang w:val="es-ES_tradnl"/>
        </w:rPr>
      </w:pPr>
    </w:p>
    <w:p w:rsidR="00E2336B" w:rsidRDefault="00E2336B" w:rsidP="0007541A">
      <w:pPr>
        <w:pStyle w:val="Prrafodelista"/>
        <w:numPr>
          <w:ilvl w:val="0"/>
          <w:numId w:val="23"/>
        </w:numPr>
        <w:autoSpaceDE w:val="0"/>
        <w:autoSpaceDN w:val="0"/>
        <w:spacing w:line="360" w:lineRule="auto"/>
        <w:jc w:val="both"/>
        <w:rPr>
          <w:rFonts w:ascii="MinionPro-Regular" w:hAnsi="MinionPro-Regular"/>
          <w:sz w:val="24"/>
          <w:szCs w:val="24"/>
          <w:lang w:val="es-ES_tradnl"/>
        </w:rPr>
      </w:pPr>
      <w:r w:rsidRPr="00455028">
        <w:rPr>
          <w:rFonts w:ascii="MinionPro-Regular" w:hAnsi="MinionPro-Regular"/>
          <w:sz w:val="24"/>
          <w:szCs w:val="24"/>
          <w:u w:val="single"/>
          <w:lang w:val="es-ES_tradnl"/>
        </w:rPr>
        <w:t>Disability Living Allowance (DLA</w:t>
      </w:r>
      <w:r w:rsidRPr="00455028">
        <w:rPr>
          <w:rFonts w:ascii="MinionPro-Regular" w:hAnsi="MinionPro-Regular"/>
          <w:sz w:val="24"/>
          <w:szCs w:val="24"/>
          <w:lang w:val="es-ES_tradnl"/>
        </w:rPr>
        <w:t>). Es un beneficio libre de impuestos para los niños y adultos con discapacidad que supone entre £20</w:t>
      </w:r>
      <w:r>
        <w:rPr>
          <w:rFonts w:ascii="MinionPro-Regular" w:hAnsi="MinionPro-Regular"/>
          <w:sz w:val="24"/>
          <w:szCs w:val="24"/>
          <w:lang w:val="es-ES_tradnl"/>
        </w:rPr>
        <w:t>,</w:t>
      </w:r>
      <w:r w:rsidRPr="00455028">
        <w:rPr>
          <w:rFonts w:ascii="MinionPro-Regular" w:hAnsi="MinionPro-Regular"/>
          <w:sz w:val="24"/>
          <w:szCs w:val="24"/>
          <w:lang w:val="es-ES_tradnl"/>
        </w:rPr>
        <w:t xml:space="preserve">55 </w:t>
      </w:r>
      <w:r>
        <w:rPr>
          <w:rFonts w:ascii="MinionPro-Regular" w:hAnsi="MinionPro-Regular"/>
          <w:sz w:val="24"/>
          <w:szCs w:val="24"/>
          <w:lang w:val="es-ES_tradnl"/>
        </w:rPr>
        <w:t>y</w:t>
      </w:r>
      <w:r w:rsidRPr="00455028">
        <w:rPr>
          <w:rFonts w:ascii="MinionPro-Regular" w:hAnsi="MinionPro-Regular"/>
          <w:sz w:val="24"/>
          <w:szCs w:val="24"/>
          <w:lang w:val="es-ES_tradnl"/>
        </w:rPr>
        <w:t xml:space="preserve"> £131</w:t>
      </w:r>
      <w:r>
        <w:rPr>
          <w:rFonts w:ascii="MinionPro-Regular" w:hAnsi="MinionPro-Regular"/>
          <w:sz w:val="24"/>
          <w:szCs w:val="24"/>
          <w:lang w:val="es-ES_tradnl"/>
        </w:rPr>
        <w:t>,</w:t>
      </w:r>
      <w:r w:rsidRPr="00455028">
        <w:rPr>
          <w:rFonts w:ascii="MinionPro-Regular" w:hAnsi="MinionPro-Regular"/>
          <w:sz w:val="24"/>
          <w:szCs w:val="24"/>
          <w:lang w:val="es-ES_tradnl"/>
        </w:rPr>
        <w:t xml:space="preserve">50 a la semana para ayuda con los costes extra causados por la discapacidad. La cuantía </w:t>
      </w:r>
      <w:r>
        <w:rPr>
          <w:rFonts w:ascii="MinionPro-Regular" w:hAnsi="MinionPro-Regular"/>
          <w:sz w:val="24"/>
          <w:szCs w:val="24"/>
          <w:lang w:val="es-ES_tradnl"/>
        </w:rPr>
        <w:t>es independiente del empleo</w:t>
      </w:r>
      <w:r w:rsidRPr="00455028">
        <w:rPr>
          <w:rFonts w:ascii="MinionPro-Regular" w:hAnsi="MinionPro-Regular"/>
          <w:sz w:val="24"/>
          <w:szCs w:val="24"/>
          <w:lang w:val="es-ES_tradnl"/>
        </w:rPr>
        <w:t>.</w:t>
      </w:r>
      <w:r>
        <w:rPr>
          <w:rFonts w:ascii="MinionPro-Regular" w:hAnsi="MinionPro-Regular"/>
          <w:sz w:val="24"/>
          <w:szCs w:val="24"/>
          <w:lang w:val="es-ES_tradnl"/>
        </w:rPr>
        <w:t xml:space="preserve"> En 2013 este beneficio va a ser sustituido por el </w:t>
      </w:r>
      <w:r w:rsidRPr="002536B5">
        <w:rPr>
          <w:rFonts w:ascii="MinionPro-Regular" w:hAnsi="MinionPro-Regular"/>
          <w:sz w:val="24"/>
          <w:szCs w:val="24"/>
          <w:lang w:val="es-ES_tradnl"/>
        </w:rPr>
        <w:t>Personal Independence Payment (PIP)</w:t>
      </w:r>
      <w:r>
        <w:rPr>
          <w:rFonts w:ascii="MinionPro-Regular" w:hAnsi="MinionPro-Regular"/>
          <w:sz w:val="24"/>
          <w:szCs w:val="24"/>
          <w:lang w:val="es-ES_tradnl"/>
        </w:rPr>
        <w:t xml:space="preserve"> que implicará una evaluación de las necesidades personales individuales.</w:t>
      </w:r>
      <w:r w:rsidRPr="002536B5">
        <w:rPr>
          <w:rFonts w:ascii="MinionPro-Regular" w:hAnsi="MinionPro-Regular"/>
          <w:sz w:val="24"/>
          <w:szCs w:val="24"/>
          <w:lang w:val="es-ES_tradnl"/>
        </w:rPr>
        <w:t xml:space="preserve"> La nueva evaluación se centrará en la capacidad del individuo para llevar a cabo una serie de actividades clave necesarias para la vida cotidiana. La información será </w:t>
      </w:r>
      <w:r>
        <w:rPr>
          <w:rFonts w:ascii="MinionPro-Regular" w:hAnsi="MinionPro-Regular"/>
          <w:sz w:val="24"/>
          <w:szCs w:val="24"/>
          <w:lang w:val="es-ES_tradnl"/>
        </w:rPr>
        <w:t xml:space="preserve">aportada por </w:t>
      </w:r>
      <w:r w:rsidRPr="002536B5">
        <w:rPr>
          <w:rFonts w:ascii="MinionPro-Regular" w:hAnsi="MinionPro-Regular"/>
          <w:sz w:val="24"/>
          <w:szCs w:val="24"/>
          <w:lang w:val="es-ES_tradnl"/>
        </w:rPr>
        <w:t xml:space="preserve"> la persona, así como </w:t>
      </w:r>
      <w:r>
        <w:rPr>
          <w:rFonts w:ascii="MinionPro-Regular" w:hAnsi="MinionPro-Regular"/>
          <w:sz w:val="24"/>
          <w:szCs w:val="24"/>
          <w:lang w:val="es-ES_tradnl"/>
        </w:rPr>
        <w:t>por profesionales. A l</w:t>
      </w:r>
      <w:r w:rsidRPr="002536B5">
        <w:rPr>
          <w:rFonts w:ascii="MinionPro-Regular" w:hAnsi="MinionPro-Regular"/>
          <w:sz w:val="24"/>
          <w:szCs w:val="24"/>
          <w:lang w:val="es-ES_tradnl"/>
        </w:rPr>
        <w:t xml:space="preserve">a mayoría de las personas también se les pedirá </w:t>
      </w:r>
      <w:r>
        <w:rPr>
          <w:rFonts w:ascii="MinionPro-Regular" w:hAnsi="MinionPro-Regular"/>
          <w:sz w:val="24"/>
          <w:szCs w:val="24"/>
          <w:lang w:val="es-ES_tradnl"/>
        </w:rPr>
        <w:t>una</w:t>
      </w:r>
      <w:r w:rsidRPr="002536B5">
        <w:rPr>
          <w:rFonts w:ascii="MinionPro-Regular" w:hAnsi="MinionPro-Regular"/>
          <w:sz w:val="24"/>
          <w:szCs w:val="24"/>
          <w:lang w:val="es-ES_tradnl"/>
        </w:rPr>
        <w:t xml:space="preserve"> consulta con un asesor capacitado independiente como parte del proceso de </w:t>
      </w:r>
      <w:r>
        <w:rPr>
          <w:rFonts w:ascii="MinionPro-Regular" w:hAnsi="MinionPro-Regular"/>
          <w:sz w:val="24"/>
          <w:szCs w:val="24"/>
          <w:lang w:val="es-ES_tradnl"/>
        </w:rPr>
        <w:t>solicitud</w:t>
      </w:r>
      <w:r w:rsidRPr="002536B5">
        <w:rPr>
          <w:rFonts w:ascii="MinionPro-Regular" w:hAnsi="MinionPro-Regular"/>
          <w:sz w:val="24"/>
          <w:szCs w:val="24"/>
          <w:lang w:val="es-ES_tradnl"/>
        </w:rPr>
        <w:t>.</w:t>
      </w:r>
      <w:r>
        <w:rPr>
          <w:rFonts w:ascii="MinionPro-Regular" w:hAnsi="MinionPro-Regular"/>
          <w:sz w:val="24"/>
          <w:szCs w:val="24"/>
          <w:lang w:val="es-ES_tradnl"/>
        </w:rPr>
        <w:t xml:space="preserve"> </w:t>
      </w:r>
    </w:p>
    <w:p w:rsidR="00E2336B" w:rsidRDefault="00E2336B" w:rsidP="001B0EA4">
      <w:pPr>
        <w:pStyle w:val="Prrafodelista"/>
        <w:autoSpaceDE w:val="0"/>
        <w:autoSpaceDN w:val="0"/>
        <w:spacing w:line="360" w:lineRule="auto"/>
        <w:ind w:left="340"/>
        <w:jc w:val="both"/>
        <w:rPr>
          <w:rFonts w:ascii="MinionPro-Regular" w:hAnsi="MinionPro-Regular"/>
          <w:sz w:val="24"/>
          <w:szCs w:val="24"/>
          <w:lang w:val="es-ES_tradnl"/>
        </w:rPr>
      </w:pPr>
    </w:p>
    <w:p w:rsidR="00E2336B" w:rsidRDefault="00E2336B" w:rsidP="0007541A">
      <w:pPr>
        <w:pStyle w:val="Prrafodelista"/>
        <w:numPr>
          <w:ilvl w:val="0"/>
          <w:numId w:val="23"/>
        </w:numPr>
        <w:autoSpaceDE w:val="0"/>
        <w:autoSpaceDN w:val="0"/>
        <w:spacing w:line="360" w:lineRule="auto"/>
        <w:jc w:val="both"/>
        <w:rPr>
          <w:rFonts w:ascii="MinionPro-Regular" w:hAnsi="MinionPro-Regular"/>
          <w:sz w:val="24"/>
          <w:szCs w:val="24"/>
          <w:lang w:val="es-ES_tradnl"/>
        </w:rPr>
      </w:pPr>
      <w:r w:rsidRPr="00455028">
        <w:rPr>
          <w:rFonts w:ascii="MinionPro-Regular" w:hAnsi="MinionPro-Regular"/>
          <w:sz w:val="24"/>
          <w:szCs w:val="24"/>
          <w:u w:val="single"/>
        </w:rPr>
        <w:t>Employment and Support Allowance (ESA)</w:t>
      </w:r>
      <w:r w:rsidRPr="00455028">
        <w:rPr>
          <w:rFonts w:ascii="MinionPro-Regular" w:hAnsi="MinionPro-Regular"/>
          <w:sz w:val="24"/>
          <w:szCs w:val="24"/>
        </w:rPr>
        <w:t xml:space="preserve"> es </w:t>
      </w:r>
      <w:r w:rsidR="00F23441" w:rsidRPr="007A408D">
        <w:rPr>
          <w:rFonts w:ascii="MinionPro-Regular" w:hAnsi="MinionPro-Regular"/>
          <w:sz w:val="24"/>
          <w:szCs w:val="24"/>
        </w:rPr>
        <w:t xml:space="preserve">una ayuda a las personas que </w:t>
      </w:r>
      <w:r w:rsidR="008B51AD" w:rsidRPr="007A408D">
        <w:rPr>
          <w:rFonts w:ascii="MinionPro-Regular" w:hAnsi="MinionPro-Regular"/>
          <w:sz w:val="24"/>
          <w:szCs w:val="24"/>
        </w:rPr>
        <w:t xml:space="preserve">tienen dificultades de </w:t>
      </w:r>
      <w:r w:rsidR="001740FD" w:rsidRPr="007A408D">
        <w:rPr>
          <w:rFonts w:ascii="MinionPro-Regular" w:hAnsi="MinionPro-Regular"/>
          <w:sz w:val="24"/>
          <w:szCs w:val="24"/>
        </w:rPr>
        <w:t>acceso al empleo por su</w:t>
      </w:r>
      <w:r w:rsidR="00F23441" w:rsidRPr="007A408D">
        <w:rPr>
          <w:rFonts w:ascii="MinionPro-Regular" w:hAnsi="MinionPro-Regular"/>
          <w:sz w:val="24"/>
          <w:szCs w:val="24"/>
        </w:rPr>
        <w:t xml:space="preserve"> discapacidad</w:t>
      </w:r>
      <w:r w:rsidRPr="007A408D">
        <w:rPr>
          <w:rFonts w:ascii="MinionPro-Regular" w:hAnsi="MinionPro-Regular"/>
          <w:sz w:val="24"/>
          <w:szCs w:val="24"/>
        </w:rPr>
        <w:t xml:space="preserve"> </w:t>
      </w:r>
      <w:r w:rsidRPr="00455028">
        <w:rPr>
          <w:rFonts w:ascii="MinionPro-Regular" w:hAnsi="MinionPro-Regular"/>
          <w:sz w:val="24"/>
          <w:szCs w:val="24"/>
        </w:rPr>
        <w:t xml:space="preserve">(entre £56,25 y £105,05 en función del período de incapacidad y de circunstancias personales), </w:t>
      </w:r>
      <w:r w:rsidR="00F23441" w:rsidRPr="00BF7F16">
        <w:rPr>
          <w:rFonts w:ascii="MinionPro-Regular" w:hAnsi="MinionPro-Regular"/>
          <w:sz w:val="24"/>
          <w:szCs w:val="24"/>
        </w:rPr>
        <w:t>que necesitan una ayuda para poder trabajar o que son autónomos</w:t>
      </w:r>
      <w:r w:rsidRPr="00455028">
        <w:rPr>
          <w:rFonts w:ascii="MinionPro-Regular" w:hAnsi="MinionPro-Regular"/>
          <w:sz w:val="24"/>
          <w:szCs w:val="24"/>
        </w:rPr>
        <w:t>. El requisito para acceder a estas ayudas es asistir a entrevistas regulares con Jobcentre Plus. Actualmente esta ayuda está en proceso de revisión para la inclusión de diferentes conceptos y la simplificación de</w:t>
      </w:r>
      <w:r>
        <w:rPr>
          <w:rFonts w:ascii="MinionPro-Regular" w:hAnsi="MinionPro-Regular"/>
          <w:sz w:val="24"/>
          <w:szCs w:val="24"/>
        </w:rPr>
        <w:t>l proceso de solicitud</w:t>
      </w:r>
      <w:r w:rsidRPr="00455028">
        <w:rPr>
          <w:rFonts w:ascii="MinionPro-Regular" w:hAnsi="MinionPro-Regular"/>
          <w:sz w:val="24"/>
          <w:szCs w:val="24"/>
        </w:rPr>
        <w:t>. En</w:t>
      </w:r>
      <w:r>
        <w:rPr>
          <w:rFonts w:ascii="MinionPro-Regular" w:hAnsi="MinionPro-Regular"/>
          <w:sz w:val="24"/>
          <w:szCs w:val="24"/>
        </w:rPr>
        <w:t xml:space="preserve"> el</w:t>
      </w:r>
      <w:r w:rsidRPr="00455028">
        <w:rPr>
          <w:rFonts w:ascii="MinionPro-Regular" w:hAnsi="MinionPro-Regular"/>
          <w:sz w:val="24"/>
          <w:szCs w:val="24"/>
        </w:rPr>
        <w:t xml:space="preserve"> </w:t>
      </w:r>
      <w:r>
        <w:rPr>
          <w:rFonts w:ascii="MinionPro-Regular" w:hAnsi="MinionPro-Regular"/>
          <w:sz w:val="24"/>
          <w:szCs w:val="24"/>
        </w:rPr>
        <w:t>Reino Unido</w:t>
      </w:r>
      <w:r w:rsidRPr="00455028">
        <w:rPr>
          <w:rFonts w:ascii="MinionPro-Regular" w:hAnsi="MinionPro-Regular"/>
          <w:sz w:val="24"/>
          <w:szCs w:val="24"/>
        </w:rPr>
        <w:t xml:space="preserve"> se introdujo en 2008  el “Work Capability Assessment (WCA)”  para evaluar el derecho a recibir las ayudas del “Employment and Support Allowance (ESA)”.  Para ello, se lleva a cabo una </w:t>
      </w:r>
      <w:r w:rsidRPr="00455028">
        <w:rPr>
          <w:rFonts w:ascii="MinionPro-Regular" w:hAnsi="MinionPro-Regular"/>
          <w:sz w:val="24"/>
          <w:szCs w:val="24"/>
        </w:rPr>
        <w:lastRenderedPageBreak/>
        <w:t>evaluación de la capacidad de trabajo que tiene tres etapas y cuyo objetivo fue establecer una metodología para hacer un reparto más justo de las ayudas</w:t>
      </w:r>
      <w:r>
        <w:rPr>
          <w:rStyle w:val="Refdenotaalpie"/>
          <w:rFonts w:ascii="MinionPro-Regular" w:hAnsi="MinionPro-Regular"/>
          <w:sz w:val="24"/>
          <w:szCs w:val="24"/>
        </w:rPr>
        <w:footnoteReference w:id="48"/>
      </w:r>
      <w:r w:rsidRPr="00455028">
        <w:rPr>
          <w:rFonts w:ascii="MinionPro-Regular" w:hAnsi="MinionPro-Regular"/>
          <w:sz w:val="24"/>
          <w:szCs w:val="24"/>
        </w:rPr>
        <w:t>.</w:t>
      </w:r>
    </w:p>
    <w:p w:rsidR="00E2336B" w:rsidRPr="005A4F1C" w:rsidRDefault="00E2336B" w:rsidP="001B0EA4">
      <w:pPr>
        <w:autoSpaceDE w:val="0"/>
        <w:autoSpaceDN w:val="0"/>
        <w:spacing w:line="360" w:lineRule="auto"/>
        <w:jc w:val="both"/>
        <w:rPr>
          <w:rFonts w:ascii="MinionPro-Regular" w:hAnsi="MinionPro-Regular"/>
          <w:sz w:val="24"/>
          <w:szCs w:val="24"/>
        </w:rPr>
      </w:pPr>
    </w:p>
    <w:p w:rsidR="00E2336B" w:rsidRDefault="00E2336B" w:rsidP="0007541A">
      <w:pPr>
        <w:pStyle w:val="Prrafodelista"/>
        <w:numPr>
          <w:ilvl w:val="0"/>
          <w:numId w:val="24"/>
        </w:numPr>
        <w:autoSpaceDE w:val="0"/>
        <w:autoSpaceDN w:val="0"/>
        <w:spacing w:line="360" w:lineRule="auto"/>
        <w:jc w:val="both"/>
        <w:rPr>
          <w:rFonts w:ascii="MinionPro-Regular" w:hAnsi="MinionPro-Regular"/>
          <w:sz w:val="24"/>
          <w:szCs w:val="24"/>
        </w:rPr>
      </w:pPr>
      <w:r w:rsidRPr="00DE5787">
        <w:rPr>
          <w:rFonts w:ascii="MinionPro-Regular" w:hAnsi="MinionPro-Regular"/>
          <w:sz w:val="24"/>
          <w:szCs w:val="24"/>
          <w:lang w:val="en-US"/>
        </w:rPr>
        <w:t>Limited Capability for Work Test</w:t>
      </w:r>
      <w:r>
        <w:rPr>
          <w:rFonts w:ascii="MinionPro-Regular" w:hAnsi="MinionPro-Regular"/>
          <w:sz w:val="24"/>
          <w:szCs w:val="24"/>
          <w:lang w:val="en-US"/>
        </w:rPr>
        <w:t xml:space="preserve">. </w:t>
      </w:r>
      <w:r>
        <w:rPr>
          <w:rFonts w:ascii="MinionPro-Regular" w:hAnsi="MinionPro-Regular"/>
          <w:sz w:val="24"/>
          <w:szCs w:val="24"/>
        </w:rPr>
        <w:t xml:space="preserve">El cuestionario </w:t>
      </w:r>
      <w:r w:rsidRPr="00DE5787">
        <w:rPr>
          <w:rFonts w:ascii="MinionPro-Regular" w:hAnsi="MinionPro-Regular"/>
          <w:sz w:val="24"/>
          <w:szCs w:val="24"/>
        </w:rPr>
        <w:t xml:space="preserve">determina si una persona está o no en condiciones de permanecer en un empleo y </w:t>
      </w:r>
      <w:r>
        <w:rPr>
          <w:rFonts w:ascii="MinionPro-Regular" w:hAnsi="MinionPro-Regular"/>
          <w:sz w:val="24"/>
          <w:szCs w:val="24"/>
        </w:rPr>
        <w:t xml:space="preserve">contiene información sobre aspectos como la </w:t>
      </w:r>
      <w:r w:rsidRPr="00DE5787">
        <w:rPr>
          <w:rFonts w:ascii="MinionPro-Regular" w:hAnsi="MinionPro-Regular"/>
          <w:sz w:val="24"/>
          <w:szCs w:val="24"/>
        </w:rPr>
        <w:t xml:space="preserve">movilidad, destreza manual, posibilidad de </w:t>
      </w:r>
      <w:r>
        <w:rPr>
          <w:rFonts w:ascii="MinionPro-Regular" w:hAnsi="MinionPro-Regular"/>
          <w:sz w:val="24"/>
          <w:szCs w:val="24"/>
        </w:rPr>
        <w:t xml:space="preserve">comunicación o capacidad de relacionarse con los demás. </w:t>
      </w:r>
    </w:p>
    <w:p w:rsidR="00E2336B" w:rsidRDefault="00E2336B" w:rsidP="001B0EA4">
      <w:pPr>
        <w:autoSpaceDE w:val="0"/>
        <w:autoSpaceDN w:val="0"/>
        <w:spacing w:line="360" w:lineRule="auto"/>
        <w:jc w:val="both"/>
        <w:rPr>
          <w:rFonts w:ascii="MinionPro-Regular" w:hAnsi="MinionPro-Regular"/>
          <w:sz w:val="24"/>
          <w:szCs w:val="24"/>
          <w:lang w:val="es-ES_tradnl"/>
        </w:rPr>
      </w:pPr>
    </w:p>
    <w:p w:rsidR="00E2336B" w:rsidRPr="0067052A" w:rsidRDefault="00E2336B" w:rsidP="0007541A">
      <w:pPr>
        <w:pStyle w:val="Prrafodelista"/>
        <w:numPr>
          <w:ilvl w:val="0"/>
          <w:numId w:val="24"/>
        </w:numPr>
        <w:autoSpaceDE w:val="0"/>
        <w:autoSpaceDN w:val="0"/>
        <w:spacing w:line="360" w:lineRule="auto"/>
        <w:jc w:val="both"/>
        <w:rPr>
          <w:rFonts w:ascii="MinionPro-Regular" w:hAnsi="MinionPro-Regular"/>
          <w:sz w:val="24"/>
          <w:szCs w:val="24"/>
        </w:rPr>
      </w:pPr>
      <w:r w:rsidRPr="0067052A">
        <w:rPr>
          <w:rFonts w:ascii="MinionPro-Regular" w:hAnsi="MinionPro-Regular"/>
          <w:sz w:val="24"/>
          <w:szCs w:val="24"/>
          <w:lang w:val="en-US"/>
        </w:rPr>
        <w:t xml:space="preserve">Limited Capability for Work Related Activity Test. </w:t>
      </w:r>
      <w:r w:rsidRPr="00455028">
        <w:rPr>
          <w:rFonts w:ascii="MinionPro-Regular" w:hAnsi="MinionPro-Regular"/>
          <w:sz w:val="24"/>
          <w:szCs w:val="24"/>
        </w:rPr>
        <w:t>Evalúa, empleando si las personas evaluadas necesitan grupos de apoyo.</w:t>
      </w:r>
    </w:p>
    <w:p w:rsidR="00E2336B" w:rsidRDefault="00E2336B" w:rsidP="001B0EA4">
      <w:pPr>
        <w:pStyle w:val="Prrafodelista"/>
        <w:autoSpaceDE w:val="0"/>
        <w:autoSpaceDN w:val="0"/>
        <w:spacing w:line="360" w:lineRule="auto"/>
        <w:ind w:left="907"/>
        <w:jc w:val="both"/>
        <w:rPr>
          <w:rFonts w:ascii="MinionPro-Regular" w:hAnsi="MinionPro-Regular"/>
          <w:sz w:val="24"/>
          <w:szCs w:val="24"/>
        </w:rPr>
      </w:pPr>
    </w:p>
    <w:p w:rsidR="00E2336B" w:rsidRPr="0067052A" w:rsidRDefault="00E2336B" w:rsidP="0007541A">
      <w:pPr>
        <w:pStyle w:val="Prrafodelista"/>
        <w:numPr>
          <w:ilvl w:val="0"/>
          <w:numId w:val="24"/>
        </w:numPr>
        <w:autoSpaceDE w:val="0"/>
        <w:autoSpaceDN w:val="0"/>
        <w:spacing w:line="360" w:lineRule="auto"/>
        <w:jc w:val="both"/>
        <w:rPr>
          <w:rFonts w:ascii="MinionPro-Regular" w:hAnsi="MinionPro-Regular"/>
          <w:sz w:val="24"/>
          <w:szCs w:val="24"/>
        </w:rPr>
      </w:pPr>
      <w:r w:rsidRPr="00455028">
        <w:rPr>
          <w:rFonts w:ascii="MinionPro-Regular" w:hAnsi="MinionPro-Regular"/>
          <w:sz w:val="24"/>
          <w:szCs w:val="24"/>
          <w:lang w:val="en-US"/>
        </w:rPr>
        <w:t xml:space="preserve">Work Focused Health Related Assessment. </w:t>
      </w:r>
      <w:r>
        <w:rPr>
          <w:rFonts w:ascii="MinionPro-Regular" w:hAnsi="MinionPro-Regular"/>
          <w:sz w:val="24"/>
          <w:szCs w:val="24"/>
        </w:rPr>
        <w:t>S</w:t>
      </w:r>
      <w:r w:rsidRPr="0067052A">
        <w:rPr>
          <w:rFonts w:ascii="MinionPro-Regular" w:hAnsi="MinionPro-Regular"/>
          <w:sz w:val="24"/>
          <w:szCs w:val="24"/>
        </w:rPr>
        <w:t>e centra, al contrario que en los otros dos</w:t>
      </w:r>
      <w:r>
        <w:rPr>
          <w:rFonts w:ascii="MinionPro-Regular" w:hAnsi="MinionPro-Regular"/>
          <w:sz w:val="24"/>
          <w:szCs w:val="24"/>
        </w:rPr>
        <w:t xml:space="preserve"> aspectos</w:t>
      </w:r>
      <w:r w:rsidRPr="0067052A">
        <w:rPr>
          <w:rFonts w:ascii="MinionPro-Regular" w:hAnsi="MinionPro-Regular"/>
          <w:sz w:val="24"/>
          <w:szCs w:val="24"/>
        </w:rPr>
        <w:t xml:space="preserve">, en los </w:t>
      </w:r>
      <w:r>
        <w:rPr>
          <w:rFonts w:ascii="MinionPro-Regular" w:hAnsi="MinionPro-Regular"/>
          <w:sz w:val="24"/>
          <w:szCs w:val="24"/>
        </w:rPr>
        <w:t>trabajos</w:t>
      </w:r>
      <w:r w:rsidRPr="0067052A">
        <w:rPr>
          <w:rFonts w:ascii="MinionPro-Regular" w:hAnsi="MinionPro-Regular"/>
          <w:sz w:val="24"/>
          <w:szCs w:val="24"/>
        </w:rPr>
        <w:t xml:space="preserve"> que puede llevar a cabo la persona. Como resultado del análisis se proporciona un informe que la persona puede llevar a las entrevistas de trabajo que realice.</w:t>
      </w:r>
    </w:p>
    <w:p w:rsidR="00E2336B" w:rsidRDefault="00E2336B" w:rsidP="001B0EA4">
      <w:pPr>
        <w:pStyle w:val="Prrafodelista"/>
        <w:autoSpaceDE w:val="0"/>
        <w:autoSpaceDN w:val="0"/>
        <w:spacing w:line="360" w:lineRule="auto"/>
        <w:ind w:left="340"/>
        <w:jc w:val="both"/>
        <w:rPr>
          <w:rFonts w:ascii="MinionPro-Regular" w:hAnsi="MinionPro-Regular"/>
          <w:sz w:val="24"/>
          <w:szCs w:val="24"/>
        </w:rPr>
      </w:pPr>
    </w:p>
    <w:p w:rsidR="00E2336B" w:rsidRDefault="00E2336B" w:rsidP="0007541A">
      <w:pPr>
        <w:pStyle w:val="Prrafodelista"/>
        <w:numPr>
          <w:ilvl w:val="0"/>
          <w:numId w:val="23"/>
        </w:numPr>
        <w:autoSpaceDE w:val="0"/>
        <w:autoSpaceDN w:val="0"/>
        <w:spacing w:line="360" w:lineRule="auto"/>
        <w:jc w:val="both"/>
        <w:rPr>
          <w:rFonts w:ascii="MinionPro-Regular" w:hAnsi="MinionPro-Regular"/>
          <w:sz w:val="24"/>
          <w:szCs w:val="24"/>
        </w:rPr>
      </w:pPr>
      <w:r w:rsidRPr="00455028">
        <w:rPr>
          <w:rFonts w:ascii="MinionPro-Regular" w:hAnsi="MinionPro-Regular"/>
          <w:sz w:val="24"/>
          <w:szCs w:val="24"/>
          <w:u w:val="single"/>
        </w:rPr>
        <w:t>Access to Work</w:t>
      </w:r>
      <w:r w:rsidRPr="0067052A">
        <w:rPr>
          <w:rFonts w:ascii="MinionPro-Regular" w:hAnsi="MinionPro-Regular"/>
          <w:sz w:val="24"/>
          <w:szCs w:val="24"/>
        </w:rPr>
        <w:t xml:space="preserve"> es un sub</w:t>
      </w:r>
      <w:r w:rsidRPr="00455028">
        <w:rPr>
          <w:rFonts w:ascii="MinionPro-Regular" w:hAnsi="MinionPro-Regular"/>
          <w:sz w:val="24"/>
          <w:szCs w:val="24"/>
        </w:rPr>
        <w:t>sidio para ayudas pr</w:t>
      </w:r>
      <w:r>
        <w:rPr>
          <w:rFonts w:ascii="MinionPro-Regular" w:hAnsi="MinionPro-Regular"/>
          <w:sz w:val="24"/>
          <w:szCs w:val="24"/>
        </w:rPr>
        <w:t>ácticas para el acceso al empleo de personas con discapacidad que puede dedicarse a equipo especializado o a transporte, entre otros. Según las estadísticas del Departamento de Trabajo y Pensiones del gobierno británico, de Abril a Junio de 2012 fueron atendidas 20.400 personas, 2.460 de ellas por primera vez. Desde Abril de 2007 a través de este programa se han atendido a 89.530 personas con discapacidad</w:t>
      </w:r>
      <w:r>
        <w:rPr>
          <w:rStyle w:val="Refdenotaalpie"/>
          <w:rFonts w:ascii="MinionPro-Regular" w:hAnsi="MinionPro-Regular"/>
          <w:sz w:val="24"/>
          <w:szCs w:val="24"/>
        </w:rPr>
        <w:footnoteReference w:id="49"/>
      </w:r>
      <w:r>
        <w:rPr>
          <w:rFonts w:ascii="MinionPro-Regular" w:hAnsi="MinionPro-Regular"/>
          <w:sz w:val="24"/>
          <w:szCs w:val="24"/>
        </w:rPr>
        <w:t>.</w:t>
      </w:r>
    </w:p>
    <w:p w:rsidR="002959F0" w:rsidRDefault="002959F0">
      <w:pPr>
        <w:pStyle w:val="Prrafodelista"/>
        <w:autoSpaceDE w:val="0"/>
        <w:autoSpaceDN w:val="0"/>
        <w:spacing w:line="360" w:lineRule="auto"/>
        <w:ind w:left="340"/>
        <w:jc w:val="both"/>
        <w:rPr>
          <w:rFonts w:ascii="MinionPro-Regular" w:hAnsi="MinionPro-Regular"/>
          <w:sz w:val="24"/>
          <w:szCs w:val="24"/>
        </w:rPr>
      </w:pPr>
    </w:p>
    <w:p w:rsidR="00E2336B" w:rsidRDefault="00E2336B" w:rsidP="0007541A">
      <w:pPr>
        <w:pStyle w:val="Prrafodelista"/>
        <w:numPr>
          <w:ilvl w:val="0"/>
          <w:numId w:val="23"/>
        </w:numPr>
        <w:autoSpaceDE w:val="0"/>
        <w:autoSpaceDN w:val="0"/>
        <w:spacing w:line="360" w:lineRule="auto"/>
        <w:jc w:val="both"/>
        <w:rPr>
          <w:rFonts w:ascii="MinionPro-Regular" w:hAnsi="MinionPro-Regular"/>
          <w:sz w:val="24"/>
          <w:szCs w:val="24"/>
        </w:rPr>
      </w:pPr>
      <w:r w:rsidRPr="00455028">
        <w:rPr>
          <w:rFonts w:ascii="MinionPro-Regular" w:hAnsi="MinionPro-Regular"/>
          <w:sz w:val="24"/>
          <w:szCs w:val="24"/>
          <w:u w:val="single"/>
        </w:rPr>
        <w:lastRenderedPageBreak/>
        <w:t>Work Choice</w:t>
      </w:r>
      <w:r w:rsidRPr="00455028">
        <w:rPr>
          <w:rFonts w:ascii="MinionPro-Regular" w:hAnsi="MinionPro-Regular"/>
          <w:sz w:val="24"/>
          <w:szCs w:val="24"/>
        </w:rPr>
        <w:t xml:space="preserve"> es voluntario y puede ayudar a la obtención de un empleo medi</w:t>
      </w:r>
      <w:r>
        <w:rPr>
          <w:rFonts w:ascii="MinionPro-Regular" w:hAnsi="MinionPro-Regular"/>
          <w:sz w:val="24"/>
          <w:szCs w:val="24"/>
        </w:rPr>
        <w:t>a</w:t>
      </w:r>
      <w:r w:rsidRPr="00455028">
        <w:rPr>
          <w:rFonts w:ascii="MinionPro-Regular" w:hAnsi="MinionPro-Regular"/>
          <w:sz w:val="24"/>
          <w:szCs w:val="24"/>
        </w:rPr>
        <w:t>nte formación, entrevistas, etc.</w:t>
      </w:r>
    </w:p>
    <w:p w:rsidR="00E2336B" w:rsidRDefault="00E2336B" w:rsidP="001B0EA4">
      <w:pPr>
        <w:pStyle w:val="Prrafodelista"/>
        <w:autoSpaceDE w:val="0"/>
        <w:autoSpaceDN w:val="0"/>
        <w:spacing w:line="360" w:lineRule="auto"/>
        <w:ind w:left="340"/>
        <w:jc w:val="both"/>
        <w:rPr>
          <w:rFonts w:ascii="MinionPro-Regular" w:hAnsi="MinionPro-Regular"/>
          <w:sz w:val="24"/>
          <w:szCs w:val="24"/>
        </w:rPr>
      </w:pPr>
    </w:p>
    <w:p w:rsidR="00E2336B" w:rsidRDefault="00E2336B" w:rsidP="0007541A">
      <w:pPr>
        <w:pStyle w:val="Prrafodelista"/>
        <w:numPr>
          <w:ilvl w:val="0"/>
          <w:numId w:val="23"/>
        </w:numPr>
        <w:autoSpaceDE w:val="0"/>
        <w:autoSpaceDN w:val="0"/>
        <w:spacing w:line="360" w:lineRule="auto"/>
        <w:jc w:val="both"/>
        <w:rPr>
          <w:rFonts w:ascii="MinionPro-Regular" w:hAnsi="MinionPro-Regular"/>
          <w:sz w:val="24"/>
          <w:szCs w:val="24"/>
          <w:u w:val="single"/>
        </w:rPr>
      </w:pPr>
      <w:r w:rsidRPr="004B245F">
        <w:rPr>
          <w:rFonts w:ascii="MinionPro-Regular" w:hAnsi="MinionPro-Regular"/>
          <w:sz w:val="24"/>
          <w:szCs w:val="24"/>
          <w:u w:val="single"/>
        </w:rPr>
        <w:t>Universal Credit</w:t>
      </w:r>
      <w:r>
        <w:t xml:space="preserve">, </w:t>
      </w:r>
      <w:r w:rsidRPr="00455028">
        <w:rPr>
          <w:rFonts w:ascii="MinionPro-Regular" w:hAnsi="MinionPro-Regular"/>
          <w:sz w:val="24"/>
          <w:szCs w:val="24"/>
        </w:rPr>
        <w:t>ayuda a los demandantes de empleo y a sus familias a ser más independientes simplificando el sistema de beneficios.</w:t>
      </w:r>
    </w:p>
    <w:p w:rsidR="00E2336B" w:rsidRPr="0070199E" w:rsidRDefault="00E2336B" w:rsidP="001B0EA4">
      <w:pPr>
        <w:autoSpaceDE w:val="0"/>
        <w:autoSpaceDN w:val="0"/>
        <w:spacing w:line="360" w:lineRule="auto"/>
        <w:jc w:val="both"/>
        <w:rPr>
          <w:rFonts w:ascii="MinionPro-Regular" w:hAnsi="MinionPro-Regular"/>
          <w:sz w:val="24"/>
          <w:szCs w:val="24"/>
        </w:rPr>
      </w:pPr>
    </w:p>
    <w:p w:rsidR="00E2336B" w:rsidRDefault="00E2336B" w:rsidP="001B0EA4">
      <w:pPr>
        <w:autoSpaceDE w:val="0"/>
        <w:autoSpaceDN w:val="0"/>
        <w:spacing w:line="360" w:lineRule="auto"/>
        <w:jc w:val="both"/>
        <w:rPr>
          <w:rFonts w:ascii="MinionPro-Regular" w:hAnsi="MinionPro-Regular"/>
          <w:sz w:val="24"/>
          <w:szCs w:val="24"/>
        </w:rPr>
      </w:pPr>
      <w:r>
        <w:rPr>
          <w:rFonts w:ascii="MinionPro-Regular" w:hAnsi="MinionPro-Regular"/>
          <w:sz w:val="24"/>
          <w:szCs w:val="24"/>
        </w:rPr>
        <w:t>A continuación se reflejan los gastos en la mejora de los derechos y oportunidades de las personas con discapacidad para su inclusión en la sociedad, publicados por el gobierno británico hasta el año 2003.</w:t>
      </w:r>
    </w:p>
    <w:p w:rsidR="00E2336B" w:rsidRDefault="00E2336B" w:rsidP="001B0EA4">
      <w:pPr>
        <w:autoSpaceDE w:val="0"/>
        <w:autoSpaceDN w:val="0"/>
        <w:spacing w:line="360" w:lineRule="auto"/>
        <w:jc w:val="both"/>
        <w:rPr>
          <w:rFonts w:ascii="MinionPro-Regular" w:hAnsi="MinionPro-Regular"/>
          <w:sz w:val="24"/>
          <w:szCs w:val="24"/>
        </w:rPr>
      </w:pPr>
    </w:p>
    <w:tbl>
      <w:tblPr>
        <w:tblW w:w="0" w:type="auto"/>
        <w:jc w:val="center"/>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126"/>
        <w:gridCol w:w="4252"/>
      </w:tblGrid>
      <w:tr w:rsidR="00E2336B" w:rsidRPr="00741DFC" w:rsidTr="00A62C1C">
        <w:trPr>
          <w:jc w:val="center"/>
        </w:trPr>
        <w:tc>
          <w:tcPr>
            <w:tcW w:w="2126" w:type="dxa"/>
            <w:vAlign w:val="center"/>
          </w:tcPr>
          <w:p w:rsidR="00E2336B" w:rsidRPr="00A62C1C" w:rsidRDefault="00E2336B" w:rsidP="00A62C1C">
            <w:pPr>
              <w:autoSpaceDE w:val="0"/>
              <w:autoSpaceDN w:val="0"/>
              <w:spacing w:line="360" w:lineRule="auto"/>
              <w:jc w:val="center"/>
              <w:rPr>
                <w:rFonts w:ascii="MinionPro-Regular" w:hAnsi="MinionPro-Regular"/>
                <w:b/>
                <w:szCs w:val="24"/>
              </w:rPr>
            </w:pPr>
            <w:r w:rsidRPr="00A62C1C">
              <w:rPr>
                <w:rFonts w:ascii="MinionPro-Regular" w:hAnsi="MinionPro-Regular"/>
                <w:b/>
                <w:szCs w:val="24"/>
              </w:rPr>
              <w:t>Año</w:t>
            </w:r>
          </w:p>
        </w:tc>
        <w:tc>
          <w:tcPr>
            <w:tcW w:w="4252" w:type="dxa"/>
            <w:vAlign w:val="center"/>
          </w:tcPr>
          <w:p w:rsidR="00E2336B" w:rsidRPr="00A62C1C" w:rsidRDefault="00E2336B" w:rsidP="00A62C1C">
            <w:pPr>
              <w:autoSpaceDE w:val="0"/>
              <w:autoSpaceDN w:val="0"/>
              <w:spacing w:line="360" w:lineRule="auto"/>
              <w:jc w:val="center"/>
              <w:rPr>
                <w:rFonts w:ascii="MinionPro-Regular" w:hAnsi="MinionPro-Regular"/>
                <w:b/>
                <w:szCs w:val="24"/>
              </w:rPr>
            </w:pPr>
            <w:r w:rsidRPr="00A62C1C">
              <w:rPr>
                <w:rFonts w:ascii="MinionPro-Regular" w:hAnsi="MinionPro-Regular"/>
                <w:b/>
                <w:szCs w:val="24"/>
              </w:rPr>
              <w:t>Gasto en beneficios (millones de libras)</w:t>
            </w:r>
          </w:p>
        </w:tc>
      </w:tr>
      <w:tr w:rsidR="00E2336B" w:rsidRPr="00741DFC" w:rsidTr="00A62C1C">
        <w:trPr>
          <w:jc w:val="center"/>
        </w:trPr>
        <w:tc>
          <w:tcPr>
            <w:tcW w:w="2126" w:type="dxa"/>
            <w:vAlign w:val="center"/>
          </w:tcPr>
          <w:p w:rsidR="00E2336B" w:rsidRPr="00A62C1C" w:rsidRDefault="00E2336B" w:rsidP="00A62C1C">
            <w:pPr>
              <w:autoSpaceDE w:val="0"/>
              <w:autoSpaceDN w:val="0"/>
              <w:spacing w:line="360" w:lineRule="auto"/>
              <w:jc w:val="center"/>
              <w:rPr>
                <w:rFonts w:ascii="MinionPro-Regular" w:hAnsi="MinionPro-Regular"/>
                <w:szCs w:val="24"/>
              </w:rPr>
            </w:pPr>
            <w:r w:rsidRPr="00A62C1C">
              <w:rPr>
                <w:rFonts w:ascii="MinionPro-Regular" w:hAnsi="MinionPro-Regular"/>
                <w:szCs w:val="24"/>
              </w:rPr>
              <w:t>1991-92</w:t>
            </w:r>
          </w:p>
        </w:tc>
        <w:tc>
          <w:tcPr>
            <w:tcW w:w="4252" w:type="dxa"/>
            <w:vAlign w:val="center"/>
          </w:tcPr>
          <w:p w:rsidR="00E2336B" w:rsidRPr="00A62C1C" w:rsidRDefault="00E2336B" w:rsidP="00A62C1C">
            <w:pPr>
              <w:autoSpaceDE w:val="0"/>
              <w:autoSpaceDN w:val="0"/>
              <w:spacing w:line="360" w:lineRule="auto"/>
              <w:jc w:val="center"/>
              <w:rPr>
                <w:rFonts w:ascii="MinionPro-Regular" w:hAnsi="MinionPro-Regular"/>
                <w:szCs w:val="24"/>
              </w:rPr>
            </w:pPr>
            <w:r w:rsidRPr="00A62C1C">
              <w:rPr>
                <w:rFonts w:ascii="MinionPro-Regular" w:hAnsi="MinionPro-Regular"/>
                <w:szCs w:val="24"/>
              </w:rPr>
              <w:t>4.373</w:t>
            </w:r>
          </w:p>
        </w:tc>
      </w:tr>
      <w:tr w:rsidR="00E2336B" w:rsidRPr="00741DFC" w:rsidTr="00A62C1C">
        <w:trPr>
          <w:jc w:val="center"/>
        </w:trPr>
        <w:tc>
          <w:tcPr>
            <w:tcW w:w="2126" w:type="dxa"/>
            <w:vAlign w:val="center"/>
          </w:tcPr>
          <w:p w:rsidR="00E2336B" w:rsidRPr="00A62C1C" w:rsidRDefault="00E2336B" w:rsidP="00A62C1C">
            <w:pPr>
              <w:autoSpaceDE w:val="0"/>
              <w:autoSpaceDN w:val="0"/>
              <w:spacing w:line="360" w:lineRule="auto"/>
              <w:jc w:val="center"/>
              <w:rPr>
                <w:rFonts w:ascii="MinionPro-Regular" w:hAnsi="MinionPro-Regular"/>
                <w:szCs w:val="24"/>
              </w:rPr>
            </w:pPr>
            <w:r w:rsidRPr="00A62C1C">
              <w:rPr>
                <w:rFonts w:ascii="MinionPro-Regular" w:hAnsi="MinionPro-Regular"/>
                <w:szCs w:val="24"/>
              </w:rPr>
              <w:t>1992-93</w:t>
            </w:r>
          </w:p>
        </w:tc>
        <w:tc>
          <w:tcPr>
            <w:tcW w:w="4252" w:type="dxa"/>
            <w:vAlign w:val="center"/>
          </w:tcPr>
          <w:p w:rsidR="00E2336B" w:rsidRPr="00A62C1C" w:rsidRDefault="00E2336B" w:rsidP="00A62C1C">
            <w:pPr>
              <w:autoSpaceDE w:val="0"/>
              <w:autoSpaceDN w:val="0"/>
              <w:spacing w:line="360" w:lineRule="auto"/>
              <w:jc w:val="center"/>
              <w:rPr>
                <w:rFonts w:ascii="MinionPro-Regular" w:hAnsi="MinionPro-Regular"/>
                <w:szCs w:val="24"/>
              </w:rPr>
            </w:pPr>
            <w:r w:rsidRPr="00A62C1C">
              <w:rPr>
                <w:rFonts w:ascii="MinionPro-Regular" w:hAnsi="MinionPro-Regular"/>
                <w:szCs w:val="24"/>
              </w:rPr>
              <w:t>5.501</w:t>
            </w:r>
          </w:p>
        </w:tc>
      </w:tr>
      <w:tr w:rsidR="00E2336B" w:rsidRPr="00741DFC" w:rsidTr="00A62C1C">
        <w:trPr>
          <w:jc w:val="center"/>
        </w:trPr>
        <w:tc>
          <w:tcPr>
            <w:tcW w:w="2126" w:type="dxa"/>
            <w:vAlign w:val="center"/>
          </w:tcPr>
          <w:p w:rsidR="00E2336B" w:rsidRPr="00A62C1C" w:rsidRDefault="00E2336B" w:rsidP="00A62C1C">
            <w:pPr>
              <w:autoSpaceDE w:val="0"/>
              <w:autoSpaceDN w:val="0"/>
              <w:spacing w:line="360" w:lineRule="auto"/>
              <w:jc w:val="center"/>
              <w:rPr>
                <w:rFonts w:ascii="MinionPro-Regular" w:hAnsi="MinionPro-Regular"/>
                <w:szCs w:val="24"/>
              </w:rPr>
            </w:pPr>
            <w:r w:rsidRPr="00A62C1C">
              <w:rPr>
                <w:rFonts w:ascii="MinionPro-Regular" w:hAnsi="MinionPro-Regular"/>
                <w:szCs w:val="24"/>
              </w:rPr>
              <w:t>1993-94</w:t>
            </w:r>
          </w:p>
        </w:tc>
        <w:tc>
          <w:tcPr>
            <w:tcW w:w="4252" w:type="dxa"/>
            <w:vAlign w:val="center"/>
          </w:tcPr>
          <w:p w:rsidR="00E2336B" w:rsidRPr="00A62C1C" w:rsidRDefault="00E2336B" w:rsidP="00A62C1C">
            <w:pPr>
              <w:autoSpaceDE w:val="0"/>
              <w:autoSpaceDN w:val="0"/>
              <w:spacing w:line="360" w:lineRule="auto"/>
              <w:jc w:val="center"/>
              <w:rPr>
                <w:rFonts w:ascii="MinionPro-Regular" w:hAnsi="MinionPro-Regular"/>
                <w:szCs w:val="24"/>
              </w:rPr>
            </w:pPr>
            <w:r w:rsidRPr="00A62C1C">
              <w:rPr>
                <w:rFonts w:ascii="MinionPro-Regular" w:hAnsi="MinionPro-Regular"/>
                <w:szCs w:val="24"/>
              </w:rPr>
              <w:t>6.738</w:t>
            </w:r>
          </w:p>
        </w:tc>
      </w:tr>
      <w:tr w:rsidR="00E2336B" w:rsidRPr="00741DFC" w:rsidTr="00A62C1C">
        <w:trPr>
          <w:jc w:val="center"/>
        </w:trPr>
        <w:tc>
          <w:tcPr>
            <w:tcW w:w="2126" w:type="dxa"/>
            <w:vAlign w:val="center"/>
          </w:tcPr>
          <w:p w:rsidR="00E2336B" w:rsidRPr="00A62C1C" w:rsidRDefault="00E2336B" w:rsidP="00A62C1C">
            <w:pPr>
              <w:autoSpaceDE w:val="0"/>
              <w:autoSpaceDN w:val="0"/>
              <w:spacing w:line="360" w:lineRule="auto"/>
              <w:jc w:val="center"/>
              <w:rPr>
                <w:rFonts w:ascii="MinionPro-Regular" w:hAnsi="MinionPro-Regular"/>
                <w:szCs w:val="24"/>
              </w:rPr>
            </w:pPr>
            <w:r w:rsidRPr="00A62C1C">
              <w:rPr>
                <w:rFonts w:ascii="MinionPro-Regular" w:hAnsi="MinionPro-Regular"/>
                <w:szCs w:val="24"/>
              </w:rPr>
              <w:t>1994-95</w:t>
            </w:r>
          </w:p>
        </w:tc>
        <w:tc>
          <w:tcPr>
            <w:tcW w:w="4252" w:type="dxa"/>
            <w:vAlign w:val="center"/>
          </w:tcPr>
          <w:p w:rsidR="00E2336B" w:rsidRPr="00A62C1C" w:rsidRDefault="00E2336B" w:rsidP="00A62C1C">
            <w:pPr>
              <w:autoSpaceDE w:val="0"/>
              <w:autoSpaceDN w:val="0"/>
              <w:spacing w:line="360" w:lineRule="auto"/>
              <w:jc w:val="center"/>
              <w:rPr>
                <w:rFonts w:ascii="MinionPro-Regular" w:hAnsi="MinionPro-Regular"/>
                <w:szCs w:val="24"/>
              </w:rPr>
            </w:pPr>
            <w:r w:rsidRPr="00A62C1C">
              <w:rPr>
                <w:rFonts w:ascii="MinionPro-Regular" w:hAnsi="MinionPro-Regular"/>
                <w:szCs w:val="24"/>
              </w:rPr>
              <w:t>7.229</w:t>
            </w:r>
          </w:p>
        </w:tc>
      </w:tr>
      <w:tr w:rsidR="00E2336B" w:rsidRPr="00741DFC" w:rsidTr="00A62C1C">
        <w:trPr>
          <w:jc w:val="center"/>
        </w:trPr>
        <w:tc>
          <w:tcPr>
            <w:tcW w:w="2126" w:type="dxa"/>
            <w:vAlign w:val="center"/>
          </w:tcPr>
          <w:p w:rsidR="00E2336B" w:rsidRPr="00A62C1C" w:rsidRDefault="00E2336B" w:rsidP="00A62C1C">
            <w:pPr>
              <w:autoSpaceDE w:val="0"/>
              <w:autoSpaceDN w:val="0"/>
              <w:spacing w:line="360" w:lineRule="auto"/>
              <w:jc w:val="center"/>
              <w:rPr>
                <w:rFonts w:ascii="MinionPro-Regular" w:hAnsi="MinionPro-Regular"/>
                <w:szCs w:val="24"/>
              </w:rPr>
            </w:pPr>
            <w:r w:rsidRPr="00A62C1C">
              <w:rPr>
                <w:rFonts w:ascii="MinionPro-Regular" w:hAnsi="MinionPro-Regular"/>
                <w:szCs w:val="24"/>
              </w:rPr>
              <w:t>1995-96</w:t>
            </w:r>
          </w:p>
        </w:tc>
        <w:tc>
          <w:tcPr>
            <w:tcW w:w="4252" w:type="dxa"/>
            <w:vAlign w:val="center"/>
          </w:tcPr>
          <w:p w:rsidR="00E2336B" w:rsidRPr="00A62C1C" w:rsidRDefault="00E2336B" w:rsidP="00A62C1C">
            <w:pPr>
              <w:autoSpaceDE w:val="0"/>
              <w:autoSpaceDN w:val="0"/>
              <w:spacing w:line="360" w:lineRule="auto"/>
              <w:jc w:val="center"/>
              <w:rPr>
                <w:rFonts w:ascii="MinionPro-Regular" w:hAnsi="MinionPro-Regular"/>
                <w:szCs w:val="24"/>
              </w:rPr>
            </w:pPr>
            <w:r w:rsidRPr="00A62C1C">
              <w:rPr>
                <w:rFonts w:ascii="MinionPro-Regular" w:hAnsi="MinionPro-Regular"/>
                <w:szCs w:val="24"/>
              </w:rPr>
              <w:t>8.273</w:t>
            </w:r>
          </w:p>
        </w:tc>
      </w:tr>
      <w:tr w:rsidR="00E2336B" w:rsidRPr="00741DFC" w:rsidTr="00A62C1C">
        <w:trPr>
          <w:jc w:val="center"/>
        </w:trPr>
        <w:tc>
          <w:tcPr>
            <w:tcW w:w="2126" w:type="dxa"/>
            <w:vAlign w:val="center"/>
          </w:tcPr>
          <w:p w:rsidR="00E2336B" w:rsidRPr="00A62C1C" w:rsidRDefault="00E2336B" w:rsidP="00A62C1C">
            <w:pPr>
              <w:autoSpaceDE w:val="0"/>
              <w:autoSpaceDN w:val="0"/>
              <w:spacing w:line="360" w:lineRule="auto"/>
              <w:jc w:val="center"/>
              <w:rPr>
                <w:rFonts w:ascii="MinionPro-Regular" w:hAnsi="MinionPro-Regular"/>
                <w:szCs w:val="24"/>
              </w:rPr>
            </w:pPr>
            <w:r w:rsidRPr="00A62C1C">
              <w:rPr>
                <w:rFonts w:ascii="MinionPro-Regular" w:hAnsi="MinionPro-Regular"/>
                <w:szCs w:val="24"/>
              </w:rPr>
              <w:t>1996-97</w:t>
            </w:r>
          </w:p>
        </w:tc>
        <w:tc>
          <w:tcPr>
            <w:tcW w:w="4252" w:type="dxa"/>
            <w:vAlign w:val="center"/>
          </w:tcPr>
          <w:p w:rsidR="00E2336B" w:rsidRPr="00A62C1C" w:rsidRDefault="00E2336B" w:rsidP="00A62C1C">
            <w:pPr>
              <w:autoSpaceDE w:val="0"/>
              <w:autoSpaceDN w:val="0"/>
              <w:spacing w:line="360" w:lineRule="auto"/>
              <w:jc w:val="center"/>
              <w:rPr>
                <w:rFonts w:ascii="MinionPro-Regular" w:hAnsi="MinionPro-Regular"/>
                <w:szCs w:val="24"/>
              </w:rPr>
            </w:pPr>
            <w:r w:rsidRPr="00A62C1C">
              <w:rPr>
                <w:rFonts w:ascii="MinionPro-Regular" w:hAnsi="MinionPro-Regular"/>
                <w:szCs w:val="24"/>
              </w:rPr>
              <w:t>9.354</w:t>
            </w:r>
          </w:p>
        </w:tc>
      </w:tr>
      <w:tr w:rsidR="00E2336B" w:rsidRPr="00741DFC" w:rsidTr="00A62C1C">
        <w:trPr>
          <w:jc w:val="center"/>
        </w:trPr>
        <w:tc>
          <w:tcPr>
            <w:tcW w:w="2126" w:type="dxa"/>
            <w:vAlign w:val="center"/>
          </w:tcPr>
          <w:p w:rsidR="00E2336B" w:rsidRPr="00A62C1C" w:rsidRDefault="00E2336B" w:rsidP="00A62C1C">
            <w:pPr>
              <w:autoSpaceDE w:val="0"/>
              <w:autoSpaceDN w:val="0"/>
              <w:spacing w:line="360" w:lineRule="auto"/>
              <w:jc w:val="center"/>
              <w:rPr>
                <w:rFonts w:ascii="MinionPro-Regular" w:hAnsi="MinionPro-Regular"/>
                <w:szCs w:val="24"/>
              </w:rPr>
            </w:pPr>
            <w:r w:rsidRPr="00A62C1C">
              <w:rPr>
                <w:rFonts w:ascii="MinionPro-Regular" w:hAnsi="MinionPro-Regular"/>
                <w:szCs w:val="24"/>
              </w:rPr>
              <w:t>1997-98</w:t>
            </w:r>
          </w:p>
        </w:tc>
        <w:tc>
          <w:tcPr>
            <w:tcW w:w="4252" w:type="dxa"/>
            <w:vAlign w:val="center"/>
          </w:tcPr>
          <w:p w:rsidR="00E2336B" w:rsidRPr="00A62C1C" w:rsidRDefault="00E2336B" w:rsidP="00A62C1C">
            <w:pPr>
              <w:autoSpaceDE w:val="0"/>
              <w:autoSpaceDN w:val="0"/>
              <w:spacing w:line="360" w:lineRule="auto"/>
              <w:jc w:val="center"/>
              <w:rPr>
                <w:rFonts w:ascii="MinionPro-Regular" w:hAnsi="MinionPro-Regular"/>
                <w:szCs w:val="24"/>
              </w:rPr>
            </w:pPr>
            <w:r w:rsidRPr="00A62C1C">
              <w:rPr>
                <w:rFonts w:ascii="MinionPro-Regular" w:hAnsi="MinionPro-Regular"/>
                <w:szCs w:val="24"/>
              </w:rPr>
              <w:t>9.883</w:t>
            </w:r>
          </w:p>
        </w:tc>
      </w:tr>
      <w:tr w:rsidR="00E2336B" w:rsidRPr="00741DFC" w:rsidTr="00A62C1C">
        <w:trPr>
          <w:jc w:val="center"/>
        </w:trPr>
        <w:tc>
          <w:tcPr>
            <w:tcW w:w="2126" w:type="dxa"/>
            <w:vAlign w:val="center"/>
          </w:tcPr>
          <w:p w:rsidR="00E2336B" w:rsidRPr="00A62C1C" w:rsidRDefault="00E2336B" w:rsidP="00A62C1C">
            <w:pPr>
              <w:autoSpaceDE w:val="0"/>
              <w:autoSpaceDN w:val="0"/>
              <w:spacing w:line="360" w:lineRule="auto"/>
              <w:jc w:val="center"/>
              <w:rPr>
                <w:rFonts w:ascii="MinionPro-Regular" w:hAnsi="MinionPro-Regular"/>
                <w:szCs w:val="24"/>
              </w:rPr>
            </w:pPr>
            <w:r w:rsidRPr="00A62C1C">
              <w:rPr>
                <w:rFonts w:ascii="MinionPro-Regular" w:hAnsi="MinionPro-Regular"/>
                <w:szCs w:val="24"/>
              </w:rPr>
              <w:t>1998-99</w:t>
            </w:r>
          </w:p>
        </w:tc>
        <w:tc>
          <w:tcPr>
            <w:tcW w:w="4252" w:type="dxa"/>
            <w:vAlign w:val="center"/>
          </w:tcPr>
          <w:p w:rsidR="00E2336B" w:rsidRPr="00A62C1C" w:rsidRDefault="00E2336B" w:rsidP="00A62C1C">
            <w:pPr>
              <w:autoSpaceDE w:val="0"/>
              <w:autoSpaceDN w:val="0"/>
              <w:spacing w:line="360" w:lineRule="auto"/>
              <w:jc w:val="center"/>
              <w:rPr>
                <w:rFonts w:ascii="MinionPro-Regular" w:hAnsi="MinionPro-Regular"/>
                <w:szCs w:val="24"/>
              </w:rPr>
            </w:pPr>
            <w:r w:rsidRPr="00A62C1C">
              <w:rPr>
                <w:rFonts w:ascii="MinionPro-Regular" w:hAnsi="MinionPro-Regular"/>
                <w:szCs w:val="24"/>
              </w:rPr>
              <w:t>10.444</w:t>
            </w:r>
          </w:p>
        </w:tc>
      </w:tr>
      <w:tr w:rsidR="00E2336B" w:rsidRPr="00741DFC" w:rsidTr="00A62C1C">
        <w:trPr>
          <w:jc w:val="center"/>
        </w:trPr>
        <w:tc>
          <w:tcPr>
            <w:tcW w:w="2126" w:type="dxa"/>
            <w:vAlign w:val="center"/>
          </w:tcPr>
          <w:p w:rsidR="00E2336B" w:rsidRPr="00A62C1C" w:rsidRDefault="00E2336B" w:rsidP="00A62C1C">
            <w:pPr>
              <w:autoSpaceDE w:val="0"/>
              <w:autoSpaceDN w:val="0"/>
              <w:spacing w:line="360" w:lineRule="auto"/>
              <w:jc w:val="center"/>
              <w:rPr>
                <w:rFonts w:ascii="MinionPro-Regular" w:hAnsi="MinionPro-Regular"/>
                <w:szCs w:val="24"/>
              </w:rPr>
            </w:pPr>
            <w:r w:rsidRPr="00A62C1C">
              <w:rPr>
                <w:rFonts w:ascii="MinionPro-Regular" w:hAnsi="MinionPro-Regular"/>
                <w:szCs w:val="24"/>
              </w:rPr>
              <w:t>1999-00</w:t>
            </w:r>
          </w:p>
        </w:tc>
        <w:tc>
          <w:tcPr>
            <w:tcW w:w="4252" w:type="dxa"/>
            <w:vAlign w:val="center"/>
          </w:tcPr>
          <w:p w:rsidR="00E2336B" w:rsidRPr="00A62C1C" w:rsidRDefault="00E2336B" w:rsidP="00A62C1C">
            <w:pPr>
              <w:autoSpaceDE w:val="0"/>
              <w:autoSpaceDN w:val="0"/>
              <w:spacing w:line="360" w:lineRule="auto"/>
              <w:jc w:val="center"/>
              <w:rPr>
                <w:rFonts w:ascii="MinionPro-Regular" w:hAnsi="MinionPro-Regular"/>
                <w:szCs w:val="24"/>
              </w:rPr>
            </w:pPr>
            <w:r w:rsidRPr="00A62C1C">
              <w:rPr>
                <w:rFonts w:ascii="MinionPro-Regular" w:hAnsi="MinionPro-Regular"/>
                <w:szCs w:val="24"/>
              </w:rPr>
              <w:t>10.960</w:t>
            </w:r>
          </w:p>
        </w:tc>
      </w:tr>
      <w:tr w:rsidR="00E2336B" w:rsidRPr="00741DFC" w:rsidTr="00A62C1C">
        <w:trPr>
          <w:jc w:val="center"/>
        </w:trPr>
        <w:tc>
          <w:tcPr>
            <w:tcW w:w="2126" w:type="dxa"/>
            <w:vAlign w:val="center"/>
          </w:tcPr>
          <w:p w:rsidR="00E2336B" w:rsidRPr="00A62C1C" w:rsidRDefault="00E2336B" w:rsidP="00A62C1C">
            <w:pPr>
              <w:autoSpaceDE w:val="0"/>
              <w:autoSpaceDN w:val="0"/>
              <w:spacing w:line="360" w:lineRule="auto"/>
              <w:jc w:val="center"/>
              <w:rPr>
                <w:rFonts w:ascii="MinionPro-Regular" w:hAnsi="MinionPro-Regular"/>
                <w:szCs w:val="24"/>
              </w:rPr>
            </w:pPr>
            <w:r w:rsidRPr="00A62C1C">
              <w:rPr>
                <w:rFonts w:ascii="MinionPro-Regular" w:hAnsi="MinionPro-Regular"/>
                <w:szCs w:val="24"/>
              </w:rPr>
              <w:t>2000-01</w:t>
            </w:r>
          </w:p>
        </w:tc>
        <w:tc>
          <w:tcPr>
            <w:tcW w:w="4252" w:type="dxa"/>
            <w:vAlign w:val="center"/>
          </w:tcPr>
          <w:p w:rsidR="00E2336B" w:rsidRPr="00A62C1C" w:rsidRDefault="00E2336B" w:rsidP="00A62C1C">
            <w:pPr>
              <w:autoSpaceDE w:val="0"/>
              <w:autoSpaceDN w:val="0"/>
              <w:spacing w:line="360" w:lineRule="auto"/>
              <w:jc w:val="center"/>
              <w:rPr>
                <w:rFonts w:ascii="MinionPro-Regular" w:hAnsi="MinionPro-Regular"/>
                <w:szCs w:val="24"/>
              </w:rPr>
            </w:pPr>
            <w:r w:rsidRPr="00A62C1C">
              <w:rPr>
                <w:rFonts w:ascii="MinionPro-Regular" w:hAnsi="MinionPro-Regular"/>
                <w:szCs w:val="24"/>
              </w:rPr>
              <w:t>11.691</w:t>
            </w:r>
          </w:p>
        </w:tc>
      </w:tr>
      <w:tr w:rsidR="00E2336B" w:rsidRPr="00741DFC" w:rsidTr="00A62C1C">
        <w:trPr>
          <w:jc w:val="center"/>
        </w:trPr>
        <w:tc>
          <w:tcPr>
            <w:tcW w:w="2126" w:type="dxa"/>
            <w:vAlign w:val="center"/>
          </w:tcPr>
          <w:p w:rsidR="00E2336B" w:rsidRPr="00A62C1C" w:rsidRDefault="00E2336B" w:rsidP="00A62C1C">
            <w:pPr>
              <w:autoSpaceDE w:val="0"/>
              <w:autoSpaceDN w:val="0"/>
              <w:spacing w:line="360" w:lineRule="auto"/>
              <w:jc w:val="center"/>
              <w:rPr>
                <w:rFonts w:ascii="MinionPro-Regular" w:hAnsi="MinionPro-Regular"/>
                <w:szCs w:val="24"/>
              </w:rPr>
            </w:pPr>
            <w:r w:rsidRPr="00A62C1C">
              <w:rPr>
                <w:rFonts w:ascii="MinionPro-Regular" w:hAnsi="MinionPro-Regular"/>
                <w:szCs w:val="24"/>
              </w:rPr>
              <w:t>2001-02</w:t>
            </w:r>
          </w:p>
        </w:tc>
        <w:tc>
          <w:tcPr>
            <w:tcW w:w="4252" w:type="dxa"/>
            <w:vAlign w:val="center"/>
          </w:tcPr>
          <w:p w:rsidR="00E2336B" w:rsidRPr="00A62C1C" w:rsidRDefault="00E2336B" w:rsidP="00A62C1C">
            <w:pPr>
              <w:autoSpaceDE w:val="0"/>
              <w:autoSpaceDN w:val="0"/>
              <w:spacing w:line="360" w:lineRule="auto"/>
              <w:jc w:val="center"/>
              <w:rPr>
                <w:rFonts w:ascii="MinionPro-Regular" w:hAnsi="MinionPro-Regular"/>
                <w:szCs w:val="24"/>
              </w:rPr>
            </w:pPr>
            <w:r w:rsidRPr="00A62C1C">
              <w:rPr>
                <w:rFonts w:ascii="MinionPro-Regular" w:hAnsi="MinionPro-Regular"/>
                <w:szCs w:val="24"/>
              </w:rPr>
              <w:t>12.351</w:t>
            </w:r>
          </w:p>
        </w:tc>
      </w:tr>
      <w:tr w:rsidR="00E2336B" w:rsidRPr="00741DFC" w:rsidTr="00A62C1C">
        <w:trPr>
          <w:jc w:val="center"/>
        </w:trPr>
        <w:tc>
          <w:tcPr>
            <w:tcW w:w="2126" w:type="dxa"/>
            <w:vAlign w:val="center"/>
          </w:tcPr>
          <w:p w:rsidR="00E2336B" w:rsidRPr="00A62C1C" w:rsidRDefault="00E2336B" w:rsidP="00A62C1C">
            <w:pPr>
              <w:autoSpaceDE w:val="0"/>
              <w:autoSpaceDN w:val="0"/>
              <w:spacing w:line="360" w:lineRule="auto"/>
              <w:jc w:val="center"/>
              <w:rPr>
                <w:rFonts w:ascii="MinionPro-Regular" w:hAnsi="MinionPro-Regular"/>
                <w:szCs w:val="24"/>
              </w:rPr>
            </w:pPr>
            <w:r w:rsidRPr="00A62C1C">
              <w:rPr>
                <w:rFonts w:ascii="MinionPro-Regular" w:hAnsi="MinionPro-Regular"/>
                <w:szCs w:val="24"/>
              </w:rPr>
              <w:t>2002-03</w:t>
            </w:r>
          </w:p>
        </w:tc>
        <w:tc>
          <w:tcPr>
            <w:tcW w:w="4252" w:type="dxa"/>
            <w:vAlign w:val="center"/>
          </w:tcPr>
          <w:p w:rsidR="00E2336B" w:rsidRPr="00A62C1C" w:rsidRDefault="00E2336B" w:rsidP="00A62C1C">
            <w:pPr>
              <w:autoSpaceDE w:val="0"/>
              <w:autoSpaceDN w:val="0"/>
              <w:spacing w:line="360" w:lineRule="auto"/>
              <w:jc w:val="center"/>
              <w:rPr>
                <w:rFonts w:ascii="MinionPro-Regular" w:hAnsi="MinionPro-Regular"/>
                <w:szCs w:val="24"/>
              </w:rPr>
            </w:pPr>
            <w:r w:rsidRPr="00A62C1C">
              <w:rPr>
                <w:rFonts w:ascii="MinionPro-Regular" w:hAnsi="MinionPro-Regular"/>
                <w:szCs w:val="24"/>
              </w:rPr>
              <w:t>12.257</w:t>
            </w:r>
          </w:p>
        </w:tc>
      </w:tr>
      <w:tr w:rsidR="00E2336B" w:rsidRPr="00741DFC" w:rsidTr="00A62C1C">
        <w:trPr>
          <w:jc w:val="center"/>
        </w:trPr>
        <w:tc>
          <w:tcPr>
            <w:tcW w:w="2126" w:type="dxa"/>
            <w:vAlign w:val="center"/>
          </w:tcPr>
          <w:p w:rsidR="00E2336B" w:rsidRPr="00A62C1C" w:rsidRDefault="00E2336B" w:rsidP="00A62C1C">
            <w:pPr>
              <w:autoSpaceDE w:val="0"/>
              <w:autoSpaceDN w:val="0"/>
              <w:spacing w:line="360" w:lineRule="auto"/>
              <w:jc w:val="center"/>
              <w:rPr>
                <w:rFonts w:ascii="MinionPro-Regular" w:hAnsi="MinionPro-Regular"/>
                <w:szCs w:val="24"/>
              </w:rPr>
            </w:pPr>
            <w:r w:rsidRPr="00A62C1C">
              <w:rPr>
                <w:rFonts w:ascii="MinionPro-Regular" w:hAnsi="MinionPro-Regular"/>
                <w:szCs w:val="24"/>
              </w:rPr>
              <w:t>2003-04</w:t>
            </w:r>
          </w:p>
        </w:tc>
        <w:tc>
          <w:tcPr>
            <w:tcW w:w="4252" w:type="dxa"/>
            <w:vAlign w:val="center"/>
          </w:tcPr>
          <w:p w:rsidR="00E2336B" w:rsidRPr="00A62C1C" w:rsidRDefault="00E2336B" w:rsidP="00A62C1C">
            <w:pPr>
              <w:autoSpaceDE w:val="0"/>
              <w:autoSpaceDN w:val="0"/>
              <w:spacing w:line="360" w:lineRule="auto"/>
              <w:jc w:val="center"/>
              <w:rPr>
                <w:rFonts w:ascii="MinionPro-Regular" w:hAnsi="MinionPro-Regular"/>
                <w:szCs w:val="24"/>
              </w:rPr>
            </w:pPr>
            <w:r w:rsidRPr="00A62C1C">
              <w:rPr>
                <w:rFonts w:ascii="MinionPro-Regular" w:hAnsi="MinionPro-Regular"/>
                <w:szCs w:val="24"/>
              </w:rPr>
              <w:t>13.064</w:t>
            </w:r>
          </w:p>
        </w:tc>
      </w:tr>
    </w:tbl>
    <w:p w:rsidR="00E2336B" w:rsidRDefault="00E2336B" w:rsidP="001B0EA4">
      <w:pPr>
        <w:pBdr>
          <w:bottom w:val="single" w:sz="4" w:space="1" w:color="auto"/>
        </w:pBdr>
        <w:autoSpaceDE w:val="0"/>
        <w:autoSpaceDN w:val="0"/>
        <w:spacing w:line="360" w:lineRule="auto"/>
        <w:jc w:val="both"/>
        <w:rPr>
          <w:rFonts w:ascii="MinionPro-Regular" w:hAnsi="MinionPro-Regular"/>
          <w:sz w:val="20"/>
        </w:rPr>
      </w:pPr>
    </w:p>
    <w:p w:rsidR="00E2336B" w:rsidRDefault="00E2336B" w:rsidP="001B0EA4">
      <w:pPr>
        <w:pBdr>
          <w:bottom w:val="single" w:sz="4" w:space="1" w:color="auto"/>
        </w:pBdr>
        <w:autoSpaceDE w:val="0"/>
        <w:autoSpaceDN w:val="0"/>
        <w:spacing w:line="360" w:lineRule="auto"/>
        <w:jc w:val="both"/>
        <w:rPr>
          <w:rFonts w:ascii="MinionPro-Regular" w:hAnsi="MinionPro-Regular"/>
          <w:sz w:val="24"/>
          <w:szCs w:val="24"/>
        </w:rPr>
      </w:pPr>
      <w:r>
        <w:rPr>
          <w:rFonts w:ascii="MinionPro-Regular" w:hAnsi="MinionPro-Regular"/>
          <w:sz w:val="20"/>
        </w:rPr>
        <w:t xml:space="preserve">Fuente: </w:t>
      </w:r>
      <w:r w:rsidRPr="00455028">
        <w:rPr>
          <w:rFonts w:ascii="MinionPro-Regular" w:hAnsi="MinionPro-Regular"/>
          <w:sz w:val="20"/>
        </w:rPr>
        <w:t>Benefit</w:t>
      </w:r>
      <w:r w:rsidRPr="00DC7972">
        <w:t xml:space="preserve"> Expenditure</w:t>
      </w:r>
      <w:r>
        <w:t>. Gobierno británico.</w:t>
      </w:r>
    </w:p>
    <w:p w:rsidR="00E2336B" w:rsidRPr="0070199E" w:rsidRDefault="00E2336B" w:rsidP="001B0EA4">
      <w:pPr>
        <w:autoSpaceDE w:val="0"/>
        <w:autoSpaceDN w:val="0"/>
        <w:spacing w:line="360" w:lineRule="auto"/>
        <w:jc w:val="both"/>
        <w:rPr>
          <w:rFonts w:ascii="MinionPro-Regular" w:hAnsi="MinionPro-Regular"/>
          <w:sz w:val="24"/>
          <w:szCs w:val="24"/>
        </w:rPr>
      </w:pPr>
    </w:p>
    <w:p w:rsidR="00E2336B" w:rsidRPr="00CB7134" w:rsidRDefault="00E2336B" w:rsidP="001B0EA4">
      <w:pPr>
        <w:autoSpaceDE w:val="0"/>
        <w:autoSpaceDN w:val="0"/>
        <w:spacing w:line="360" w:lineRule="auto"/>
        <w:jc w:val="both"/>
        <w:rPr>
          <w:rFonts w:ascii="MinionPro-Regular" w:hAnsi="MinionPro-Regular"/>
          <w:sz w:val="24"/>
          <w:szCs w:val="24"/>
        </w:rPr>
      </w:pPr>
      <w:r>
        <w:rPr>
          <w:rFonts w:ascii="MinionPro-Regular" w:hAnsi="MinionPro-Regular"/>
          <w:sz w:val="24"/>
          <w:szCs w:val="24"/>
        </w:rPr>
        <w:lastRenderedPageBreak/>
        <w:t>Con respecto a los incentivos que pueden recibir las empresas en el Reino Unido por</w:t>
      </w:r>
      <w:r w:rsidRPr="00CB7134">
        <w:rPr>
          <w:rFonts w:ascii="MinionPro-Regular" w:hAnsi="MinionPro-Regular"/>
          <w:sz w:val="24"/>
          <w:szCs w:val="24"/>
        </w:rPr>
        <w:t xml:space="preserve"> contratar </w:t>
      </w:r>
      <w:r>
        <w:rPr>
          <w:rFonts w:ascii="MinionPro-Regular" w:hAnsi="MinionPro-Regular"/>
          <w:sz w:val="24"/>
          <w:szCs w:val="24"/>
        </w:rPr>
        <w:t xml:space="preserve">a trabajadores con discapacidad, el </w:t>
      </w:r>
      <w:r w:rsidRPr="00CB7134">
        <w:rPr>
          <w:rFonts w:ascii="MinionPro-Regular" w:hAnsi="MinionPro-Regular"/>
          <w:sz w:val="24"/>
          <w:szCs w:val="24"/>
        </w:rPr>
        <w:t xml:space="preserve"> Departamento de Trabajo y Pensiones</w:t>
      </w:r>
      <w:r>
        <w:rPr>
          <w:rFonts w:ascii="MinionPro-Regular" w:hAnsi="MinionPro-Regular"/>
          <w:sz w:val="24"/>
          <w:szCs w:val="24"/>
        </w:rPr>
        <w:t xml:space="preserve"> otorga hasta</w:t>
      </w:r>
      <w:r w:rsidRPr="00CB7134">
        <w:rPr>
          <w:rFonts w:ascii="MinionPro-Regular" w:hAnsi="MinionPro-Regular"/>
          <w:sz w:val="24"/>
          <w:szCs w:val="24"/>
        </w:rPr>
        <w:t xml:space="preserve"> </w:t>
      </w:r>
      <w:r>
        <w:rPr>
          <w:rFonts w:ascii="MinionPro-Regular" w:hAnsi="MinionPro-Regular"/>
          <w:sz w:val="24"/>
          <w:szCs w:val="24"/>
        </w:rPr>
        <w:t>£</w:t>
      </w:r>
      <w:r w:rsidRPr="00CB7134">
        <w:rPr>
          <w:rFonts w:ascii="MinionPro-Regular" w:hAnsi="MinionPro-Regular"/>
          <w:sz w:val="24"/>
          <w:szCs w:val="24"/>
        </w:rPr>
        <w:t xml:space="preserve">2.275 por cada persona con discapacidad que contratan a tiempo completo. También hay pequeños incentivos disponibles para las empresas que </w:t>
      </w:r>
      <w:r>
        <w:rPr>
          <w:rFonts w:ascii="MinionPro-Regular" w:hAnsi="MinionPro-Regular"/>
          <w:sz w:val="24"/>
          <w:szCs w:val="24"/>
        </w:rPr>
        <w:t>contratan</w:t>
      </w:r>
      <w:r w:rsidRPr="00CB7134">
        <w:rPr>
          <w:rFonts w:ascii="MinionPro-Regular" w:hAnsi="MinionPro-Regular"/>
          <w:sz w:val="24"/>
          <w:szCs w:val="24"/>
        </w:rPr>
        <w:t xml:space="preserve"> una persona con discapacidad menos de 30 horas a la semana.</w:t>
      </w:r>
      <w:r>
        <w:rPr>
          <w:rFonts w:ascii="MinionPro-Regular" w:hAnsi="MinionPro-Regular"/>
          <w:sz w:val="24"/>
          <w:szCs w:val="24"/>
        </w:rPr>
        <w:t xml:space="preserve"> Este</w:t>
      </w:r>
      <w:r w:rsidRPr="00CB7134">
        <w:rPr>
          <w:rFonts w:ascii="MinionPro-Regular" w:hAnsi="MinionPro-Regular"/>
          <w:sz w:val="24"/>
          <w:szCs w:val="24"/>
        </w:rPr>
        <w:t xml:space="preserve"> régimen sólo se aplica a los nuevos empleados y los incentivos pueden ser </w:t>
      </w:r>
      <w:r>
        <w:rPr>
          <w:rFonts w:ascii="MinionPro-Regular" w:hAnsi="MinionPro-Regular"/>
          <w:sz w:val="24"/>
          <w:szCs w:val="24"/>
        </w:rPr>
        <w:t>solicitados</w:t>
      </w:r>
      <w:r w:rsidRPr="00CB7134">
        <w:rPr>
          <w:rFonts w:ascii="MinionPro-Regular" w:hAnsi="MinionPro-Regular"/>
          <w:sz w:val="24"/>
          <w:szCs w:val="24"/>
        </w:rPr>
        <w:t xml:space="preserve"> una vez que </w:t>
      </w:r>
      <w:r>
        <w:rPr>
          <w:rFonts w:ascii="MinionPro-Regular" w:hAnsi="MinionPro-Regular"/>
          <w:sz w:val="24"/>
          <w:szCs w:val="24"/>
        </w:rPr>
        <w:t>el empleado lleva 6 meses contratado</w:t>
      </w:r>
      <w:r>
        <w:rPr>
          <w:rStyle w:val="Refdenotaalpie"/>
          <w:rFonts w:ascii="MinionPro-Regular" w:hAnsi="MinionPro-Regular"/>
          <w:sz w:val="24"/>
          <w:szCs w:val="24"/>
        </w:rPr>
        <w:footnoteReference w:id="50"/>
      </w:r>
      <w:r>
        <w:rPr>
          <w:rFonts w:ascii="MinionPro-Regular" w:hAnsi="MinionPro-Regular"/>
          <w:sz w:val="24"/>
          <w:szCs w:val="24"/>
        </w:rPr>
        <w:t>.</w:t>
      </w:r>
    </w:p>
    <w:p w:rsidR="00E2336B" w:rsidRDefault="00E2336B" w:rsidP="001B0EA4">
      <w:pPr>
        <w:autoSpaceDE w:val="0"/>
        <w:autoSpaceDN w:val="0"/>
        <w:spacing w:line="360" w:lineRule="auto"/>
        <w:jc w:val="both"/>
        <w:rPr>
          <w:rFonts w:ascii="MinionPro-Regular" w:hAnsi="MinionPro-Regular"/>
          <w:sz w:val="24"/>
          <w:szCs w:val="24"/>
        </w:rPr>
      </w:pPr>
    </w:p>
    <w:p w:rsidR="00E2336B" w:rsidRDefault="00E2336B" w:rsidP="001B0EA4">
      <w:pPr>
        <w:autoSpaceDE w:val="0"/>
        <w:autoSpaceDN w:val="0"/>
        <w:spacing w:line="360" w:lineRule="auto"/>
        <w:jc w:val="both"/>
        <w:rPr>
          <w:rFonts w:ascii="MinionPro-Regular" w:hAnsi="MinionPro-Regular"/>
          <w:sz w:val="24"/>
          <w:szCs w:val="24"/>
        </w:rPr>
      </w:pPr>
      <w:r>
        <w:rPr>
          <w:rFonts w:ascii="MinionPro-Regular" w:hAnsi="MinionPro-Regular"/>
          <w:sz w:val="24"/>
          <w:szCs w:val="24"/>
        </w:rPr>
        <w:t xml:space="preserve">La </w:t>
      </w:r>
      <w:r w:rsidRPr="0089715E">
        <w:rPr>
          <w:rFonts w:ascii="MinionPro-Regular" w:hAnsi="MinionPro-Regular"/>
          <w:sz w:val="24"/>
          <w:szCs w:val="24"/>
        </w:rPr>
        <w:t xml:space="preserve">Administración de </w:t>
      </w:r>
      <w:r w:rsidR="00F23441" w:rsidRPr="00F23441">
        <w:rPr>
          <w:rFonts w:ascii="MinionPro-Regular" w:hAnsi="MinionPro-Regular"/>
          <w:b/>
          <w:sz w:val="24"/>
          <w:szCs w:val="24"/>
        </w:rPr>
        <w:t>Alemania</w:t>
      </w:r>
      <w:r>
        <w:rPr>
          <w:rFonts w:ascii="MinionPro-Regular" w:hAnsi="MinionPro-Regular"/>
          <w:sz w:val="24"/>
          <w:szCs w:val="24"/>
        </w:rPr>
        <w:t xml:space="preserve"> está muy descentralizada, c</w:t>
      </w:r>
      <w:r w:rsidRPr="0089715E">
        <w:rPr>
          <w:rFonts w:ascii="MinionPro-Regular" w:hAnsi="MinionPro-Regular"/>
          <w:sz w:val="24"/>
          <w:szCs w:val="24"/>
        </w:rPr>
        <w:t xml:space="preserve">ada </w:t>
      </w:r>
      <w:r>
        <w:rPr>
          <w:rFonts w:ascii="MinionPro-Regular" w:hAnsi="MinionPro-Regular"/>
          <w:sz w:val="24"/>
          <w:szCs w:val="24"/>
        </w:rPr>
        <w:t>o</w:t>
      </w:r>
      <w:r w:rsidRPr="0089715E">
        <w:rPr>
          <w:rFonts w:ascii="MinionPro-Regular" w:hAnsi="MinionPro-Regular"/>
          <w:sz w:val="24"/>
          <w:szCs w:val="24"/>
        </w:rPr>
        <w:t xml:space="preserve">ficina de </w:t>
      </w:r>
      <w:r>
        <w:rPr>
          <w:rFonts w:ascii="MinionPro-Regular" w:hAnsi="MinionPro-Regular"/>
          <w:sz w:val="24"/>
          <w:szCs w:val="24"/>
        </w:rPr>
        <w:t>d</w:t>
      </w:r>
      <w:r w:rsidRPr="0089715E">
        <w:rPr>
          <w:rFonts w:ascii="MinionPro-Regular" w:hAnsi="MinionPro-Regular"/>
          <w:sz w:val="24"/>
          <w:szCs w:val="24"/>
        </w:rPr>
        <w:t>istrito (Bezirksamt) se ocupa de cuestiones de discapacidad</w:t>
      </w:r>
      <w:r>
        <w:rPr>
          <w:rFonts w:ascii="MinionPro-Regular" w:hAnsi="MinionPro-Regular"/>
          <w:sz w:val="24"/>
          <w:szCs w:val="24"/>
        </w:rPr>
        <w:t xml:space="preserve"> (Behindertenbeauftragter), tales como </w:t>
      </w:r>
      <w:r w:rsidRPr="0089715E">
        <w:rPr>
          <w:rFonts w:ascii="MinionPro-Regular" w:hAnsi="MinionPro-Regular"/>
          <w:sz w:val="24"/>
          <w:szCs w:val="24"/>
        </w:rPr>
        <w:t xml:space="preserve">apoyo financiero, educativo y profesional </w:t>
      </w:r>
      <w:r>
        <w:rPr>
          <w:rFonts w:ascii="MinionPro-Regular" w:hAnsi="MinionPro-Regular"/>
          <w:sz w:val="24"/>
          <w:szCs w:val="24"/>
        </w:rPr>
        <w:t>y presta servicios a</w:t>
      </w:r>
      <w:r w:rsidRPr="0089715E">
        <w:rPr>
          <w:rFonts w:ascii="MinionPro-Regular" w:hAnsi="MinionPro-Regular"/>
          <w:sz w:val="24"/>
          <w:szCs w:val="24"/>
        </w:rPr>
        <w:t xml:space="preserve"> las personas </w:t>
      </w:r>
      <w:r>
        <w:rPr>
          <w:rFonts w:ascii="MinionPro-Regular" w:hAnsi="MinionPro-Regular"/>
          <w:sz w:val="24"/>
          <w:szCs w:val="24"/>
        </w:rPr>
        <w:t>con</w:t>
      </w:r>
      <w:r w:rsidRPr="0089715E">
        <w:rPr>
          <w:rFonts w:ascii="MinionPro-Regular" w:hAnsi="MinionPro-Regular"/>
          <w:sz w:val="24"/>
          <w:szCs w:val="24"/>
        </w:rPr>
        <w:t xml:space="preserve"> discapacidad en su distrito.</w:t>
      </w:r>
      <w:r w:rsidRPr="00455028">
        <w:rPr>
          <w:rFonts w:ascii="MinionPro-Regular" w:hAnsi="MinionPro-Regular"/>
          <w:sz w:val="24"/>
          <w:szCs w:val="24"/>
        </w:rPr>
        <w:t xml:space="preserve"> </w:t>
      </w:r>
      <w:r w:rsidRPr="00B76015">
        <w:rPr>
          <w:rFonts w:ascii="MinionPro-Regular" w:hAnsi="MinionPro-Regular"/>
          <w:sz w:val="24"/>
          <w:szCs w:val="24"/>
        </w:rPr>
        <w:t xml:space="preserve">Los pagos de beneficios varían según el grado de discapacidad. La oficina de Pensiones y Beneficios (Versorgungsamt) </w:t>
      </w:r>
      <w:r>
        <w:rPr>
          <w:rFonts w:ascii="MinionPro-Regular" w:hAnsi="MinionPro-Regular"/>
          <w:sz w:val="24"/>
          <w:szCs w:val="24"/>
        </w:rPr>
        <w:t xml:space="preserve">evalúa </w:t>
      </w:r>
      <w:r w:rsidRPr="00B76015">
        <w:rPr>
          <w:rFonts w:ascii="MinionPro-Regular" w:hAnsi="MinionPro-Regular"/>
          <w:sz w:val="24"/>
          <w:szCs w:val="24"/>
        </w:rPr>
        <w:t xml:space="preserve">el grado de discapacidad </w:t>
      </w:r>
      <w:r>
        <w:rPr>
          <w:rFonts w:ascii="MinionPro-Regular" w:hAnsi="MinionPro-Regular"/>
          <w:sz w:val="24"/>
          <w:szCs w:val="24"/>
        </w:rPr>
        <w:t>ya que los pagos de beneficios son variables</w:t>
      </w:r>
      <w:r w:rsidRPr="00497F2E">
        <w:rPr>
          <w:rFonts w:ascii="MinionPro-Regular" w:hAnsi="MinionPro-Regular"/>
          <w:sz w:val="24"/>
          <w:szCs w:val="24"/>
        </w:rPr>
        <w:t xml:space="preserve">. </w:t>
      </w:r>
      <w:r w:rsidRPr="00F30D0E">
        <w:rPr>
          <w:rFonts w:ascii="MinionPro-Regular" w:hAnsi="MinionPro-Regular"/>
          <w:sz w:val="24"/>
          <w:szCs w:val="24"/>
        </w:rPr>
        <w:t xml:space="preserve">La evaluación de la capacidad de trabajo está vinculada a razones de salud y no a la capacidad de la persona para un puesto de trabajo </w:t>
      </w:r>
      <w:r>
        <w:rPr>
          <w:rFonts w:ascii="MinionPro-Regular" w:hAnsi="MinionPro-Regular"/>
          <w:sz w:val="24"/>
          <w:szCs w:val="24"/>
        </w:rPr>
        <w:t>concreto.</w:t>
      </w:r>
    </w:p>
    <w:p w:rsidR="00E2336B" w:rsidRDefault="00E2336B" w:rsidP="001B0EA4">
      <w:pPr>
        <w:autoSpaceDE w:val="0"/>
        <w:autoSpaceDN w:val="0"/>
        <w:spacing w:line="360" w:lineRule="auto"/>
        <w:jc w:val="both"/>
        <w:rPr>
          <w:rFonts w:ascii="MinionPro-Regular" w:hAnsi="MinionPro-Regular"/>
          <w:sz w:val="24"/>
          <w:szCs w:val="24"/>
        </w:rPr>
      </w:pPr>
    </w:p>
    <w:p w:rsidR="00E2336B" w:rsidRDefault="00E2336B" w:rsidP="001B0EA4">
      <w:pPr>
        <w:autoSpaceDE w:val="0"/>
        <w:autoSpaceDN w:val="0"/>
        <w:spacing w:line="360" w:lineRule="auto"/>
        <w:jc w:val="both"/>
        <w:rPr>
          <w:rFonts w:ascii="MinionPro-Regular" w:hAnsi="MinionPro-Regular"/>
          <w:sz w:val="24"/>
          <w:szCs w:val="24"/>
        </w:rPr>
      </w:pPr>
      <w:r>
        <w:rPr>
          <w:rFonts w:ascii="MinionPro-Regular" w:hAnsi="MinionPro-Regular"/>
          <w:sz w:val="24"/>
          <w:szCs w:val="24"/>
        </w:rPr>
        <w:t>La “</w:t>
      </w:r>
      <w:r w:rsidRPr="002065D5">
        <w:rPr>
          <w:rFonts w:ascii="MinionPro-Regular" w:hAnsi="MinionPro-Regular"/>
          <w:sz w:val="24"/>
          <w:szCs w:val="24"/>
        </w:rPr>
        <w:t>Neuntes Buch des Sozialgesetzbuches</w:t>
      </w:r>
      <w:r>
        <w:rPr>
          <w:rFonts w:ascii="MinionPro-Regular" w:hAnsi="MinionPro-Regular"/>
          <w:sz w:val="24"/>
          <w:szCs w:val="24"/>
        </w:rPr>
        <w:t>”</w:t>
      </w:r>
      <w:r w:rsidRPr="002065D5">
        <w:rPr>
          <w:rFonts w:ascii="MinionPro-Regular" w:hAnsi="MinionPro-Regular"/>
          <w:sz w:val="24"/>
          <w:szCs w:val="24"/>
        </w:rPr>
        <w:t xml:space="preserve"> establece que las personas con discapacidad </w:t>
      </w:r>
      <w:r>
        <w:rPr>
          <w:rFonts w:ascii="MinionPro-Regular" w:hAnsi="MinionPro-Regular"/>
          <w:sz w:val="24"/>
          <w:szCs w:val="24"/>
        </w:rPr>
        <w:t>deben recibir</w:t>
      </w:r>
      <w:r w:rsidRPr="002065D5">
        <w:rPr>
          <w:rFonts w:ascii="MinionPro-Regular" w:hAnsi="MinionPro-Regular"/>
          <w:sz w:val="24"/>
          <w:szCs w:val="24"/>
        </w:rPr>
        <w:t xml:space="preserve"> beneficios especiales. </w:t>
      </w:r>
      <w:r>
        <w:rPr>
          <w:rFonts w:ascii="MinionPro-Regular" w:hAnsi="MinionPro-Regular"/>
          <w:sz w:val="24"/>
          <w:szCs w:val="24"/>
        </w:rPr>
        <w:t xml:space="preserve">Las personas con discapacidad grave tienen derecho, entre otros, a deducciones fiscales, una protección especial contra el despido o cinco días adicionales de vacaciones anuales, entre otros. Las personas que no pueden trabajar más de tres horas a la semana y que no es probable que cambie su grado de discapacidad en el futuro, tienen derecho a una pensión completa. </w:t>
      </w:r>
      <w:r w:rsidRPr="00F30D0E">
        <w:rPr>
          <w:rFonts w:ascii="MinionPro-Regular" w:hAnsi="MinionPro-Regular"/>
          <w:sz w:val="24"/>
          <w:szCs w:val="24"/>
        </w:rPr>
        <w:t xml:space="preserve">El importe mensual </w:t>
      </w:r>
      <w:r>
        <w:rPr>
          <w:rFonts w:ascii="MinionPro-Regular" w:hAnsi="MinionPro-Regular"/>
          <w:sz w:val="24"/>
          <w:szCs w:val="24"/>
        </w:rPr>
        <w:t xml:space="preserve">recibido </w:t>
      </w:r>
      <w:r w:rsidRPr="00F30D0E">
        <w:rPr>
          <w:rFonts w:ascii="MinionPro-Regular" w:hAnsi="MinionPro-Regular"/>
          <w:sz w:val="24"/>
          <w:szCs w:val="24"/>
        </w:rPr>
        <w:lastRenderedPageBreak/>
        <w:t>depende del pensionista</w:t>
      </w:r>
      <w:r>
        <w:rPr>
          <w:rFonts w:ascii="MinionPro-Regular" w:hAnsi="MinionPro-Regular"/>
          <w:sz w:val="24"/>
          <w:szCs w:val="24"/>
        </w:rPr>
        <w:t>, los</w:t>
      </w:r>
      <w:r w:rsidRPr="00F30D0E">
        <w:rPr>
          <w:rFonts w:ascii="MinionPro-Regular" w:hAnsi="MinionPro-Regular"/>
          <w:sz w:val="24"/>
          <w:szCs w:val="24"/>
        </w:rPr>
        <w:t xml:space="preserve"> años de cotización, </w:t>
      </w:r>
      <w:r>
        <w:rPr>
          <w:rFonts w:ascii="MinionPro-Regular" w:hAnsi="MinionPro-Regular"/>
          <w:sz w:val="24"/>
          <w:szCs w:val="24"/>
        </w:rPr>
        <w:t>el</w:t>
      </w:r>
      <w:r w:rsidRPr="00F30D0E">
        <w:rPr>
          <w:rFonts w:ascii="MinionPro-Regular" w:hAnsi="MinionPro-Regular"/>
          <w:sz w:val="24"/>
          <w:szCs w:val="24"/>
        </w:rPr>
        <w:t xml:space="preserve"> ingreso promedio anterior y actual y su lugar de residencia en Alemania. </w:t>
      </w:r>
    </w:p>
    <w:p w:rsidR="00E2336B" w:rsidRPr="002065D5" w:rsidRDefault="00E2336B" w:rsidP="001B0EA4">
      <w:pPr>
        <w:autoSpaceDE w:val="0"/>
        <w:autoSpaceDN w:val="0"/>
        <w:spacing w:line="360" w:lineRule="auto"/>
        <w:jc w:val="both"/>
        <w:rPr>
          <w:rFonts w:ascii="MinionPro-Regular" w:hAnsi="MinionPro-Regular"/>
          <w:sz w:val="24"/>
          <w:szCs w:val="24"/>
        </w:rPr>
      </w:pPr>
    </w:p>
    <w:p w:rsidR="00E2336B" w:rsidRPr="008679F3" w:rsidRDefault="00E2336B" w:rsidP="001B0EA4">
      <w:pPr>
        <w:autoSpaceDE w:val="0"/>
        <w:autoSpaceDN w:val="0"/>
        <w:spacing w:line="360" w:lineRule="auto"/>
        <w:jc w:val="both"/>
        <w:rPr>
          <w:rFonts w:ascii="MinionPro-Regular" w:hAnsi="MinionPro-Regular"/>
          <w:sz w:val="24"/>
          <w:szCs w:val="24"/>
        </w:rPr>
      </w:pPr>
      <w:r w:rsidRPr="008679F3">
        <w:rPr>
          <w:rFonts w:ascii="MinionPro-Regular" w:hAnsi="MinionPro-Regular"/>
          <w:sz w:val="24"/>
          <w:szCs w:val="24"/>
        </w:rPr>
        <w:t>Finalmente, cabe destacar que las empresas que contratan personas con discapacidad</w:t>
      </w:r>
      <w:r>
        <w:rPr>
          <w:rFonts w:ascii="MinionPro-Regular" w:hAnsi="MinionPro-Regular"/>
          <w:sz w:val="24"/>
          <w:szCs w:val="24"/>
        </w:rPr>
        <w:t>es</w:t>
      </w:r>
      <w:r w:rsidRPr="008679F3">
        <w:rPr>
          <w:rFonts w:ascii="MinionPro-Regular" w:hAnsi="MinionPro-Regular"/>
          <w:sz w:val="24"/>
          <w:szCs w:val="24"/>
        </w:rPr>
        <w:t xml:space="preserve"> graves pueden percibir subvenciones de salario por parte de la Oficina Federal de Empleo. El importe de la ayuda </w:t>
      </w:r>
      <w:r>
        <w:rPr>
          <w:rFonts w:ascii="MinionPro-Regular" w:hAnsi="MinionPro-Regular"/>
          <w:sz w:val="24"/>
          <w:szCs w:val="24"/>
        </w:rPr>
        <w:t>(Employer Integration Allowance</w:t>
      </w:r>
      <w:r>
        <w:rPr>
          <w:rStyle w:val="Refdenotaalpie"/>
          <w:rFonts w:ascii="MinionPro-Regular" w:hAnsi="MinionPro-Regular"/>
          <w:sz w:val="24"/>
          <w:szCs w:val="24"/>
        </w:rPr>
        <w:footnoteReference w:id="51"/>
      </w:r>
      <w:r>
        <w:rPr>
          <w:rFonts w:ascii="MinionPro-Regular" w:hAnsi="MinionPro-Regular"/>
          <w:sz w:val="24"/>
          <w:szCs w:val="24"/>
        </w:rPr>
        <w:t xml:space="preserve">) </w:t>
      </w:r>
      <w:r w:rsidRPr="008679F3">
        <w:rPr>
          <w:rFonts w:ascii="MinionPro-Regular" w:hAnsi="MinionPro-Regular"/>
          <w:sz w:val="24"/>
          <w:szCs w:val="24"/>
        </w:rPr>
        <w:t>puede ascender hasta el 70% del salario y la duración del pago es de 24 meses (36 ó más para personas especialmente afectadas por una discapacidad). La cifra de beneficiarios de este complemento se ha incrementado en los últimos años de 11.777 en 2005 a 16.796 en 2008. La Agencia Federal de Empleo gastó en 2008 en este concepto 134 millones de euros. Las entidades responsables de la ayuda básica para desempleados gastaron unos 50 millones de euros (21 en 2005).</w:t>
      </w:r>
    </w:p>
    <w:p w:rsidR="00E2336B" w:rsidRDefault="00E2336B" w:rsidP="001B0EA4">
      <w:pPr>
        <w:autoSpaceDE w:val="0"/>
        <w:autoSpaceDN w:val="0"/>
        <w:spacing w:line="360" w:lineRule="auto"/>
        <w:jc w:val="both"/>
        <w:rPr>
          <w:rFonts w:ascii="MinionPro-Regular" w:hAnsi="MinionPro-Regular"/>
          <w:sz w:val="24"/>
          <w:szCs w:val="24"/>
        </w:rPr>
      </w:pPr>
    </w:p>
    <w:p w:rsidR="00E2336B" w:rsidRDefault="00E2336B" w:rsidP="001B0EA4">
      <w:pPr>
        <w:autoSpaceDE w:val="0"/>
        <w:autoSpaceDN w:val="0"/>
        <w:spacing w:line="360" w:lineRule="auto"/>
        <w:jc w:val="both"/>
        <w:rPr>
          <w:rFonts w:ascii="MinionPro-Regular" w:hAnsi="MinionPro-Regular"/>
          <w:sz w:val="24"/>
          <w:szCs w:val="24"/>
        </w:rPr>
      </w:pPr>
      <w:r>
        <w:rPr>
          <w:rFonts w:ascii="MinionPro-Regular" w:hAnsi="MinionPro-Regular"/>
          <w:sz w:val="24"/>
          <w:szCs w:val="24"/>
        </w:rPr>
        <w:t xml:space="preserve">Por otra parte, en </w:t>
      </w:r>
      <w:r w:rsidR="00F23441" w:rsidRPr="00F23441">
        <w:rPr>
          <w:rFonts w:ascii="MinionPro-Regular" w:hAnsi="MinionPro-Regular"/>
          <w:b/>
          <w:sz w:val="24"/>
          <w:szCs w:val="24"/>
        </w:rPr>
        <w:t>Italia</w:t>
      </w:r>
      <w:r>
        <w:rPr>
          <w:rFonts w:ascii="MinionPro-Regular" w:hAnsi="MinionPro-Regular"/>
          <w:sz w:val="24"/>
          <w:szCs w:val="24"/>
        </w:rPr>
        <w:t xml:space="preserve"> existe un fon</w:t>
      </w:r>
      <w:r w:rsidRPr="00CA54A9">
        <w:rPr>
          <w:rFonts w:ascii="MinionPro-Regular" w:hAnsi="MinionPro-Regular"/>
          <w:sz w:val="24"/>
          <w:szCs w:val="24"/>
        </w:rPr>
        <w:t>do de pensionistas de invalidez (assegno ordinario d'invalidità, AOI) y por incapacidad (pensione di inabilità)</w:t>
      </w:r>
      <w:r>
        <w:rPr>
          <w:rStyle w:val="Refdenotaalpie"/>
          <w:rFonts w:ascii="MinionPro-Regular" w:hAnsi="MinionPro-Regular"/>
          <w:sz w:val="24"/>
          <w:szCs w:val="24"/>
        </w:rPr>
        <w:footnoteReference w:id="52"/>
      </w:r>
      <w:r w:rsidRPr="00CA54A9">
        <w:rPr>
          <w:rFonts w:ascii="MinionPro-Regular" w:hAnsi="MinionPro-Regular"/>
          <w:sz w:val="24"/>
          <w:szCs w:val="24"/>
        </w:rPr>
        <w:t xml:space="preserve">. </w:t>
      </w:r>
      <w:r>
        <w:rPr>
          <w:rFonts w:ascii="MinionPro-Regular" w:hAnsi="MinionPro-Regular"/>
          <w:sz w:val="24"/>
          <w:szCs w:val="24"/>
        </w:rPr>
        <w:t xml:space="preserve">Con respecto a los incentivos que reciben las </w:t>
      </w:r>
      <w:r w:rsidRPr="00A554EA">
        <w:rPr>
          <w:rFonts w:ascii="MinionPro-Regular" w:hAnsi="MinionPro-Regular"/>
          <w:sz w:val="24"/>
          <w:szCs w:val="24"/>
        </w:rPr>
        <w:t>cooperativas sociales</w:t>
      </w:r>
      <w:r>
        <w:rPr>
          <w:rFonts w:ascii="MinionPro-Regular" w:hAnsi="MinionPro-Regular"/>
          <w:sz w:val="24"/>
          <w:szCs w:val="24"/>
        </w:rPr>
        <w:t xml:space="preserve">, </w:t>
      </w:r>
      <w:r w:rsidRPr="00A554EA">
        <w:rPr>
          <w:rFonts w:ascii="MinionPro-Regular" w:hAnsi="MinionPro-Regular"/>
          <w:sz w:val="24"/>
          <w:szCs w:val="24"/>
        </w:rPr>
        <w:t xml:space="preserve">la ley prevé ventajas fiscales </w:t>
      </w:r>
      <w:r>
        <w:rPr>
          <w:rFonts w:ascii="MinionPro-Regular" w:hAnsi="MinionPro-Regular"/>
          <w:sz w:val="24"/>
          <w:szCs w:val="24"/>
        </w:rPr>
        <w:t>por ser consideradas</w:t>
      </w:r>
      <w:r w:rsidRPr="00A554EA">
        <w:rPr>
          <w:rFonts w:ascii="MinionPro-Regular" w:hAnsi="MinionPro-Regular"/>
          <w:sz w:val="24"/>
          <w:szCs w:val="24"/>
        </w:rPr>
        <w:t xml:space="preserve"> organizaciones sin fines de lucro (Ley 460/1997), tales como la reducción del impuesto sobre el valor añadido en la venta de servicios. </w:t>
      </w:r>
      <w:r>
        <w:rPr>
          <w:rFonts w:ascii="MinionPro-Regular" w:hAnsi="MinionPro-Regular"/>
          <w:sz w:val="24"/>
          <w:szCs w:val="24"/>
        </w:rPr>
        <w:t>Tam</w:t>
      </w:r>
      <w:r w:rsidRPr="00A554EA">
        <w:rPr>
          <w:rFonts w:ascii="MinionPro-Regular" w:hAnsi="MinionPro-Regular"/>
          <w:sz w:val="24"/>
          <w:szCs w:val="24"/>
        </w:rPr>
        <w:t>bién se benefician de la Ley 59/1992, que obliga a las cooperativas a pagar el 3% de sus ganancias a un fondo general gestionado por las asociaciones con el fin de facilitar el desarrollo de nuevas empresas cooperativas.</w:t>
      </w:r>
    </w:p>
    <w:p w:rsidR="00E2336B" w:rsidRDefault="00E2336B" w:rsidP="001B0EA4">
      <w:pPr>
        <w:autoSpaceDE w:val="0"/>
        <w:autoSpaceDN w:val="0"/>
        <w:spacing w:line="360" w:lineRule="auto"/>
        <w:jc w:val="both"/>
        <w:rPr>
          <w:rFonts w:ascii="MinionPro-Regular" w:hAnsi="MinionPro-Regular"/>
          <w:sz w:val="24"/>
          <w:szCs w:val="24"/>
        </w:rPr>
      </w:pPr>
    </w:p>
    <w:p w:rsidR="00E2336B" w:rsidRDefault="00E2336B" w:rsidP="001B0EA4">
      <w:pPr>
        <w:autoSpaceDE w:val="0"/>
        <w:autoSpaceDN w:val="0"/>
        <w:spacing w:line="360" w:lineRule="auto"/>
        <w:jc w:val="both"/>
        <w:rPr>
          <w:rFonts w:ascii="MinionPro-Regular" w:hAnsi="MinionPro-Regular"/>
          <w:sz w:val="24"/>
          <w:szCs w:val="24"/>
        </w:rPr>
      </w:pPr>
      <w:r>
        <w:rPr>
          <w:rFonts w:ascii="MinionPro-Regular" w:hAnsi="MinionPro-Regular"/>
          <w:sz w:val="24"/>
          <w:szCs w:val="24"/>
        </w:rPr>
        <w:t xml:space="preserve">Por último, en </w:t>
      </w:r>
      <w:r w:rsidR="00F23441" w:rsidRPr="00F23441">
        <w:rPr>
          <w:rFonts w:ascii="MinionPro-Regular" w:hAnsi="MinionPro-Regular"/>
          <w:b/>
          <w:sz w:val="24"/>
          <w:szCs w:val="24"/>
        </w:rPr>
        <w:t>Suecia</w:t>
      </w:r>
      <w:r>
        <w:rPr>
          <w:rFonts w:ascii="MinionPro-Regular" w:hAnsi="MinionPro-Regular"/>
          <w:sz w:val="24"/>
          <w:szCs w:val="24"/>
        </w:rPr>
        <w:t>, l</w:t>
      </w:r>
      <w:r w:rsidRPr="00590B0B">
        <w:rPr>
          <w:rFonts w:ascii="MinionPro-Regular" w:hAnsi="MinionPro-Regular"/>
          <w:sz w:val="24"/>
          <w:szCs w:val="24"/>
        </w:rPr>
        <w:t xml:space="preserve">os </w:t>
      </w:r>
      <w:r>
        <w:rPr>
          <w:rFonts w:ascii="MinionPro-Regular" w:hAnsi="MinionPro-Regular"/>
          <w:sz w:val="24"/>
          <w:szCs w:val="24"/>
        </w:rPr>
        <w:t xml:space="preserve">beneficios sociales </w:t>
      </w:r>
      <w:r w:rsidRPr="00590B0B">
        <w:rPr>
          <w:rFonts w:ascii="MinionPro-Regular" w:hAnsi="MinionPro-Regular"/>
          <w:sz w:val="24"/>
          <w:szCs w:val="24"/>
        </w:rPr>
        <w:t>(inkomstrelaterad sjuk-och aktivitetsesättning)</w:t>
      </w:r>
      <w:r>
        <w:rPr>
          <w:rFonts w:ascii="MinionPro-Regular" w:hAnsi="MinionPro-Regular"/>
          <w:sz w:val="24"/>
          <w:szCs w:val="24"/>
        </w:rPr>
        <w:t xml:space="preserve"> </w:t>
      </w:r>
      <w:r w:rsidRPr="00590B0B">
        <w:rPr>
          <w:rFonts w:ascii="MinionPro-Regular" w:hAnsi="MinionPro-Regular"/>
          <w:sz w:val="24"/>
          <w:szCs w:val="24"/>
        </w:rPr>
        <w:t>se paga</w:t>
      </w:r>
      <w:r>
        <w:rPr>
          <w:rFonts w:ascii="MinionPro-Regular" w:hAnsi="MinionPro-Regular"/>
          <w:sz w:val="24"/>
          <w:szCs w:val="24"/>
        </w:rPr>
        <w:t>n</w:t>
      </w:r>
      <w:r w:rsidRPr="00590B0B">
        <w:rPr>
          <w:rFonts w:ascii="MinionPro-Regular" w:hAnsi="MinionPro-Regular"/>
          <w:sz w:val="24"/>
          <w:szCs w:val="24"/>
        </w:rPr>
        <w:t xml:space="preserve"> en función del grado de incapacidad en cuatro niveles </w:t>
      </w:r>
      <w:r w:rsidRPr="00590B0B">
        <w:rPr>
          <w:rFonts w:ascii="MinionPro-Regular" w:hAnsi="MinionPro-Regular"/>
          <w:sz w:val="24"/>
          <w:szCs w:val="24"/>
        </w:rPr>
        <w:lastRenderedPageBreak/>
        <w:t>diferentes. Si la persona tiene una incapacidad total para el trabajo de la</w:t>
      </w:r>
      <w:r>
        <w:rPr>
          <w:rFonts w:ascii="MinionPro-Regular" w:hAnsi="MinionPro-Regular"/>
          <w:sz w:val="24"/>
          <w:szCs w:val="24"/>
        </w:rPr>
        <w:t xml:space="preserve"> prestación se paga el 64% de los </w:t>
      </w:r>
      <w:r w:rsidRPr="00590B0B">
        <w:rPr>
          <w:rFonts w:ascii="MinionPro-Regular" w:hAnsi="MinionPro-Regular"/>
          <w:sz w:val="24"/>
          <w:szCs w:val="24"/>
        </w:rPr>
        <w:t xml:space="preserve">ingresos anuales futuros hasta 36.878€. Este ingreso se calcula como un promedio de </w:t>
      </w:r>
      <w:r w:rsidR="00F23441" w:rsidRPr="0016050E">
        <w:rPr>
          <w:rFonts w:ascii="MinionPro-Regular" w:hAnsi="MinionPro-Regular"/>
          <w:sz w:val="24"/>
          <w:szCs w:val="24"/>
        </w:rPr>
        <w:t>l</w:t>
      </w:r>
      <w:r w:rsidRPr="0016050E">
        <w:rPr>
          <w:rFonts w:ascii="MinionPro-Regular" w:hAnsi="MinionPro-Regular"/>
          <w:sz w:val="24"/>
          <w:szCs w:val="24"/>
        </w:rPr>
        <w:t>o</w:t>
      </w:r>
      <w:r w:rsidR="00F23441" w:rsidRPr="0016050E">
        <w:rPr>
          <w:rFonts w:ascii="MinionPro-Regular" w:hAnsi="MinionPro-Regular"/>
          <w:sz w:val="24"/>
          <w:szCs w:val="24"/>
        </w:rPr>
        <w:t>s</w:t>
      </w:r>
      <w:r w:rsidRPr="00590B0B">
        <w:rPr>
          <w:rFonts w:ascii="MinionPro-Regular" w:hAnsi="MinionPro-Regular"/>
          <w:sz w:val="24"/>
          <w:szCs w:val="24"/>
        </w:rPr>
        <w:t xml:space="preserve"> tres mayores ingresos brutos anuales obtenidos durante </w:t>
      </w:r>
      <w:r>
        <w:rPr>
          <w:rFonts w:ascii="MinionPro-Regular" w:hAnsi="MinionPro-Regular"/>
          <w:sz w:val="24"/>
          <w:szCs w:val="24"/>
        </w:rPr>
        <w:t xml:space="preserve">el </w:t>
      </w:r>
      <w:r w:rsidRPr="00590B0B">
        <w:rPr>
          <w:rFonts w:ascii="MinionPro-Regular" w:hAnsi="MinionPro-Regular"/>
          <w:sz w:val="24"/>
          <w:szCs w:val="24"/>
        </w:rPr>
        <w:t xml:space="preserve">período </w:t>
      </w:r>
      <w:r>
        <w:rPr>
          <w:rFonts w:ascii="MinionPro-Regular" w:hAnsi="MinionPro-Regular"/>
          <w:sz w:val="24"/>
          <w:szCs w:val="24"/>
        </w:rPr>
        <w:t xml:space="preserve">que inmediatamente precedió a la discapacidad. </w:t>
      </w:r>
    </w:p>
    <w:p w:rsidR="00E2336B" w:rsidRDefault="00E2336B" w:rsidP="001B0EA4">
      <w:pPr>
        <w:autoSpaceDE w:val="0"/>
        <w:autoSpaceDN w:val="0"/>
        <w:spacing w:line="360" w:lineRule="auto"/>
        <w:jc w:val="both"/>
        <w:rPr>
          <w:rFonts w:ascii="MinionPro-Regular" w:hAnsi="MinionPro-Regular"/>
          <w:sz w:val="24"/>
          <w:szCs w:val="24"/>
        </w:rPr>
      </w:pPr>
    </w:p>
    <w:p w:rsidR="00E2336B" w:rsidRDefault="00E2336B" w:rsidP="001B0EA4">
      <w:pPr>
        <w:autoSpaceDE w:val="0"/>
        <w:autoSpaceDN w:val="0"/>
        <w:spacing w:line="360" w:lineRule="auto"/>
        <w:jc w:val="both"/>
        <w:rPr>
          <w:rFonts w:ascii="MinionPro-Regular" w:hAnsi="MinionPro-Regular"/>
          <w:sz w:val="24"/>
          <w:szCs w:val="24"/>
        </w:rPr>
      </w:pPr>
      <w:r>
        <w:rPr>
          <w:rFonts w:ascii="MinionPro-Regular" w:hAnsi="MinionPro-Regular"/>
          <w:sz w:val="24"/>
          <w:szCs w:val="24"/>
        </w:rPr>
        <w:t xml:space="preserve">En lo que respecta al apoyo a la integración en el </w:t>
      </w:r>
      <w:r w:rsidRPr="002445EB">
        <w:rPr>
          <w:rFonts w:ascii="MinionPro-Regular" w:hAnsi="MinionPro-Regular"/>
          <w:sz w:val="24"/>
          <w:szCs w:val="24"/>
        </w:rPr>
        <w:t>empleo de colectivos en riesgo de exclusión</w:t>
      </w:r>
      <w:r>
        <w:rPr>
          <w:rFonts w:ascii="MinionPro-Regular" w:hAnsi="MinionPro-Regular"/>
          <w:sz w:val="24"/>
          <w:szCs w:val="24"/>
        </w:rPr>
        <w:t>, l</w:t>
      </w:r>
      <w:r w:rsidRPr="002445EB">
        <w:rPr>
          <w:rFonts w:ascii="MinionPro-Regular" w:hAnsi="MinionPro-Regular"/>
          <w:sz w:val="24"/>
          <w:szCs w:val="24"/>
        </w:rPr>
        <w:t>as administraciones públicas reciben subsidios específicos, llegando a cubrir hasta el 75% del salario. Se otorgan también otras ayudas económicas para la compra de aparatos de asistencia técnica, la adaptación de locales, entradas y comunicaciones</w:t>
      </w:r>
      <w:r>
        <w:rPr>
          <w:rFonts w:ascii="MinionPro-Regular" w:hAnsi="MinionPro-Regular"/>
          <w:sz w:val="24"/>
          <w:szCs w:val="24"/>
        </w:rPr>
        <w:t xml:space="preserve"> o</w:t>
      </w:r>
      <w:r w:rsidRPr="002445EB">
        <w:rPr>
          <w:rFonts w:ascii="MinionPro-Regular" w:hAnsi="MinionPro-Regular"/>
          <w:sz w:val="24"/>
          <w:szCs w:val="24"/>
        </w:rPr>
        <w:t xml:space="preserve"> un ayudante personal.  Asimismo, existen también subvenciones para el autoempleo. En el caso de los empleados que necesitan asistencia, la normativa sueca ofrece ayudas que cubren tanto la designación de un empleado de la propia compañía para que preste asistencia a la persona con discapacidad como la contratación de un nuevo empleado en aquellos casos en los que la persona con discapacidad precisa de ayuda en el ámbito personal y profesional</w:t>
      </w:r>
      <w:r>
        <w:rPr>
          <w:rFonts w:ascii="MinionPro-Regular" w:hAnsi="MinionPro-Regular"/>
          <w:sz w:val="24"/>
          <w:szCs w:val="24"/>
        </w:rPr>
        <w:t>.</w:t>
      </w:r>
    </w:p>
    <w:p w:rsidR="00E2336B" w:rsidRDefault="00E2336B" w:rsidP="001B0EA4">
      <w:pPr>
        <w:autoSpaceDE w:val="0"/>
        <w:autoSpaceDN w:val="0"/>
        <w:spacing w:line="360" w:lineRule="auto"/>
        <w:jc w:val="both"/>
        <w:rPr>
          <w:rFonts w:ascii="MinionPro-Regular" w:hAnsi="MinionPro-Regular"/>
          <w:sz w:val="24"/>
          <w:szCs w:val="24"/>
        </w:rPr>
      </w:pPr>
    </w:p>
    <w:p w:rsidR="00E2336B" w:rsidRDefault="00E2336B" w:rsidP="001B0EA4">
      <w:pPr>
        <w:autoSpaceDE w:val="0"/>
        <w:autoSpaceDN w:val="0"/>
        <w:spacing w:line="360" w:lineRule="auto"/>
        <w:jc w:val="both"/>
        <w:rPr>
          <w:rFonts w:ascii="MinionPro-Regular" w:hAnsi="MinionPro-Regular"/>
          <w:sz w:val="24"/>
          <w:szCs w:val="24"/>
        </w:rPr>
      </w:pPr>
      <w:r>
        <w:rPr>
          <w:rFonts w:ascii="MinionPro-Regular" w:hAnsi="MinionPro-Regular"/>
          <w:sz w:val="24"/>
          <w:szCs w:val="24"/>
        </w:rPr>
        <w:t>Por último, se ha realizado un análisis comparativo entre los conceptos anteriormente expuestos y su relación con las tipologías de ayudas que se dan en España</w:t>
      </w:r>
      <w:r>
        <w:rPr>
          <w:rStyle w:val="Refdenotaalpie"/>
          <w:rFonts w:ascii="MinionPro-Regular" w:hAnsi="MinionPro-Regular"/>
          <w:sz w:val="24"/>
          <w:szCs w:val="24"/>
        </w:rPr>
        <w:footnoteReference w:id="53"/>
      </w:r>
      <w:r>
        <w:rPr>
          <w:rFonts w:ascii="MinionPro-Regular" w:hAnsi="MinionPro-Regular"/>
          <w:sz w:val="24"/>
          <w:szCs w:val="24"/>
        </w:rPr>
        <w:t>.</w:t>
      </w:r>
    </w:p>
    <w:p w:rsidR="00E2336B" w:rsidRPr="00FF1007" w:rsidRDefault="00E2336B" w:rsidP="001B0EA4">
      <w:pPr>
        <w:autoSpaceDE w:val="0"/>
        <w:autoSpaceDN w:val="0"/>
        <w:spacing w:line="360" w:lineRule="auto"/>
        <w:jc w:val="both"/>
      </w:pPr>
    </w:p>
    <w:tbl>
      <w:tblPr>
        <w:tblW w:w="0" w:type="auto"/>
        <w:tblBorders>
          <w:bottom w:val="single" w:sz="12" w:space="0" w:color="409DAD"/>
        </w:tblBorders>
        <w:tblCellMar>
          <w:top w:w="28" w:type="dxa"/>
          <w:left w:w="28" w:type="dxa"/>
          <w:bottom w:w="28" w:type="dxa"/>
          <w:right w:w="28" w:type="dxa"/>
        </w:tblCellMar>
        <w:tblLook w:val="00A0"/>
      </w:tblPr>
      <w:tblGrid>
        <w:gridCol w:w="1166"/>
        <w:gridCol w:w="2088"/>
        <w:gridCol w:w="1916"/>
        <w:gridCol w:w="1702"/>
        <w:gridCol w:w="1689"/>
      </w:tblGrid>
      <w:tr w:rsidR="00E2336B" w:rsidRPr="00202C42" w:rsidTr="00A62C1C">
        <w:tc>
          <w:tcPr>
            <w:tcW w:w="1101" w:type="dxa"/>
            <w:shd w:val="clear" w:color="auto" w:fill="409DAD"/>
            <w:vAlign w:val="center"/>
          </w:tcPr>
          <w:p w:rsidR="00E2336B" w:rsidRPr="00A62C1C" w:rsidRDefault="00E2336B" w:rsidP="00A62C1C">
            <w:pPr>
              <w:autoSpaceDE w:val="0"/>
              <w:autoSpaceDN w:val="0"/>
              <w:spacing w:line="360" w:lineRule="auto"/>
              <w:rPr>
                <w:b/>
                <w:color w:val="FFFFFF"/>
                <w:sz w:val="18"/>
              </w:rPr>
            </w:pPr>
            <w:r w:rsidRPr="00A62C1C">
              <w:rPr>
                <w:b/>
                <w:sz w:val="18"/>
              </w:rPr>
              <w:t>País</w:t>
            </w:r>
          </w:p>
        </w:tc>
        <w:tc>
          <w:tcPr>
            <w:tcW w:w="7544" w:type="dxa"/>
            <w:gridSpan w:val="4"/>
            <w:tcBorders>
              <w:bottom w:val="nil"/>
            </w:tcBorders>
            <w:shd w:val="clear" w:color="auto" w:fill="409DAD"/>
            <w:vAlign w:val="center"/>
          </w:tcPr>
          <w:p w:rsidR="00E2336B" w:rsidRPr="00A62C1C" w:rsidRDefault="00E2336B" w:rsidP="00A62C1C">
            <w:pPr>
              <w:autoSpaceDE w:val="0"/>
              <w:autoSpaceDN w:val="0"/>
              <w:spacing w:line="360" w:lineRule="auto"/>
              <w:jc w:val="center"/>
              <w:rPr>
                <w:b/>
                <w:color w:val="FFFFFF"/>
                <w:sz w:val="18"/>
              </w:rPr>
            </w:pPr>
            <w:r w:rsidRPr="00A62C1C">
              <w:rPr>
                <w:b/>
                <w:sz w:val="18"/>
              </w:rPr>
              <w:t>Tipos de ayuda en función de los países</w:t>
            </w:r>
          </w:p>
        </w:tc>
      </w:tr>
      <w:tr w:rsidR="00E2336B" w:rsidRPr="00202C42" w:rsidTr="00A62C1C">
        <w:tc>
          <w:tcPr>
            <w:tcW w:w="1101" w:type="dxa"/>
            <w:vAlign w:val="center"/>
          </w:tcPr>
          <w:p w:rsidR="00E2336B" w:rsidRPr="00A62C1C" w:rsidRDefault="00E2336B" w:rsidP="00A62C1C">
            <w:pPr>
              <w:autoSpaceDE w:val="0"/>
              <w:autoSpaceDN w:val="0"/>
              <w:spacing w:line="360" w:lineRule="auto"/>
              <w:rPr>
                <w:sz w:val="18"/>
              </w:rPr>
            </w:pPr>
            <w:r w:rsidRPr="00A62C1C">
              <w:rPr>
                <w:sz w:val="18"/>
              </w:rPr>
              <w:t>España</w:t>
            </w:r>
          </w:p>
          <w:p w:rsidR="00E2336B" w:rsidRPr="00CD0211" w:rsidRDefault="00E2336B" w:rsidP="00A62C1C">
            <w:pPr>
              <w:autoSpaceDE w:val="0"/>
              <w:autoSpaceDN w:val="0"/>
              <w:spacing w:line="360" w:lineRule="auto"/>
              <w:rPr>
                <w:sz w:val="18"/>
              </w:rPr>
            </w:pPr>
            <w:r w:rsidRPr="00CD0211">
              <w:rPr>
                <w:sz w:val="18"/>
              </w:rPr>
              <w:t xml:space="preserve">(bonificaciones seguridad social, creación empleo empresa </w:t>
            </w:r>
            <w:r w:rsidRPr="00CD0211">
              <w:rPr>
                <w:sz w:val="18"/>
              </w:rPr>
              <w:lastRenderedPageBreak/>
              <w:t>ordinaria, enclaves laborales, empleo con apoyo, adaptación puestos de trabajo, beneficios fiscales, aoutoempleo-bonificación)</w:t>
            </w:r>
          </w:p>
        </w:tc>
        <w:tc>
          <w:tcPr>
            <w:tcW w:w="2126" w:type="dxa"/>
            <w:tcBorders>
              <w:bottom w:val="single" w:sz="4" w:space="0" w:color="auto"/>
            </w:tcBorders>
            <w:vAlign w:val="center"/>
          </w:tcPr>
          <w:p w:rsidR="00E2336B" w:rsidRPr="00A62C1C" w:rsidRDefault="00E2336B" w:rsidP="00A62C1C">
            <w:pPr>
              <w:autoSpaceDE w:val="0"/>
              <w:autoSpaceDN w:val="0"/>
              <w:spacing w:line="360" w:lineRule="auto"/>
              <w:rPr>
                <w:sz w:val="18"/>
              </w:rPr>
            </w:pPr>
            <w:r w:rsidRPr="00A62C1C">
              <w:rPr>
                <w:sz w:val="18"/>
              </w:rPr>
              <w:lastRenderedPageBreak/>
              <w:t>Pensiones por incapacidad permanente</w:t>
            </w:r>
          </w:p>
        </w:tc>
        <w:tc>
          <w:tcPr>
            <w:tcW w:w="1960" w:type="dxa"/>
            <w:tcBorders>
              <w:bottom w:val="single" w:sz="4" w:space="0" w:color="auto"/>
            </w:tcBorders>
            <w:vAlign w:val="center"/>
          </w:tcPr>
          <w:p w:rsidR="00E2336B" w:rsidRPr="00A62C1C" w:rsidRDefault="00E2336B" w:rsidP="00A62C1C">
            <w:pPr>
              <w:autoSpaceDE w:val="0"/>
              <w:autoSpaceDN w:val="0"/>
              <w:spacing w:line="360" w:lineRule="auto"/>
              <w:rPr>
                <w:sz w:val="18"/>
              </w:rPr>
            </w:pPr>
            <w:r w:rsidRPr="00A62C1C">
              <w:rPr>
                <w:sz w:val="18"/>
              </w:rPr>
              <w:t>Creación de empleo</w:t>
            </w:r>
          </w:p>
        </w:tc>
        <w:tc>
          <w:tcPr>
            <w:tcW w:w="1729" w:type="dxa"/>
            <w:tcBorders>
              <w:bottom w:val="single" w:sz="4" w:space="0" w:color="auto"/>
            </w:tcBorders>
            <w:vAlign w:val="center"/>
          </w:tcPr>
          <w:p w:rsidR="00E2336B" w:rsidRPr="00A62C1C" w:rsidRDefault="00E2336B" w:rsidP="00A62C1C">
            <w:pPr>
              <w:autoSpaceDE w:val="0"/>
              <w:autoSpaceDN w:val="0"/>
              <w:spacing w:line="360" w:lineRule="auto"/>
              <w:rPr>
                <w:sz w:val="18"/>
              </w:rPr>
            </w:pPr>
            <w:r w:rsidRPr="00A62C1C">
              <w:rPr>
                <w:sz w:val="18"/>
              </w:rPr>
              <w:t>Mantenimiento</w:t>
            </w:r>
          </w:p>
        </w:tc>
        <w:tc>
          <w:tcPr>
            <w:tcW w:w="1729" w:type="dxa"/>
            <w:tcBorders>
              <w:bottom w:val="single" w:sz="4" w:space="0" w:color="auto"/>
            </w:tcBorders>
            <w:vAlign w:val="center"/>
          </w:tcPr>
          <w:p w:rsidR="00E2336B" w:rsidRPr="00A62C1C" w:rsidRDefault="00E2336B" w:rsidP="00A62C1C">
            <w:pPr>
              <w:autoSpaceDE w:val="0"/>
              <w:autoSpaceDN w:val="0"/>
              <w:spacing w:line="360" w:lineRule="auto"/>
              <w:rPr>
                <w:sz w:val="18"/>
              </w:rPr>
            </w:pPr>
            <w:r w:rsidRPr="00A62C1C">
              <w:rPr>
                <w:sz w:val="18"/>
              </w:rPr>
              <w:t>Unidades de apoyo</w:t>
            </w:r>
          </w:p>
        </w:tc>
      </w:tr>
      <w:tr w:rsidR="00E2336B" w:rsidRPr="00202C42" w:rsidTr="00A62C1C">
        <w:tc>
          <w:tcPr>
            <w:tcW w:w="1101" w:type="dxa"/>
            <w:vAlign w:val="center"/>
          </w:tcPr>
          <w:p w:rsidR="00E2336B" w:rsidRPr="00A62C1C" w:rsidRDefault="00E2336B" w:rsidP="00A62C1C">
            <w:pPr>
              <w:autoSpaceDE w:val="0"/>
              <w:autoSpaceDN w:val="0"/>
              <w:spacing w:line="360" w:lineRule="auto"/>
              <w:rPr>
                <w:sz w:val="18"/>
              </w:rPr>
            </w:pPr>
            <w:r w:rsidRPr="00A62C1C">
              <w:rPr>
                <w:sz w:val="18"/>
              </w:rPr>
              <w:lastRenderedPageBreak/>
              <w:t>UK</w:t>
            </w:r>
          </w:p>
        </w:tc>
        <w:tc>
          <w:tcPr>
            <w:tcW w:w="2126" w:type="dxa"/>
            <w:tcBorders>
              <w:top w:val="single" w:sz="4" w:space="0" w:color="auto"/>
              <w:bottom w:val="single" w:sz="4" w:space="0" w:color="auto"/>
            </w:tcBorders>
            <w:vAlign w:val="center"/>
          </w:tcPr>
          <w:p w:rsidR="00E2336B" w:rsidRPr="00A62C1C" w:rsidRDefault="00E2336B" w:rsidP="00A62C1C">
            <w:pPr>
              <w:autoSpaceDE w:val="0"/>
              <w:autoSpaceDN w:val="0"/>
              <w:spacing w:line="360" w:lineRule="auto"/>
              <w:rPr>
                <w:sz w:val="18"/>
                <w:lang w:val="en-US"/>
              </w:rPr>
            </w:pPr>
            <w:r w:rsidRPr="00A62C1C">
              <w:rPr>
                <w:sz w:val="18"/>
                <w:lang w:val="en-US"/>
              </w:rPr>
              <w:t>Disability Living Allowance (DLA)</w:t>
            </w:r>
          </w:p>
          <w:p w:rsidR="00E2336B" w:rsidRPr="00A62C1C" w:rsidRDefault="00E2336B" w:rsidP="00A62C1C">
            <w:pPr>
              <w:autoSpaceDE w:val="0"/>
              <w:autoSpaceDN w:val="0"/>
              <w:spacing w:line="360" w:lineRule="auto"/>
              <w:rPr>
                <w:sz w:val="18"/>
                <w:lang w:val="en-US"/>
              </w:rPr>
            </w:pPr>
            <w:r w:rsidRPr="00A62C1C">
              <w:rPr>
                <w:sz w:val="18"/>
                <w:lang w:val="en-US"/>
              </w:rPr>
              <w:t>Employment and Support Allowance (ESA)</w:t>
            </w:r>
          </w:p>
        </w:tc>
        <w:tc>
          <w:tcPr>
            <w:tcW w:w="1960" w:type="dxa"/>
            <w:tcBorders>
              <w:top w:val="single" w:sz="4" w:space="0" w:color="auto"/>
              <w:bottom w:val="single" w:sz="4" w:space="0" w:color="auto"/>
            </w:tcBorders>
            <w:vAlign w:val="center"/>
          </w:tcPr>
          <w:p w:rsidR="00E2336B" w:rsidRPr="00A62C1C" w:rsidRDefault="00E2336B" w:rsidP="00A62C1C">
            <w:pPr>
              <w:autoSpaceDE w:val="0"/>
              <w:autoSpaceDN w:val="0"/>
              <w:spacing w:line="360" w:lineRule="auto"/>
              <w:rPr>
                <w:sz w:val="18"/>
                <w:lang w:val="en-US"/>
              </w:rPr>
            </w:pPr>
            <w:r w:rsidRPr="00A62C1C">
              <w:rPr>
                <w:sz w:val="18"/>
                <w:lang w:val="en-US"/>
              </w:rPr>
              <w:t>Acces to work</w:t>
            </w:r>
          </w:p>
          <w:p w:rsidR="00E2336B" w:rsidRPr="00A62C1C" w:rsidRDefault="00E2336B" w:rsidP="00A62C1C">
            <w:pPr>
              <w:autoSpaceDE w:val="0"/>
              <w:autoSpaceDN w:val="0"/>
              <w:spacing w:line="360" w:lineRule="auto"/>
              <w:rPr>
                <w:sz w:val="18"/>
                <w:lang w:val="en-US"/>
              </w:rPr>
            </w:pPr>
            <w:r w:rsidRPr="00A62C1C">
              <w:rPr>
                <w:sz w:val="18"/>
                <w:lang w:val="en-US"/>
              </w:rPr>
              <w:t>Work Choice</w:t>
            </w:r>
          </w:p>
          <w:p w:rsidR="00E2336B" w:rsidRPr="00A62C1C" w:rsidRDefault="00E2336B" w:rsidP="00A62C1C">
            <w:pPr>
              <w:autoSpaceDE w:val="0"/>
              <w:autoSpaceDN w:val="0"/>
              <w:spacing w:line="360" w:lineRule="auto"/>
              <w:rPr>
                <w:sz w:val="18"/>
                <w:lang w:val="en-US"/>
              </w:rPr>
            </w:pPr>
            <w:r w:rsidRPr="00A62C1C">
              <w:rPr>
                <w:sz w:val="18"/>
                <w:lang w:val="en-US"/>
              </w:rPr>
              <w:t>Work Capability Assessment (WCA)</w:t>
            </w:r>
          </w:p>
        </w:tc>
        <w:tc>
          <w:tcPr>
            <w:tcW w:w="1729" w:type="dxa"/>
            <w:tcBorders>
              <w:top w:val="single" w:sz="4" w:space="0" w:color="auto"/>
              <w:bottom w:val="single" w:sz="4" w:space="0" w:color="auto"/>
            </w:tcBorders>
            <w:vAlign w:val="center"/>
          </w:tcPr>
          <w:p w:rsidR="00E2336B" w:rsidRPr="00A62C1C" w:rsidRDefault="00E2336B" w:rsidP="00A62C1C">
            <w:pPr>
              <w:autoSpaceDE w:val="0"/>
              <w:autoSpaceDN w:val="0"/>
              <w:spacing w:line="360" w:lineRule="auto"/>
              <w:rPr>
                <w:sz w:val="18"/>
                <w:lang w:val="en-US"/>
              </w:rPr>
            </w:pPr>
            <w:r w:rsidRPr="00A62C1C">
              <w:rPr>
                <w:sz w:val="18"/>
                <w:lang w:val="en-US"/>
              </w:rPr>
              <w:t>Work Capability Assessment (WCA)</w:t>
            </w:r>
          </w:p>
        </w:tc>
        <w:tc>
          <w:tcPr>
            <w:tcW w:w="1729" w:type="dxa"/>
            <w:tcBorders>
              <w:top w:val="single" w:sz="4" w:space="0" w:color="auto"/>
              <w:bottom w:val="single" w:sz="4" w:space="0" w:color="auto"/>
            </w:tcBorders>
            <w:vAlign w:val="center"/>
          </w:tcPr>
          <w:p w:rsidR="00E2336B" w:rsidRPr="00A62C1C" w:rsidRDefault="00E2336B" w:rsidP="00A62C1C">
            <w:pPr>
              <w:autoSpaceDE w:val="0"/>
              <w:autoSpaceDN w:val="0"/>
              <w:spacing w:line="360" w:lineRule="auto"/>
              <w:rPr>
                <w:sz w:val="18"/>
                <w:lang w:val="en-US"/>
              </w:rPr>
            </w:pPr>
            <w:r w:rsidRPr="00A62C1C">
              <w:rPr>
                <w:sz w:val="18"/>
                <w:lang w:val="en-US"/>
              </w:rPr>
              <w:t>Work Capability Assessment (WCA)</w:t>
            </w:r>
          </w:p>
        </w:tc>
      </w:tr>
      <w:tr w:rsidR="00E2336B" w:rsidRPr="00202C42" w:rsidTr="00A62C1C">
        <w:tc>
          <w:tcPr>
            <w:tcW w:w="1101" w:type="dxa"/>
            <w:vAlign w:val="center"/>
          </w:tcPr>
          <w:p w:rsidR="00E2336B" w:rsidRPr="00A62C1C" w:rsidRDefault="00E2336B" w:rsidP="00A62C1C">
            <w:pPr>
              <w:autoSpaceDE w:val="0"/>
              <w:autoSpaceDN w:val="0"/>
              <w:spacing w:line="360" w:lineRule="auto"/>
              <w:rPr>
                <w:sz w:val="18"/>
              </w:rPr>
            </w:pPr>
            <w:r w:rsidRPr="00A62C1C">
              <w:rPr>
                <w:sz w:val="18"/>
              </w:rPr>
              <w:t>Alemania</w:t>
            </w:r>
          </w:p>
        </w:tc>
        <w:tc>
          <w:tcPr>
            <w:tcW w:w="2126" w:type="dxa"/>
            <w:tcBorders>
              <w:top w:val="single" w:sz="4" w:space="0" w:color="auto"/>
              <w:bottom w:val="single" w:sz="4" w:space="0" w:color="auto"/>
            </w:tcBorders>
            <w:vAlign w:val="center"/>
          </w:tcPr>
          <w:p w:rsidR="00E2336B" w:rsidRPr="00A62C1C" w:rsidRDefault="00E2336B" w:rsidP="00A62C1C">
            <w:pPr>
              <w:autoSpaceDE w:val="0"/>
              <w:autoSpaceDN w:val="0"/>
              <w:spacing w:line="360" w:lineRule="auto"/>
              <w:rPr>
                <w:sz w:val="18"/>
              </w:rPr>
            </w:pPr>
            <w:r w:rsidRPr="00A62C1C">
              <w:rPr>
                <w:sz w:val="18"/>
              </w:rPr>
              <w:t>Evaluación descentralizada en las oficinas de Pensiones y Beneficios (Versorgungsamt)</w:t>
            </w:r>
          </w:p>
        </w:tc>
        <w:tc>
          <w:tcPr>
            <w:tcW w:w="1960" w:type="dxa"/>
            <w:tcBorders>
              <w:top w:val="single" w:sz="4" w:space="0" w:color="auto"/>
              <w:bottom w:val="single" w:sz="4" w:space="0" w:color="auto"/>
            </w:tcBorders>
            <w:vAlign w:val="center"/>
          </w:tcPr>
          <w:p w:rsidR="00E2336B" w:rsidRPr="00A62C1C" w:rsidRDefault="00E2336B" w:rsidP="00A62C1C">
            <w:pPr>
              <w:autoSpaceDE w:val="0"/>
              <w:autoSpaceDN w:val="0"/>
              <w:spacing w:line="360" w:lineRule="auto"/>
              <w:jc w:val="center"/>
              <w:rPr>
                <w:sz w:val="18"/>
              </w:rPr>
            </w:pPr>
            <w:r w:rsidRPr="00A62C1C">
              <w:rPr>
                <w:sz w:val="18"/>
              </w:rPr>
              <w:t>--</w:t>
            </w:r>
          </w:p>
        </w:tc>
        <w:tc>
          <w:tcPr>
            <w:tcW w:w="1729" w:type="dxa"/>
            <w:tcBorders>
              <w:top w:val="single" w:sz="4" w:space="0" w:color="auto"/>
              <w:bottom w:val="single" w:sz="4" w:space="0" w:color="auto"/>
            </w:tcBorders>
            <w:vAlign w:val="center"/>
          </w:tcPr>
          <w:p w:rsidR="00E2336B" w:rsidRPr="00A62C1C" w:rsidRDefault="00E2336B" w:rsidP="00A62C1C">
            <w:pPr>
              <w:autoSpaceDE w:val="0"/>
              <w:autoSpaceDN w:val="0"/>
              <w:spacing w:line="360" w:lineRule="auto"/>
              <w:rPr>
                <w:sz w:val="18"/>
              </w:rPr>
            </w:pPr>
            <w:r w:rsidRPr="00A62C1C">
              <w:rPr>
                <w:sz w:val="18"/>
              </w:rPr>
              <w:t xml:space="preserve">Employer Integration Allowance </w:t>
            </w:r>
          </w:p>
        </w:tc>
        <w:tc>
          <w:tcPr>
            <w:tcW w:w="1729" w:type="dxa"/>
            <w:tcBorders>
              <w:top w:val="single" w:sz="4" w:space="0" w:color="auto"/>
              <w:bottom w:val="single" w:sz="4" w:space="0" w:color="auto"/>
            </w:tcBorders>
            <w:vAlign w:val="center"/>
          </w:tcPr>
          <w:p w:rsidR="00E2336B" w:rsidRPr="00A62C1C" w:rsidRDefault="00E2336B" w:rsidP="00A62C1C">
            <w:pPr>
              <w:autoSpaceDE w:val="0"/>
              <w:autoSpaceDN w:val="0"/>
              <w:spacing w:line="360" w:lineRule="auto"/>
              <w:jc w:val="center"/>
              <w:rPr>
                <w:sz w:val="18"/>
              </w:rPr>
            </w:pPr>
            <w:r w:rsidRPr="00A62C1C">
              <w:rPr>
                <w:sz w:val="18"/>
              </w:rPr>
              <w:t>--</w:t>
            </w:r>
          </w:p>
        </w:tc>
      </w:tr>
      <w:tr w:rsidR="00E2336B" w:rsidRPr="00202C42" w:rsidTr="00A62C1C">
        <w:tc>
          <w:tcPr>
            <w:tcW w:w="1101" w:type="dxa"/>
            <w:vAlign w:val="center"/>
          </w:tcPr>
          <w:p w:rsidR="00E2336B" w:rsidRPr="00A62C1C" w:rsidRDefault="00E2336B" w:rsidP="00A62C1C">
            <w:pPr>
              <w:autoSpaceDE w:val="0"/>
              <w:autoSpaceDN w:val="0"/>
              <w:spacing w:line="360" w:lineRule="auto"/>
              <w:rPr>
                <w:sz w:val="18"/>
              </w:rPr>
            </w:pPr>
            <w:r w:rsidRPr="00A62C1C">
              <w:rPr>
                <w:sz w:val="18"/>
              </w:rPr>
              <w:t>Italia</w:t>
            </w:r>
          </w:p>
        </w:tc>
        <w:tc>
          <w:tcPr>
            <w:tcW w:w="2126" w:type="dxa"/>
            <w:tcBorders>
              <w:top w:val="single" w:sz="4" w:space="0" w:color="auto"/>
              <w:bottom w:val="single" w:sz="4" w:space="0" w:color="auto"/>
            </w:tcBorders>
            <w:vAlign w:val="center"/>
          </w:tcPr>
          <w:p w:rsidR="00E2336B" w:rsidRPr="00A62C1C" w:rsidRDefault="00E2336B" w:rsidP="00A62C1C">
            <w:pPr>
              <w:autoSpaceDE w:val="0"/>
              <w:autoSpaceDN w:val="0"/>
              <w:spacing w:line="360" w:lineRule="auto"/>
              <w:rPr>
                <w:sz w:val="18"/>
              </w:rPr>
            </w:pPr>
            <w:r w:rsidRPr="00A62C1C">
              <w:rPr>
                <w:sz w:val="18"/>
              </w:rPr>
              <w:t>Assegno Ordinario d’Invalidità (AOI) Pensione di inabilità</w:t>
            </w:r>
          </w:p>
        </w:tc>
        <w:tc>
          <w:tcPr>
            <w:tcW w:w="1960" w:type="dxa"/>
            <w:tcBorders>
              <w:top w:val="single" w:sz="4" w:space="0" w:color="auto"/>
              <w:bottom w:val="single" w:sz="4" w:space="0" w:color="auto"/>
            </w:tcBorders>
            <w:vAlign w:val="center"/>
          </w:tcPr>
          <w:p w:rsidR="00E2336B" w:rsidRPr="00A62C1C" w:rsidRDefault="00E2336B" w:rsidP="00A62C1C">
            <w:pPr>
              <w:autoSpaceDE w:val="0"/>
              <w:autoSpaceDN w:val="0"/>
              <w:spacing w:line="360" w:lineRule="auto"/>
              <w:jc w:val="center"/>
              <w:rPr>
                <w:sz w:val="18"/>
              </w:rPr>
            </w:pPr>
            <w:r w:rsidRPr="00A62C1C">
              <w:rPr>
                <w:sz w:val="18"/>
              </w:rPr>
              <w:t>--</w:t>
            </w:r>
          </w:p>
        </w:tc>
        <w:tc>
          <w:tcPr>
            <w:tcW w:w="1729" w:type="dxa"/>
            <w:tcBorders>
              <w:top w:val="single" w:sz="4" w:space="0" w:color="auto"/>
              <w:bottom w:val="single" w:sz="4" w:space="0" w:color="auto"/>
            </w:tcBorders>
            <w:vAlign w:val="center"/>
          </w:tcPr>
          <w:p w:rsidR="00E2336B" w:rsidRPr="00A62C1C" w:rsidRDefault="00E2336B" w:rsidP="00A62C1C">
            <w:pPr>
              <w:autoSpaceDE w:val="0"/>
              <w:autoSpaceDN w:val="0"/>
              <w:spacing w:line="360" w:lineRule="auto"/>
              <w:rPr>
                <w:sz w:val="18"/>
              </w:rPr>
            </w:pPr>
            <w:r w:rsidRPr="00A62C1C">
              <w:rPr>
                <w:sz w:val="18"/>
              </w:rPr>
              <w:t>Beneficios fiscales para cooperativas sociales</w:t>
            </w:r>
          </w:p>
        </w:tc>
        <w:tc>
          <w:tcPr>
            <w:tcW w:w="1729" w:type="dxa"/>
            <w:tcBorders>
              <w:top w:val="single" w:sz="4" w:space="0" w:color="auto"/>
              <w:bottom w:val="single" w:sz="4" w:space="0" w:color="auto"/>
            </w:tcBorders>
            <w:vAlign w:val="center"/>
          </w:tcPr>
          <w:p w:rsidR="00E2336B" w:rsidRPr="00A62C1C" w:rsidRDefault="00E2336B" w:rsidP="00A62C1C">
            <w:pPr>
              <w:autoSpaceDE w:val="0"/>
              <w:autoSpaceDN w:val="0"/>
              <w:spacing w:line="360" w:lineRule="auto"/>
              <w:jc w:val="center"/>
              <w:rPr>
                <w:sz w:val="18"/>
              </w:rPr>
            </w:pPr>
            <w:r w:rsidRPr="00A62C1C">
              <w:rPr>
                <w:sz w:val="18"/>
              </w:rPr>
              <w:t>--</w:t>
            </w:r>
          </w:p>
        </w:tc>
      </w:tr>
      <w:tr w:rsidR="00E2336B" w:rsidRPr="00202C42" w:rsidTr="00A62C1C">
        <w:tc>
          <w:tcPr>
            <w:tcW w:w="1101" w:type="dxa"/>
            <w:tcBorders>
              <w:bottom w:val="single" w:sz="12" w:space="0" w:color="409DAD"/>
            </w:tcBorders>
            <w:vAlign w:val="center"/>
          </w:tcPr>
          <w:p w:rsidR="00E2336B" w:rsidRPr="00A62C1C" w:rsidRDefault="00E2336B" w:rsidP="00A62C1C">
            <w:pPr>
              <w:autoSpaceDE w:val="0"/>
              <w:autoSpaceDN w:val="0"/>
              <w:spacing w:line="360" w:lineRule="auto"/>
              <w:rPr>
                <w:sz w:val="18"/>
              </w:rPr>
            </w:pPr>
            <w:r w:rsidRPr="00A62C1C">
              <w:rPr>
                <w:sz w:val="18"/>
              </w:rPr>
              <w:t>Suecia</w:t>
            </w:r>
          </w:p>
        </w:tc>
        <w:tc>
          <w:tcPr>
            <w:tcW w:w="2126" w:type="dxa"/>
            <w:tcBorders>
              <w:top w:val="single" w:sz="4" w:space="0" w:color="auto"/>
              <w:bottom w:val="single" w:sz="12" w:space="0" w:color="409DAD"/>
            </w:tcBorders>
            <w:vAlign w:val="center"/>
          </w:tcPr>
          <w:p w:rsidR="00E2336B" w:rsidRPr="00A62C1C" w:rsidRDefault="00E2336B" w:rsidP="00A62C1C">
            <w:pPr>
              <w:autoSpaceDE w:val="0"/>
              <w:autoSpaceDN w:val="0"/>
              <w:spacing w:line="360" w:lineRule="auto"/>
              <w:rPr>
                <w:sz w:val="18"/>
              </w:rPr>
            </w:pPr>
            <w:r w:rsidRPr="00A62C1C">
              <w:rPr>
                <w:sz w:val="18"/>
              </w:rPr>
              <w:t>Inkomstrelaterad sjuk-och aktivitetsesättning</w:t>
            </w:r>
          </w:p>
        </w:tc>
        <w:tc>
          <w:tcPr>
            <w:tcW w:w="1960" w:type="dxa"/>
            <w:tcBorders>
              <w:top w:val="single" w:sz="4" w:space="0" w:color="auto"/>
              <w:bottom w:val="single" w:sz="12" w:space="0" w:color="409DAD"/>
            </w:tcBorders>
            <w:vAlign w:val="center"/>
          </w:tcPr>
          <w:p w:rsidR="00E2336B" w:rsidRPr="00A62C1C" w:rsidRDefault="00E2336B" w:rsidP="00A62C1C">
            <w:pPr>
              <w:autoSpaceDE w:val="0"/>
              <w:autoSpaceDN w:val="0"/>
              <w:spacing w:line="360" w:lineRule="auto"/>
              <w:rPr>
                <w:sz w:val="18"/>
              </w:rPr>
            </w:pPr>
            <w:r w:rsidRPr="00A62C1C">
              <w:rPr>
                <w:sz w:val="18"/>
              </w:rPr>
              <w:t>Subvenciones autoempleo</w:t>
            </w:r>
          </w:p>
          <w:p w:rsidR="00E2336B" w:rsidRPr="00A62C1C" w:rsidRDefault="00E2336B" w:rsidP="00A62C1C">
            <w:pPr>
              <w:autoSpaceDE w:val="0"/>
              <w:autoSpaceDN w:val="0"/>
              <w:spacing w:line="360" w:lineRule="auto"/>
              <w:rPr>
                <w:sz w:val="18"/>
              </w:rPr>
            </w:pPr>
            <w:r w:rsidRPr="00A62C1C">
              <w:rPr>
                <w:sz w:val="18"/>
              </w:rPr>
              <w:t>Adaptación de puestos</w:t>
            </w:r>
          </w:p>
        </w:tc>
        <w:tc>
          <w:tcPr>
            <w:tcW w:w="1729" w:type="dxa"/>
            <w:tcBorders>
              <w:top w:val="single" w:sz="4" w:space="0" w:color="auto"/>
              <w:bottom w:val="single" w:sz="12" w:space="0" w:color="409DAD"/>
            </w:tcBorders>
            <w:vAlign w:val="center"/>
          </w:tcPr>
          <w:p w:rsidR="00E2336B" w:rsidRPr="00A62C1C" w:rsidRDefault="00E2336B" w:rsidP="00A62C1C">
            <w:pPr>
              <w:autoSpaceDE w:val="0"/>
              <w:autoSpaceDN w:val="0"/>
              <w:spacing w:line="360" w:lineRule="auto"/>
              <w:rPr>
                <w:sz w:val="18"/>
              </w:rPr>
            </w:pPr>
            <w:r w:rsidRPr="00A62C1C">
              <w:rPr>
                <w:sz w:val="18"/>
              </w:rPr>
              <w:t>Subvenciones Administración (75% del salario)</w:t>
            </w:r>
          </w:p>
        </w:tc>
        <w:tc>
          <w:tcPr>
            <w:tcW w:w="1729" w:type="dxa"/>
            <w:tcBorders>
              <w:top w:val="single" w:sz="4" w:space="0" w:color="auto"/>
              <w:bottom w:val="single" w:sz="12" w:space="0" w:color="409DAD"/>
            </w:tcBorders>
            <w:vAlign w:val="center"/>
          </w:tcPr>
          <w:p w:rsidR="00E2336B" w:rsidRPr="00A62C1C" w:rsidRDefault="00E2336B" w:rsidP="00A62C1C">
            <w:pPr>
              <w:autoSpaceDE w:val="0"/>
              <w:autoSpaceDN w:val="0"/>
              <w:spacing w:line="360" w:lineRule="auto"/>
              <w:rPr>
                <w:sz w:val="18"/>
              </w:rPr>
            </w:pPr>
            <w:r w:rsidRPr="00A62C1C">
              <w:rPr>
                <w:sz w:val="18"/>
              </w:rPr>
              <w:t>Ayudantes personales</w:t>
            </w:r>
          </w:p>
        </w:tc>
      </w:tr>
    </w:tbl>
    <w:p w:rsidR="00E2336B" w:rsidRDefault="00E2336B" w:rsidP="001B0EA4">
      <w:pPr>
        <w:pBdr>
          <w:bottom w:val="single" w:sz="4" w:space="1" w:color="auto"/>
        </w:pBdr>
        <w:autoSpaceDE w:val="0"/>
        <w:autoSpaceDN w:val="0"/>
        <w:spacing w:line="360" w:lineRule="auto"/>
        <w:jc w:val="both"/>
        <w:rPr>
          <w:rFonts w:ascii="MinionPro-Regular" w:hAnsi="MinionPro-Regular"/>
          <w:sz w:val="20"/>
        </w:rPr>
      </w:pPr>
      <w:r w:rsidRPr="00455028">
        <w:rPr>
          <w:rFonts w:ascii="MinionPro-Regular" w:hAnsi="MinionPro-Regular"/>
          <w:sz w:val="20"/>
        </w:rPr>
        <w:t>Fuente: Elaboración propia.</w:t>
      </w:r>
    </w:p>
    <w:p w:rsidR="00E2336B" w:rsidRDefault="00E2336B" w:rsidP="001B0EA4">
      <w:pPr>
        <w:autoSpaceDE w:val="0"/>
        <w:autoSpaceDN w:val="0"/>
        <w:spacing w:line="360" w:lineRule="auto"/>
        <w:jc w:val="both"/>
        <w:rPr>
          <w:rFonts w:ascii="MinionPro-Regular" w:hAnsi="MinionPro-Regular"/>
          <w:sz w:val="20"/>
        </w:rPr>
      </w:pPr>
    </w:p>
    <w:p w:rsidR="00E2336B" w:rsidRDefault="00E2336B" w:rsidP="001B0EA4">
      <w:pPr>
        <w:autoSpaceDE w:val="0"/>
        <w:autoSpaceDN w:val="0"/>
        <w:spacing w:line="360" w:lineRule="auto"/>
        <w:jc w:val="both"/>
        <w:rPr>
          <w:rFonts w:ascii="MinionPro-Regular" w:hAnsi="MinionPro-Regular"/>
          <w:sz w:val="20"/>
        </w:rPr>
      </w:pPr>
    </w:p>
    <w:p w:rsidR="00E2336B" w:rsidRPr="007F7879" w:rsidRDefault="00E2336B" w:rsidP="001B0EA4">
      <w:pPr>
        <w:pBdr>
          <w:top w:val="single" w:sz="4" w:space="1" w:color="auto"/>
          <w:left w:val="single" w:sz="4" w:space="4" w:color="auto"/>
          <w:bottom w:val="single" w:sz="4" w:space="1" w:color="auto"/>
          <w:right w:val="single" w:sz="4" w:space="4" w:color="auto"/>
        </w:pBdr>
        <w:autoSpaceDE w:val="0"/>
        <w:autoSpaceDN w:val="0"/>
        <w:spacing w:line="360" w:lineRule="auto"/>
        <w:jc w:val="both"/>
        <w:rPr>
          <w:rFonts w:ascii="MinionPro-Regular" w:hAnsi="MinionPro-Regular"/>
          <w:sz w:val="20"/>
          <w:szCs w:val="24"/>
          <w:u w:val="single"/>
        </w:rPr>
      </w:pPr>
      <w:r>
        <w:rPr>
          <w:rFonts w:ascii="MinionPro-Regular" w:hAnsi="MinionPro-Regular"/>
          <w:sz w:val="20"/>
          <w:szCs w:val="24"/>
          <w:u w:val="single"/>
          <w:lang w:val="es-ES_tradnl"/>
        </w:rPr>
        <w:t>Los modelos distintos al español.</w:t>
      </w:r>
      <w:r w:rsidRPr="00B13AAC">
        <w:rPr>
          <w:rFonts w:ascii="MinionPro-Regular" w:hAnsi="MinionPro-Regular"/>
          <w:sz w:val="20"/>
          <w:szCs w:val="24"/>
          <w:u w:val="single"/>
          <w:lang w:val="es-ES_tradnl"/>
        </w:rPr>
        <w:t xml:space="preserve"> </w:t>
      </w:r>
      <w:r>
        <w:rPr>
          <w:rFonts w:ascii="MinionPro-Regular" w:hAnsi="MinionPro-Regular"/>
          <w:sz w:val="20"/>
          <w:szCs w:val="24"/>
          <w:u w:val="single"/>
          <w:lang w:val="es-ES_tradnl"/>
        </w:rPr>
        <w:t>Puntos principales</w:t>
      </w:r>
    </w:p>
    <w:p w:rsidR="00E2336B" w:rsidRDefault="00E2336B" w:rsidP="0007541A">
      <w:pPr>
        <w:pStyle w:val="Prrafodelista"/>
        <w:numPr>
          <w:ilvl w:val="0"/>
          <w:numId w:val="22"/>
        </w:numPr>
        <w:pBdr>
          <w:top w:val="single" w:sz="4" w:space="1" w:color="auto"/>
          <w:left w:val="single" w:sz="4" w:space="4" w:color="auto"/>
          <w:bottom w:val="single" w:sz="4" w:space="1" w:color="auto"/>
          <w:right w:val="single" w:sz="4" w:space="4" w:color="auto"/>
        </w:pBdr>
        <w:autoSpaceDE w:val="0"/>
        <w:autoSpaceDN w:val="0"/>
        <w:spacing w:line="360" w:lineRule="auto"/>
        <w:jc w:val="both"/>
        <w:rPr>
          <w:rFonts w:ascii="MinionPro-Regular" w:hAnsi="MinionPro-Regular"/>
          <w:sz w:val="20"/>
          <w:lang w:val="es-ES_tradnl"/>
        </w:rPr>
      </w:pPr>
      <w:r w:rsidRPr="002448F2">
        <w:rPr>
          <w:rFonts w:ascii="MinionPro-Regular" w:hAnsi="MinionPro-Regular"/>
          <w:sz w:val="20"/>
          <w:lang w:val="es-ES_tradnl"/>
        </w:rPr>
        <w:t xml:space="preserve">Suecia es un país avanzado en lo que a políticas de apoyo a la discapacidad se refiere, destacando Alemania en compensación y Reino Unido en integración. </w:t>
      </w:r>
    </w:p>
    <w:p w:rsidR="00E2336B" w:rsidRDefault="00E2336B" w:rsidP="0007541A">
      <w:pPr>
        <w:pStyle w:val="Prrafodelista"/>
        <w:numPr>
          <w:ilvl w:val="0"/>
          <w:numId w:val="22"/>
        </w:numPr>
        <w:pBdr>
          <w:top w:val="single" w:sz="4" w:space="1" w:color="auto"/>
          <w:left w:val="single" w:sz="4" w:space="4" w:color="auto"/>
          <w:bottom w:val="single" w:sz="4" w:space="1" w:color="auto"/>
          <w:right w:val="single" w:sz="4" w:space="4" w:color="auto"/>
        </w:pBdr>
        <w:autoSpaceDE w:val="0"/>
        <w:autoSpaceDN w:val="0"/>
        <w:spacing w:line="360" w:lineRule="auto"/>
        <w:jc w:val="both"/>
        <w:rPr>
          <w:rFonts w:ascii="MinionPro-Regular" w:hAnsi="MinionPro-Regular"/>
          <w:sz w:val="20"/>
          <w:lang w:val="es-ES_tradnl"/>
        </w:rPr>
      </w:pPr>
      <w:r w:rsidRPr="002448F2">
        <w:rPr>
          <w:rFonts w:ascii="MinionPro-Regular" w:hAnsi="MinionPro-Regular"/>
          <w:sz w:val="20"/>
          <w:lang w:val="es-ES_tradnl"/>
        </w:rPr>
        <w:t xml:space="preserve">Partiendo de la base de que las definiciones sobre lo que se considera discapacidad son diferentes, cabe destacar que Alemania y Suecia tienen mayores tasas de actividad y de ocupación que España. </w:t>
      </w:r>
    </w:p>
    <w:p w:rsidR="00E2336B" w:rsidRPr="00B1709D" w:rsidRDefault="00E2336B" w:rsidP="0007541A">
      <w:pPr>
        <w:pStyle w:val="Prrafodelista"/>
        <w:numPr>
          <w:ilvl w:val="0"/>
          <w:numId w:val="22"/>
        </w:numPr>
        <w:pBdr>
          <w:top w:val="single" w:sz="4" w:space="1" w:color="auto"/>
          <w:left w:val="single" w:sz="4" w:space="4" w:color="auto"/>
          <w:bottom w:val="single" w:sz="4" w:space="1" w:color="auto"/>
          <w:right w:val="single" w:sz="4" w:space="4" w:color="auto"/>
        </w:pBdr>
        <w:autoSpaceDE w:val="0"/>
        <w:autoSpaceDN w:val="0"/>
        <w:spacing w:line="360" w:lineRule="auto"/>
        <w:jc w:val="both"/>
        <w:rPr>
          <w:rFonts w:ascii="MinionPro-Regular" w:hAnsi="MinionPro-Regular"/>
          <w:sz w:val="20"/>
          <w:lang w:val="es-ES_tradnl"/>
        </w:rPr>
      </w:pPr>
      <w:r>
        <w:rPr>
          <w:rFonts w:ascii="MinionPro-Regular" w:hAnsi="MinionPro-Regular"/>
          <w:sz w:val="20"/>
          <w:lang w:val="es-ES_tradnl"/>
        </w:rPr>
        <w:lastRenderedPageBreak/>
        <w:t>L</w:t>
      </w:r>
      <w:r w:rsidRPr="002448F2">
        <w:rPr>
          <w:rFonts w:ascii="MinionPro-Regular" w:hAnsi="MinionPro-Regular"/>
          <w:sz w:val="20"/>
          <w:lang w:val="es-ES_tradnl"/>
        </w:rPr>
        <w:t xml:space="preserve">a tasa de abandono escolar española multiplica por tres la de Suecia y por dos y medio la del Reino Unido. </w:t>
      </w:r>
    </w:p>
    <w:p w:rsidR="00E2336B" w:rsidRDefault="00E2336B" w:rsidP="0007541A">
      <w:pPr>
        <w:pStyle w:val="Prrafodelista"/>
        <w:numPr>
          <w:ilvl w:val="0"/>
          <w:numId w:val="22"/>
        </w:numPr>
        <w:pBdr>
          <w:top w:val="single" w:sz="4" w:space="1" w:color="auto"/>
          <w:left w:val="single" w:sz="4" w:space="4" w:color="auto"/>
          <w:bottom w:val="single" w:sz="4" w:space="1" w:color="auto"/>
          <w:right w:val="single" w:sz="4" w:space="4" w:color="auto"/>
        </w:pBdr>
        <w:autoSpaceDE w:val="0"/>
        <w:autoSpaceDN w:val="0"/>
        <w:spacing w:line="360" w:lineRule="auto"/>
        <w:jc w:val="both"/>
        <w:rPr>
          <w:rFonts w:ascii="MinionPro-Regular" w:hAnsi="MinionPro-Regular"/>
          <w:sz w:val="20"/>
          <w:lang w:val="es-ES_tradnl"/>
        </w:rPr>
      </w:pPr>
      <w:r w:rsidRPr="002448F2">
        <w:rPr>
          <w:rFonts w:ascii="MinionPro-Regular" w:hAnsi="MinionPro-Regular"/>
          <w:sz w:val="20"/>
          <w:lang w:val="es-ES_tradnl"/>
        </w:rPr>
        <w:t>En el Reino Unido y Suecia no existe una cuota de reserva para las personas con discapacidad, mientras que en Alemania es del 5% para empresas con más de 20 empleados y en Italia del 7% para empresas con más de 50 empleados</w:t>
      </w:r>
      <w:r>
        <w:rPr>
          <w:rFonts w:ascii="MinionPro-Regular" w:hAnsi="MinionPro-Regular"/>
          <w:sz w:val="20"/>
          <w:lang w:val="es-ES_tradnl"/>
        </w:rPr>
        <w:t>. En los dos casos, se trata de</w:t>
      </w:r>
      <w:r w:rsidRPr="002448F2">
        <w:rPr>
          <w:rFonts w:ascii="MinionPro-Regular" w:hAnsi="MinionPro-Regular"/>
          <w:sz w:val="20"/>
          <w:lang w:val="es-ES_tradnl"/>
        </w:rPr>
        <w:t xml:space="preserve"> una mayor cuota que en España. En ambos países se exigen multas en el caso de no cumplimiento de las cuotas de reserva pero a nivel global, al igual que ocurre en España, estas cuotas no se cumplen. </w:t>
      </w:r>
    </w:p>
    <w:p w:rsidR="00E2336B" w:rsidRPr="002448F2" w:rsidRDefault="00E2336B" w:rsidP="0007541A">
      <w:pPr>
        <w:pStyle w:val="Prrafodelista"/>
        <w:numPr>
          <w:ilvl w:val="0"/>
          <w:numId w:val="22"/>
        </w:numPr>
        <w:pBdr>
          <w:top w:val="single" w:sz="4" w:space="1" w:color="auto"/>
          <w:left w:val="single" w:sz="4" w:space="4" w:color="auto"/>
          <w:bottom w:val="single" w:sz="4" w:space="1" w:color="auto"/>
          <w:right w:val="single" w:sz="4" w:space="4" w:color="auto"/>
        </w:pBdr>
        <w:autoSpaceDE w:val="0"/>
        <w:autoSpaceDN w:val="0"/>
        <w:spacing w:line="360" w:lineRule="auto"/>
        <w:jc w:val="both"/>
        <w:rPr>
          <w:rFonts w:ascii="MinionPro-Regular" w:hAnsi="MinionPro-Regular"/>
          <w:sz w:val="20"/>
          <w:lang w:val="es-ES_tradnl"/>
        </w:rPr>
      </w:pPr>
      <w:r>
        <w:rPr>
          <w:rFonts w:ascii="MinionPro-Regular" w:hAnsi="MinionPro-Regular"/>
          <w:sz w:val="20"/>
          <w:lang w:val="es-ES_tradnl"/>
        </w:rPr>
        <w:t>S</w:t>
      </w:r>
      <w:r w:rsidRPr="002448F2">
        <w:rPr>
          <w:rFonts w:ascii="MinionPro-Regular" w:hAnsi="MinionPro-Regular"/>
          <w:sz w:val="20"/>
          <w:lang w:val="es-ES_tradnl"/>
        </w:rPr>
        <w:t>e han desarrollado numerosas iniciativas para favorecer el empleo, tales como “Access to Work” en el Reino Unido, los programas desarrollados por las oficinas de integración en Alemania o “Developing employment” en Suecia, donde también cabe destacar la figura del defensor de la discapacidad.</w:t>
      </w:r>
    </w:p>
    <w:p w:rsidR="00E2336B" w:rsidRDefault="00E2336B" w:rsidP="0007541A">
      <w:pPr>
        <w:pStyle w:val="Prrafodelista"/>
        <w:numPr>
          <w:ilvl w:val="0"/>
          <w:numId w:val="22"/>
        </w:numPr>
        <w:pBdr>
          <w:top w:val="single" w:sz="4" w:space="1" w:color="auto"/>
          <w:left w:val="single" w:sz="4" w:space="4" w:color="auto"/>
          <w:bottom w:val="single" w:sz="4" w:space="1" w:color="auto"/>
          <w:right w:val="single" w:sz="4" w:space="4" w:color="auto"/>
        </w:pBdr>
        <w:autoSpaceDE w:val="0"/>
        <w:autoSpaceDN w:val="0"/>
        <w:spacing w:line="360" w:lineRule="auto"/>
        <w:jc w:val="both"/>
        <w:rPr>
          <w:rFonts w:ascii="MinionPro-Regular" w:hAnsi="MinionPro-Regular"/>
          <w:sz w:val="20"/>
          <w:lang w:val="es-ES_tradnl"/>
        </w:rPr>
      </w:pPr>
      <w:r w:rsidRPr="002448F2">
        <w:rPr>
          <w:rFonts w:ascii="MinionPro-Regular" w:hAnsi="MinionPro-Regular"/>
          <w:sz w:val="20"/>
          <w:lang w:val="es-ES_tradnl"/>
        </w:rPr>
        <w:t xml:space="preserve">En el Reino Unido es condición indispensable para </w:t>
      </w:r>
      <w:r>
        <w:rPr>
          <w:rFonts w:ascii="MinionPro-Regular" w:hAnsi="MinionPro-Regular"/>
          <w:sz w:val="20"/>
          <w:lang w:val="es-ES_tradnl"/>
        </w:rPr>
        <w:t>el</w:t>
      </w:r>
      <w:r w:rsidRPr="002448F2">
        <w:rPr>
          <w:rFonts w:ascii="MinionPro-Regular" w:hAnsi="MinionPro-Regular"/>
          <w:sz w:val="20"/>
          <w:lang w:val="es-ES_tradnl"/>
        </w:rPr>
        <w:t xml:space="preserve"> empleo protegido que la empresa esté constituida sin ánimo de lucro y por lo tanto se reinviertan todos los beneficios en la causa para la que fue constituida, siendo Remploy el mayor proveedor de empleo protegido. </w:t>
      </w:r>
    </w:p>
    <w:p w:rsidR="00E2336B" w:rsidRDefault="00E2336B" w:rsidP="0007541A">
      <w:pPr>
        <w:pStyle w:val="Prrafodelista"/>
        <w:numPr>
          <w:ilvl w:val="0"/>
          <w:numId w:val="22"/>
        </w:numPr>
        <w:pBdr>
          <w:top w:val="single" w:sz="4" w:space="1" w:color="auto"/>
          <w:left w:val="single" w:sz="4" w:space="4" w:color="auto"/>
          <w:bottom w:val="single" w:sz="4" w:space="1" w:color="auto"/>
          <w:right w:val="single" w:sz="4" w:space="4" w:color="auto"/>
        </w:pBdr>
        <w:autoSpaceDE w:val="0"/>
        <w:autoSpaceDN w:val="0"/>
        <w:spacing w:line="360" w:lineRule="auto"/>
        <w:jc w:val="both"/>
        <w:rPr>
          <w:rFonts w:ascii="MinionPro-Regular" w:hAnsi="MinionPro-Regular"/>
          <w:sz w:val="20"/>
          <w:lang w:val="es-ES_tradnl"/>
        </w:rPr>
      </w:pPr>
      <w:r>
        <w:rPr>
          <w:rFonts w:ascii="MinionPro-Regular" w:hAnsi="MinionPro-Regular"/>
          <w:sz w:val="20"/>
          <w:lang w:val="es-ES_tradnl"/>
        </w:rPr>
        <w:t xml:space="preserve">En Alemania no existe </w:t>
      </w:r>
      <w:r w:rsidRPr="002448F2">
        <w:rPr>
          <w:rFonts w:ascii="MinionPro-Regular" w:hAnsi="MinionPro-Regular"/>
          <w:sz w:val="20"/>
          <w:lang w:val="es-ES_tradnl"/>
        </w:rPr>
        <w:t xml:space="preserve">empleo protegido </w:t>
      </w:r>
      <w:r>
        <w:rPr>
          <w:rFonts w:ascii="MinionPro-Regular" w:hAnsi="MinionPro-Regular"/>
          <w:sz w:val="20"/>
          <w:lang w:val="es-ES_tradnl"/>
        </w:rPr>
        <w:t>sino que existe algo</w:t>
      </w:r>
      <w:r w:rsidRPr="002448F2">
        <w:rPr>
          <w:rFonts w:ascii="MinionPro-Regular" w:hAnsi="MinionPro-Regular"/>
          <w:sz w:val="20"/>
          <w:lang w:val="es-ES_tradnl"/>
        </w:rPr>
        <w:t xml:space="preserve"> más parecido</w:t>
      </w:r>
      <w:r>
        <w:rPr>
          <w:rFonts w:ascii="MinionPro-Regular" w:hAnsi="MinionPro-Regular"/>
          <w:sz w:val="20"/>
          <w:lang w:val="es-ES_tradnl"/>
        </w:rPr>
        <w:t xml:space="preserve"> </w:t>
      </w:r>
      <w:r w:rsidRPr="002448F2">
        <w:rPr>
          <w:rFonts w:ascii="MinionPro-Regular" w:hAnsi="MinionPro-Regular"/>
          <w:sz w:val="20"/>
          <w:lang w:val="es-ES_tradnl"/>
        </w:rPr>
        <w:t xml:space="preserve">al concepto español de </w:t>
      </w:r>
      <w:r w:rsidR="00A87133" w:rsidRPr="00A87133">
        <w:rPr>
          <w:rFonts w:ascii="MinionPro-Regular" w:hAnsi="MinionPro-Regular"/>
          <w:color w:val="4F81BD" w:themeColor="accent1"/>
          <w:sz w:val="20"/>
          <w:lang w:val="es-ES_tradnl"/>
        </w:rPr>
        <w:t>centro</w:t>
      </w:r>
      <w:r w:rsidRPr="002448F2">
        <w:rPr>
          <w:rFonts w:ascii="MinionPro-Regular" w:hAnsi="MinionPro-Regular"/>
          <w:sz w:val="20"/>
          <w:lang w:val="es-ES_tradnl"/>
        </w:rPr>
        <w:t xml:space="preserve"> ocupacional, en los cual</w:t>
      </w:r>
      <w:r>
        <w:rPr>
          <w:rFonts w:ascii="MinionPro-Regular" w:hAnsi="MinionPro-Regular"/>
          <w:sz w:val="20"/>
          <w:lang w:val="es-ES_tradnl"/>
        </w:rPr>
        <w:t>es</w:t>
      </w:r>
      <w:r w:rsidRPr="002448F2">
        <w:rPr>
          <w:rFonts w:ascii="MinionPro-Regular" w:hAnsi="MinionPro-Regular"/>
          <w:sz w:val="20"/>
          <w:lang w:val="es-ES_tradnl"/>
        </w:rPr>
        <w:t>, las personas con discapacidad realizan una actividad con una contraprestación económica simbólica cubriendo un número de plazas determinado por la admi</w:t>
      </w:r>
      <w:r>
        <w:rPr>
          <w:rFonts w:ascii="MinionPro-Regular" w:hAnsi="MinionPro-Regular"/>
          <w:sz w:val="20"/>
          <w:lang w:val="es-ES_tradnl"/>
        </w:rPr>
        <w:t xml:space="preserve">nistración pública competente. </w:t>
      </w:r>
    </w:p>
    <w:p w:rsidR="00E2336B" w:rsidRDefault="00E2336B" w:rsidP="0007541A">
      <w:pPr>
        <w:pStyle w:val="Prrafodelista"/>
        <w:numPr>
          <w:ilvl w:val="0"/>
          <w:numId w:val="22"/>
        </w:numPr>
        <w:pBdr>
          <w:top w:val="single" w:sz="4" w:space="1" w:color="auto"/>
          <w:left w:val="single" w:sz="4" w:space="4" w:color="auto"/>
          <w:bottom w:val="single" w:sz="4" w:space="1" w:color="auto"/>
          <w:right w:val="single" w:sz="4" w:space="4" w:color="auto"/>
        </w:pBdr>
        <w:autoSpaceDE w:val="0"/>
        <w:autoSpaceDN w:val="0"/>
        <w:spacing w:line="360" w:lineRule="auto"/>
        <w:jc w:val="both"/>
        <w:rPr>
          <w:rFonts w:ascii="MinionPro-Regular" w:hAnsi="MinionPro-Regular"/>
          <w:sz w:val="20"/>
          <w:lang w:val="es-ES_tradnl"/>
        </w:rPr>
      </w:pPr>
      <w:r w:rsidRPr="002448F2">
        <w:rPr>
          <w:rFonts w:ascii="MinionPro-Regular" w:hAnsi="MinionPro-Regular"/>
          <w:sz w:val="20"/>
          <w:lang w:val="es-ES_tradnl"/>
        </w:rPr>
        <w:t xml:space="preserve">En Italia han progresado las cooperativas sociales, cuyo fin es promover la integración de las personas con discapacidad en la que al menos el 30% de la plantilla debe pertenecer a un colectivo de dificultades de acceso al empleo. </w:t>
      </w:r>
    </w:p>
    <w:p w:rsidR="00E2336B" w:rsidRPr="001E0871" w:rsidRDefault="00E2336B" w:rsidP="001E0871">
      <w:pPr>
        <w:pStyle w:val="Prrafodelista"/>
        <w:numPr>
          <w:ilvl w:val="0"/>
          <w:numId w:val="22"/>
        </w:numPr>
        <w:pBdr>
          <w:top w:val="single" w:sz="4" w:space="1" w:color="auto"/>
          <w:left w:val="single" w:sz="4" w:space="4" w:color="auto"/>
          <w:bottom w:val="single" w:sz="4" w:space="1" w:color="auto"/>
          <w:right w:val="single" w:sz="4" w:space="4" w:color="auto"/>
        </w:pBdr>
        <w:autoSpaceDE w:val="0"/>
        <w:autoSpaceDN w:val="0"/>
        <w:spacing w:line="360" w:lineRule="auto"/>
        <w:jc w:val="both"/>
        <w:rPr>
          <w:lang w:val="es-ES_tradnl"/>
        </w:rPr>
      </w:pPr>
      <w:r w:rsidRPr="002448F2">
        <w:rPr>
          <w:rFonts w:ascii="MinionPro-Regular" w:hAnsi="MinionPro-Regular"/>
          <w:sz w:val="20"/>
          <w:lang w:val="es-ES_tradnl"/>
        </w:rPr>
        <w:t>Samhall constituye por sí sola el sector de empleo protegido en Suecia, donde los empleados tienen salarios, ventajas y derechos sociales equiparables al resto de trabajadores. Uno de sus objetivos principales es favorecer la transición de estos empleados hacia las empresas convencionales</w:t>
      </w:r>
      <w:r>
        <w:rPr>
          <w:rFonts w:ascii="MinionPro-Regular" w:hAnsi="MinionPro-Regular"/>
          <w:sz w:val="20"/>
          <w:lang w:val="es-ES_tradnl"/>
        </w:rPr>
        <w:t>.</w:t>
      </w:r>
      <w:bookmarkStart w:id="286" w:name="_Toc344964070"/>
      <w:bookmarkStart w:id="287" w:name="_Toc344964071"/>
      <w:bookmarkStart w:id="288" w:name="_Toc340340559"/>
      <w:bookmarkEnd w:id="286"/>
      <w:bookmarkEnd w:id="287"/>
      <w:r w:rsidRPr="001E0871">
        <w:rPr>
          <w:rFonts w:ascii="MinionPro-Regular" w:hAnsi="MinionPro-Regular"/>
          <w:sz w:val="24"/>
          <w:szCs w:val="24"/>
          <w:lang w:val="es-ES_tradnl"/>
        </w:rPr>
        <w:br w:type="page"/>
      </w:r>
    </w:p>
    <w:p w:rsidR="00E2336B" w:rsidRDefault="00E2336B" w:rsidP="0007541A">
      <w:pPr>
        <w:pStyle w:val="Ttulo1"/>
        <w:numPr>
          <w:ilvl w:val="0"/>
          <w:numId w:val="3"/>
        </w:numPr>
        <w:rPr>
          <w:rFonts w:ascii="MinionPro-Regular" w:hAnsi="MinionPro-Regular"/>
          <w:strike/>
          <w:lang w:val="es-ES_tradnl"/>
        </w:rPr>
      </w:pPr>
      <w:bookmarkStart w:id="289" w:name="_Toc344402481"/>
      <w:bookmarkStart w:id="290" w:name="_Toc344635697"/>
      <w:bookmarkStart w:id="291" w:name="_Toc344964083"/>
      <w:bookmarkStart w:id="292" w:name="_Toc344402482"/>
      <w:bookmarkStart w:id="293" w:name="_Toc344964084"/>
      <w:bookmarkStart w:id="294" w:name="_Toc344402483"/>
      <w:bookmarkStart w:id="295" w:name="_Toc344635699"/>
      <w:bookmarkStart w:id="296" w:name="_Toc344964085"/>
      <w:bookmarkStart w:id="297" w:name="_Toc344402484"/>
      <w:bookmarkStart w:id="298" w:name="_Toc344964086"/>
      <w:bookmarkStart w:id="299" w:name="_Toc344402485"/>
      <w:bookmarkStart w:id="300" w:name="_Toc344635701"/>
      <w:bookmarkStart w:id="301" w:name="_Toc344964087"/>
      <w:bookmarkStart w:id="302" w:name="_Toc344964089"/>
      <w:bookmarkStart w:id="303" w:name="_Toc344964090"/>
      <w:bookmarkStart w:id="304" w:name="_Toc344964091"/>
      <w:bookmarkStart w:id="305" w:name="_Toc345671696"/>
      <w:bookmarkStart w:id="306" w:name="_Toc346049058"/>
      <w:bookmarkStart w:id="307" w:name="_Toc346049363"/>
      <w:bookmarkStart w:id="308" w:name="_Toc346126227"/>
      <w:bookmarkStart w:id="309" w:name="_Toc347173540"/>
      <w:bookmarkStart w:id="310" w:name="_Toc347257544"/>
      <w:bookmarkStart w:id="311" w:name="_Toc347654318"/>
      <w:bookmarkStart w:id="312" w:name="_Toc347667926"/>
      <w:bookmarkStart w:id="313" w:name="_Toc345671697"/>
      <w:bookmarkStart w:id="314" w:name="_Toc346049059"/>
      <w:bookmarkStart w:id="315" w:name="_Toc346049364"/>
      <w:bookmarkStart w:id="316" w:name="_Toc346126228"/>
      <w:bookmarkStart w:id="317" w:name="_Toc347173541"/>
      <w:bookmarkStart w:id="318" w:name="_Toc347257545"/>
      <w:bookmarkStart w:id="319" w:name="_Toc347654319"/>
      <w:bookmarkStart w:id="320" w:name="_Toc347667927"/>
      <w:bookmarkStart w:id="321" w:name="_Toc345671698"/>
      <w:bookmarkStart w:id="322" w:name="_Toc346049060"/>
      <w:bookmarkStart w:id="323" w:name="_Toc346049365"/>
      <w:bookmarkStart w:id="324" w:name="_Toc346126229"/>
      <w:bookmarkStart w:id="325" w:name="_Toc347173542"/>
      <w:bookmarkStart w:id="326" w:name="_Toc347257546"/>
      <w:bookmarkStart w:id="327" w:name="_Toc347654320"/>
      <w:bookmarkStart w:id="328" w:name="_Toc347667928"/>
      <w:bookmarkStart w:id="329" w:name="_Toc345671699"/>
      <w:bookmarkStart w:id="330" w:name="_Toc346049061"/>
      <w:bookmarkStart w:id="331" w:name="_Toc346049366"/>
      <w:bookmarkStart w:id="332" w:name="_Toc346126230"/>
      <w:bookmarkStart w:id="333" w:name="_Toc347173543"/>
      <w:bookmarkStart w:id="334" w:name="_Toc347257547"/>
      <w:bookmarkStart w:id="335" w:name="_Toc347654321"/>
      <w:bookmarkStart w:id="336" w:name="_Toc347667929"/>
      <w:bookmarkStart w:id="337" w:name="_Toc345671700"/>
      <w:bookmarkStart w:id="338" w:name="_Toc346049062"/>
      <w:bookmarkStart w:id="339" w:name="_Toc346049367"/>
      <w:bookmarkStart w:id="340" w:name="_Toc346126231"/>
      <w:bookmarkStart w:id="341" w:name="_Toc347173544"/>
      <w:bookmarkStart w:id="342" w:name="_Toc347257548"/>
      <w:bookmarkStart w:id="343" w:name="_Toc347654322"/>
      <w:bookmarkStart w:id="344" w:name="_Toc347667930"/>
      <w:bookmarkStart w:id="345" w:name="_Toc345671701"/>
      <w:bookmarkStart w:id="346" w:name="_Toc346049063"/>
      <w:bookmarkStart w:id="347" w:name="_Toc346049368"/>
      <w:bookmarkStart w:id="348" w:name="_Toc346126232"/>
      <w:bookmarkStart w:id="349" w:name="_Toc347173545"/>
      <w:bookmarkStart w:id="350" w:name="_Toc347257549"/>
      <w:bookmarkStart w:id="351" w:name="_Toc347654323"/>
      <w:bookmarkStart w:id="352" w:name="_Toc347667931"/>
      <w:bookmarkStart w:id="353" w:name="_Toc345671702"/>
      <w:bookmarkStart w:id="354" w:name="_Toc346049064"/>
      <w:bookmarkStart w:id="355" w:name="_Toc346049369"/>
      <w:bookmarkStart w:id="356" w:name="_Toc346126233"/>
      <w:bookmarkStart w:id="357" w:name="_Toc347173546"/>
      <w:bookmarkStart w:id="358" w:name="_Toc347257550"/>
      <w:bookmarkStart w:id="359" w:name="_Toc347654324"/>
      <w:bookmarkStart w:id="360" w:name="_Toc347667932"/>
      <w:bookmarkStart w:id="361" w:name="_Toc345671703"/>
      <w:bookmarkStart w:id="362" w:name="_Toc346049065"/>
      <w:bookmarkStart w:id="363" w:name="_Toc346049370"/>
      <w:bookmarkStart w:id="364" w:name="_Toc346126234"/>
      <w:bookmarkStart w:id="365" w:name="_Toc347173547"/>
      <w:bookmarkStart w:id="366" w:name="_Toc347257551"/>
      <w:bookmarkStart w:id="367" w:name="_Toc347654325"/>
      <w:bookmarkStart w:id="368" w:name="_Toc347667933"/>
      <w:bookmarkStart w:id="369" w:name="_Toc345671704"/>
      <w:bookmarkStart w:id="370" w:name="_Toc346049066"/>
      <w:bookmarkStart w:id="371" w:name="_Toc346049371"/>
      <w:bookmarkStart w:id="372" w:name="_Toc346126235"/>
      <w:bookmarkStart w:id="373" w:name="_Toc347173548"/>
      <w:bookmarkStart w:id="374" w:name="_Toc347257552"/>
      <w:bookmarkStart w:id="375" w:name="_Toc347654326"/>
      <w:bookmarkStart w:id="376" w:name="_Toc347667934"/>
      <w:bookmarkStart w:id="377" w:name="_Toc345671705"/>
      <w:bookmarkStart w:id="378" w:name="_Toc346049067"/>
      <w:bookmarkStart w:id="379" w:name="_Toc346049372"/>
      <w:bookmarkStart w:id="380" w:name="_Toc346126236"/>
      <w:bookmarkStart w:id="381" w:name="_Toc347173549"/>
      <w:bookmarkStart w:id="382" w:name="_Toc347257553"/>
      <w:bookmarkStart w:id="383" w:name="_Toc347654327"/>
      <w:bookmarkStart w:id="384" w:name="_Toc347667935"/>
      <w:bookmarkStart w:id="385" w:name="_Toc345671706"/>
      <w:bookmarkStart w:id="386" w:name="_Toc346049068"/>
      <w:bookmarkStart w:id="387" w:name="_Toc346049373"/>
      <w:bookmarkStart w:id="388" w:name="_Toc346126237"/>
      <w:bookmarkStart w:id="389" w:name="_Toc347173550"/>
      <w:bookmarkStart w:id="390" w:name="_Toc347257554"/>
      <w:bookmarkStart w:id="391" w:name="_Toc347654328"/>
      <w:bookmarkStart w:id="392" w:name="_Toc347667936"/>
      <w:bookmarkStart w:id="393" w:name="_Toc345671707"/>
      <w:bookmarkStart w:id="394" w:name="_Toc346049069"/>
      <w:bookmarkStart w:id="395" w:name="_Toc346049374"/>
      <w:bookmarkStart w:id="396" w:name="_Toc346126238"/>
      <w:bookmarkStart w:id="397" w:name="_Toc347173551"/>
      <w:bookmarkStart w:id="398" w:name="_Toc347257555"/>
      <w:bookmarkStart w:id="399" w:name="_Toc347654329"/>
      <w:bookmarkStart w:id="400" w:name="_Toc347667937"/>
      <w:bookmarkStart w:id="401" w:name="_Toc352773579"/>
      <w:bookmarkEnd w:id="162"/>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r w:rsidRPr="007A408D">
        <w:rPr>
          <w:rFonts w:ascii="MinionPro-Regular" w:hAnsi="MinionPro-Regular"/>
          <w:lang w:val="es-ES_tradnl"/>
        </w:rPr>
        <w:lastRenderedPageBreak/>
        <w:t>Impacto de los centros especiales de empleo en España</w:t>
      </w:r>
      <w:bookmarkEnd w:id="401"/>
      <w:r w:rsidRPr="007A408D">
        <w:rPr>
          <w:rFonts w:ascii="MinionPro-Regular" w:hAnsi="MinionPro-Regular"/>
          <w:strike/>
          <w:lang w:val="es-ES_tradnl"/>
        </w:rPr>
        <w:t xml:space="preserve"> </w:t>
      </w:r>
    </w:p>
    <w:p w:rsidR="007A408D" w:rsidRPr="007A408D" w:rsidRDefault="007A408D" w:rsidP="007A408D">
      <w:pPr>
        <w:pStyle w:val="Textoindependiente"/>
        <w:rPr>
          <w:lang w:val="es-ES_tradnl"/>
        </w:rPr>
      </w:pPr>
    </w:p>
    <w:p w:rsidR="00E2336B" w:rsidRDefault="00E2336B" w:rsidP="00890FE5">
      <w:pPr>
        <w:autoSpaceDE w:val="0"/>
        <w:autoSpaceDN w:val="0"/>
        <w:spacing w:line="360" w:lineRule="auto"/>
        <w:jc w:val="both"/>
        <w:rPr>
          <w:rFonts w:ascii="MinionPro-Regular" w:hAnsi="MinionPro-Regular"/>
          <w:sz w:val="24"/>
          <w:szCs w:val="24"/>
          <w:lang w:val="es-ES_tradnl"/>
        </w:rPr>
      </w:pPr>
      <w:bookmarkStart w:id="402" w:name="_Toc340037168"/>
      <w:r>
        <w:rPr>
          <w:rFonts w:ascii="MinionPro-Regular" w:hAnsi="MinionPro-Regular"/>
          <w:sz w:val="24"/>
          <w:szCs w:val="24"/>
          <w:lang w:val="es-ES_tradnl"/>
        </w:rPr>
        <w:t>Uno de los objetivos de este trabajo es la estimación de los flujos que los centros especiales reciben de la administración pública y que retornan a ésta. Esta estimación no debe ser malinterpretada; las ayudas públicas que reciben los centros especiales de empleo no son inversiones financieras. Su razón de ser no es, por lo tanto, ofrecer un retorno de esa naturaleza a las arcas públicas. El propósito de las ayudas se enmarca, más bien, en la “indispensable solidaridad” mencionada en el artículo</w:t>
      </w:r>
      <w:r w:rsidR="00F23441" w:rsidRPr="00F23441">
        <w:rPr>
          <w:rFonts w:ascii="MinionPro-Regular" w:hAnsi="MinionPro-Regular"/>
          <w:color w:val="FF0000"/>
          <w:sz w:val="24"/>
          <w:szCs w:val="24"/>
          <w:lang w:val="es-ES_tradnl"/>
        </w:rPr>
        <w:t xml:space="preserve"> </w:t>
      </w:r>
      <w:r w:rsidR="00F23441" w:rsidRPr="003063D9">
        <w:rPr>
          <w:rFonts w:ascii="MinionPro-Regular" w:hAnsi="MinionPro-Regular"/>
          <w:sz w:val="24"/>
          <w:szCs w:val="24"/>
          <w:lang w:val="es-ES_tradnl"/>
        </w:rPr>
        <w:t>49 en relación con</w:t>
      </w:r>
      <w:r w:rsidR="00F23441" w:rsidRPr="00F23441">
        <w:rPr>
          <w:rFonts w:ascii="MinionPro-Regular" w:hAnsi="MinionPro-Regular"/>
          <w:color w:val="FF6600"/>
          <w:sz w:val="24"/>
          <w:szCs w:val="24"/>
          <w:lang w:val="es-ES_tradnl"/>
        </w:rPr>
        <w:t xml:space="preserve"> </w:t>
      </w:r>
      <w:r w:rsidR="00F23441" w:rsidRPr="003063D9">
        <w:rPr>
          <w:rFonts w:ascii="MinionPro-Regular" w:hAnsi="MinionPro-Regular"/>
          <w:sz w:val="24"/>
          <w:szCs w:val="24"/>
          <w:lang w:val="es-ES_tradnl"/>
        </w:rPr>
        <w:t>los artículos 9 y 14</w:t>
      </w:r>
      <w:r>
        <w:rPr>
          <w:rFonts w:ascii="MinionPro-Regular" w:hAnsi="MinionPro-Regular"/>
          <w:sz w:val="24"/>
          <w:szCs w:val="24"/>
          <w:lang w:val="es-ES_tradnl"/>
        </w:rPr>
        <w:t xml:space="preserve"> de la Constitución española para garantizar la igualdad de oportunidades, principio rector de las democracias avanzadas como la española, de las personas con discapacidad. </w:t>
      </w:r>
    </w:p>
    <w:p w:rsidR="00E2336B" w:rsidRDefault="00E2336B" w:rsidP="00890FE5">
      <w:pPr>
        <w:autoSpaceDE w:val="0"/>
        <w:autoSpaceDN w:val="0"/>
        <w:spacing w:line="360" w:lineRule="auto"/>
        <w:jc w:val="both"/>
        <w:rPr>
          <w:rFonts w:ascii="MinionPro-Regular" w:hAnsi="MinionPro-Regular"/>
          <w:sz w:val="24"/>
          <w:szCs w:val="24"/>
          <w:lang w:val="es-ES_tradnl"/>
        </w:rPr>
      </w:pPr>
    </w:p>
    <w:p w:rsidR="00E2336B" w:rsidRDefault="00E2336B" w:rsidP="00890FE5">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 xml:space="preserve">En definitiva, las ayudas a las personas con discapacidad y, por ende, a los centros especiales de empleo deben enmarcarse en el principio de equidad; en el deseo de nuestra sociedad de contar con una red de bienestar que permita disfrutar a las personas con discapacidad de oportunidades similares a las del resto de la población. Además, el artículo 43 de la LISMI establece la necesidad de compensar económicamente a los centros especiales de empleo por el hecho de ofrecer una oportunidad de empleo a las personas con discapacidad. Por lo tanto, poner el acento en el retorno financiero ofrecido por los centros especiales de empleo podría distorsionar el propósito y sentido último de las ayudas públicas. </w:t>
      </w:r>
    </w:p>
    <w:p w:rsidR="00E2336B" w:rsidRDefault="00E2336B" w:rsidP="00890FE5">
      <w:pPr>
        <w:autoSpaceDE w:val="0"/>
        <w:autoSpaceDN w:val="0"/>
        <w:spacing w:line="360" w:lineRule="auto"/>
        <w:jc w:val="both"/>
        <w:rPr>
          <w:rFonts w:ascii="MinionPro-Regular" w:hAnsi="MinionPro-Regular"/>
          <w:sz w:val="24"/>
          <w:szCs w:val="24"/>
          <w:lang w:val="es-ES_tradnl"/>
        </w:rPr>
      </w:pPr>
    </w:p>
    <w:p w:rsidR="00E2336B" w:rsidRDefault="00E2336B" w:rsidP="00890FE5">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Adicionalmente, la información a continuación no mide el retorno de las ayudas sino que estima los flujos económicos que se producen desde las arcas públicas a los centros especiales de empleo y viceversa.</w:t>
      </w:r>
    </w:p>
    <w:p w:rsidR="00E2336B" w:rsidRDefault="00E2336B" w:rsidP="00890FE5">
      <w:pPr>
        <w:autoSpaceDE w:val="0"/>
        <w:autoSpaceDN w:val="0"/>
        <w:spacing w:line="360" w:lineRule="auto"/>
        <w:jc w:val="both"/>
        <w:rPr>
          <w:rFonts w:ascii="MinionPro-Regular" w:hAnsi="MinionPro-Regular"/>
          <w:sz w:val="24"/>
          <w:szCs w:val="24"/>
          <w:lang w:val="es-ES_tradnl"/>
        </w:rPr>
      </w:pPr>
    </w:p>
    <w:p w:rsidR="00E2336B" w:rsidRDefault="00E2336B" w:rsidP="00890FE5">
      <w:pPr>
        <w:autoSpaceDE w:val="0"/>
        <w:autoSpaceDN w:val="0"/>
        <w:spacing w:line="360" w:lineRule="auto"/>
        <w:jc w:val="both"/>
        <w:rPr>
          <w:rFonts w:ascii="MinionPro-Regular" w:hAnsi="MinionPro-Regular"/>
          <w:sz w:val="24"/>
          <w:szCs w:val="24"/>
          <w:lang w:val="es-ES_tradnl"/>
        </w:rPr>
      </w:pPr>
      <w:r w:rsidRPr="008B461D">
        <w:rPr>
          <w:rFonts w:ascii="MinionPro-Regular" w:hAnsi="MinionPro-Regular"/>
          <w:sz w:val="24"/>
          <w:szCs w:val="24"/>
          <w:lang w:val="es-ES_tradnl"/>
        </w:rPr>
        <w:lastRenderedPageBreak/>
        <w:t xml:space="preserve">El análisis de impacto desarrollado ha pretendido, por lo tanto, estimar lo que los centros especiales de empleo reciben de la administración pública y lo que retornan a la misma, tanto para aquellos que implican una entrada o salida de efectivo como aquellos que, siendo una ayuda de la administración o un retorno que los centros ofrecen, </w:t>
      </w:r>
      <w:r>
        <w:rPr>
          <w:rFonts w:ascii="MinionPro-Regular" w:hAnsi="MinionPro-Regular"/>
          <w:sz w:val="24"/>
          <w:szCs w:val="24"/>
          <w:lang w:val="es-ES_tradnl"/>
        </w:rPr>
        <w:t>no implican un movimiento de efectivo</w:t>
      </w:r>
      <w:r w:rsidRPr="008B461D">
        <w:rPr>
          <w:rFonts w:ascii="MinionPro-Regular" w:hAnsi="MinionPro-Regular"/>
          <w:sz w:val="24"/>
          <w:szCs w:val="24"/>
          <w:lang w:val="es-ES_tradnl"/>
        </w:rPr>
        <w:t>. También se han estimado los salarios pagados</w:t>
      </w:r>
      <w:r>
        <w:rPr>
          <w:rFonts w:ascii="MinionPro-Regular" w:hAnsi="MinionPro-Regular"/>
          <w:sz w:val="24"/>
          <w:szCs w:val="24"/>
          <w:lang w:val="es-ES_tradnl"/>
        </w:rPr>
        <w:t xml:space="preserve"> por los centros especiales de empleo a las personas con discapacidad.  Se trata, no olvidemos, de una aproximación a la realidad haciendo uso de la información disponible.</w:t>
      </w:r>
    </w:p>
    <w:p w:rsidR="00E2336B" w:rsidRDefault="00E2336B" w:rsidP="0007541A">
      <w:pPr>
        <w:pStyle w:val="Ttulo2"/>
        <w:numPr>
          <w:ilvl w:val="1"/>
          <w:numId w:val="3"/>
        </w:numPr>
        <w:ind w:left="0"/>
        <w:rPr>
          <w:rFonts w:ascii="MinionPro-Regular" w:hAnsi="MinionPro-Regular"/>
          <w:lang w:val="es-ES_tradnl"/>
        </w:rPr>
      </w:pPr>
      <w:bookmarkStart w:id="403" w:name="_Toc352773580"/>
      <w:r w:rsidRPr="005611E0">
        <w:rPr>
          <w:rFonts w:ascii="MinionPro-Regular" w:hAnsi="MinionPro-Regular"/>
          <w:lang w:val="es-ES_tradnl"/>
        </w:rPr>
        <w:t xml:space="preserve">Premisas y limitaciones en la estimación del impacto de los centros especiales </w:t>
      </w:r>
      <w:r>
        <w:rPr>
          <w:rFonts w:ascii="MinionPro-Regular" w:hAnsi="MinionPro-Regular"/>
          <w:lang w:val="es-ES_tradnl"/>
        </w:rPr>
        <w:t xml:space="preserve">de </w:t>
      </w:r>
      <w:r w:rsidRPr="005611E0">
        <w:rPr>
          <w:rFonts w:ascii="MinionPro-Regular" w:hAnsi="MinionPro-Regular"/>
          <w:lang w:val="es-ES_tradnl"/>
        </w:rPr>
        <w:t>empleo en España</w:t>
      </w:r>
      <w:bookmarkEnd w:id="403"/>
    </w:p>
    <w:p w:rsidR="00E2336B" w:rsidRDefault="00E2336B">
      <w:pPr>
        <w:pStyle w:val="Textoindependiente"/>
        <w:rPr>
          <w:lang w:val="es-ES_tradnl"/>
        </w:rPr>
      </w:pPr>
    </w:p>
    <w:p w:rsidR="00E2336B" w:rsidRDefault="00E2336B" w:rsidP="00891BAF">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 xml:space="preserve">Para estimación de los flujos han sido utilizadas las siguientes fuentes de información:  </w:t>
      </w:r>
    </w:p>
    <w:p w:rsidR="00E2336B" w:rsidRDefault="00E2336B" w:rsidP="00891BAF">
      <w:pPr>
        <w:autoSpaceDE w:val="0"/>
        <w:autoSpaceDN w:val="0"/>
        <w:spacing w:line="360" w:lineRule="auto"/>
        <w:jc w:val="both"/>
        <w:rPr>
          <w:rFonts w:ascii="MinionPro-Regular" w:hAnsi="MinionPro-Regular"/>
          <w:sz w:val="24"/>
          <w:szCs w:val="24"/>
          <w:lang w:val="es-ES_tradnl"/>
        </w:rPr>
      </w:pPr>
    </w:p>
    <w:p w:rsidR="00E2336B" w:rsidRPr="00150166" w:rsidRDefault="00E2336B" w:rsidP="0007541A">
      <w:pPr>
        <w:pStyle w:val="Prrafodelista"/>
        <w:numPr>
          <w:ilvl w:val="0"/>
          <w:numId w:val="25"/>
        </w:numPr>
        <w:autoSpaceDE w:val="0"/>
        <w:autoSpaceDN w:val="0"/>
        <w:spacing w:line="360" w:lineRule="auto"/>
        <w:jc w:val="both"/>
        <w:rPr>
          <w:rFonts w:ascii="MinionPro-Regular" w:hAnsi="MinionPro-Regular"/>
          <w:sz w:val="24"/>
          <w:szCs w:val="24"/>
          <w:lang w:val="es-ES_tradnl"/>
        </w:rPr>
      </w:pPr>
      <w:r w:rsidRPr="00891BAF">
        <w:rPr>
          <w:rFonts w:ascii="MinionPro-Regular" w:hAnsi="MinionPro-Regular"/>
          <w:sz w:val="24"/>
          <w:lang w:val="es-ES_tradnl"/>
        </w:rPr>
        <w:t>En cuanto a las ayudas de la administración pública que implican salida de efectivo, el concepto de “Compromiso de gasto para centros especiales de empleo” según la Tesorería General de Seguridad Social, no incluye las Comunidades Autónomas de Navarra y País Vasco. Por ello, el dato de País Vasco ha sido estimado a partir de datos de la página web del Gobierno Vasco (Lanbide), y el dato de Navarra se ha extraído del Anuario de Estadística (Ministerio de Empleo y Seguridad Social).</w:t>
      </w:r>
    </w:p>
    <w:p w:rsidR="00E2336B" w:rsidRDefault="00E2336B">
      <w:pPr>
        <w:pStyle w:val="Prrafodelista"/>
        <w:autoSpaceDE w:val="0"/>
        <w:autoSpaceDN w:val="0"/>
        <w:spacing w:line="360" w:lineRule="auto"/>
        <w:ind w:left="340"/>
        <w:jc w:val="both"/>
        <w:rPr>
          <w:rFonts w:ascii="MinionPro-Regular" w:hAnsi="MinionPro-Regular"/>
          <w:sz w:val="24"/>
          <w:szCs w:val="24"/>
          <w:lang w:val="es-ES_tradnl"/>
        </w:rPr>
      </w:pPr>
    </w:p>
    <w:p w:rsidR="00E2336B" w:rsidRPr="00150166" w:rsidRDefault="00E2336B" w:rsidP="0007541A">
      <w:pPr>
        <w:pStyle w:val="Prrafodelista"/>
        <w:numPr>
          <w:ilvl w:val="0"/>
          <w:numId w:val="25"/>
        </w:numPr>
        <w:autoSpaceDE w:val="0"/>
        <w:autoSpaceDN w:val="0"/>
        <w:spacing w:line="360" w:lineRule="auto"/>
        <w:jc w:val="both"/>
        <w:rPr>
          <w:rFonts w:ascii="MinionPro-Regular" w:hAnsi="MinionPro-Regular"/>
          <w:sz w:val="24"/>
          <w:szCs w:val="24"/>
          <w:lang w:val="es-ES_tradnl"/>
        </w:rPr>
      </w:pPr>
      <w:r w:rsidRPr="00150166">
        <w:rPr>
          <w:rFonts w:ascii="MinionPro-Regular" w:hAnsi="MinionPro-Regular"/>
          <w:sz w:val="24"/>
          <w:lang w:val="es-ES_tradnl"/>
        </w:rPr>
        <w:t xml:space="preserve">En la estimación del IRPF </w:t>
      </w:r>
      <w:r w:rsidRPr="00455028">
        <w:rPr>
          <w:rFonts w:ascii="MinionPro-Regular" w:hAnsi="MinionPro-Regular"/>
          <w:sz w:val="24"/>
          <w:lang w:val="es-ES_tradnl"/>
        </w:rPr>
        <w:t>y la cuota de seguridad social, para obtener la base liquidable y la base de cotización a las que aplicar los tipos impositivos correspondientes, ha sido necesario estimar tales cantidades a partir de los salarios de las personas con discapacidad de la Muestra Continua de Vida Laboral</w:t>
      </w:r>
      <w:r w:rsidRPr="00150166">
        <w:rPr>
          <w:rFonts w:ascii="MinionPro-Regular" w:hAnsi="MinionPro-Regular"/>
          <w:sz w:val="24"/>
          <w:szCs w:val="24"/>
          <w:lang w:val="es-ES_tradnl"/>
        </w:rPr>
        <w:t xml:space="preserve"> </w:t>
      </w:r>
      <w:r>
        <w:rPr>
          <w:rFonts w:ascii="MinionPro-Regular" w:hAnsi="MinionPro-Regular"/>
          <w:sz w:val="24"/>
          <w:szCs w:val="24"/>
          <w:lang w:val="es-ES_tradnl"/>
        </w:rPr>
        <w:t xml:space="preserve">de la </w:t>
      </w:r>
      <w:r w:rsidRPr="00F8698A">
        <w:rPr>
          <w:rFonts w:ascii="MinionPro-Regular" w:hAnsi="MinionPro-Regular"/>
          <w:sz w:val="24"/>
          <w:szCs w:val="24"/>
          <w:lang w:val="es-ES_tradnl"/>
        </w:rPr>
        <w:t>Dirección General de Ordenación de la Seguridad Social</w:t>
      </w:r>
      <w:r>
        <w:rPr>
          <w:rFonts w:ascii="MinionPro-Regular" w:hAnsi="MinionPro-Regular"/>
          <w:sz w:val="24"/>
          <w:szCs w:val="24"/>
          <w:lang w:val="es-ES_tradnl"/>
        </w:rPr>
        <w:t xml:space="preserve">, correspondiente al </w:t>
      </w:r>
      <w:r w:rsidRPr="008B461D">
        <w:rPr>
          <w:rFonts w:ascii="MinionPro-Regular" w:hAnsi="MinionPro-Regular"/>
          <w:sz w:val="24"/>
          <w:szCs w:val="24"/>
          <w:lang w:val="es-ES_tradnl"/>
        </w:rPr>
        <w:t>ejercicio 2011</w:t>
      </w:r>
      <w:r w:rsidRPr="00455028">
        <w:rPr>
          <w:rFonts w:ascii="MinionPro-Regular" w:hAnsi="MinionPro-Regular"/>
          <w:sz w:val="24"/>
          <w:lang w:val="es-ES_tradnl"/>
        </w:rPr>
        <w:t>.</w:t>
      </w:r>
    </w:p>
    <w:p w:rsidR="00E2336B" w:rsidRDefault="00E2336B">
      <w:pPr>
        <w:autoSpaceDE w:val="0"/>
        <w:autoSpaceDN w:val="0"/>
        <w:spacing w:line="360" w:lineRule="auto"/>
        <w:jc w:val="both"/>
        <w:rPr>
          <w:rFonts w:ascii="MinionPro-Regular" w:hAnsi="MinionPro-Regular"/>
          <w:sz w:val="24"/>
          <w:szCs w:val="24"/>
          <w:lang w:val="es-ES_tradnl"/>
        </w:rPr>
      </w:pPr>
    </w:p>
    <w:p w:rsidR="00E2336B" w:rsidRDefault="00E2336B" w:rsidP="0007541A">
      <w:pPr>
        <w:pStyle w:val="Prrafodelista"/>
        <w:numPr>
          <w:ilvl w:val="0"/>
          <w:numId w:val="25"/>
        </w:numPr>
        <w:autoSpaceDE w:val="0"/>
        <w:autoSpaceDN w:val="0"/>
        <w:spacing w:line="360" w:lineRule="auto"/>
        <w:jc w:val="both"/>
        <w:rPr>
          <w:rFonts w:ascii="MinionPro-Regular" w:hAnsi="MinionPro-Regular"/>
          <w:sz w:val="24"/>
          <w:szCs w:val="24"/>
          <w:lang w:val="es-ES_tradnl"/>
        </w:rPr>
      </w:pPr>
      <w:r w:rsidRPr="00455028">
        <w:rPr>
          <w:rFonts w:ascii="MinionPro-Regular" w:hAnsi="MinionPro-Regular"/>
          <w:sz w:val="24"/>
          <w:lang w:val="es-ES_tradnl"/>
        </w:rPr>
        <w:t>Para obtener una estimación aproximada de los impuestos indirectos que los centros especiales de empleo</w:t>
      </w:r>
      <w:r>
        <w:rPr>
          <w:rFonts w:ascii="MinionPro-Regular" w:hAnsi="MinionPro-Regular"/>
          <w:sz w:val="24"/>
          <w:lang w:val="es-ES_tradnl"/>
        </w:rPr>
        <w:t xml:space="preserve"> aportan</w:t>
      </w:r>
      <w:r w:rsidRPr="00455028">
        <w:rPr>
          <w:rFonts w:ascii="MinionPro-Regular" w:hAnsi="MinionPro-Regular"/>
          <w:sz w:val="24"/>
          <w:lang w:val="es-ES_tradnl"/>
        </w:rPr>
        <w:t xml:space="preserve"> al Estado a través de la puesta en el mercado</w:t>
      </w:r>
      <w:r w:rsidRPr="00A7470E">
        <w:rPr>
          <w:rFonts w:ascii="MinionPro-Regular" w:hAnsi="MinionPro-Regular"/>
          <w:sz w:val="24"/>
          <w:lang w:val="es-ES_tradnl"/>
        </w:rPr>
        <w:t xml:space="preserve"> </w:t>
      </w:r>
      <w:r w:rsidRPr="00AB75E2">
        <w:rPr>
          <w:rFonts w:ascii="MinionPro-Regular" w:hAnsi="MinionPro-Regular"/>
          <w:sz w:val="24"/>
          <w:lang w:val="es-ES_tradnl"/>
        </w:rPr>
        <w:t>de sus productos</w:t>
      </w:r>
      <w:r w:rsidRPr="00455028">
        <w:rPr>
          <w:rFonts w:ascii="MinionPro-Regular" w:hAnsi="MinionPro-Regular"/>
          <w:sz w:val="24"/>
          <w:lang w:val="es-ES_tradnl"/>
        </w:rPr>
        <w:t>, ha sido necesario remontarnos hasta el cálculo del Valor Añadido Bruto (VAB) por empleado en centro especial de empleo. Para ello, se han utilizado datos de Eurostat en cuanto a VAB de empleados de industria y sector servicios relacionados con la actividad de los centros especiales de empleo. Por otra parte,</w:t>
      </w:r>
      <w:r w:rsidRPr="00150166">
        <w:rPr>
          <w:rFonts w:ascii="MinionPro-Regular" w:hAnsi="MinionPro-Regular"/>
          <w:sz w:val="24"/>
          <w:lang w:val="es-ES_tradnl"/>
        </w:rPr>
        <w:t xml:space="preserve"> se ha tenido en cuenta</w:t>
      </w:r>
      <w:r w:rsidRPr="00455028">
        <w:rPr>
          <w:rFonts w:ascii="MinionPro-Regular" w:hAnsi="MinionPro-Regular"/>
          <w:sz w:val="24"/>
          <w:lang w:val="es-ES_tradnl"/>
        </w:rPr>
        <w:t xml:space="preserve"> que el tamaño medio de los centros especiales de empleo </w:t>
      </w:r>
      <w:r>
        <w:rPr>
          <w:rFonts w:ascii="MinionPro-Regular" w:hAnsi="MinionPro-Regular"/>
          <w:sz w:val="24"/>
          <w:lang w:val="es-ES_tradnl"/>
        </w:rPr>
        <w:t xml:space="preserve">en España </w:t>
      </w:r>
      <w:r w:rsidRPr="00455028">
        <w:rPr>
          <w:rFonts w:ascii="MinionPro-Regular" w:hAnsi="MinionPro-Regular"/>
          <w:sz w:val="24"/>
          <w:lang w:val="es-ES_tradnl"/>
        </w:rPr>
        <w:t>es de 33 trabajadores</w:t>
      </w:r>
      <w:r w:rsidRPr="00150166">
        <w:rPr>
          <w:rFonts w:ascii="MinionPro-Regular" w:hAnsi="MinionPro-Regular"/>
          <w:sz w:val="24"/>
          <w:lang w:val="es-ES_tradnl"/>
        </w:rPr>
        <w:t>.</w:t>
      </w:r>
    </w:p>
    <w:p w:rsidR="00E2336B" w:rsidRPr="00150166" w:rsidRDefault="00E2336B" w:rsidP="00150166">
      <w:pPr>
        <w:pStyle w:val="Prrafodelista"/>
        <w:autoSpaceDE w:val="0"/>
        <w:autoSpaceDN w:val="0"/>
        <w:spacing w:line="360" w:lineRule="auto"/>
        <w:ind w:left="340"/>
        <w:jc w:val="both"/>
        <w:rPr>
          <w:rFonts w:ascii="MinionPro-Regular" w:hAnsi="MinionPro-Regular"/>
          <w:sz w:val="24"/>
          <w:szCs w:val="24"/>
          <w:lang w:val="es-ES_tradnl"/>
        </w:rPr>
      </w:pPr>
    </w:p>
    <w:p w:rsidR="00E2336B" w:rsidRPr="00150166" w:rsidRDefault="00E2336B" w:rsidP="0007541A">
      <w:pPr>
        <w:pStyle w:val="Prrafodelista"/>
        <w:numPr>
          <w:ilvl w:val="0"/>
          <w:numId w:val="25"/>
        </w:numPr>
        <w:autoSpaceDE w:val="0"/>
        <w:autoSpaceDN w:val="0"/>
        <w:spacing w:line="360" w:lineRule="auto"/>
        <w:jc w:val="both"/>
        <w:rPr>
          <w:rFonts w:ascii="MinionPro-Regular" w:hAnsi="MinionPro-Regular"/>
          <w:sz w:val="24"/>
          <w:szCs w:val="24"/>
          <w:lang w:val="es-ES_tradnl"/>
        </w:rPr>
      </w:pPr>
      <w:r w:rsidRPr="00455028">
        <w:rPr>
          <w:rFonts w:ascii="MinionPro-Regular" w:hAnsi="MinionPro-Regular"/>
          <w:sz w:val="24"/>
          <w:lang w:val="es-ES_tradnl"/>
        </w:rPr>
        <w:t>Para poder reproducir el impuesto de sociedades que los centros especiales de empleo han</w:t>
      </w:r>
      <w:r w:rsidRPr="00150166">
        <w:rPr>
          <w:rFonts w:ascii="MinionPro-Regular" w:hAnsi="MinionPro-Regular"/>
          <w:sz w:val="24"/>
          <w:lang w:val="es-ES_tradnl"/>
        </w:rPr>
        <w:t xml:space="preserve"> de abonar, es necesario especificar cuáles son empresas mercantiles, y además, cuáles han obtenido beneficios tras el ejercicio. Al no disponer de esta información, se ha realizado una estimación a par</w:t>
      </w:r>
      <w:r>
        <w:rPr>
          <w:rFonts w:ascii="MinionPro-Regular" w:hAnsi="MinionPro-Regular"/>
          <w:sz w:val="24"/>
          <w:lang w:val="es-ES_tradnl"/>
        </w:rPr>
        <w:t>t</w:t>
      </w:r>
      <w:r w:rsidRPr="00150166">
        <w:rPr>
          <w:rFonts w:ascii="MinionPro-Regular" w:hAnsi="MinionPro-Regular"/>
          <w:sz w:val="24"/>
          <w:lang w:val="es-ES_tradnl"/>
        </w:rPr>
        <w:t>ir del porcentaje que</w:t>
      </w:r>
      <w:r>
        <w:rPr>
          <w:rFonts w:ascii="MinionPro-Regular" w:hAnsi="MinionPro-Regular"/>
          <w:sz w:val="24"/>
          <w:lang w:val="es-ES_tradnl"/>
        </w:rPr>
        <w:t>, de acuerdo a los datos ofrecidos por la OCDE, los impuestos a las empresas suponen sobre la economía nacional, y a su vez, estimando la parte proporcional a los centros especiales de empleo.</w:t>
      </w:r>
    </w:p>
    <w:p w:rsidR="00E2336B" w:rsidRDefault="00E2336B">
      <w:pPr>
        <w:autoSpaceDE w:val="0"/>
        <w:autoSpaceDN w:val="0"/>
        <w:spacing w:line="360" w:lineRule="auto"/>
        <w:jc w:val="both"/>
        <w:rPr>
          <w:rFonts w:ascii="MinionPro-Regular" w:hAnsi="MinionPro-Regular"/>
          <w:sz w:val="24"/>
          <w:szCs w:val="24"/>
          <w:lang w:val="es-ES_tradnl"/>
        </w:rPr>
      </w:pPr>
    </w:p>
    <w:p w:rsidR="00E2336B" w:rsidRPr="00150166" w:rsidRDefault="00E2336B" w:rsidP="0007541A">
      <w:pPr>
        <w:pStyle w:val="Prrafodelista"/>
        <w:numPr>
          <w:ilvl w:val="0"/>
          <w:numId w:val="25"/>
        </w:numPr>
        <w:autoSpaceDE w:val="0"/>
        <w:autoSpaceDN w:val="0"/>
        <w:spacing w:line="360" w:lineRule="auto"/>
        <w:jc w:val="both"/>
        <w:rPr>
          <w:rFonts w:ascii="MinionPro-Regular" w:hAnsi="MinionPro-Regular"/>
          <w:sz w:val="24"/>
          <w:szCs w:val="24"/>
          <w:lang w:val="es-ES_tradnl"/>
        </w:rPr>
      </w:pPr>
      <w:r w:rsidRPr="00455028">
        <w:rPr>
          <w:rFonts w:ascii="MinionPro-Regular" w:hAnsi="MinionPro-Regular"/>
          <w:sz w:val="24"/>
          <w:lang w:val="es-ES_tradnl"/>
        </w:rPr>
        <w:t>En la estimación de las ayudas según los conceptos de la LISMI, se ha tenido en cuenta el cambio legislativo de 1994, en la que se suprimieron dos de las ayudas</w:t>
      </w:r>
      <w:r>
        <w:rPr>
          <w:rFonts w:ascii="MinionPro-Regular" w:hAnsi="MinionPro-Regular"/>
          <w:sz w:val="24"/>
          <w:lang w:val="es-ES_tradnl"/>
        </w:rPr>
        <w:t xml:space="preserve"> y que, además, no exista concurrencia con las pensiones no contributivas</w:t>
      </w:r>
      <w:r w:rsidRPr="00455028">
        <w:rPr>
          <w:rFonts w:ascii="MinionPro-Regular" w:hAnsi="MinionPro-Regular"/>
          <w:sz w:val="24"/>
          <w:lang w:val="es-ES_tradnl"/>
        </w:rPr>
        <w:t>. Al igual que ocurría en la estimación de IRPF y seguridad social, se ha partido de la MCVL, por lo que se han r</w:t>
      </w:r>
      <w:r w:rsidRPr="00455028">
        <w:rPr>
          <w:rFonts w:ascii="MinionPro-Regular" w:hAnsi="MinionPro-Regular"/>
          <w:sz w:val="24"/>
          <w:szCs w:val="24"/>
          <w:lang w:val="es-ES_tradnl"/>
        </w:rPr>
        <w:t>e</w:t>
      </w:r>
      <w:r w:rsidRPr="00455028">
        <w:rPr>
          <w:rFonts w:ascii="MinionPro-Regular" w:hAnsi="MinionPro-Regular"/>
          <w:sz w:val="24"/>
          <w:lang w:val="es-ES_tradnl"/>
        </w:rPr>
        <w:t>alizado estimaciones para obtener los datos de los trabajadores en centros especiales de empleo.</w:t>
      </w:r>
    </w:p>
    <w:p w:rsidR="00E2336B" w:rsidRDefault="00E2336B">
      <w:pPr>
        <w:pStyle w:val="Prrafodelista"/>
        <w:autoSpaceDE w:val="0"/>
        <w:autoSpaceDN w:val="0"/>
        <w:spacing w:line="360" w:lineRule="auto"/>
        <w:ind w:left="340"/>
        <w:jc w:val="both"/>
        <w:rPr>
          <w:rFonts w:ascii="MinionPro-Regular" w:hAnsi="MinionPro-Regular"/>
          <w:sz w:val="24"/>
          <w:szCs w:val="24"/>
          <w:lang w:val="es-ES_tradnl"/>
        </w:rPr>
      </w:pPr>
    </w:p>
    <w:p w:rsidR="00E2336B" w:rsidRPr="00A417DC" w:rsidRDefault="00E2336B" w:rsidP="0007541A">
      <w:pPr>
        <w:pStyle w:val="Prrafodelista"/>
        <w:numPr>
          <w:ilvl w:val="0"/>
          <w:numId w:val="25"/>
        </w:numPr>
        <w:autoSpaceDE w:val="0"/>
        <w:autoSpaceDN w:val="0"/>
        <w:spacing w:line="360" w:lineRule="auto"/>
        <w:jc w:val="both"/>
        <w:rPr>
          <w:rFonts w:ascii="MinionPro-Regular" w:hAnsi="MinionPro-Regular"/>
          <w:sz w:val="24"/>
          <w:szCs w:val="24"/>
          <w:lang w:val="es-ES_tradnl"/>
        </w:rPr>
      </w:pPr>
      <w:r w:rsidRPr="00891BAF">
        <w:rPr>
          <w:rFonts w:ascii="MinionPro-Regular" w:hAnsi="MinionPro-Regular"/>
          <w:sz w:val="24"/>
          <w:lang w:val="es-ES_tradnl"/>
        </w:rPr>
        <w:lastRenderedPageBreak/>
        <w:t xml:space="preserve">En cuanto a las pensiones no contributivas se ha considerado la posibilidad de hacerlas compatibles con la realización de una actividad con los requisitos que establece la legislación, por lo que la estimación final es el resultado de </w:t>
      </w:r>
      <w:r>
        <w:rPr>
          <w:rFonts w:ascii="MinionPro-Regular" w:hAnsi="MinionPro-Regular"/>
          <w:sz w:val="24"/>
          <w:lang w:val="es-ES_tradnl"/>
        </w:rPr>
        <w:t>evaluar</w:t>
      </w:r>
      <w:r w:rsidRPr="00891BAF">
        <w:rPr>
          <w:rFonts w:ascii="MinionPro-Regular" w:hAnsi="MinionPro-Regular"/>
          <w:sz w:val="24"/>
          <w:lang w:val="es-ES_tradnl"/>
        </w:rPr>
        <w:t xml:space="preserve"> la</w:t>
      </w:r>
      <w:r>
        <w:rPr>
          <w:rFonts w:ascii="MinionPro-Regular" w:hAnsi="MinionPro-Regular"/>
          <w:sz w:val="24"/>
          <w:lang w:val="es-ES_tradnl"/>
        </w:rPr>
        <w:t>s</w:t>
      </w:r>
      <w:r w:rsidRPr="00891BAF">
        <w:rPr>
          <w:rFonts w:ascii="MinionPro-Regular" w:hAnsi="MinionPro-Regular"/>
          <w:sz w:val="24"/>
          <w:lang w:val="es-ES_tradnl"/>
        </w:rPr>
        <w:t xml:space="preserve"> no contributivas que se están pagando a las personas que están en la actualidad, y las pensiones no contributivas que el Estado tendría que abonar en caso de que todas las personas del centro especial de empleo no estuvieran en el mismo.</w:t>
      </w:r>
    </w:p>
    <w:p w:rsidR="002959F0" w:rsidRDefault="002959F0">
      <w:pPr>
        <w:pStyle w:val="Prrafodelista"/>
        <w:rPr>
          <w:rFonts w:ascii="MinionPro-Regular" w:hAnsi="MinionPro-Regular"/>
          <w:sz w:val="24"/>
          <w:szCs w:val="24"/>
          <w:lang w:val="es-ES_tradnl"/>
        </w:rPr>
      </w:pPr>
    </w:p>
    <w:p w:rsidR="00E2336B" w:rsidRDefault="00E2336B" w:rsidP="0007541A">
      <w:pPr>
        <w:pStyle w:val="Prrafodelista"/>
        <w:numPr>
          <w:ilvl w:val="0"/>
          <w:numId w:val="25"/>
        </w:num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Para las pensiones contributivas, se ha realizado una estimación similar a la realizada en las pensiones no contributivas debido a que es posible recibir la pensión de tal concepto y también una retribución por estar trabajando. Por otra parte, se han considerado las pensiones de invalidez permanente de la modalidad absoluta.</w:t>
      </w:r>
    </w:p>
    <w:p w:rsidR="00E2336B" w:rsidRPr="00420E31" w:rsidRDefault="00E2336B" w:rsidP="00420E31">
      <w:pPr>
        <w:autoSpaceDE w:val="0"/>
        <w:autoSpaceDN w:val="0"/>
        <w:spacing w:line="360" w:lineRule="auto"/>
        <w:jc w:val="both"/>
        <w:rPr>
          <w:rFonts w:ascii="MinionPro-Regular" w:hAnsi="MinionPro-Regular"/>
          <w:sz w:val="24"/>
          <w:szCs w:val="24"/>
          <w:lang w:val="es-ES_tradnl"/>
        </w:rPr>
      </w:pPr>
    </w:p>
    <w:p w:rsidR="00E2336B" w:rsidRPr="00641C15" w:rsidRDefault="00641C15" w:rsidP="0007541A">
      <w:pPr>
        <w:pStyle w:val="Prrafodelista"/>
        <w:numPr>
          <w:ilvl w:val="0"/>
          <w:numId w:val="25"/>
        </w:numPr>
        <w:autoSpaceDE w:val="0"/>
        <w:autoSpaceDN w:val="0"/>
        <w:spacing w:line="360" w:lineRule="auto"/>
        <w:jc w:val="both"/>
        <w:rPr>
          <w:rFonts w:ascii="MinionPro-Regular" w:hAnsi="MinionPro-Regular"/>
          <w:sz w:val="24"/>
          <w:szCs w:val="24"/>
          <w:lang w:val="es-ES_tradnl"/>
        </w:rPr>
      </w:pPr>
      <w:r>
        <w:rPr>
          <w:rFonts w:ascii="MinionPro-Regular" w:hAnsi="MinionPro-Regular"/>
          <w:sz w:val="24"/>
          <w:lang w:val="es-ES_tradnl"/>
        </w:rPr>
        <w:t xml:space="preserve">Por otro lado, </w:t>
      </w:r>
      <w:r w:rsidR="00E2336B" w:rsidRPr="00891BAF">
        <w:rPr>
          <w:rFonts w:ascii="MinionPro-Regular" w:hAnsi="MinionPro-Regular"/>
          <w:sz w:val="24"/>
          <w:lang w:val="es-ES_tradnl"/>
        </w:rPr>
        <w:t>el ahorro en gasto sanitario ha sido estimado únicamente en relación a las personas con enfermedad mental que están realizando una actividad laboral. Debido a que los datos</w:t>
      </w:r>
      <w:r w:rsidR="00420E31">
        <w:rPr>
          <w:rFonts w:ascii="MinionPro-Regular" w:hAnsi="MinionPro-Regular"/>
          <w:sz w:val="24"/>
          <w:lang w:val="es-ES_tradnl"/>
        </w:rPr>
        <w:t xml:space="preserve"> aportados por </w:t>
      </w:r>
      <w:r w:rsidR="00E2336B" w:rsidRPr="00891BAF">
        <w:rPr>
          <w:rFonts w:ascii="MinionPro-Regular" w:hAnsi="MinionPro-Regular"/>
          <w:sz w:val="24"/>
          <w:lang w:val="es-ES_tradnl"/>
        </w:rPr>
        <w:t>el S</w:t>
      </w:r>
      <w:r w:rsidR="00E2336B">
        <w:rPr>
          <w:rFonts w:ascii="MinionPro-Regular" w:hAnsi="MinionPro-Regular"/>
          <w:sz w:val="24"/>
          <w:lang w:val="es-ES_tradnl"/>
        </w:rPr>
        <w:t>PEE</w:t>
      </w:r>
      <w:r w:rsidR="00E2336B" w:rsidRPr="00891BAF">
        <w:rPr>
          <w:rFonts w:ascii="MinionPro-Regular" w:hAnsi="MinionPro-Regular"/>
          <w:sz w:val="24"/>
          <w:lang w:val="es-ES_tradnl"/>
        </w:rPr>
        <w:t xml:space="preserve"> no distingue</w:t>
      </w:r>
      <w:r w:rsidR="00E2336B">
        <w:rPr>
          <w:rFonts w:ascii="MinionPro-Regular" w:hAnsi="MinionPro-Regular"/>
          <w:sz w:val="24"/>
          <w:lang w:val="es-ES_tradnl"/>
        </w:rPr>
        <w:t>n</w:t>
      </w:r>
      <w:r w:rsidR="00E2336B" w:rsidRPr="00891BAF">
        <w:rPr>
          <w:rFonts w:ascii="MinionPro-Regular" w:hAnsi="MinionPro-Regular"/>
          <w:sz w:val="24"/>
          <w:lang w:val="es-ES_tradnl"/>
        </w:rPr>
        <w:t xml:space="preserve"> los tipos de discapacidad psíquica, se ha estimado el porcentaje de personas con enfermedad mental en los centros especiales de empleo a partir de los datos obtenidos </w:t>
      </w:r>
      <w:r w:rsidR="00E2336B">
        <w:rPr>
          <w:rFonts w:ascii="MinionPro-Regular" w:hAnsi="MinionPro-Regular"/>
          <w:sz w:val="24"/>
          <w:lang w:val="es-ES_tradnl"/>
        </w:rPr>
        <w:t>en las encuestas</w:t>
      </w:r>
      <w:r w:rsidR="00E2336B" w:rsidRPr="00891BAF">
        <w:rPr>
          <w:rFonts w:ascii="MinionPro-Regular" w:hAnsi="MinionPro-Regular"/>
          <w:sz w:val="24"/>
          <w:lang w:val="es-ES_tradnl"/>
        </w:rPr>
        <w:t xml:space="preserve"> a trabajadores con discapacidad de los centros especiales de empleo.</w:t>
      </w:r>
    </w:p>
    <w:p w:rsidR="00641C15" w:rsidRPr="009B79F2" w:rsidRDefault="00641C15" w:rsidP="00641C15">
      <w:pPr>
        <w:pStyle w:val="Prrafodelista"/>
        <w:rPr>
          <w:rFonts w:ascii="MinionPro-Regular" w:hAnsi="MinionPro-Regular"/>
          <w:sz w:val="24"/>
          <w:szCs w:val="24"/>
          <w:lang w:val="es-ES_tradnl"/>
        </w:rPr>
      </w:pPr>
    </w:p>
    <w:p w:rsidR="00641C15" w:rsidRPr="009B79F2" w:rsidRDefault="00641C15" w:rsidP="0007541A">
      <w:pPr>
        <w:pStyle w:val="Prrafodelista"/>
        <w:numPr>
          <w:ilvl w:val="0"/>
          <w:numId w:val="25"/>
        </w:numPr>
        <w:autoSpaceDE w:val="0"/>
        <w:autoSpaceDN w:val="0"/>
        <w:spacing w:line="360" w:lineRule="auto"/>
        <w:jc w:val="both"/>
        <w:rPr>
          <w:rFonts w:ascii="MinionPro-Regular" w:hAnsi="MinionPro-Regular"/>
          <w:sz w:val="24"/>
          <w:szCs w:val="24"/>
          <w:lang w:val="es-ES_tradnl"/>
        </w:rPr>
      </w:pPr>
      <w:r w:rsidRPr="009B79F2">
        <w:rPr>
          <w:rFonts w:ascii="MinionPro-Regular" w:hAnsi="MinionPro-Regular"/>
          <w:sz w:val="24"/>
          <w:szCs w:val="24"/>
          <w:lang w:val="es-ES_tradnl"/>
        </w:rPr>
        <w:t>Por último, el concepto de ahorro en p</w:t>
      </w:r>
      <w:r w:rsidR="007A408D" w:rsidRPr="009B79F2">
        <w:rPr>
          <w:rFonts w:ascii="MinionPro-Regular" w:hAnsi="MinionPro-Regular"/>
          <w:sz w:val="24"/>
          <w:szCs w:val="24"/>
          <w:lang w:val="es-ES_tradnl"/>
        </w:rPr>
        <w:t>lazas ocupacionales ha sido inclu</w:t>
      </w:r>
      <w:r w:rsidRPr="009B79F2">
        <w:rPr>
          <w:rFonts w:ascii="MinionPro-Regular" w:hAnsi="MinionPro-Regular"/>
          <w:sz w:val="24"/>
          <w:szCs w:val="24"/>
          <w:lang w:val="es-ES_tradnl"/>
        </w:rPr>
        <w:t xml:space="preserve">ido debido </w:t>
      </w:r>
      <w:r w:rsidR="007A408D" w:rsidRPr="009B79F2">
        <w:rPr>
          <w:rFonts w:ascii="MinionPro-Regular" w:hAnsi="MinionPro-Regular"/>
          <w:sz w:val="24"/>
          <w:szCs w:val="24"/>
          <w:lang w:val="es-ES_tradnl"/>
        </w:rPr>
        <w:t>a la existencia de tránsito entre los centros ocupacionales y los especiales de empleo</w:t>
      </w:r>
      <w:r w:rsidRPr="009B79F2">
        <w:rPr>
          <w:rFonts w:ascii="MinionPro-Regular" w:hAnsi="MinionPro-Regular"/>
          <w:sz w:val="24"/>
          <w:szCs w:val="24"/>
          <w:lang w:val="es-ES_tradnl"/>
        </w:rPr>
        <w:t xml:space="preserve">. </w:t>
      </w:r>
      <w:r w:rsidR="00DB658C">
        <w:rPr>
          <w:rFonts w:ascii="MinionPro-Regular" w:hAnsi="MinionPro-Regular"/>
          <w:sz w:val="24"/>
          <w:szCs w:val="24"/>
          <w:lang w:val="es-ES_tradnl"/>
        </w:rPr>
        <w:t xml:space="preserve">Por un lado, en la encuesta realizada a trabajadores de los centros especiales de empleo visitados, </w:t>
      </w:r>
      <w:r w:rsidR="005A4065">
        <w:rPr>
          <w:rFonts w:ascii="MinionPro-Regular" w:hAnsi="MinionPro-Regular"/>
          <w:sz w:val="24"/>
          <w:szCs w:val="24"/>
          <w:lang w:val="es-ES_tradnl"/>
        </w:rPr>
        <w:t>un</w:t>
      </w:r>
      <w:r w:rsidR="00DB658C">
        <w:rPr>
          <w:rFonts w:ascii="MinionPro-Regular" w:hAnsi="MinionPro-Regular"/>
          <w:sz w:val="24"/>
          <w:szCs w:val="24"/>
          <w:lang w:val="es-ES_tradnl"/>
        </w:rPr>
        <w:t xml:space="preserve"> 20% provenía de centros ocupacionales. Por otra parte, el colectivo más susceptible de retorno a centro ocupa</w:t>
      </w:r>
      <w:r w:rsidR="00750462">
        <w:rPr>
          <w:rFonts w:ascii="MinionPro-Regular" w:hAnsi="MinionPro-Regular"/>
          <w:sz w:val="24"/>
          <w:szCs w:val="24"/>
          <w:lang w:val="es-ES_tradnl"/>
        </w:rPr>
        <w:t xml:space="preserve">cional </w:t>
      </w:r>
      <w:r w:rsidR="005A4065">
        <w:rPr>
          <w:rFonts w:ascii="MinionPro-Regular" w:hAnsi="MinionPro-Regular"/>
          <w:sz w:val="24"/>
          <w:szCs w:val="24"/>
          <w:lang w:val="es-ES_tradnl"/>
        </w:rPr>
        <w:t>podría ser</w:t>
      </w:r>
      <w:r w:rsidR="00DB658C">
        <w:rPr>
          <w:rFonts w:ascii="MinionPro-Regular" w:hAnsi="MinionPro-Regular"/>
          <w:sz w:val="24"/>
          <w:szCs w:val="24"/>
          <w:lang w:val="es-ES_tradnl"/>
        </w:rPr>
        <w:t xml:space="preserve"> el de las discapacidades psíquicas, un 42%</w:t>
      </w:r>
      <w:r w:rsidR="00750462">
        <w:rPr>
          <w:rFonts w:ascii="MinionPro-Regular" w:hAnsi="MinionPro-Regular"/>
          <w:sz w:val="24"/>
          <w:szCs w:val="24"/>
          <w:lang w:val="es-ES_tradnl"/>
        </w:rPr>
        <w:t xml:space="preserve"> de la plantilla </w:t>
      </w:r>
      <w:r w:rsidR="005A4065">
        <w:rPr>
          <w:rFonts w:ascii="MinionPro-Regular" w:hAnsi="MinionPro-Regular"/>
          <w:sz w:val="24"/>
          <w:szCs w:val="24"/>
          <w:lang w:val="es-ES_tradnl"/>
        </w:rPr>
        <w:t>de los centros</w:t>
      </w:r>
      <w:r w:rsidR="00DB658C">
        <w:rPr>
          <w:rFonts w:ascii="MinionPro-Regular" w:hAnsi="MinionPro-Regular"/>
          <w:sz w:val="24"/>
          <w:szCs w:val="24"/>
          <w:lang w:val="es-ES_tradnl"/>
        </w:rPr>
        <w:t>. Con el objetivo de obtener una estimación que se ajuste lo más posible a estas dos variables</w:t>
      </w:r>
      <w:r w:rsidR="00750462">
        <w:rPr>
          <w:rFonts w:ascii="MinionPro-Regular" w:hAnsi="MinionPro-Regular"/>
          <w:sz w:val="24"/>
          <w:szCs w:val="24"/>
          <w:lang w:val="es-ES_tradnl"/>
        </w:rPr>
        <w:t>,</w:t>
      </w:r>
      <w:r w:rsidR="00DB658C">
        <w:rPr>
          <w:rFonts w:ascii="MinionPro-Regular" w:hAnsi="MinionPro-Regular"/>
          <w:sz w:val="24"/>
          <w:szCs w:val="24"/>
          <w:lang w:val="es-ES_tradnl"/>
        </w:rPr>
        <w:t xml:space="preserve"> se ha </w:t>
      </w:r>
      <w:r w:rsidR="00DB658C">
        <w:rPr>
          <w:rFonts w:ascii="MinionPro-Regular" w:hAnsi="MinionPro-Regular"/>
          <w:sz w:val="24"/>
          <w:szCs w:val="24"/>
          <w:lang w:val="es-ES_tradnl"/>
        </w:rPr>
        <w:lastRenderedPageBreak/>
        <w:t>considerado un valor intermedio de retorno a centros ocupacionales del 30%</w:t>
      </w:r>
      <w:r w:rsidR="005A4065">
        <w:rPr>
          <w:rFonts w:ascii="MinionPro-Regular" w:hAnsi="MinionPro-Regular"/>
          <w:sz w:val="24"/>
          <w:szCs w:val="24"/>
          <w:lang w:val="es-ES_tradnl"/>
        </w:rPr>
        <w:t xml:space="preserve"> para calcular el ahorro generado en este ámbito</w:t>
      </w:r>
      <w:r w:rsidR="00DB658C">
        <w:rPr>
          <w:rFonts w:ascii="MinionPro-Regular" w:hAnsi="MinionPro-Regular"/>
          <w:sz w:val="24"/>
          <w:szCs w:val="24"/>
          <w:lang w:val="es-ES_tradnl"/>
        </w:rPr>
        <w:t>. Partiendo de esta base</w:t>
      </w:r>
      <w:r w:rsidR="00750462">
        <w:rPr>
          <w:rFonts w:ascii="MinionPro-Regular" w:hAnsi="MinionPro-Regular"/>
          <w:sz w:val="24"/>
          <w:szCs w:val="24"/>
          <w:lang w:val="es-ES_tradnl"/>
        </w:rPr>
        <w:t xml:space="preserve">, se ha calculado </w:t>
      </w:r>
      <w:r w:rsidRPr="009B79F2">
        <w:rPr>
          <w:rFonts w:ascii="MinionPro-Regular" w:hAnsi="MinionPro-Regular"/>
          <w:sz w:val="24"/>
          <w:szCs w:val="24"/>
          <w:lang w:val="es-ES_tradnl"/>
        </w:rPr>
        <w:t xml:space="preserve">el </w:t>
      </w:r>
      <w:r w:rsidR="00750462">
        <w:rPr>
          <w:rFonts w:ascii="MinionPro-Regular" w:hAnsi="MinionPro-Regular"/>
          <w:sz w:val="24"/>
          <w:szCs w:val="24"/>
          <w:lang w:val="es-ES_tradnl"/>
        </w:rPr>
        <w:t xml:space="preserve">total del </w:t>
      </w:r>
      <w:r w:rsidRPr="009B79F2">
        <w:rPr>
          <w:rFonts w:ascii="MinionPro-Regular" w:hAnsi="MinionPro-Regular"/>
          <w:sz w:val="24"/>
          <w:szCs w:val="24"/>
          <w:lang w:val="es-ES_tradnl"/>
        </w:rPr>
        <w:t>coste/plaza/año</w:t>
      </w:r>
      <w:r w:rsidR="007A408D" w:rsidRPr="009B79F2">
        <w:rPr>
          <w:rFonts w:ascii="MinionPro-Regular" w:hAnsi="MinionPro-Regular"/>
          <w:sz w:val="24"/>
          <w:szCs w:val="24"/>
          <w:lang w:val="es-ES_tradnl"/>
        </w:rPr>
        <w:t xml:space="preserve"> </w:t>
      </w:r>
      <w:r w:rsidR="00750462">
        <w:rPr>
          <w:rFonts w:ascii="MinionPro-Regular" w:hAnsi="MinionPro-Regular"/>
          <w:sz w:val="24"/>
          <w:szCs w:val="24"/>
          <w:lang w:val="es-ES_tradnl"/>
        </w:rPr>
        <w:t>a partir de los datos disponibles para algunas de las</w:t>
      </w:r>
      <w:r w:rsidR="00750462" w:rsidRPr="009B79F2">
        <w:rPr>
          <w:rFonts w:ascii="MinionPro-Regular" w:hAnsi="MinionPro-Regular"/>
          <w:sz w:val="24"/>
          <w:szCs w:val="24"/>
          <w:lang w:val="es-ES_tradnl"/>
        </w:rPr>
        <w:t xml:space="preserve"> </w:t>
      </w:r>
      <w:r w:rsidR="005A4065">
        <w:rPr>
          <w:rFonts w:ascii="MinionPro-Regular" w:hAnsi="MinionPro-Regular"/>
          <w:sz w:val="24"/>
          <w:szCs w:val="24"/>
          <w:lang w:val="es-ES_tradnl"/>
        </w:rPr>
        <w:t>c</w:t>
      </w:r>
      <w:r w:rsidR="007A408D" w:rsidRPr="009B79F2">
        <w:rPr>
          <w:rFonts w:ascii="MinionPro-Regular" w:hAnsi="MinionPro-Regular"/>
          <w:sz w:val="24"/>
          <w:szCs w:val="24"/>
          <w:lang w:val="es-ES_tradnl"/>
        </w:rPr>
        <w:t>omunidad</w:t>
      </w:r>
      <w:r w:rsidR="00750462">
        <w:rPr>
          <w:rFonts w:ascii="MinionPro-Regular" w:hAnsi="MinionPro-Regular"/>
          <w:sz w:val="24"/>
          <w:szCs w:val="24"/>
          <w:lang w:val="es-ES_tradnl"/>
        </w:rPr>
        <w:t>es</w:t>
      </w:r>
      <w:r w:rsidR="007A408D" w:rsidRPr="009B79F2">
        <w:rPr>
          <w:rFonts w:ascii="MinionPro-Regular" w:hAnsi="MinionPro-Regular"/>
          <w:sz w:val="24"/>
          <w:szCs w:val="24"/>
          <w:lang w:val="es-ES_tradnl"/>
        </w:rPr>
        <w:t xml:space="preserve"> </w:t>
      </w:r>
      <w:r w:rsidR="005A4065">
        <w:rPr>
          <w:rFonts w:ascii="MinionPro-Regular" w:hAnsi="MinionPro-Regular"/>
          <w:sz w:val="24"/>
          <w:szCs w:val="24"/>
          <w:lang w:val="es-ES_tradnl"/>
        </w:rPr>
        <w:t>a</w:t>
      </w:r>
      <w:r w:rsidR="007A408D" w:rsidRPr="009B79F2">
        <w:rPr>
          <w:rFonts w:ascii="MinionPro-Regular" w:hAnsi="MinionPro-Regular"/>
          <w:sz w:val="24"/>
          <w:szCs w:val="24"/>
          <w:lang w:val="es-ES_tradnl"/>
        </w:rPr>
        <w:t>utónoma</w:t>
      </w:r>
      <w:r w:rsidR="00750462">
        <w:rPr>
          <w:rFonts w:ascii="MinionPro-Regular" w:hAnsi="MinionPro-Regular"/>
          <w:sz w:val="24"/>
          <w:szCs w:val="24"/>
          <w:lang w:val="es-ES_tradnl"/>
        </w:rPr>
        <w:t>s</w:t>
      </w:r>
      <w:r w:rsidR="00DB658C">
        <w:rPr>
          <w:rFonts w:ascii="MinionPro-Regular" w:hAnsi="MinionPro-Regular"/>
          <w:sz w:val="24"/>
          <w:szCs w:val="24"/>
          <w:lang w:val="es-ES_tradnl"/>
        </w:rPr>
        <w:t xml:space="preserve"> y</w:t>
      </w:r>
      <w:r w:rsidR="00750462">
        <w:rPr>
          <w:rFonts w:ascii="MinionPro-Regular" w:hAnsi="MinionPro-Regular"/>
          <w:sz w:val="24"/>
          <w:szCs w:val="24"/>
          <w:lang w:val="es-ES_tradnl"/>
        </w:rPr>
        <w:t>,</w:t>
      </w:r>
      <w:r w:rsidR="00DB658C">
        <w:rPr>
          <w:rFonts w:ascii="MinionPro-Regular" w:hAnsi="MinionPro-Regular"/>
          <w:sz w:val="24"/>
          <w:szCs w:val="24"/>
          <w:lang w:val="es-ES_tradnl"/>
        </w:rPr>
        <w:t xml:space="preserve"> </w:t>
      </w:r>
      <w:r w:rsidR="00750462">
        <w:rPr>
          <w:rFonts w:ascii="MinionPro-Regular" w:hAnsi="MinionPro-Regular"/>
          <w:sz w:val="24"/>
          <w:szCs w:val="24"/>
          <w:lang w:val="es-ES_tradnl"/>
        </w:rPr>
        <w:t xml:space="preserve">posteriormente, </w:t>
      </w:r>
      <w:r w:rsidR="00DB658C">
        <w:rPr>
          <w:rFonts w:ascii="MinionPro-Regular" w:hAnsi="MinionPro-Regular"/>
          <w:sz w:val="24"/>
          <w:szCs w:val="24"/>
          <w:lang w:val="es-ES_tradnl"/>
        </w:rPr>
        <w:t xml:space="preserve">se ha extrapolado </w:t>
      </w:r>
      <w:r w:rsidR="00750462">
        <w:rPr>
          <w:rFonts w:ascii="MinionPro-Regular" w:hAnsi="MinionPro-Regular"/>
          <w:sz w:val="24"/>
          <w:szCs w:val="24"/>
          <w:lang w:val="es-ES_tradnl"/>
        </w:rPr>
        <w:t xml:space="preserve">al total nacional y </w:t>
      </w:r>
      <w:r w:rsidR="00DB658C">
        <w:rPr>
          <w:rFonts w:ascii="MinionPro-Regular" w:hAnsi="MinionPro-Regular"/>
          <w:sz w:val="24"/>
          <w:szCs w:val="24"/>
          <w:lang w:val="es-ES_tradnl"/>
        </w:rPr>
        <w:t>a este 30%</w:t>
      </w:r>
      <w:r w:rsidRPr="009B79F2">
        <w:rPr>
          <w:rFonts w:ascii="MinionPro-Regular" w:hAnsi="MinionPro-Regular"/>
          <w:sz w:val="24"/>
          <w:szCs w:val="24"/>
          <w:lang w:val="es-ES_tradnl"/>
        </w:rPr>
        <w:t xml:space="preserve">. En este caso, las fuentes utilizadas para la estimación </w:t>
      </w:r>
      <w:r w:rsidR="00DB658C">
        <w:rPr>
          <w:rFonts w:ascii="MinionPro-Regular" w:hAnsi="MinionPro-Regular"/>
          <w:sz w:val="24"/>
          <w:szCs w:val="24"/>
          <w:lang w:val="es-ES_tradnl"/>
        </w:rPr>
        <w:t>han sido</w:t>
      </w:r>
      <w:r w:rsidR="00DB658C" w:rsidRPr="009B79F2">
        <w:rPr>
          <w:rFonts w:ascii="MinionPro-Regular" w:hAnsi="MinionPro-Regular"/>
          <w:sz w:val="24"/>
          <w:szCs w:val="24"/>
          <w:lang w:val="es-ES_tradnl"/>
        </w:rPr>
        <w:t xml:space="preserve"> </w:t>
      </w:r>
      <w:r w:rsidRPr="009B79F2">
        <w:rPr>
          <w:rFonts w:ascii="MinionPro-Regular" w:hAnsi="MinionPro-Regular"/>
          <w:sz w:val="24"/>
          <w:szCs w:val="24"/>
          <w:lang w:val="es-ES_tradnl"/>
        </w:rPr>
        <w:t>documentos soporte de convenios de centros ocupacionales.</w:t>
      </w:r>
    </w:p>
    <w:p w:rsidR="00420E31" w:rsidRPr="009B79F2" w:rsidRDefault="00420E31" w:rsidP="00420E31">
      <w:pPr>
        <w:pStyle w:val="Prrafodelista"/>
        <w:rPr>
          <w:rFonts w:ascii="MinionPro-Regular" w:hAnsi="MinionPro-Regular"/>
          <w:sz w:val="24"/>
          <w:szCs w:val="24"/>
          <w:lang w:val="es-ES_tradnl"/>
        </w:rPr>
      </w:pPr>
    </w:p>
    <w:p w:rsidR="00420E31" w:rsidRPr="009B79F2" w:rsidRDefault="007A408D" w:rsidP="00420E31">
      <w:pPr>
        <w:pStyle w:val="Prrafodelista"/>
        <w:autoSpaceDE w:val="0"/>
        <w:autoSpaceDN w:val="0"/>
        <w:spacing w:line="360" w:lineRule="auto"/>
        <w:ind w:left="340"/>
        <w:jc w:val="both"/>
        <w:rPr>
          <w:rFonts w:ascii="MinionPro-Regular" w:hAnsi="MinionPro-Regular"/>
          <w:sz w:val="24"/>
          <w:szCs w:val="24"/>
          <w:lang w:val="es-ES_tradnl"/>
        </w:rPr>
      </w:pPr>
      <w:r w:rsidRPr="009B79F2">
        <w:rPr>
          <w:rFonts w:ascii="MinionPro-Regular" w:hAnsi="MinionPro-Regular"/>
          <w:sz w:val="24"/>
          <w:szCs w:val="24"/>
          <w:lang w:val="es-ES_tradnl"/>
        </w:rPr>
        <w:t>Asimismo,</w:t>
      </w:r>
      <w:r w:rsidR="00420E31" w:rsidRPr="009B79F2">
        <w:rPr>
          <w:rFonts w:ascii="MinionPro-Regular" w:hAnsi="MinionPro-Regular"/>
          <w:sz w:val="24"/>
          <w:szCs w:val="24"/>
          <w:lang w:val="es-ES_tradnl"/>
        </w:rPr>
        <w:t xml:space="preserve"> </w:t>
      </w:r>
      <w:r w:rsidR="0063209B" w:rsidRPr="009B79F2">
        <w:rPr>
          <w:rFonts w:ascii="MinionPro-Regular" w:hAnsi="MinionPro-Regular"/>
          <w:sz w:val="24"/>
          <w:szCs w:val="24"/>
          <w:lang w:val="es-ES_tradnl"/>
        </w:rPr>
        <w:t xml:space="preserve">se </w:t>
      </w:r>
      <w:r w:rsidR="009B79F2" w:rsidRPr="009B79F2">
        <w:rPr>
          <w:rFonts w:ascii="MinionPro-Regular" w:hAnsi="MinionPro-Regular"/>
          <w:sz w:val="24"/>
          <w:szCs w:val="24"/>
          <w:lang w:val="es-ES_tradnl"/>
        </w:rPr>
        <w:t>incluyen</w:t>
      </w:r>
      <w:r w:rsidR="0063209B" w:rsidRPr="009B79F2">
        <w:rPr>
          <w:rFonts w:ascii="MinionPro-Regular" w:hAnsi="MinionPro-Regular"/>
          <w:sz w:val="24"/>
          <w:szCs w:val="24"/>
          <w:lang w:val="es-ES_tradnl"/>
        </w:rPr>
        <w:t xml:space="preserve"> otros aspectos que </w:t>
      </w:r>
      <w:r w:rsidR="009B79F2" w:rsidRPr="009B79F2">
        <w:rPr>
          <w:rFonts w:ascii="MinionPro-Regular" w:hAnsi="MinionPro-Regular"/>
          <w:sz w:val="24"/>
          <w:szCs w:val="24"/>
          <w:lang w:val="es-ES_tradnl"/>
        </w:rPr>
        <w:t xml:space="preserve">no cabe añadir como </w:t>
      </w:r>
      <w:r w:rsidR="0063209B" w:rsidRPr="009B79F2">
        <w:rPr>
          <w:rFonts w:ascii="MinionPro-Regular" w:hAnsi="MinionPro-Regular"/>
          <w:sz w:val="24"/>
          <w:szCs w:val="24"/>
          <w:lang w:val="es-ES_tradnl"/>
        </w:rPr>
        <w:t>sumandos en la estimación del retorno</w:t>
      </w:r>
      <w:r w:rsidR="009B79F2" w:rsidRPr="009B79F2">
        <w:rPr>
          <w:rFonts w:ascii="MinionPro-Regular" w:hAnsi="MinionPro-Regular"/>
          <w:sz w:val="24"/>
          <w:szCs w:val="24"/>
          <w:lang w:val="es-ES_tradnl"/>
        </w:rPr>
        <w:t xml:space="preserve"> pero que son, no obstante, relevantes para evaluar el impacto</w:t>
      </w:r>
      <w:r w:rsidR="005A4065">
        <w:rPr>
          <w:rFonts w:ascii="MinionPro-Regular" w:hAnsi="MinionPro-Regular"/>
          <w:sz w:val="24"/>
          <w:szCs w:val="24"/>
          <w:lang w:val="es-ES_tradnl"/>
        </w:rPr>
        <w:t xml:space="preserve"> social y económico</w:t>
      </w:r>
      <w:r w:rsidR="009B79F2" w:rsidRPr="009B79F2">
        <w:rPr>
          <w:rFonts w:ascii="MinionPro-Regular" w:hAnsi="MinionPro-Regular"/>
          <w:sz w:val="24"/>
          <w:szCs w:val="24"/>
          <w:lang w:val="es-ES_tradnl"/>
        </w:rPr>
        <w:t xml:space="preserve"> de los centros especiales de empleo</w:t>
      </w:r>
      <w:r w:rsidR="0063209B" w:rsidRPr="009B79F2">
        <w:rPr>
          <w:rFonts w:ascii="MinionPro-Regular" w:hAnsi="MinionPro-Regular"/>
          <w:sz w:val="24"/>
          <w:szCs w:val="24"/>
          <w:lang w:val="es-ES_tradnl"/>
        </w:rPr>
        <w:t xml:space="preserve">. </w:t>
      </w:r>
      <w:r w:rsidR="009B79F2" w:rsidRPr="009B79F2">
        <w:rPr>
          <w:rFonts w:ascii="MinionPro-Regular" w:hAnsi="MinionPro-Regular"/>
          <w:sz w:val="24"/>
          <w:szCs w:val="24"/>
          <w:lang w:val="es-ES_tradnl"/>
        </w:rPr>
        <w:t>Se trata de la e</w:t>
      </w:r>
      <w:r w:rsidR="0063209B" w:rsidRPr="009B79F2">
        <w:rPr>
          <w:rFonts w:ascii="MinionPro-Regular" w:hAnsi="MinionPro-Regular"/>
          <w:sz w:val="24"/>
          <w:szCs w:val="24"/>
          <w:lang w:val="es-ES_tradnl"/>
        </w:rPr>
        <w:t xml:space="preserve">stimación del </w:t>
      </w:r>
      <w:r w:rsidR="00420E31" w:rsidRPr="009B79F2">
        <w:rPr>
          <w:rFonts w:ascii="MinionPro-Regular" w:hAnsi="MinionPro-Regular"/>
          <w:sz w:val="24"/>
          <w:szCs w:val="24"/>
          <w:lang w:val="es-ES_tradnl"/>
        </w:rPr>
        <w:t xml:space="preserve">ahorro </w:t>
      </w:r>
      <w:r w:rsidR="0063209B" w:rsidRPr="009B79F2">
        <w:rPr>
          <w:rFonts w:ascii="MinionPro-Regular" w:hAnsi="MinionPro-Regular"/>
          <w:sz w:val="24"/>
          <w:szCs w:val="24"/>
          <w:lang w:val="es-ES_tradnl"/>
        </w:rPr>
        <w:t xml:space="preserve">en concepto de </w:t>
      </w:r>
      <w:r w:rsidR="00641C15" w:rsidRPr="009B79F2">
        <w:rPr>
          <w:rFonts w:ascii="MinionPro-Regular" w:hAnsi="MinionPro-Regular"/>
          <w:sz w:val="24"/>
          <w:szCs w:val="24"/>
          <w:lang w:val="es-ES_tradnl"/>
        </w:rPr>
        <w:t>prestaciones por desempleo y</w:t>
      </w:r>
      <w:r w:rsidR="0063209B" w:rsidRPr="009B79F2">
        <w:rPr>
          <w:rFonts w:ascii="MinionPro-Regular" w:hAnsi="MinionPro-Regular"/>
          <w:sz w:val="24"/>
          <w:szCs w:val="24"/>
          <w:lang w:val="es-ES_tradnl"/>
        </w:rPr>
        <w:t xml:space="preserve"> </w:t>
      </w:r>
      <w:r w:rsidR="00641C15" w:rsidRPr="009B79F2">
        <w:rPr>
          <w:rFonts w:ascii="MinionPro-Regular" w:hAnsi="MinionPro-Regular"/>
          <w:sz w:val="24"/>
          <w:szCs w:val="24"/>
          <w:lang w:val="es-ES_tradnl"/>
        </w:rPr>
        <w:t xml:space="preserve">la </w:t>
      </w:r>
      <w:r w:rsidR="0063209B" w:rsidRPr="009B79F2">
        <w:rPr>
          <w:rFonts w:ascii="MinionPro-Regular" w:hAnsi="MinionPro-Regular"/>
          <w:sz w:val="24"/>
          <w:szCs w:val="24"/>
          <w:lang w:val="es-ES_tradnl"/>
        </w:rPr>
        <w:t>estimación de pago en  concepto de salario a los trabajadores del centro especial de empleo</w:t>
      </w:r>
      <w:r w:rsidR="00420E31" w:rsidRPr="009B79F2">
        <w:rPr>
          <w:rFonts w:ascii="MinionPro-Regular" w:hAnsi="MinionPro-Regular"/>
          <w:sz w:val="24"/>
          <w:szCs w:val="24"/>
          <w:lang w:val="es-ES_tradnl"/>
        </w:rPr>
        <w:t>.</w:t>
      </w:r>
    </w:p>
    <w:p w:rsidR="00420E31" w:rsidRPr="00420E31" w:rsidRDefault="00420E31" w:rsidP="00420E31">
      <w:pPr>
        <w:autoSpaceDE w:val="0"/>
        <w:autoSpaceDN w:val="0"/>
        <w:spacing w:line="360" w:lineRule="auto"/>
        <w:jc w:val="both"/>
        <w:rPr>
          <w:rFonts w:ascii="MinionPro-Regular" w:hAnsi="MinionPro-Regular"/>
          <w:sz w:val="24"/>
          <w:szCs w:val="24"/>
          <w:lang w:val="es-ES_tradnl"/>
        </w:rPr>
      </w:pPr>
    </w:p>
    <w:p w:rsidR="00420E31" w:rsidRPr="009B79F2" w:rsidRDefault="00420E31" w:rsidP="0007541A">
      <w:pPr>
        <w:pStyle w:val="Prrafodelista"/>
        <w:numPr>
          <w:ilvl w:val="0"/>
          <w:numId w:val="25"/>
        </w:numPr>
        <w:autoSpaceDE w:val="0"/>
        <w:autoSpaceDN w:val="0"/>
        <w:spacing w:line="360" w:lineRule="auto"/>
        <w:jc w:val="both"/>
        <w:rPr>
          <w:rFonts w:ascii="MinionPro-Regular" w:hAnsi="MinionPro-Regular"/>
          <w:sz w:val="24"/>
          <w:lang w:val="es-ES_tradnl"/>
        </w:rPr>
      </w:pPr>
      <w:r w:rsidRPr="009B79F2">
        <w:rPr>
          <w:rFonts w:ascii="MinionPro-Regular" w:hAnsi="MinionPro-Regular"/>
          <w:sz w:val="24"/>
          <w:lang w:val="es-ES_tradnl"/>
        </w:rPr>
        <w:t>En relación a las prestaciones por desempleo, se ha partido una vez más de la MCVL. Teniendo en cuenta el salario medio anual de una persona con discapacidad, se ha obtenido la media de prestaciones por desempleo que las personas con discapacidad percibirían durante el primer año, en el caso de perder su empleo.</w:t>
      </w:r>
      <w:r w:rsidR="0063209B" w:rsidRPr="009B79F2">
        <w:rPr>
          <w:rFonts w:ascii="MinionPro-Regular" w:hAnsi="MinionPro-Regular"/>
          <w:sz w:val="24"/>
          <w:lang w:val="es-ES_tradnl"/>
        </w:rPr>
        <w:t xml:space="preserve"> Este concepto, como se ha explicado anteriormente, no se incluye directamente en el cálculo de retorno debido a su carácter temporal, si bien no deja de suponer una cantidad considerable de ahorro para la Administración.</w:t>
      </w:r>
    </w:p>
    <w:p w:rsidR="005639C4" w:rsidRPr="009B79F2" w:rsidRDefault="005639C4" w:rsidP="005639C4">
      <w:pPr>
        <w:autoSpaceDE w:val="0"/>
        <w:autoSpaceDN w:val="0"/>
        <w:spacing w:line="360" w:lineRule="auto"/>
        <w:jc w:val="both"/>
        <w:rPr>
          <w:rFonts w:ascii="MinionPro-Regular" w:hAnsi="MinionPro-Regular"/>
          <w:sz w:val="24"/>
          <w:szCs w:val="24"/>
          <w:lang w:val="es-ES_tradnl"/>
        </w:rPr>
      </w:pPr>
    </w:p>
    <w:p w:rsidR="00FC61FE" w:rsidRPr="009B79F2" w:rsidRDefault="00FC61FE" w:rsidP="0007541A">
      <w:pPr>
        <w:pStyle w:val="Prrafodelista"/>
        <w:numPr>
          <w:ilvl w:val="0"/>
          <w:numId w:val="25"/>
        </w:numPr>
        <w:autoSpaceDE w:val="0"/>
        <w:autoSpaceDN w:val="0"/>
        <w:spacing w:line="360" w:lineRule="auto"/>
        <w:jc w:val="both"/>
        <w:rPr>
          <w:rFonts w:ascii="MinionPro-Regular" w:hAnsi="MinionPro-Regular"/>
          <w:sz w:val="24"/>
          <w:szCs w:val="24"/>
          <w:lang w:val="es-ES_tradnl"/>
        </w:rPr>
      </w:pPr>
      <w:r w:rsidRPr="009B79F2">
        <w:rPr>
          <w:rFonts w:ascii="MinionPro-Regular" w:hAnsi="MinionPro-Regular"/>
          <w:sz w:val="24"/>
          <w:szCs w:val="24"/>
          <w:lang w:val="es-ES_tradnl"/>
        </w:rPr>
        <w:t xml:space="preserve">Los centros especiales de empleo funcionan al igual que cualquier empresa ordinaria en términos de relaciones laborales. Esto significa que sus trabajadores reciben retribuciones económicas por el desempeño de su actividad en el mismo. Se ha considerado resaltar la labor del centro especial de empleo como generador de economía local y a su vez, activador de la economía familiar de sus empleados. En </w:t>
      </w:r>
      <w:r w:rsidRPr="009B79F2">
        <w:rPr>
          <w:rFonts w:ascii="MinionPro-Regular" w:hAnsi="MinionPro-Regular"/>
          <w:sz w:val="24"/>
          <w:szCs w:val="24"/>
          <w:lang w:val="es-ES_tradnl"/>
        </w:rPr>
        <w:lastRenderedPageBreak/>
        <w:t>relación a este aspecto, se ha podido estimar el ingreso a las arcas del Estado en forma de impuestos asociados a la actividad laboral retribuida</w:t>
      </w:r>
      <w:r w:rsidR="00F87AD0" w:rsidRPr="009B79F2">
        <w:rPr>
          <w:rFonts w:ascii="MinionPro-Regular" w:hAnsi="MinionPro-Regular"/>
          <w:sz w:val="24"/>
          <w:szCs w:val="24"/>
          <w:lang w:val="es-ES_tradnl"/>
        </w:rPr>
        <w:t xml:space="preserve"> gracias a la base de datos de la MCVL</w:t>
      </w:r>
      <w:r w:rsidR="009B79F2">
        <w:rPr>
          <w:rFonts w:ascii="MinionPro-Regular" w:hAnsi="MinionPro-Regular"/>
          <w:sz w:val="24"/>
          <w:szCs w:val="24"/>
          <w:lang w:val="es-ES_tradnl"/>
        </w:rPr>
        <w:t>. S</w:t>
      </w:r>
      <w:r w:rsidRPr="009B79F2">
        <w:rPr>
          <w:rFonts w:ascii="MinionPro-Regular" w:hAnsi="MinionPro-Regular"/>
          <w:sz w:val="24"/>
          <w:szCs w:val="24"/>
          <w:lang w:val="es-ES_tradnl"/>
        </w:rPr>
        <w:t>in embargo, en la variable del consumo,  no se ha pod</w:t>
      </w:r>
      <w:r w:rsidR="009B79F2">
        <w:rPr>
          <w:rFonts w:ascii="MinionPro-Regular" w:hAnsi="MinionPro-Regular"/>
          <w:sz w:val="24"/>
          <w:szCs w:val="24"/>
          <w:lang w:val="es-ES_tradnl"/>
        </w:rPr>
        <w:t>ido estimar de manera indirecta</w:t>
      </w:r>
      <w:r w:rsidRPr="009B79F2">
        <w:rPr>
          <w:rFonts w:ascii="MinionPro-Regular" w:hAnsi="MinionPro-Regular"/>
          <w:sz w:val="24"/>
          <w:szCs w:val="24"/>
          <w:lang w:val="es-ES_tradnl"/>
        </w:rPr>
        <w:t xml:space="preserve"> cómo se traducen estos salarios en </w:t>
      </w:r>
      <w:r w:rsidR="009B79F2">
        <w:rPr>
          <w:rFonts w:ascii="MinionPro-Regular" w:hAnsi="MinionPro-Regular"/>
          <w:sz w:val="24"/>
          <w:szCs w:val="24"/>
          <w:lang w:val="es-ES_tradnl"/>
        </w:rPr>
        <w:t>el consumo</w:t>
      </w:r>
      <w:r w:rsidRPr="009B79F2">
        <w:rPr>
          <w:rFonts w:ascii="MinionPro-Regular" w:hAnsi="MinionPro-Regular"/>
          <w:sz w:val="24"/>
          <w:szCs w:val="24"/>
          <w:lang w:val="es-ES_tradnl"/>
        </w:rPr>
        <w:t xml:space="preserve">. Es por ello que el estudio se limita a estimar la cantidad </w:t>
      </w:r>
      <w:r w:rsidR="00F87AD0" w:rsidRPr="009B79F2">
        <w:rPr>
          <w:rFonts w:ascii="MinionPro-Regular" w:hAnsi="MinionPro-Regular"/>
          <w:sz w:val="24"/>
          <w:szCs w:val="24"/>
          <w:lang w:val="es-ES_tradnl"/>
        </w:rPr>
        <w:t>total dedicada a los salarios en los centros especiales de empleo, y por lo tanto, por su misma naturaleza no puede enmarcarse como sumando en la actual definición de retorno económico de los centros especiales de empleo</w:t>
      </w:r>
      <w:r w:rsidRPr="009B79F2">
        <w:rPr>
          <w:rFonts w:ascii="MinionPro-Regular" w:hAnsi="MinionPro-Regular"/>
          <w:sz w:val="24"/>
          <w:szCs w:val="24"/>
          <w:lang w:val="es-ES_tradnl"/>
        </w:rPr>
        <w:t xml:space="preserve">. </w:t>
      </w:r>
    </w:p>
    <w:p w:rsidR="003063D9" w:rsidRDefault="003063D9" w:rsidP="002311F8">
      <w:pPr>
        <w:pBdr>
          <w:bottom w:val="single" w:sz="4" w:space="1" w:color="auto"/>
        </w:pBdr>
        <w:autoSpaceDE w:val="0"/>
        <w:autoSpaceDN w:val="0"/>
        <w:spacing w:line="360" w:lineRule="auto"/>
        <w:jc w:val="both"/>
        <w:rPr>
          <w:rFonts w:ascii="MinionPro-Regular" w:hAnsi="MinionPro-Regular"/>
          <w:sz w:val="20"/>
          <w:szCs w:val="24"/>
          <w:lang w:val="es-ES_tradnl"/>
        </w:rPr>
      </w:pPr>
    </w:p>
    <w:p w:rsidR="001624DD" w:rsidRDefault="001624DD" w:rsidP="002311F8">
      <w:pPr>
        <w:pBdr>
          <w:bottom w:val="single" w:sz="4" w:space="1" w:color="auto"/>
        </w:pBdr>
        <w:autoSpaceDE w:val="0"/>
        <w:autoSpaceDN w:val="0"/>
        <w:spacing w:line="360" w:lineRule="auto"/>
        <w:jc w:val="both"/>
        <w:rPr>
          <w:rFonts w:ascii="MinionPro-Regular" w:hAnsi="MinionPro-Regular"/>
          <w:sz w:val="20"/>
          <w:szCs w:val="24"/>
          <w:lang w:val="es-ES_tradnl"/>
        </w:rPr>
      </w:pPr>
    </w:p>
    <w:p w:rsidR="00E2336B" w:rsidRPr="004D5933" w:rsidRDefault="00E2336B" w:rsidP="00891BAF">
      <w:pPr>
        <w:pBdr>
          <w:top w:val="single" w:sz="4" w:space="1" w:color="auto"/>
        </w:pBdr>
        <w:autoSpaceDE w:val="0"/>
        <w:autoSpaceDN w:val="0"/>
        <w:spacing w:line="360" w:lineRule="auto"/>
        <w:jc w:val="both"/>
        <w:rPr>
          <w:rFonts w:ascii="MinionPro-Regular" w:hAnsi="MinionPro-Regular"/>
          <w:sz w:val="20"/>
          <w:szCs w:val="24"/>
          <w:lang w:val="es-ES_tradnl"/>
        </w:rPr>
      </w:pPr>
      <w:r w:rsidRPr="0081432A">
        <w:rPr>
          <w:rFonts w:ascii="MinionPro-Regular" w:hAnsi="MinionPro-Regular"/>
          <w:sz w:val="20"/>
          <w:szCs w:val="24"/>
          <w:lang w:val="es-ES_tradnl"/>
        </w:rPr>
        <w:t>Cuadro resumen con las variables de ayudas y retornos que se han tenido en cuenta en el análisis del impacto de los centros especiales de empleo</w:t>
      </w:r>
    </w:p>
    <w:p w:rsidR="00E2336B" w:rsidRDefault="00E2336B" w:rsidP="00890FE5">
      <w:pPr>
        <w:autoSpaceDE w:val="0"/>
        <w:autoSpaceDN w:val="0"/>
        <w:spacing w:line="360" w:lineRule="auto"/>
        <w:jc w:val="both"/>
        <w:rPr>
          <w:rFonts w:ascii="MinionPro-Regular" w:hAnsi="MinionPro-Regular"/>
          <w:sz w:val="24"/>
          <w:szCs w:val="24"/>
          <w:lang w:val="es-ES_tradnl"/>
        </w:rPr>
      </w:pPr>
    </w:p>
    <w:tbl>
      <w:tblPr>
        <w:tblW w:w="4938" w:type="pct"/>
        <w:tblBorders>
          <w:bottom w:val="single" w:sz="12" w:space="0" w:color="409DAD"/>
        </w:tblBorders>
        <w:tblCellMar>
          <w:top w:w="28" w:type="dxa"/>
          <w:left w:w="28" w:type="dxa"/>
          <w:bottom w:w="28" w:type="dxa"/>
          <w:right w:w="28" w:type="dxa"/>
        </w:tblCellMar>
        <w:tblLook w:val="00A0"/>
      </w:tblPr>
      <w:tblGrid>
        <w:gridCol w:w="4380"/>
        <w:gridCol w:w="4075"/>
      </w:tblGrid>
      <w:tr w:rsidR="00E2336B" w:rsidRPr="005158FF" w:rsidTr="003063D9">
        <w:trPr>
          <w:trHeight w:val="597"/>
        </w:trPr>
        <w:tc>
          <w:tcPr>
            <w:tcW w:w="2590" w:type="pct"/>
            <w:tcBorders>
              <w:bottom w:val="nil"/>
            </w:tcBorders>
            <w:shd w:val="clear" w:color="auto" w:fill="409DAD"/>
            <w:vAlign w:val="center"/>
          </w:tcPr>
          <w:p w:rsidR="00E2336B" w:rsidRPr="00A62C1C" w:rsidRDefault="00E2336B" w:rsidP="00A62C1C">
            <w:pPr>
              <w:spacing w:line="180" w:lineRule="atLeast"/>
              <w:jc w:val="center"/>
              <w:rPr>
                <w:rFonts w:ascii="MinionPro-Regular" w:hAnsi="MinionPro-Regular"/>
                <w:b/>
                <w:color w:val="FFFFFF"/>
                <w:lang w:val="es-ES_tradnl"/>
              </w:rPr>
            </w:pPr>
            <w:r w:rsidRPr="00A62C1C">
              <w:rPr>
                <w:rFonts w:ascii="MinionPro-Regular" w:hAnsi="MinionPro-Regular"/>
                <w:b/>
                <w:color w:val="FFFFFF"/>
                <w:lang w:val="es-ES_tradnl"/>
              </w:rPr>
              <w:t>Ayudas de la administración pública</w:t>
            </w:r>
          </w:p>
        </w:tc>
        <w:tc>
          <w:tcPr>
            <w:tcW w:w="2410" w:type="pct"/>
            <w:tcBorders>
              <w:bottom w:val="nil"/>
            </w:tcBorders>
            <w:shd w:val="clear" w:color="auto" w:fill="409DAD"/>
            <w:vAlign w:val="center"/>
          </w:tcPr>
          <w:p w:rsidR="00E2336B" w:rsidRPr="00A62C1C" w:rsidRDefault="00E2336B" w:rsidP="00A62C1C">
            <w:pPr>
              <w:spacing w:line="180" w:lineRule="atLeast"/>
              <w:jc w:val="center"/>
              <w:rPr>
                <w:rFonts w:ascii="MinionPro-Regular" w:hAnsi="MinionPro-Regular"/>
                <w:b/>
                <w:color w:val="FFFFFF"/>
                <w:lang w:val="es-ES_tradnl"/>
              </w:rPr>
            </w:pPr>
            <w:r w:rsidRPr="00A62C1C">
              <w:rPr>
                <w:rFonts w:ascii="MinionPro-Regular" w:hAnsi="MinionPro-Regular"/>
                <w:b/>
                <w:color w:val="FFFFFF"/>
                <w:lang w:val="es-ES_tradnl"/>
              </w:rPr>
              <w:t>Retorno de los centros especiales de empleo</w:t>
            </w:r>
          </w:p>
        </w:tc>
      </w:tr>
      <w:tr w:rsidR="00E2336B" w:rsidRPr="005158FF" w:rsidTr="003063D9">
        <w:trPr>
          <w:trHeight w:val="290"/>
        </w:trPr>
        <w:tc>
          <w:tcPr>
            <w:tcW w:w="5000" w:type="pct"/>
            <w:gridSpan w:val="2"/>
            <w:tcBorders>
              <w:bottom w:val="single" w:sz="4" w:space="0" w:color="auto"/>
            </w:tcBorders>
            <w:vAlign w:val="center"/>
          </w:tcPr>
          <w:p w:rsidR="00E2336B" w:rsidRPr="00A62C1C" w:rsidRDefault="00E2336B" w:rsidP="00A62C1C">
            <w:pPr>
              <w:spacing w:line="180" w:lineRule="atLeast"/>
              <w:jc w:val="center"/>
              <w:rPr>
                <w:rFonts w:ascii="MinionPro-Regular" w:hAnsi="MinionPro-Regular"/>
                <w:b/>
                <w:lang w:val="es-ES_tradnl"/>
              </w:rPr>
            </w:pPr>
            <w:r w:rsidRPr="00A62C1C">
              <w:rPr>
                <w:rFonts w:ascii="MinionPro-Regular" w:hAnsi="MinionPro-Regular"/>
                <w:b/>
                <w:lang w:val="es-ES_tradnl"/>
              </w:rPr>
              <w:t>Con salida de efectivo</w:t>
            </w:r>
          </w:p>
        </w:tc>
      </w:tr>
      <w:tr w:rsidR="00E2336B" w:rsidRPr="005158FF" w:rsidTr="003063D9">
        <w:trPr>
          <w:trHeight w:val="290"/>
        </w:trPr>
        <w:tc>
          <w:tcPr>
            <w:tcW w:w="2590" w:type="pct"/>
            <w:vMerge w:val="restart"/>
            <w:tcBorders>
              <w:top w:val="single" w:sz="4" w:space="0" w:color="auto"/>
            </w:tcBorders>
            <w:vAlign w:val="center"/>
          </w:tcPr>
          <w:p w:rsidR="00E2336B" w:rsidRPr="00A62C1C" w:rsidRDefault="00E2336B" w:rsidP="00A62C1C">
            <w:pPr>
              <w:spacing w:line="180" w:lineRule="atLeast"/>
              <w:rPr>
                <w:rFonts w:ascii="MinionPro-Regular" w:hAnsi="MinionPro-Regular"/>
                <w:b/>
                <w:lang w:val="es-ES_tradnl"/>
              </w:rPr>
            </w:pPr>
            <w:r w:rsidRPr="00A62C1C">
              <w:rPr>
                <w:rFonts w:ascii="MinionPro-Regular" w:hAnsi="MinionPro-Regular"/>
                <w:b/>
                <w:lang w:val="es-ES_tradnl"/>
              </w:rPr>
              <w:t>Compromiso de gasto para centros especiales de empleo</w:t>
            </w:r>
          </w:p>
        </w:tc>
        <w:tc>
          <w:tcPr>
            <w:tcW w:w="2410" w:type="pct"/>
            <w:tcBorders>
              <w:top w:val="single" w:sz="4" w:space="0" w:color="auto"/>
            </w:tcBorders>
            <w:vAlign w:val="center"/>
          </w:tcPr>
          <w:p w:rsidR="00E2336B" w:rsidRPr="00A62C1C" w:rsidRDefault="00E2336B" w:rsidP="00A62C1C">
            <w:pPr>
              <w:spacing w:line="180" w:lineRule="atLeast"/>
              <w:rPr>
                <w:rFonts w:ascii="MinionPro-Regular" w:hAnsi="MinionPro-Regular"/>
                <w:lang w:val="es-ES_tradnl"/>
              </w:rPr>
            </w:pPr>
            <w:r w:rsidRPr="00A62C1C">
              <w:rPr>
                <w:rFonts w:ascii="MinionPro-Regular" w:hAnsi="MinionPro-Regular"/>
                <w:lang w:val="es-ES_tradnl"/>
              </w:rPr>
              <w:t>IRPF y seguridad social</w:t>
            </w:r>
          </w:p>
        </w:tc>
      </w:tr>
      <w:tr w:rsidR="00E2336B" w:rsidRPr="005158FF" w:rsidTr="003063D9">
        <w:trPr>
          <w:trHeight w:val="164"/>
        </w:trPr>
        <w:tc>
          <w:tcPr>
            <w:tcW w:w="2590" w:type="pct"/>
            <w:vMerge/>
            <w:vAlign w:val="center"/>
          </w:tcPr>
          <w:p w:rsidR="00E2336B" w:rsidRPr="00A62C1C" w:rsidRDefault="00E2336B" w:rsidP="00A62C1C">
            <w:pPr>
              <w:spacing w:line="180" w:lineRule="atLeast"/>
              <w:rPr>
                <w:rFonts w:ascii="MinionPro-Regular" w:hAnsi="MinionPro-Regular"/>
                <w:b/>
                <w:lang w:val="es-ES_tradnl"/>
              </w:rPr>
            </w:pPr>
          </w:p>
        </w:tc>
        <w:tc>
          <w:tcPr>
            <w:tcW w:w="2410" w:type="pct"/>
            <w:vAlign w:val="center"/>
          </w:tcPr>
          <w:p w:rsidR="00E2336B" w:rsidRPr="00A62C1C" w:rsidRDefault="00E2336B" w:rsidP="00A62C1C">
            <w:pPr>
              <w:spacing w:line="180" w:lineRule="atLeast"/>
              <w:rPr>
                <w:rFonts w:ascii="MinionPro-Regular" w:hAnsi="MinionPro-Regular"/>
                <w:lang w:val="es-ES_tradnl"/>
              </w:rPr>
            </w:pPr>
            <w:r w:rsidRPr="00A62C1C">
              <w:rPr>
                <w:rFonts w:ascii="MinionPro-Regular" w:hAnsi="MinionPro-Regular"/>
                <w:lang w:val="es-ES_tradnl"/>
              </w:rPr>
              <w:t>Impuestos indirectos (IVA)</w:t>
            </w:r>
          </w:p>
        </w:tc>
      </w:tr>
      <w:tr w:rsidR="00E2336B" w:rsidRPr="005158FF" w:rsidTr="003063D9">
        <w:trPr>
          <w:trHeight w:val="164"/>
        </w:trPr>
        <w:tc>
          <w:tcPr>
            <w:tcW w:w="2590" w:type="pct"/>
            <w:vMerge/>
            <w:tcBorders>
              <w:bottom w:val="nil"/>
            </w:tcBorders>
            <w:vAlign w:val="center"/>
          </w:tcPr>
          <w:p w:rsidR="00E2336B" w:rsidRPr="00A62C1C" w:rsidRDefault="00E2336B" w:rsidP="00A62C1C">
            <w:pPr>
              <w:spacing w:line="180" w:lineRule="atLeast"/>
              <w:rPr>
                <w:rFonts w:ascii="MinionPro-Regular" w:hAnsi="MinionPro-Regular"/>
                <w:lang w:val="es-ES_tradnl"/>
              </w:rPr>
            </w:pPr>
          </w:p>
        </w:tc>
        <w:tc>
          <w:tcPr>
            <w:tcW w:w="2410" w:type="pct"/>
            <w:tcBorders>
              <w:bottom w:val="nil"/>
            </w:tcBorders>
            <w:vAlign w:val="center"/>
          </w:tcPr>
          <w:p w:rsidR="00E2336B" w:rsidRPr="00A62C1C" w:rsidRDefault="00E2336B" w:rsidP="00A62C1C">
            <w:pPr>
              <w:spacing w:line="180" w:lineRule="atLeast"/>
              <w:rPr>
                <w:rFonts w:ascii="MinionPro-Regular" w:hAnsi="MinionPro-Regular"/>
                <w:lang w:val="es-ES_tradnl"/>
              </w:rPr>
            </w:pPr>
            <w:r w:rsidRPr="00A62C1C">
              <w:rPr>
                <w:rFonts w:ascii="MinionPro-Regular" w:hAnsi="MinionPro-Regular"/>
                <w:lang w:val="es-ES_tradnl"/>
              </w:rPr>
              <w:t>Impuesto de sociedades</w:t>
            </w:r>
          </w:p>
        </w:tc>
      </w:tr>
      <w:tr w:rsidR="00E2336B" w:rsidRPr="005158FF" w:rsidTr="003063D9">
        <w:trPr>
          <w:trHeight w:val="307"/>
        </w:trPr>
        <w:tc>
          <w:tcPr>
            <w:tcW w:w="5000" w:type="pct"/>
            <w:gridSpan w:val="2"/>
            <w:tcBorders>
              <w:bottom w:val="single" w:sz="4" w:space="0" w:color="auto"/>
            </w:tcBorders>
            <w:vAlign w:val="center"/>
          </w:tcPr>
          <w:p w:rsidR="00E2336B" w:rsidRPr="00A62C1C" w:rsidRDefault="00E2336B" w:rsidP="00A62C1C">
            <w:pPr>
              <w:spacing w:line="180" w:lineRule="atLeast"/>
              <w:jc w:val="center"/>
              <w:rPr>
                <w:rFonts w:ascii="MinionPro-Regular" w:hAnsi="MinionPro-Regular"/>
                <w:b/>
                <w:lang w:val="es-ES_tradnl"/>
              </w:rPr>
            </w:pPr>
            <w:r w:rsidRPr="00A62C1C">
              <w:rPr>
                <w:rFonts w:ascii="MinionPro-Regular" w:hAnsi="MinionPro-Regular"/>
                <w:b/>
                <w:lang w:val="es-ES_tradnl"/>
              </w:rPr>
              <w:t>Sin salida de efectivo</w:t>
            </w:r>
          </w:p>
        </w:tc>
      </w:tr>
      <w:tr w:rsidR="00E2336B" w:rsidRPr="005158FF" w:rsidTr="003063D9">
        <w:trPr>
          <w:trHeight w:val="290"/>
        </w:trPr>
        <w:tc>
          <w:tcPr>
            <w:tcW w:w="2590" w:type="pct"/>
            <w:vMerge w:val="restart"/>
            <w:tcBorders>
              <w:top w:val="single" w:sz="4" w:space="0" w:color="auto"/>
            </w:tcBorders>
            <w:vAlign w:val="center"/>
          </w:tcPr>
          <w:p w:rsidR="00E2336B" w:rsidRPr="00A62C1C" w:rsidRDefault="00E2336B" w:rsidP="00A62C1C">
            <w:pPr>
              <w:spacing w:line="180" w:lineRule="atLeast"/>
              <w:rPr>
                <w:rFonts w:ascii="MinionPro-Regular" w:hAnsi="MinionPro-Regular"/>
                <w:b/>
                <w:lang w:val="es-ES_tradnl"/>
              </w:rPr>
            </w:pPr>
            <w:r w:rsidRPr="00A62C1C">
              <w:rPr>
                <w:rFonts w:ascii="MinionPro-Regular" w:hAnsi="MinionPro-Regular"/>
                <w:b/>
                <w:lang w:val="es-ES_tradnl"/>
              </w:rPr>
              <w:t>Bonificación 100% cuota empresarial de la seguridad social</w:t>
            </w:r>
          </w:p>
        </w:tc>
        <w:tc>
          <w:tcPr>
            <w:tcW w:w="2410" w:type="pct"/>
            <w:tcBorders>
              <w:top w:val="single" w:sz="4" w:space="0" w:color="auto"/>
            </w:tcBorders>
            <w:vAlign w:val="center"/>
          </w:tcPr>
          <w:p w:rsidR="00E2336B" w:rsidRPr="00A62C1C" w:rsidRDefault="00E2336B" w:rsidP="00A62C1C">
            <w:pPr>
              <w:spacing w:line="180" w:lineRule="atLeast"/>
              <w:rPr>
                <w:rFonts w:ascii="MinionPro-Regular" w:hAnsi="MinionPro-Regular"/>
                <w:lang w:val="es-ES_tradnl"/>
              </w:rPr>
            </w:pPr>
            <w:r w:rsidRPr="00A62C1C">
              <w:rPr>
                <w:rFonts w:ascii="MinionPro-Regular" w:hAnsi="MinionPro-Regular"/>
                <w:lang w:val="es-ES_tradnl"/>
              </w:rPr>
              <w:t>Ayudas LISMI</w:t>
            </w:r>
          </w:p>
        </w:tc>
      </w:tr>
      <w:tr w:rsidR="00E2336B" w:rsidRPr="005158FF" w:rsidTr="003063D9">
        <w:trPr>
          <w:trHeight w:val="164"/>
        </w:trPr>
        <w:tc>
          <w:tcPr>
            <w:tcW w:w="2590" w:type="pct"/>
            <w:vMerge/>
            <w:vAlign w:val="center"/>
          </w:tcPr>
          <w:p w:rsidR="00E2336B" w:rsidRPr="00A62C1C" w:rsidRDefault="00E2336B" w:rsidP="00A62C1C">
            <w:pPr>
              <w:spacing w:line="180" w:lineRule="atLeast"/>
              <w:rPr>
                <w:rFonts w:ascii="MinionPro-Regular" w:hAnsi="MinionPro-Regular"/>
                <w:lang w:val="es-ES_tradnl"/>
              </w:rPr>
            </w:pPr>
          </w:p>
        </w:tc>
        <w:tc>
          <w:tcPr>
            <w:tcW w:w="2410" w:type="pct"/>
            <w:vAlign w:val="center"/>
          </w:tcPr>
          <w:p w:rsidR="00E2336B" w:rsidRPr="00A62C1C" w:rsidRDefault="00E2336B" w:rsidP="00A62C1C">
            <w:pPr>
              <w:spacing w:line="180" w:lineRule="atLeast"/>
              <w:rPr>
                <w:rFonts w:ascii="MinionPro-Regular" w:hAnsi="MinionPro-Regular"/>
                <w:lang w:val="es-ES_tradnl"/>
              </w:rPr>
            </w:pPr>
            <w:r w:rsidRPr="00A62C1C">
              <w:rPr>
                <w:rFonts w:ascii="MinionPro-Regular" w:hAnsi="MinionPro-Regular"/>
                <w:lang w:val="es-ES_tradnl"/>
              </w:rPr>
              <w:t>Pensiones no contributivas</w:t>
            </w:r>
          </w:p>
        </w:tc>
      </w:tr>
      <w:tr w:rsidR="00E2336B" w:rsidRPr="005158FF" w:rsidTr="003063D9">
        <w:trPr>
          <w:trHeight w:val="164"/>
        </w:trPr>
        <w:tc>
          <w:tcPr>
            <w:tcW w:w="2590" w:type="pct"/>
            <w:vMerge/>
            <w:vAlign w:val="center"/>
          </w:tcPr>
          <w:p w:rsidR="00E2336B" w:rsidRPr="00A62C1C" w:rsidRDefault="00E2336B" w:rsidP="00A62C1C">
            <w:pPr>
              <w:spacing w:line="180" w:lineRule="atLeast"/>
              <w:rPr>
                <w:rFonts w:ascii="MinionPro-Regular" w:hAnsi="MinionPro-Regular"/>
                <w:b/>
                <w:lang w:val="es-ES_tradnl"/>
              </w:rPr>
            </w:pPr>
          </w:p>
        </w:tc>
        <w:tc>
          <w:tcPr>
            <w:tcW w:w="2410" w:type="pct"/>
            <w:vAlign w:val="center"/>
          </w:tcPr>
          <w:p w:rsidR="00E2336B" w:rsidRPr="00A62C1C" w:rsidRDefault="00E2336B" w:rsidP="00A62C1C">
            <w:pPr>
              <w:spacing w:line="180" w:lineRule="atLeast"/>
              <w:rPr>
                <w:rFonts w:ascii="MinionPro-Regular" w:hAnsi="MinionPro-Regular"/>
                <w:lang w:val="es-ES_tradnl"/>
              </w:rPr>
            </w:pPr>
            <w:r w:rsidRPr="00A62C1C">
              <w:rPr>
                <w:rFonts w:ascii="MinionPro-Regular" w:hAnsi="MinionPro-Regular"/>
                <w:lang w:val="es-ES_tradnl"/>
              </w:rPr>
              <w:t>Pensiones contributivas</w:t>
            </w:r>
          </w:p>
        </w:tc>
      </w:tr>
      <w:tr w:rsidR="00FF3ADB" w:rsidRPr="005158FF" w:rsidTr="003063D9">
        <w:trPr>
          <w:trHeight w:val="164"/>
        </w:trPr>
        <w:tc>
          <w:tcPr>
            <w:tcW w:w="2590" w:type="pct"/>
            <w:vMerge/>
            <w:vAlign w:val="center"/>
          </w:tcPr>
          <w:p w:rsidR="00FF3ADB" w:rsidRPr="00A62C1C" w:rsidRDefault="00FF3ADB" w:rsidP="00A62C1C">
            <w:pPr>
              <w:spacing w:line="180" w:lineRule="atLeast"/>
              <w:rPr>
                <w:rFonts w:ascii="MinionPro-Regular" w:hAnsi="MinionPro-Regular"/>
                <w:b/>
                <w:lang w:val="es-ES_tradnl"/>
              </w:rPr>
            </w:pPr>
          </w:p>
        </w:tc>
        <w:tc>
          <w:tcPr>
            <w:tcW w:w="2410" w:type="pct"/>
            <w:vAlign w:val="center"/>
          </w:tcPr>
          <w:p w:rsidR="00FF3ADB" w:rsidRPr="00A62C1C" w:rsidRDefault="00FF3ADB" w:rsidP="00A62C1C">
            <w:pPr>
              <w:spacing w:line="180" w:lineRule="atLeast"/>
              <w:rPr>
                <w:rFonts w:ascii="MinionPro-Regular" w:hAnsi="MinionPro-Regular"/>
                <w:lang w:val="es-ES_tradnl"/>
              </w:rPr>
            </w:pPr>
            <w:r w:rsidRPr="00A62C1C">
              <w:rPr>
                <w:rFonts w:ascii="MinionPro-Regular" w:hAnsi="MinionPro-Regular"/>
                <w:lang w:val="es-ES_tradnl"/>
              </w:rPr>
              <w:t>Ahorro en gasto sanitario</w:t>
            </w:r>
          </w:p>
        </w:tc>
      </w:tr>
      <w:tr w:rsidR="00E2336B" w:rsidRPr="005158FF" w:rsidTr="003063D9">
        <w:trPr>
          <w:trHeight w:val="164"/>
        </w:trPr>
        <w:tc>
          <w:tcPr>
            <w:tcW w:w="2590" w:type="pct"/>
            <w:vMerge/>
            <w:tcBorders>
              <w:bottom w:val="single" w:sz="4" w:space="0" w:color="auto"/>
            </w:tcBorders>
            <w:vAlign w:val="center"/>
          </w:tcPr>
          <w:p w:rsidR="00E2336B" w:rsidRPr="00A62C1C" w:rsidRDefault="00E2336B" w:rsidP="00A62C1C">
            <w:pPr>
              <w:spacing w:line="180" w:lineRule="atLeast"/>
              <w:rPr>
                <w:rFonts w:ascii="MinionPro-Regular" w:hAnsi="MinionPro-Regular"/>
                <w:lang w:val="es-ES_tradnl"/>
              </w:rPr>
            </w:pPr>
          </w:p>
        </w:tc>
        <w:tc>
          <w:tcPr>
            <w:tcW w:w="2410" w:type="pct"/>
            <w:tcBorders>
              <w:bottom w:val="single" w:sz="4" w:space="0" w:color="auto"/>
            </w:tcBorders>
            <w:vAlign w:val="center"/>
          </w:tcPr>
          <w:p w:rsidR="00E2336B" w:rsidRPr="00A62C1C" w:rsidRDefault="00FF3ADB" w:rsidP="00A62C1C">
            <w:pPr>
              <w:spacing w:line="180" w:lineRule="atLeast"/>
              <w:rPr>
                <w:rFonts w:ascii="MinionPro-Regular" w:hAnsi="MinionPro-Regular"/>
                <w:lang w:val="es-ES_tradnl"/>
              </w:rPr>
            </w:pPr>
            <w:r>
              <w:rPr>
                <w:rFonts w:ascii="MinionPro-Regular" w:hAnsi="MinionPro-Regular"/>
                <w:lang w:val="es-ES_tradnl"/>
              </w:rPr>
              <w:t>Ahorro en plazas ocupacionales</w:t>
            </w:r>
          </w:p>
        </w:tc>
      </w:tr>
      <w:tr w:rsidR="003063D9" w:rsidRPr="005158FF" w:rsidTr="003063D9">
        <w:trPr>
          <w:trHeight w:val="164"/>
        </w:trPr>
        <w:tc>
          <w:tcPr>
            <w:tcW w:w="5000" w:type="pct"/>
            <w:gridSpan w:val="2"/>
            <w:tcBorders>
              <w:top w:val="single" w:sz="4" w:space="0" w:color="auto"/>
              <w:bottom w:val="nil"/>
            </w:tcBorders>
            <w:vAlign w:val="center"/>
          </w:tcPr>
          <w:p w:rsidR="003063D9" w:rsidRDefault="003063D9" w:rsidP="00A62C1C">
            <w:pPr>
              <w:spacing w:line="180" w:lineRule="atLeast"/>
              <w:rPr>
                <w:rFonts w:ascii="MinionPro-Regular" w:hAnsi="MinionPro-Regular"/>
                <w:lang w:val="es-ES_tradnl"/>
              </w:rPr>
            </w:pPr>
            <w:r w:rsidRPr="003063D9">
              <w:rPr>
                <w:rFonts w:ascii="MinionPro-Regular" w:hAnsi="MinionPro-Regular"/>
                <w:b/>
                <w:lang w:val="es-ES_tradnl"/>
              </w:rPr>
              <w:t>Otras aspectos a tener en cuenta</w:t>
            </w:r>
            <w:r>
              <w:rPr>
                <w:rFonts w:ascii="MinionPro-Regular" w:hAnsi="MinionPro-Regular"/>
                <w:b/>
                <w:lang w:val="es-ES_tradnl"/>
              </w:rPr>
              <w:t>, aunque no se contabilizan en el retorno económico</w:t>
            </w:r>
          </w:p>
        </w:tc>
      </w:tr>
      <w:tr w:rsidR="003063D9" w:rsidRPr="005158FF" w:rsidTr="003063D9">
        <w:trPr>
          <w:trHeight w:val="164"/>
        </w:trPr>
        <w:tc>
          <w:tcPr>
            <w:tcW w:w="5000" w:type="pct"/>
            <w:gridSpan w:val="2"/>
            <w:tcBorders>
              <w:top w:val="nil"/>
              <w:bottom w:val="nil"/>
            </w:tcBorders>
            <w:vAlign w:val="center"/>
          </w:tcPr>
          <w:p w:rsidR="003063D9" w:rsidRPr="001624DD" w:rsidRDefault="00603CED" w:rsidP="00A62C1C">
            <w:pPr>
              <w:spacing w:line="180" w:lineRule="atLeast"/>
              <w:rPr>
                <w:rFonts w:ascii="MinionPro-Regular" w:hAnsi="MinionPro-Regular"/>
              </w:rPr>
            </w:pPr>
            <w:r>
              <w:rPr>
                <w:rFonts w:ascii="MinionPro-Regular" w:hAnsi="MinionPro-Regular"/>
                <w:lang w:val="es-ES_tradnl"/>
              </w:rPr>
              <w:t>Ahorro en prestaciones por desempleo</w:t>
            </w:r>
          </w:p>
        </w:tc>
      </w:tr>
      <w:tr w:rsidR="003063D9" w:rsidRPr="005158FF" w:rsidTr="003063D9">
        <w:trPr>
          <w:trHeight w:val="164"/>
        </w:trPr>
        <w:tc>
          <w:tcPr>
            <w:tcW w:w="5000" w:type="pct"/>
            <w:gridSpan w:val="2"/>
            <w:tcBorders>
              <w:top w:val="nil"/>
              <w:bottom w:val="single" w:sz="4" w:space="0" w:color="auto"/>
            </w:tcBorders>
            <w:vAlign w:val="center"/>
          </w:tcPr>
          <w:p w:rsidR="003063D9" w:rsidRPr="003063D9" w:rsidRDefault="00B02346" w:rsidP="00A62C1C">
            <w:pPr>
              <w:spacing w:line="180" w:lineRule="atLeast"/>
              <w:rPr>
                <w:rFonts w:ascii="MinionPro-Regular" w:hAnsi="MinionPro-Regular"/>
                <w:b/>
                <w:lang w:val="es-ES_tradnl"/>
              </w:rPr>
            </w:pPr>
            <w:r>
              <w:rPr>
                <w:rFonts w:ascii="MinionPro-Regular" w:hAnsi="MinionPro-Regular"/>
                <w:lang w:val="es-ES_tradnl"/>
              </w:rPr>
              <w:t>Pago en s</w:t>
            </w:r>
            <w:r w:rsidR="00451351">
              <w:rPr>
                <w:rFonts w:ascii="MinionPro-Regular" w:hAnsi="MinionPro-Regular"/>
                <w:lang w:val="es-ES_tradnl"/>
              </w:rPr>
              <w:t>alarios de los trabajadores</w:t>
            </w:r>
            <w:r>
              <w:rPr>
                <w:rFonts w:ascii="MinionPro-Regular" w:hAnsi="MinionPro-Regular"/>
                <w:lang w:val="es-ES_tradnl"/>
              </w:rPr>
              <w:t xml:space="preserve"> </w:t>
            </w:r>
            <w:r w:rsidR="00451351">
              <w:rPr>
                <w:rFonts w:ascii="MinionPro-Regular" w:hAnsi="MinionPro-Regular"/>
                <w:lang w:val="es-ES_tradnl"/>
              </w:rPr>
              <w:t>de centros especiales de empleo</w:t>
            </w:r>
          </w:p>
        </w:tc>
      </w:tr>
    </w:tbl>
    <w:p w:rsidR="00B02346" w:rsidRDefault="00B02346" w:rsidP="00891BAF">
      <w:pPr>
        <w:pBdr>
          <w:bottom w:val="single" w:sz="4" w:space="1" w:color="auto"/>
        </w:pBdr>
        <w:autoSpaceDE w:val="0"/>
        <w:autoSpaceDN w:val="0"/>
        <w:spacing w:line="360" w:lineRule="auto"/>
        <w:jc w:val="both"/>
        <w:rPr>
          <w:rFonts w:ascii="MinionPro-Regular" w:hAnsi="MinionPro-Regular"/>
          <w:sz w:val="20"/>
          <w:szCs w:val="24"/>
          <w:lang w:val="es-ES_tradnl"/>
        </w:rPr>
      </w:pPr>
    </w:p>
    <w:p w:rsidR="00E2336B" w:rsidRPr="00891BAF" w:rsidRDefault="00E2336B" w:rsidP="00891BAF">
      <w:pPr>
        <w:pBdr>
          <w:bottom w:val="single" w:sz="4" w:space="1" w:color="auto"/>
        </w:pBdr>
        <w:autoSpaceDE w:val="0"/>
        <w:autoSpaceDN w:val="0"/>
        <w:spacing w:line="360" w:lineRule="auto"/>
        <w:jc w:val="both"/>
        <w:rPr>
          <w:rFonts w:ascii="MinionPro-Regular" w:hAnsi="MinionPro-Regular"/>
          <w:sz w:val="20"/>
          <w:szCs w:val="24"/>
          <w:lang w:val="es-ES_tradnl"/>
        </w:rPr>
      </w:pPr>
      <w:r w:rsidRPr="00891BAF">
        <w:rPr>
          <w:rFonts w:ascii="MinionPro-Regular" w:hAnsi="MinionPro-Regular"/>
          <w:sz w:val="20"/>
          <w:szCs w:val="24"/>
          <w:lang w:val="es-ES_tradnl"/>
        </w:rPr>
        <w:t xml:space="preserve">Fuente: </w:t>
      </w:r>
      <w:r>
        <w:rPr>
          <w:rFonts w:ascii="MinionPro-Regular" w:hAnsi="MinionPro-Regular"/>
          <w:sz w:val="20"/>
          <w:szCs w:val="24"/>
          <w:lang w:val="es-ES_tradnl"/>
        </w:rPr>
        <w:t>E</w:t>
      </w:r>
      <w:r w:rsidRPr="00891BAF">
        <w:rPr>
          <w:rFonts w:ascii="MinionPro-Regular" w:hAnsi="MinionPro-Regular"/>
          <w:sz w:val="20"/>
          <w:szCs w:val="24"/>
          <w:lang w:val="es-ES_tradnl"/>
        </w:rPr>
        <w:t>laboración propia</w:t>
      </w:r>
    </w:p>
    <w:p w:rsidR="00E2336B" w:rsidRDefault="00E2336B" w:rsidP="00890FE5">
      <w:pPr>
        <w:autoSpaceDE w:val="0"/>
        <w:autoSpaceDN w:val="0"/>
        <w:spacing w:line="360" w:lineRule="auto"/>
        <w:jc w:val="both"/>
        <w:rPr>
          <w:rFonts w:ascii="MinionPro-Regular" w:hAnsi="MinionPro-Regular"/>
          <w:sz w:val="24"/>
          <w:szCs w:val="24"/>
          <w:lang w:val="es-ES_tradnl"/>
        </w:rPr>
      </w:pPr>
    </w:p>
    <w:p w:rsidR="00E2336B" w:rsidRPr="007E120F" w:rsidRDefault="00E2336B" w:rsidP="0007541A">
      <w:pPr>
        <w:pStyle w:val="Ttulo2"/>
        <w:numPr>
          <w:ilvl w:val="1"/>
          <w:numId w:val="3"/>
        </w:numPr>
        <w:ind w:left="0"/>
        <w:rPr>
          <w:rFonts w:ascii="MinionPro-Regular" w:hAnsi="MinionPro-Regular"/>
          <w:lang w:val="es-ES_tradnl"/>
        </w:rPr>
      </w:pPr>
      <w:bookmarkStart w:id="404" w:name="_Toc340340560"/>
      <w:bookmarkStart w:id="405" w:name="_Toc352773581"/>
      <w:bookmarkEnd w:id="402"/>
      <w:r w:rsidRPr="007E120F">
        <w:rPr>
          <w:rFonts w:ascii="MinionPro-Regular" w:hAnsi="MinionPro-Regular"/>
          <w:lang w:val="es-ES_tradnl"/>
        </w:rPr>
        <w:t>Ayudas de la administración pública que implican salida de efectivo</w:t>
      </w:r>
      <w:bookmarkEnd w:id="404"/>
      <w:bookmarkEnd w:id="405"/>
    </w:p>
    <w:p w:rsidR="00E2336B" w:rsidRDefault="00E2336B" w:rsidP="00890FE5">
      <w:pPr>
        <w:pStyle w:val="Textoindependiente"/>
        <w:rPr>
          <w:lang w:val="es-ES_tradnl"/>
        </w:rPr>
      </w:pPr>
    </w:p>
    <w:p w:rsidR="00B02346" w:rsidRDefault="00E2336B" w:rsidP="00890FE5">
      <w:pPr>
        <w:autoSpaceDE w:val="0"/>
        <w:autoSpaceDN w:val="0"/>
        <w:spacing w:line="360" w:lineRule="auto"/>
        <w:jc w:val="both"/>
        <w:rPr>
          <w:rFonts w:ascii="MinionPro-Regular" w:hAnsi="MinionPro-Regular"/>
          <w:sz w:val="24"/>
          <w:szCs w:val="24"/>
          <w:lang w:val="es-ES_tradnl"/>
        </w:rPr>
      </w:pPr>
      <w:r w:rsidRPr="00B92858">
        <w:rPr>
          <w:rFonts w:ascii="MinionPro-Regular" w:hAnsi="MinionPro-Regular"/>
          <w:sz w:val="24"/>
          <w:szCs w:val="24"/>
          <w:lang w:val="es-ES_tradnl"/>
        </w:rPr>
        <w:t xml:space="preserve">Los </w:t>
      </w:r>
      <w:r>
        <w:rPr>
          <w:rFonts w:ascii="MinionPro-Regular" w:hAnsi="MinionPro-Regular"/>
          <w:sz w:val="24"/>
          <w:szCs w:val="24"/>
          <w:lang w:val="es-ES_tradnl"/>
        </w:rPr>
        <w:t xml:space="preserve">centros especiales de empleo </w:t>
      </w:r>
      <w:r w:rsidRPr="00B92858">
        <w:rPr>
          <w:rFonts w:ascii="MinionPro-Regular" w:hAnsi="MinionPro-Regular"/>
          <w:sz w:val="24"/>
          <w:szCs w:val="24"/>
          <w:lang w:val="es-ES_tradnl"/>
        </w:rPr>
        <w:t xml:space="preserve"> reciben </w:t>
      </w:r>
      <w:r>
        <w:rPr>
          <w:rFonts w:ascii="MinionPro-Regular" w:hAnsi="MinionPro-Regular"/>
          <w:sz w:val="24"/>
          <w:szCs w:val="24"/>
          <w:lang w:val="es-ES_tradnl"/>
        </w:rPr>
        <w:t xml:space="preserve">ayudas públicas </w:t>
      </w:r>
      <w:r w:rsidRPr="00B92858">
        <w:rPr>
          <w:rFonts w:ascii="MinionPro-Regular" w:hAnsi="MinionPro-Regular"/>
          <w:sz w:val="24"/>
          <w:szCs w:val="24"/>
          <w:lang w:val="es-ES_tradnl"/>
        </w:rPr>
        <w:t xml:space="preserve">en concepto de generación y mantenimiento de empleo y </w:t>
      </w:r>
      <w:r>
        <w:rPr>
          <w:rFonts w:ascii="MinionPro-Regular" w:hAnsi="MinionPro-Regular"/>
          <w:sz w:val="24"/>
          <w:szCs w:val="24"/>
          <w:lang w:val="es-ES_tradnl"/>
        </w:rPr>
        <w:t xml:space="preserve">de </w:t>
      </w:r>
      <w:r w:rsidRPr="00B92858">
        <w:rPr>
          <w:rFonts w:ascii="MinionPro-Regular" w:hAnsi="MinionPro-Regular"/>
          <w:sz w:val="24"/>
          <w:szCs w:val="24"/>
          <w:lang w:val="es-ES_tradnl"/>
        </w:rPr>
        <w:t>unidades de apoyo.</w:t>
      </w:r>
      <w:r>
        <w:rPr>
          <w:rFonts w:ascii="MinionPro-Regular" w:hAnsi="MinionPro-Regular"/>
          <w:sz w:val="24"/>
          <w:szCs w:val="24"/>
          <w:lang w:val="es-ES_tradnl"/>
        </w:rPr>
        <w:t xml:space="preserve"> </w:t>
      </w:r>
      <w:r w:rsidRPr="00B92858">
        <w:rPr>
          <w:rFonts w:ascii="MinionPro-Regular" w:hAnsi="MinionPro-Regular"/>
          <w:sz w:val="24"/>
          <w:szCs w:val="24"/>
          <w:lang w:val="es-ES_tradnl"/>
        </w:rPr>
        <w:t>Según datos de la Tesorería General de la Seguridad Social</w:t>
      </w:r>
      <w:r>
        <w:rPr>
          <w:rFonts w:ascii="MinionPro-Regular" w:hAnsi="MinionPro-Regular"/>
          <w:sz w:val="24"/>
          <w:szCs w:val="24"/>
          <w:lang w:val="es-ES_tradnl"/>
        </w:rPr>
        <w:t xml:space="preserve"> el compromiso de gasto en 2011 ascendió a 323.514.020 euros.</w:t>
      </w:r>
    </w:p>
    <w:p w:rsidR="00E2336B" w:rsidRPr="007E120F" w:rsidRDefault="00E2336B" w:rsidP="0007541A">
      <w:pPr>
        <w:pStyle w:val="Ttulo2"/>
        <w:numPr>
          <w:ilvl w:val="1"/>
          <w:numId w:val="3"/>
        </w:numPr>
        <w:ind w:left="0"/>
        <w:rPr>
          <w:rFonts w:ascii="MinionPro-Regular" w:hAnsi="MinionPro-Regular"/>
          <w:lang w:val="es-ES_tradnl"/>
        </w:rPr>
      </w:pPr>
      <w:bookmarkStart w:id="406" w:name="_Toc340340561"/>
      <w:bookmarkStart w:id="407" w:name="_Toc352773582"/>
      <w:r w:rsidRPr="007E120F">
        <w:rPr>
          <w:rFonts w:ascii="MinionPro-Regular" w:hAnsi="MinionPro-Regular"/>
          <w:lang w:val="es-ES_tradnl"/>
        </w:rPr>
        <w:t>Ayudas de la administración pública que no implican salida de efectivo</w:t>
      </w:r>
      <w:bookmarkEnd w:id="406"/>
      <w:bookmarkEnd w:id="407"/>
    </w:p>
    <w:p w:rsidR="00E2336B" w:rsidRDefault="00E2336B" w:rsidP="00890FE5">
      <w:pPr>
        <w:autoSpaceDE w:val="0"/>
        <w:autoSpaceDN w:val="0"/>
        <w:spacing w:line="360" w:lineRule="auto"/>
        <w:jc w:val="both"/>
        <w:rPr>
          <w:rFonts w:ascii="MinionPro-Regular" w:hAnsi="MinionPro-Regular"/>
          <w:sz w:val="24"/>
          <w:szCs w:val="24"/>
          <w:lang w:val="es-ES_tradnl"/>
        </w:rPr>
      </w:pPr>
    </w:p>
    <w:p w:rsidR="00E2336B" w:rsidRDefault="00E2336B" w:rsidP="005F13C4">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 xml:space="preserve">Las bonificaciones empresariales a las cuotas de la seguridad social alcanzan el 100% para cada trabajador con discapacidad de los centros especiales de empleo. Las ayudas públicas por este concepto alcanzarían un total de 204.815.193 euros de acuerdo, de nuevo, a </w:t>
      </w:r>
      <w:r w:rsidRPr="00B92858">
        <w:rPr>
          <w:rFonts w:ascii="MinionPro-Regular" w:hAnsi="MinionPro-Regular"/>
          <w:sz w:val="24"/>
          <w:szCs w:val="24"/>
          <w:lang w:val="es-ES_tradnl"/>
        </w:rPr>
        <w:t>la Tesorería General de la Seguridad Social</w:t>
      </w:r>
      <w:r>
        <w:rPr>
          <w:rFonts w:ascii="MinionPro-Regular" w:hAnsi="MinionPro-Regular"/>
          <w:sz w:val="24"/>
          <w:szCs w:val="24"/>
          <w:lang w:val="es-ES_tradnl"/>
        </w:rPr>
        <w:t>.</w:t>
      </w:r>
    </w:p>
    <w:p w:rsidR="00E2336B" w:rsidRDefault="00E2336B" w:rsidP="004D5933">
      <w:pPr>
        <w:autoSpaceDE w:val="0"/>
        <w:autoSpaceDN w:val="0"/>
        <w:spacing w:line="360" w:lineRule="auto"/>
        <w:jc w:val="both"/>
        <w:rPr>
          <w:rFonts w:ascii="MinionPro-Regular" w:hAnsi="MinionPro-Regular"/>
          <w:sz w:val="24"/>
          <w:szCs w:val="24"/>
          <w:lang w:val="es-ES_tradnl"/>
        </w:rPr>
      </w:pPr>
    </w:p>
    <w:p w:rsidR="00E2336B" w:rsidRDefault="00E2336B" w:rsidP="004D5933">
      <w:pPr>
        <w:autoSpaceDE w:val="0"/>
        <w:autoSpaceDN w:val="0"/>
        <w:spacing w:line="360" w:lineRule="auto"/>
        <w:jc w:val="both"/>
        <w:rPr>
          <w:rFonts w:ascii="MinionPro-Regular" w:hAnsi="MinionPro-Regular"/>
          <w:sz w:val="24"/>
          <w:szCs w:val="24"/>
          <w:lang w:val="es-ES_tradnl"/>
        </w:rPr>
      </w:pPr>
    </w:p>
    <w:p w:rsidR="001E0871" w:rsidRDefault="001E0871" w:rsidP="004D5933">
      <w:pPr>
        <w:autoSpaceDE w:val="0"/>
        <w:autoSpaceDN w:val="0"/>
        <w:spacing w:line="360" w:lineRule="auto"/>
        <w:jc w:val="both"/>
        <w:rPr>
          <w:rFonts w:ascii="MinionPro-Regular" w:hAnsi="MinionPro-Regular"/>
          <w:sz w:val="24"/>
          <w:szCs w:val="24"/>
          <w:lang w:val="es-ES_tradnl"/>
        </w:rPr>
      </w:pPr>
    </w:p>
    <w:p w:rsidR="001E0871" w:rsidRDefault="001E0871" w:rsidP="004D5933">
      <w:pPr>
        <w:autoSpaceDE w:val="0"/>
        <w:autoSpaceDN w:val="0"/>
        <w:spacing w:line="360" w:lineRule="auto"/>
        <w:jc w:val="both"/>
        <w:rPr>
          <w:rFonts w:ascii="MinionPro-Regular" w:hAnsi="MinionPro-Regular"/>
          <w:sz w:val="24"/>
          <w:szCs w:val="24"/>
          <w:lang w:val="es-ES_tradnl"/>
        </w:rPr>
      </w:pPr>
    </w:p>
    <w:p w:rsidR="001E0871" w:rsidRDefault="001E0871" w:rsidP="004D5933">
      <w:pPr>
        <w:autoSpaceDE w:val="0"/>
        <w:autoSpaceDN w:val="0"/>
        <w:spacing w:line="360" w:lineRule="auto"/>
        <w:jc w:val="both"/>
        <w:rPr>
          <w:rFonts w:ascii="MinionPro-Regular" w:hAnsi="MinionPro-Regular"/>
          <w:sz w:val="24"/>
          <w:szCs w:val="24"/>
          <w:lang w:val="es-ES_tradnl"/>
        </w:rPr>
      </w:pPr>
    </w:p>
    <w:p w:rsidR="001E0871" w:rsidRDefault="001E0871" w:rsidP="004D5933">
      <w:pPr>
        <w:autoSpaceDE w:val="0"/>
        <w:autoSpaceDN w:val="0"/>
        <w:spacing w:line="360" w:lineRule="auto"/>
        <w:jc w:val="both"/>
        <w:rPr>
          <w:rFonts w:ascii="MinionPro-Regular" w:hAnsi="MinionPro-Regular"/>
          <w:sz w:val="24"/>
          <w:szCs w:val="24"/>
          <w:lang w:val="es-ES_tradnl"/>
        </w:rPr>
      </w:pPr>
    </w:p>
    <w:p w:rsidR="001E0871" w:rsidRDefault="001E0871" w:rsidP="004D5933">
      <w:pPr>
        <w:autoSpaceDE w:val="0"/>
        <w:autoSpaceDN w:val="0"/>
        <w:spacing w:line="360" w:lineRule="auto"/>
        <w:jc w:val="both"/>
        <w:rPr>
          <w:rFonts w:ascii="MinionPro-Regular" w:hAnsi="MinionPro-Regular"/>
          <w:sz w:val="24"/>
          <w:szCs w:val="24"/>
          <w:lang w:val="es-ES_tradnl"/>
        </w:rPr>
      </w:pPr>
    </w:p>
    <w:p w:rsidR="001E0871" w:rsidRDefault="001E0871" w:rsidP="004D5933">
      <w:pPr>
        <w:autoSpaceDE w:val="0"/>
        <w:autoSpaceDN w:val="0"/>
        <w:spacing w:line="360" w:lineRule="auto"/>
        <w:jc w:val="both"/>
        <w:rPr>
          <w:rFonts w:ascii="MinionPro-Regular" w:hAnsi="MinionPro-Regular"/>
          <w:sz w:val="24"/>
          <w:szCs w:val="24"/>
          <w:lang w:val="es-ES_tradnl"/>
        </w:rPr>
      </w:pPr>
    </w:p>
    <w:p w:rsidR="001E0871" w:rsidRDefault="001E0871" w:rsidP="004D5933">
      <w:pPr>
        <w:autoSpaceDE w:val="0"/>
        <w:autoSpaceDN w:val="0"/>
        <w:spacing w:line="360" w:lineRule="auto"/>
        <w:jc w:val="both"/>
        <w:rPr>
          <w:rFonts w:ascii="MinionPro-Regular" w:hAnsi="MinionPro-Regular"/>
          <w:sz w:val="24"/>
          <w:szCs w:val="24"/>
          <w:lang w:val="es-ES_tradnl"/>
        </w:rPr>
      </w:pPr>
    </w:p>
    <w:p w:rsidR="001E0871" w:rsidRDefault="001E0871" w:rsidP="004D5933">
      <w:pPr>
        <w:autoSpaceDE w:val="0"/>
        <w:autoSpaceDN w:val="0"/>
        <w:spacing w:line="360" w:lineRule="auto"/>
        <w:jc w:val="both"/>
        <w:rPr>
          <w:rFonts w:ascii="MinionPro-Regular" w:hAnsi="MinionPro-Regular"/>
          <w:sz w:val="24"/>
          <w:szCs w:val="24"/>
          <w:lang w:val="es-ES_tradnl"/>
        </w:rPr>
      </w:pPr>
    </w:p>
    <w:p w:rsidR="00E2336B" w:rsidRDefault="00E2336B">
      <w:pPr>
        <w:pBdr>
          <w:top w:val="single" w:sz="4" w:space="1" w:color="auto"/>
        </w:pBdr>
        <w:autoSpaceDE w:val="0"/>
        <w:autoSpaceDN w:val="0"/>
        <w:spacing w:line="360" w:lineRule="auto"/>
        <w:rPr>
          <w:rFonts w:ascii="MinionPro-Regular" w:hAnsi="MinionPro-Regular"/>
          <w:sz w:val="20"/>
          <w:szCs w:val="24"/>
          <w:lang w:val="es-ES_tradnl"/>
        </w:rPr>
      </w:pPr>
      <w:r w:rsidRPr="0081432A">
        <w:rPr>
          <w:rFonts w:ascii="MinionPro-Regular" w:hAnsi="MinionPro-Regular"/>
          <w:sz w:val="20"/>
          <w:szCs w:val="24"/>
          <w:lang w:val="es-ES_tradnl"/>
        </w:rPr>
        <w:t>Ayudas de la administración: con y sin salida de efectivo</w:t>
      </w:r>
      <w:r>
        <w:rPr>
          <w:rFonts w:ascii="MinionPro-Regular" w:hAnsi="MinionPro-Regular"/>
          <w:sz w:val="20"/>
          <w:szCs w:val="24"/>
          <w:lang w:val="es-ES_tradnl"/>
        </w:rPr>
        <w:t xml:space="preserve"> (en euros)</w:t>
      </w:r>
    </w:p>
    <w:p w:rsidR="00E2336B" w:rsidRDefault="00E1516B" w:rsidP="004D5933">
      <w:pPr>
        <w:autoSpaceDE w:val="0"/>
        <w:autoSpaceDN w:val="0"/>
        <w:spacing w:line="360" w:lineRule="auto"/>
        <w:rPr>
          <w:rFonts w:ascii="MinionPro-Regular" w:hAnsi="MinionPro-Regular"/>
          <w:sz w:val="20"/>
          <w:szCs w:val="24"/>
          <w:lang w:val="es-ES_tradnl"/>
        </w:rPr>
      </w:pPr>
      <w:r>
        <w:rPr>
          <w:rFonts w:ascii="MinionPro-Regular" w:hAnsi="MinionPro-Regular"/>
          <w:noProof/>
          <w:sz w:val="20"/>
          <w:szCs w:val="24"/>
          <w:lang w:eastAsia="es-ES"/>
        </w:rPr>
        <w:lastRenderedPageBreak/>
        <w:drawing>
          <wp:inline distT="0" distB="0" distL="0" distR="0">
            <wp:extent cx="4114800" cy="2605405"/>
            <wp:effectExtent l="0" t="0" r="0" b="0"/>
            <wp:docPr id="90" name="Picture 90"/>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4116481" cy="2613025"/>
                      <a:chOff x="2513759" y="2122487"/>
                      <a:chExt cx="4116481" cy="2613025"/>
                    </a:xfrm>
                  </a:grpSpPr>
                  <a:graphicFrame>
                    <a:nvGraphicFramePr>
                      <a:cNvPr id="2" name="Chart 1"/>
                      <a:cNvGraphicFramePr/>
                    </a:nvGraphicFramePr>
                    <a:graphic>
                      <a:graphicData uri="http://schemas.openxmlformats.org/drawingml/2006/chart">
                        <c:chart xmlns:c="http://schemas.openxmlformats.org/drawingml/2006/chart" xmlns:r="http://schemas.openxmlformats.org/officeDocument/2006/relationships" r:id="rId114"/>
                      </a:graphicData>
                    </a:graphic>
                    <a:xfrm>
                      <a:off x="2513759" y="2122487"/>
                      <a:ext cx="4116481" cy="2613025"/>
                    </a:xfrm>
                  </a:graphicFrame>
                  <a:sp>
                    <a:nvSpPr>
                      <a:cNvPr id="3" name="Rectangle 2"/>
                      <a:cNvSpPr/>
                    </a:nvSpPr>
                    <a:spPr>
                      <a:xfrm>
                        <a:off x="3851920" y="2132856"/>
                        <a:ext cx="1152128" cy="246221"/>
                      </a:xfrm>
                      <a:prstGeom prst="rect">
                        <a:avLst/>
                      </a:prstGeom>
                    </a:spPr>
                    <a:txSp>
                      <a:txBody>
                        <a:bodyPr wrap="square">
                          <a:spAutoFit/>
                        </a:bodyPr>
                        <a:lstStyle>
                          <a:defPPr>
                            <a:defRPr lang="es-E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s-ES" sz="1000" dirty="0" smtClean="0">
                              <a:latin typeface="MinionPro-Regular"/>
                            </a:rPr>
                            <a:t>528.329.214</a:t>
                          </a:r>
                          <a:endParaRPr lang="es-ES" sz="1000" dirty="0">
                            <a:latin typeface="MinionPro-Regular"/>
                          </a:endParaRPr>
                        </a:p>
                      </a:txBody>
                      <a:useSpRect/>
                    </a:txSp>
                  </a:sp>
                </lc:lockedCanvas>
              </a:graphicData>
            </a:graphic>
          </wp:inline>
        </w:drawing>
      </w:r>
    </w:p>
    <w:p w:rsidR="00E2336B" w:rsidRDefault="00E2336B">
      <w:pPr>
        <w:pBdr>
          <w:bottom w:val="single" w:sz="4" w:space="1" w:color="auto"/>
        </w:pBdr>
        <w:autoSpaceDE w:val="0"/>
        <w:autoSpaceDN w:val="0"/>
        <w:spacing w:line="360" w:lineRule="auto"/>
        <w:jc w:val="both"/>
        <w:rPr>
          <w:rFonts w:ascii="MinionPro-Regular" w:hAnsi="MinionPro-Regular"/>
          <w:sz w:val="20"/>
          <w:szCs w:val="24"/>
          <w:lang w:val="es-ES_tradnl"/>
        </w:rPr>
      </w:pPr>
      <w:r w:rsidRPr="0081432A">
        <w:rPr>
          <w:rFonts w:ascii="MinionPro-Regular" w:hAnsi="MinionPro-Regular"/>
          <w:sz w:val="20"/>
          <w:szCs w:val="24"/>
          <w:lang w:val="es-ES_tradnl"/>
        </w:rPr>
        <w:t xml:space="preserve">Fuente: Elaboración propia a partir de datos de la Tesorería General de la Seguridad Social </w:t>
      </w:r>
    </w:p>
    <w:p w:rsidR="00E2336B" w:rsidRDefault="00E2336B">
      <w:pPr>
        <w:pBdr>
          <w:bottom w:val="single" w:sz="4" w:space="1" w:color="auto"/>
        </w:pBdr>
        <w:autoSpaceDE w:val="0"/>
        <w:autoSpaceDN w:val="0"/>
        <w:spacing w:line="360" w:lineRule="auto"/>
        <w:jc w:val="both"/>
        <w:rPr>
          <w:rFonts w:ascii="MinionPro-Regular" w:hAnsi="MinionPro-Regular"/>
          <w:sz w:val="20"/>
          <w:szCs w:val="24"/>
          <w:lang w:val="es-ES_tradnl"/>
        </w:rPr>
      </w:pPr>
    </w:p>
    <w:p w:rsidR="00E2336B" w:rsidRDefault="00E2336B">
      <w:pPr>
        <w:pBdr>
          <w:bottom w:val="single" w:sz="4" w:space="1" w:color="auto"/>
        </w:pBdr>
        <w:autoSpaceDE w:val="0"/>
        <w:autoSpaceDN w:val="0"/>
        <w:spacing w:line="360" w:lineRule="auto"/>
        <w:jc w:val="both"/>
        <w:rPr>
          <w:rFonts w:ascii="MinionPro-Regular" w:hAnsi="MinionPro-Regular"/>
          <w:sz w:val="20"/>
          <w:szCs w:val="24"/>
          <w:lang w:val="es-ES_tradnl"/>
        </w:rPr>
      </w:pPr>
      <w:r>
        <w:rPr>
          <w:rFonts w:ascii="MinionPro-Regular" w:hAnsi="MinionPro-Regular"/>
          <w:sz w:val="20"/>
          <w:szCs w:val="24"/>
          <w:lang w:val="es-ES_tradnl"/>
        </w:rPr>
        <w:t>Nota explicativa de la gráfica: Eje vertical, euros. Eje horizontal, año 2011. Ayudas con salida de efectivo (323.514.020 euros) equivalente al 61,2% de las ayudas. Ayudas sin salida de efectivo (204.815.193), equivalentes al 38,8% de las ayudas. Cantidad de ayudas totales: 528.329.214 euros.</w:t>
      </w:r>
    </w:p>
    <w:p w:rsidR="00E2336B" w:rsidRDefault="00E2336B">
      <w:pPr>
        <w:autoSpaceDE w:val="0"/>
        <w:autoSpaceDN w:val="0"/>
        <w:spacing w:line="360" w:lineRule="auto"/>
        <w:jc w:val="both"/>
        <w:rPr>
          <w:rFonts w:ascii="MinionPro-Regular" w:hAnsi="MinionPro-Regular"/>
          <w:sz w:val="20"/>
          <w:szCs w:val="24"/>
          <w:lang w:val="es-ES_tradnl"/>
        </w:rPr>
      </w:pPr>
    </w:p>
    <w:p w:rsidR="00B02346" w:rsidRDefault="00B02346">
      <w:pPr>
        <w:autoSpaceDE w:val="0"/>
        <w:autoSpaceDN w:val="0"/>
        <w:spacing w:line="360" w:lineRule="auto"/>
        <w:jc w:val="both"/>
        <w:rPr>
          <w:rFonts w:ascii="MinionPro-Regular" w:hAnsi="MinionPro-Regular"/>
          <w:sz w:val="20"/>
          <w:szCs w:val="24"/>
          <w:lang w:val="es-ES_tradnl"/>
        </w:rPr>
      </w:pPr>
    </w:p>
    <w:p w:rsidR="00E2336B" w:rsidRDefault="00E2336B" w:rsidP="0007541A">
      <w:pPr>
        <w:pStyle w:val="Ttulo2"/>
        <w:numPr>
          <w:ilvl w:val="1"/>
          <w:numId w:val="3"/>
        </w:numPr>
        <w:ind w:left="0"/>
        <w:rPr>
          <w:rFonts w:ascii="MinionPro-Regular" w:hAnsi="MinionPro-Regular"/>
          <w:lang w:val="es-ES_tradnl"/>
        </w:rPr>
      </w:pPr>
      <w:bookmarkStart w:id="408" w:name="_Toc340340562"/>
      <w:bookmarkStart w:id="409" w:name="_Toc352773583"/>
      <w:r w:rsidRPr="0081432A">
        <w:rPr>
          <w:rFonts w:ascii="MinionPro-Regular" w:hAnsi="MinionPro-Regular"/>
          <w:lang w:val="es-ES_tradnl"/>
        </w:rPr>
        <w:t>Retornos de los centros especiales de empleo que implican salida de efectivo</w:t>
      </w:r>
      <w:bookmarkEnd w:id="408"/>
      <w:bookmarkEnd w:id="409"/>
    </w:p>
    <w:p w:rsidR="00E2336B" w:rsidRDefault="00E2336B" w:rsidP="00890FE5">
      <w:pPr>
        <w:autoSpaceDE w:val="0"/>
        <w:autoSpaceDN w:val="0"/>
        <w:spacing w:line="360" w:lineRule="auto"/>
        <w:jc w:val="both"/>
        <w:rPr>
          <w:rFonts w:ascii="MinionPro-Regular" w:hAnsi="MinionPro-Regular"/>
          <w:sz w:val="24"/>
          <w:szCs w:val="24"/>
          <w:lang w:val="es-ES_tradnl"/>
        </w:rPr>
      </w:pPr>
    </w:p>
    <w:p w:rsidR="00E2336B" w:rsidRDefault="00E2336B" w:rsidP="00890FE5">
      <w:pPr>
        <w:autoSpaceDE w:val="0"/>
        <w:autoSpaceDN w:val="0"/>
        <w:spacing w:line="360" w:lineRule="auto"/>
        <w:jc w:val="both"/>
        <w:rPr>
          <w:rFonts w:ascii="MinionPro-Regular" w:hAnsi="MinionPro-Regular"/>
          <w:sz w:val="24"/>
          <w:szCs w:val="24"/>
          <w:lang w:val="es-ES_tradnl"/>
        </w:rPr>
      </w:pPr>
      <w:r w:rsidRPr="00B8603F">
        <w:rPr>
          <w:rFonts w:ascii="MinionPro-Regular" w:hAnsi="MinionPro-Regular"/>
          <w:sz w:val="24"/>
          <w:szCs w:val="24"/>
          <w:lang w:val="es-ES_tradnl"/>
        </w:rPr>
        <w:t xml:space="preserve">Los </w:t>
      </w:r>
      <w:r>
        <w:rPr>
          <w:rFonts w:ascii="MinionPro-Regular" w:hAnsi="MinionPro-Regular"/>
          <w:sz w:val="24"/>
          <w:szCs w:val="24"/>
          <w:lang w:val="es-ES_tradnl"/>
        </w:rPr>
        <w:t xml:space="preserve">centros especiales de empleo </w:t>
      </w:r>
      <w:r w:rsidRPr="00B8603F">
        <w:rPr>
          <w:rFonts w:ascii="MinionPro-Regular" w:hAnsi="MinionPro-Regular"/>
          <w:sz w:val="24"/>
          <w:szCs w:val="24"/>
          <w:lang w:val="es-ES_tradnl"/>
        </w:rPr>
        <w:t>presentan obligaciones en cuanto a</w:t>
      </w:r>
      <w:r>
        <w:rPr>
          <w:rFonts w:ascii="MinionPro-Regular" w:hAnsi="MinionPro-Regular"/>
          <w:sz w:val="24"/>
          <w:szCs w:val="24"/>
          <w:lang w:val="es-ES_tradnl"/>
        </w:rPr>
        <w:t>l</w:t>
      </w:r>
      <w:r w:rsidRPr="00B8603F">
        <w:rPr>
          <w:rFonts w:ascii="MinionPro-Regular" w:hAnsi="MinionPro-Regular"/>
          <w:sz w:val="24"/>
          <w:szCs w:val="24"/>
          <w:lang w:val="es-ES_tradnl"/>
        </w:rPr>
        <w:t xml:space="preserve"> pago de impuestos y cotizaciones a la </w:t>
      </w:r>
      <w:r>
        <w:rPr>
          <w:rFonts w:ascii="MinionPro-Regular" w:hAnsi="MinionPro-Regular"/>
          <w:sz w:val="24"/>
          <w:szCs w:val="24"/>
          <w:lang w:val="es-ES_tradnl"/>
        </w:rPr>
        <w:t>seguridad s</w:t>
      </w:r>
      <w:r w:rsidRPr="00B8603F">
        <w:rPr>
          <w:rFonts w:ascii="MinionPro-Regular" w:hAnsi="MinionPro-Regular"/>
          <w:sz w:val="24"/>
          <w:szCs w:val="24"/>
          <w:lang w:val="es-ES_tradnl"/>
        </w:rPr>
        <w:t xml:space="preserve">ocial, así como el impuesto de sociedades en aquellos casos </w:t>
      </w:r>
      <w:r>
        <w:rPr>
          <w:rFonts w:ascii="MinionPro-Regular" w:hAnsi="MinionPro-Regular"/>
          <w:sz w:val="24"/>
          <w:szCs w:val="24"/>
          <w:lang w:val="es-ES_tradnl"/>
        </w:rPr>
        <w:t>en los que adoptan forma mercantil</w:t>
      </w:r>
      <w:r w:rsidRPr="00B8603F">
        <w:rPr>
          <w:rFonts w:ascii="MinionPro-Regular" w:hAnsi="MinionPro-Regular"/>
          <w:sz w:val="24"/>
          <w:szCs w:val="24"/>
          <w:lang w:val="es-ES_tradnl"/>
        </w:rPr>
        <w:t>.</w:t>
      </w:r>
    </w:p>
    <w:p w:rsidR="00E2336B" w:rsidRDefault="00E2336B" w:rsidP="00890FE5">
      <w:pPr>
        <w:autoSpaceDE w:val="0"/>
        <w:autoSpaceDN w:val="0"/>
        <w:spacing w:line="360" w:lineRule="auto"/>
        <w:jc w:val="both"/>
        <w:rPr>
          <w:rFonts w:ascii="MinionPro-Regular" w:hAnsi="MinionPro-Regular"/>
          <w:sz w:val="24"/>
          <w:szCs w:val="24"/>
          <w:lang w:val="es-ES_tradnl"/>
        </w:rPr>
      </w:pPr>
    </w:p>
    <w:p w:rsidR="00E2336B" w:rsidRDefault="00E2336B">
      <w:pPr>
        <w:autoSpaceDE w:val="0"/>
        <w:autoSpaceDN w:val="0"/>
        <w:spacing w:line="360" w:lineRule="auto"/>
        <w:jc w:val="both"/>
        <w:rPr>
          <w:rFonts w:ascii="MinionPro-Regular" w:hAnsi="MinionPro-Regular"/>
          <w:sz w:val="24"/>
          <w:szCs w:val="24"/>
          <w:lang w:val="es-ES_tradnl"/>
        </w:rPr>
      </w:pPr>
      <w:r w:rsidRPr="00B8603F">
        <w:rPr>
          <w:rFonts w:ascii="MinionPro-Regular" w:hAnsi="MinionPro-Regular"/>
          <w:sz w:val="24"/>
          <w:szCs w:val="24"/>
          <w:lang w:val="es-ES_tradnl"/>
        </w:rPr>
        <w:t xml:space="preserve">Adicionalmente, </w:t>
      </w:r>
      <w:r>
        <w:rPr>
          <w:rFonts w:ascii="MinionPro-Regular" w:hAnsi="MinionPro-Regular"/>
          <w:sz w:val="24"/>
          <w:szCs w:val="24"/>
          <w:lang w:val="es-ES_tradnl"/>
        </w:rPr>
        <w:t xml:space="preserve">hay que tener en cuenta los impuestos indirectos como consecuencia del consumo de los productos y servicios que los centros especiales de empleo ponen en el mercado. </w:t>
      </w:r>
      <w:r w:rsidRPr="00B8603F">
        <w:rPr>
          <w:rFonts w:ascii="MinionPro-Regular" w:hAnsi="MinionPro-Regular"/>
          <w:sz w:val="24"/>
          <w:szCs w:val="24"/>
          <w:lang w:val="es-ES_tradnl"/>
        </w:rPr>
        <w:t xml:space="preserve"> </w:t>
      </w:r>
    </w:p>
    <w:p w:rsidR="00E2336B" w:rsidRPr="007E120F" w:rsidRDefault="00E2336B" w:rsidP="0007541A">
      <w:pPr>
        <w:pStyle w:val="Ttulo3"/>
        <w:numPr>
          <w:ilvl w:val="2"/>
          <w:numId w:val="3"/>
        </w:numPr>
        <w:rPr>
          <w:rFonts w:ascii="MinionPro-Regular" w:hAnsi="MinionPro-Regular"/>
          <w:lang w:val="es-ES_tradnl"/>
        </w:rPr>
      </w:pPr>
      <w:bookmarkStart w:id="410" w:name="_Toc347654335"/>
      <w:bookmarkStart w:id="411" w:name="_Toc347667943"/>
      <w:bookmarkStart w:id="412" w:name="_Toc347654336"/>
      <w:bookmarkStart w:id="413" w:name="_Toc347667944"/>
      <w:bookmarkStart w:id="414" w:name="_Toc340340563"/>
      <w:bookmarkStart w:id="415" w:name="_Toc352773584"/>
      <w:bookmarkEnd w:id="410"/>
      <w:bookmarkEnd w:id="411"/>
      <w:bookmarkEnd w:id="412"/>
      <w:bookmarkEnd w:id="413"/>
      <w:r w:rsidRPr="007E120F">
        <w:rPr>
          <w:rFonts w:ascii="MinionPro-Regular" w:hAnsi="MinionPro-Regular"/>
          <w:lang w:val="es-ES_tradnl"/>
        </w:rPr>
        <w:lastRenderedPageBreak/>
        <w:t>IRPF y cotizaciones a la seguridad social</w:t>
      </w:r>
      <w:bookmarkEnd w:id="414"/>
      <w:bookmarkEnd w:id="415"/>
    </w:p>
    <w:p w:rsidR="00E2336B" w:rsidRPr="00371EB0" w:rsidRDefault="00E2336B" w:rsidP="00890FE5">
      <w:pPr>
        <w:pStyle w:val="Textoindependiente"/>
        <w:rPr>
          <w:lang w:val="es-ES_tradnl"/>
        </w:rPr>
      </w:pPr>
    </w:p>
    <w:p w:rsidR="00E2336B" w:rsidRDefault="00E2336B" w:rsidP="00890FE5">
      <w:pPr>
        <w:autoSpaceDE w:val="0"/>
        <w:autoSpaceDN w:val="0"/>
        <w:spacing w:line="360" w:lineRule="auto"/>
        <w:jc w:val="both"/>
        <w:rPr>
          <w:rFonts w:ascii="MinionPro-Regular" w:hAnsi="MinionPro-Regular"/>
          <w:sz w:val="24"/>
          <w:szCs w:val="24"/>
          <w:lang w:val="es-ES_tradnl"/>
        </w:rPr>
      </w:pPr>
      <w:r w:rsidRPr="00200C9A">
        <w:rPr>
          <w:rFonts w:ascii="MinionPro-Regular" w:hAnsi="MinionPro-Regular"/>
          <w:sz w:val="24"/>
          <w:szCs w:val="24"/>
          <w:lang w:val="es-ES_tradnl"/>
        </w:rPr>
        <w:t xml:space="preserve">En relación al cálculo </w:t>
      </w:r>
      <w:r>
        <w:rPr>
          <w:rFonts w:ascii="MinionPro-Regular" w:hAnsi="MinionPro-Regular"/>
          <w:sz w:val="24"/>
          <w:szCs w:val="24"/>
          <w:lang w:val="es-ES_tradnl"/>
        </w:rPr>
        <w:t>del</w:t>
      </w:r>
      <w:r w:rsidRPr="00200C9A">
        <w:rPr>
          <w:rFonts w:ascii="MinionPro-Regular" w:hAnsi="MinionPro-Regular"/>
          <w:sz w:val="24"/>
          <w:szCs w:val="24"/>
          <w:lang w:val="es-ES_tradnl"/>
        </w:rPr>
        <w:t xml:space="preserve"> </w:t>
      </w:r>
      <w:r>
        <w:rPr>
          <w:rFonts w:ascii="MinionPro-Regular" w:hAnsi="MinionPro-Regular"/>
          <w:sz w:val="24"/>
          <w:szCs w:val="24"/>
          <w:lang w:val="es-ES_tradnl"/>
        </w:rPr>
        <w:t>Impuesto sobre la Renta de las Personas Físicas</w:t>
      </w:r>
      <w:r w:rsidRPr="00200C9A">
        <w:rPr>
          <w:rFonts w:ascii="MinionPro-Regular" w:hAnsi="MinionPro-Regular"/>
          <w:sz w:val="24"/>
          <w:szCs w:val="24"/>
          <w:lang w:val="es-ES_tradnl"/>
        </w:rPr>
        <w:t xml:space="preserve"> y </w:t>
      </w:r>
      <w:r>
        <w:rPr>
          <w:rFonts w:ascii="MinionPro-Regular" w:hAnsi="MinionPro-Regular"/>
          <w:sz w:val="24"/>
          <w:szCs w:val="24"/>
          <w:lang w:val="es-ES_tradnl"/>
        </w:rPr>
        <w:t>las cotizaciones a la s</w:t>
      </w:r>
      <w:r w:rsidRPr="00200C9A">
        <w:rPr>
          <w:rFonts w:ascii="MinionPro-Regular" w:hAnsi="MinionPro-Regular"/>
          <w:sz w:val="24"/>
          <w:szCs w:val="24"/>
          <w:lang w:val="es-ES_tradnl"/>
        </w:rPr>
        <w:t xml:space="preserve">eguridad </w:t>
      </w:r>
      <w:r>
        <w:rPr>
          <w:rFonts w:ascii="MinionPro-Regular" w:hAnsi="MinionPro-Regular"/>
          <w:sz w:val="24"/>
          <w:szCs w:val="24"/>
          <w:lang w:val="es-ES_tradnl"/>
        </w:rPr>
        <w:t>s</w:t>
      </w:r>
      <w:r w:rsidRPr="00200C9A">
        <w:rPr>
          <w:rFonts w:ascii="MinionPro-Regular" w:hAnsi="MinionPro-Regular"/>
          <w:sz w:val="24"/>
          <w:szCs w:val="24"/>
          <w:lang w:val="es-ES_tradnl"/>
        </w:rPr>
        <w:t xml:space="preserve">ocial, </w:t>
      </w:r>
      <w:r>
        <w:rPr>
          <w:rFonts w:ascii="MinionPro-Regular" w:hAnsi="MinionPro-Regular"/>
          <w:sz w:val="24"/>
          <w:szCs w:val="24"/>
          <w:lang w:val="es-ES_tradnl"/>
        </w:rPr>
        <w:t>los datos tienen su origen principal en</w:t>
      </w:r>
      <w:r w:rsidRPr="00200C9A">
        <w:rPr>
          <w:rFonts w:ascii="MinionPro-Regular" w:hAnsi="MinionPro-Regular"/>
          <w:sz w:val="24"/>
          <w:szCs w:val="24"/>
          <w:lang w:val="es-ES_tradnl"/>
        </w:rPr>
        <w:t xml:space="preserve"> la Muestra Continua de Vida Laboral</w:t>
      </w:r>
      <w:r>
        <w:rPr>
          <w:rFonts w:ascii="MinionPro-Regular" w:hAnsi="MinionPro-Regular"/>
          <w:sz w:val="24"/>
          <w:szCs w:val="24"/>
          <w:lang w:val="es-ES_tradnl"/>
        </w:rPr>
        <w:t xml:space="preserve"> (MCVL) de la </w:t>
      </w:r>
      <w:r w:rsidRPr="00F8698A">
        <w:rPr>
          <w:rFonts w:ascii="MinionPro-Regular" w:hAnsi="MinionPro-Regular"/>
          <w:sz w:val="24"/>
          <w:szCs w:val="24"/>
          <w:lang w:val="es-ES_tradnl"/>
        </w:rPr>
        <w:t>Dirección General de Ordenación de la Seguridad Social</w:t>
      </w:r>
      <w:r>
        <w:rPr>
          <w:rFonts w:ascii="MinionPro-Regular" w:hAnsi="MinionPro-Regular"/>
          <w:sz w:val="24"/>
          <w:szCs w:val="24"/>
          <w:lang w:val="es-ES_tradnl"/>
        </w:rPr>
        <w:t xml:space="preserve">, correspondiente al </w:t>
      </w:r>
      <w:r w:rsidRPr="008B461D">
        <w:rPr>
          <w:rFonts w:ascii="MinionPro-Regular" w:hAnsi="MinionPro-Regular"/>
          <w:sz w:val="24"/>
          <w:szCs w:val="24"/>
          <w:lang w:val="es-ES_tradnl"/>
        </w:rPr>
        <w:t>ejercicio 2011</w:t>
      </w:r>
      <w:r>
        <w:rPr>
          <w:rFonts w:ascii="MinionPro-Regular" w:hAnsi="MinionPro-Regular"/>
          <w:sz w:val="24"/>
          <w:szCs w:val="24"/>
          <w:lang w:val="es-ES_tradnl"/>
        </w:rPr>
        <w:t xml:space="preserve">. </w:t>
      </w:r>
      <w:r w:rsidRPr="00200C9A">
        <w:rPr>
          <w:rFonts w:ascii="MinionPro-Regular" w:hAnsi="MinionPro-Regular"/>
          <w:sz w:val="24"/>
          <w:szCs w:val="24"/>
          <w:lang w:val="es-ES_tradnl"/>
        </w:rPr>
        <w:t xml:space="preserve">A partir de la </w:t>
      </w:r>
      <w:r>
        <w:rPr>
          <w:rFonts w:ascii="MinionPro-Regular" w:hAnsi="MinionPro-Regular"/>
          <w:sz w:val="24"/>
          <w:szCs w:val="24"/>
          <w:lang w:val="es-ES_tradnl"/>
        </w:rPr>
        <w:t xml:space="preserve">misma es posible estimar </w:t>
      </w:r>
      <w:r w:rsidRPr="00C70ED6">
        <w:rPr>
          <w:rFonts w:ascii="MinionPro-Regular" w:hAnsi="MinionPro-Regular"/>
          <w:sz w:val="24"/>
          <w:szCs w:val="24"/>
          <w:lang w:val="es-ES_tradnl"/>
        </w:rPr>
        <w:t xml:space="preserve">la cuota empresarial de </w:t>
      </w:r>
      <w:r>
        <w:rPr>
          <w:rFonts w:ascii="MinionPro-Regular" w:hAnsi="MinionPro-Regular"/>
          <w:sz w:val="24"/>
          <w:szCs w:val="24"/>
          <w:lang w:val="es-ES_tradnl"/>
        </w:rPr>
        <w:t>la seguridad s</w:t>
      </w:r>
      <w:r w:rsidRPr="00C70ED6">
        <w:rPr>
          <w:rFonts w:ascii="MinionPro-Regular" w:hAnsi="MinionPro-Regular"/>
          <w:sz w:val="24"/>
          <w:szCs w:val="24"/>
          <w:lang w:val="es-ES_tradnl"/>
        </w:rPr>
        <w:t>ocial</w:t>
      </w:r>
      <w:r>
        <w:rPr>
          <w:rFonts w:ascii="MinionPro-Regular" w:hAnsi="MinionPro-Regular"/>
          <w:sz w:val="24"/>
          <w:szCs w:val="24"/>
          <w:lang w:val="es-ES_tradnl"/>
        </w:rPr>
        <w:t xml:space="preserve"> </w:t>
      </w:r>
      <w:r w:rsidRPr="002C0C60">
        <w:rPr>
          <w:rFonts w:ascii="MinionPro-Regular" w:hAnsi="MinionPro-Regular"/>
          <w:sz w:val="24"/>
          <w:szCs w:val="24"/>
          <w:lang w:val="es-ES_tradnl"/>
        </w:rPr>
        <w:t xml:space="preserve">y </w:t>
      </w:r>
      <w:r>
        <w:rPr>
          <w:rFonts w:ascii="MinionPro-Regular" w:hAnsi="MinionPro-Regular"/>
          <w:sz w:val="24"/>
          <w:szCs w:val="24"/>
          <w:lang w:val="es-ES_tradnl"/>
        </w:rPr>
        <w:t>la</w:t>
      </w:r>
      <w:r w:rsidRPr="002C0C60">
        <w:rPr>
          <w:rFonts w:ascii="MinionPro-Regular" w:hAnsi="MinionPro-Regular"/>
          <w:sz w:val="24"/>
          <w:szCs w:val="24"/>
          <w:lang w:val="es-ES_tradnl"/>
        </w:rPr>
        <w:t xml:space="preserve"> correspondiente al empleado</w:t>
      </w:r>
      <w:r>
        <w:rPr>
          <w:rFonts w:ascii="MinionPro-Regular" w:hAnsi="MinionPro-Regular"/>
          <w:sz w:val="24"/>
          <w:szCs w:val="24"/>
          <w:lang w:val="es-ES_tradnl"/>
        </w:rPr>
        <w:t xml:space="preserve">, tal y como establece </w:t>
      </w:r>
      <w:r w:rsidRPr="00200C9A">
        <w:rPr>
          <w:rFonts w:ascii="MinionPro-Regular" w:hAnsi="MinionPro-Regular"/>
          <w:sz w:val="24"/>
          <w:szCs w:val="24"/>
          <w:lang w:val="es-ES_tradnl"/>
        </w:rPr>
        <w:t>Ley de Presupuestos Generales del Estado par</w:t>
      </w:r>
      <w:r>
        <w:rPr>
          <w:rFonts w:ascii="MinionPro-Regular" w:hAnsi="MinionPro-Regular"/>
          <w:sz w:val="24"/>
          <w:szCs w:val="24"/>
          <w:lang w:val="es-ES_tradnl"/>
        </w:rPr>
        <w:t>a el ejercicio de 2011</w:t>
      </w:r>
      <w:r>
        <w:rPr>
          <w:rStyle w:val="Refdenotaalpie"/>
          <w:rFonts w:ascii="MinionPro-Regular" w:hAnsi="MinionPro-Regular"/>
          <w:sz w:val="24"/>
          <w:szCs w:val="24"/>
          <w:lang w:val="es-ES_tradnl"/>
        </w:rPr>
        <w:footnoteReference w:id="54"/>
      </w:r>
      <w:r>
        <w:rPr>
          <w:rFonts w:ascii="MinionPro-Regular" w:hAnsi="MinionPro-Regular"/>
          <w:sz w:val="24"/>
          <w:szCs w:val="24"/>
          <w:lang w:val="es-ES_tradnl"/>
        </w:rPr>
        <w:t>.</w:t>
      </w:r>
    </w:p>
    <w:p w:rsidR="00E2336B" w:rsidRDefault="00E2336B" w:rsidP="00890FE5">
      <w:pPr>
        <w:autoSpaceDE w:val="0"/>
        <w:autoSpaceDN w:val="0"/>
        <w:spacing w:line="360" w:lineRule="auto"/>
        <w:jc w:val="both"/>
        <w:rPr>
          <w:rFonts w:ascii="MinionPro-Regular" w:hAnsi="MinionPro-Regular"/>
          <w:sz w:val="24"/>
          <w:szCs w:val="24"/>
          <w:lang w:val="es-ES_tradnl"/>
        </w:rPr>
      </w:pPr>
    </w:p>
    <w:p w:rsidR="00E2336B" w:rsidRDefault="00E2336B" w:rsidP="00890FE5">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 xml:space="preserve">La información contenida en la MCVL permite asimismo estimar las retenciones del Impuesto sobre la Renta de las Personas Físicas. </w:t>
      </w:r>
    </w:p>
    <w:p w:rsidR="00B02346" w:rsidRDefault="00B02346" w:rsidP="00890FE5">
      <w:pPr>
        <w:autoSpaceDE w:val="0"/>
        <w:autoSpaceDN w:val="0"/>
        <w:spacing w:line="360" w:lineRule="auto"/>
        <w:jc w:val="both"/>
        <w:rPr>
          <w:rFonts w:ascii="MinionPro-Regular" w:hAnsi="MinionPro-Regular"/>
          <w:sz w:val="24"/>
          <w:szCs w:val="24"/>
          <w:lang w:val="es-ES_tradnl"/>
        </w:rPr>
      </w:pPr>
    </w:p>
    <w:p w:rsidR="00B02346" w:rsidRDefault="00B02346" w:rsidP="00890FE5">
      <w:pPr>
        <w:autoSpaceDE w:val="0"/>
        <w:autoSpaceDN w:val="0"/>
        <w:spacing w:line="360" w:lineRule="auto"/>
        <w:jc w:val="both"/>
        <w:rPr>
          <w:rFonts w:ascii="MinionPro-Regular" w:hAnsi="MinionPro-Regular"/>
          <w:sz w:val="24"/>
          <w:szCs w:val="24"/>
          <w:lang w:val="es-ES_tradnl"/>
        </w:rPr>
      </w:pPr>
    </w:p>
    <w:p w:rsidR="00E2336B" w:rsidRDefault="00E2336B" w:rsidP="00890FE5">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L</w:t>
      </w:r>
      <w:r w:rsidRPr="002C0C60">
        <w:rPr>
          <w:rFonts w:ascii="MinionPro-Regular" w:hAnsi="MinionPro-Regular"/>
          <w:sz w:val="24"/>
          <w:szCs w:val="24"/>
          <w:lang w:val="es-ES_tradnl"/>
        </w:rPr>
        <w:t>os resultados obtenidos son los siguientes:</w:t>
      </w:r>
    </w:p>
    <w:p w:rsidR="00E2336B" w:rsidRPr="002C0C60" w:rsidRDefault="00E2336B" w:rsidP="00890FE5">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 xml:space="preserve"> </w:t>
      </w:r>
    </w:p>
    <w:tbl>
      <w:tblPr>
        <w:tblpPr w:leftFromText="180" w:rightFromText="180" w:vertAnchor="text" w:horzAnchor="margin" w:tblpY="140"/>
        <w:tblW w:w="8613" w:type="dxa"/>
        <w:tblBorders>
          <w:bottom w:val="single" w:sz="12" w:space="0" w:color="409DAD"/>
        </w:tblBorders>
        <w:tblCellMar>
          <w:top w:w="28" w:type="dxa"/>
          <w:left w:w="28" w:type="dxa"/>
          <w:bottom w:w="28" w:type="dxa"/>
          <w:right w:w="28" w:type="dxa"/>
        </w:tblCellMar>
        <w:tblLook w:val="00A0"/>
      </w:tblPr>
      <w:tblGrid>
        <w:gridCol w:w="2214"/>
        <w:gridCol w:w="1869"/>
        <w:gridCol w:w="1620"/>
        <w:gridCol w:w="2910"/>
      </w:tblGrid>
      <w:tr w:rsidR="00E2336B" w:rsidRPr="0057142A" w:rsidTr="00A62C1C">
        <w:trPr>
          <w:gridBefore w:val="1"/>
          <w:trHeight w:val="206"/>
        </w:trPr>
        <w:tc>
          <w:tcPr>
            <w:tcW w:w="1869" w:type="dxa"/>
            <w:shd w:val="clear" w:color="auto" w:fill="409DAD"/>
            <w:vAlign w:val="center"/>
          </w:tcPr>
          <w:p w:rsidR="00E2336B" w:rsidRPr="00A62C1C" w:rsidRDefault="00E2336B" w:rsidP="00A62C1C">
            <w:pPr>
              <w:autoSpaceDE w:val="0"/>
              <w:autoSpaceDN w:val="0"/>
              <w:spacing w:line="360" w:lineRule="auto"/>
              <w:jc w:val="center"/>
              <w:rPr>
                <w:rFonts w:ascii="MinionPro-Regular" w:hAnsi="MinionPro-Regular"/>
                <w:color w:val="FFFFFF"/>
                <w:sz w:val="16"/>
                <w:szCs w:val="24"/>
                <w:lang w:val="es-ES_tradnl"/>
              </w:rPr>
            </w:pPr>
            <w:r w:rsidRPr="00A62C1C">
              <w:rPr>
                <w:rFonts w:ascii="MinionPro-Regular" w:hAnsi="MinionPro-Regular"/>
                <w:color w:val="FFFFFF"/>
                <w:sz w:val="16"/>
                <w:szCs w:val="24"/>
                <w:lang w:val="es-ES_tradnl"/>
              </w:rPr>
              <w:t>IRPF</w:t>
            </w:r>
          </w:p>
        </w:tc>
        <w:tc>
          <w:tcPr>
            <w:tcW w:w="1620" w:type="dxa"/>
            <w:shd w:val="clear" w:color="auto" w:fill="409DAD"/>
            <w:vAlign w:val="center"/>
          </w:tcPr>
          <w:p w:rsidR="00E2336B" w:rsidRPr="00A62C1C" w:rsidRDefault="00E2336B" w:rsidP="00A62C1C">
            <w:pPr>
              <w:autoSpaceDE w:val="0"/>
              <w:autoSpaceDN w:val="0"/>
              <w:spacing w:line="360" w:lineRule="auto"/>
              <w:jc w:val="center"/>
              <w:rPr>
                <w:rFonts w:ascii="MinionPro-Regular" w:hAnsi="MinionPro-Regular"/>
                <w:color w:val="FFFFFF"/>
                <w:sz w:val="16"/>
                <w:szCs w:val="24"/>
                <w:lang w:val="es-ES_tradnl"/>
              </w:rPr>
            </w:pPr>
            <w:r w:rsidRPr="00A62C1C">
              <w:rPr>
                <w:rFonts w:ascii="MinionPro-Regular" w:hAnsi="MinionPro-Regular"/>
                <w:color w:val="FFFFFF"/>
                <w:sz w:val="16"/>
                <w:szCs w:val="24"/>
                <w:lang w:val="es-ES_tradnl"/>
              </w:rPr>
              <w:t>Cuota seguridad social (empleado)</w:t>
            </w:r>
          </w:p>
        </w:tc>
        <w:tc>
          <w:tcPr>
            <w:tcW w:w="2910" w:type="dxa"/>
            <w:shd w:val="clear" w:color="auto" w:fill="409DAD"/>
            <w:vAlign w:val="center"/>
          </w:tcPr>
          <w:p w:rsidR="00E2336B" w:rsidRPr="00A62C1C" w:rsidRDefault="00E2336B" w:rsidP="00A62C1C">
            <w:pPr>
              <w:autoSpaceDE w:val="0"/>
              <w:autoSpaceDN w:val="0"/>
              <w:spacing w:line="360" w:lineRule="auto"/>
              <w:jc w:val="center"/>
              <w:rPr>
                <w:rFonts w:ascii="MinionPro-Regular" w:hAnsi="MinionPro-Regular"/>
                <w:color w:val="FFFFFF"/>
                <w:sz w:val="16"/>
                <w:szCs w:val="24"/>
                <w:lang w:val="es-ES_tradnl"/>
              </w:rPr>
            </w:pPr>
            <w:r w:rsidRPr="00A62C1C">
              <w:rPr>
                <w:rFonts w:ascii="MinionPro-Regular" w:hAnsi="MinionPro-Regular"/>
                <w:color w:val="FFFFFF"/>
                <w:sz w:val="16"/>
                <w:szCs w:val="24"/>
                <w:lang w:val="es-ES_tradnl"/>
              </w:rPr>
              <w:t>Cuota seguridad social (empleador)</w:t>
            </w:r>
          </w:p>
        </w:tc>
      </w:tr>
      <w:tr w:rsidR="00E2336B" w:rsidRPr="0057142A" w:rsidTr="00A62C1C">
        <w:trPr>
          <w:trHeight w:val="412"/>
        </w:trPr>
        <w:tc>
          <w:tcPr>
            <w:tcW w:w="2214" w:type="dxa"/>
            <w:tcBorders>
              <w:bottom w:val="single" w:sz="4" w:space="0" w:color="auto"/>
            </w:tcBorders>
            <w:vAlign w:val="center"/>
          </w:tcPr>
          <w:p w:rsidR="00E2336B" w:rsidRPr="00A62C1C" w:rsidRDefault="00E2336B" w:rsidP="00A62C1C">
            <w:pPr>
              <w:autoSpaceDE w:val="0"/>
              <w:autoSpaceDN w:val="0"/>
              <w:spacing w:line="360" w:lineRule="auto"/>
              <w:rPr>
                <w:rFonts w:ascii="MinionPro-Regular" w:hAnsi="MinionPro-Regular"/>
                <w:sz w:val="16"/>
                <w:szCs w:val="24"/>
                <w:lang w:val="es-ES_tradnl"/>
              </w:rPr>
            </w:pPr>
            <w:r w:rsidRPr="00A62C1C">
              <w:rPr>
                <w:rFonts w:ascii="MinionPro-Regular" w:hAnsi="MinionPro-Regular"/>
                <w:sz w:val="16"/>
                <w:szCs w:val="24"/>
                <w:lang w:val="es-ES_tradnl"/>
              </w:rPr>
              <w:t>Retorno de las personas con discapacidad  de la MCVL  (euros)</w:t>
            </w:r>
          </w:p>
        </w:tc>
        <w:tc>
          <w:tcPr>
            <w:tcW w:w="1869" w:type="dxa"/>
            <w:tcBorders>
              <w:bottom w:val="single" w:sz="4" w:space="0" w:color="auto"/>
            </w:tcBorders>
            <w:vAlign w:val="center"/>
          </w:tcPr>
          <w:p w:rsidR="00E2336B" w:rsidRPr="00A62C1C" w:rsidRDefault="00E2336B" w:rsidP="00A62C1C">
            <w:pPr>
              <w:autoSpaceDE w:val="0"/>
              <w:autoSpaceDN w:val="0"/>
              <w:spacing w:line="360" w:lineRule="auto"/>
              <w:jc w:val="center"/>
              <w:rPr>
                <w:rFonts w:ascii="MinionPro-Regular" w:hAnsi="MinionPro-Regular"/>
                <w:sz w:val="16"/>
                <w:szCs w:val="24"/>
                <w:lang w:val="es-ES_tradnl"/>
              </w:rPr>
            </w:pPr>
            <w:r w:rsidRPr="00A62C1C">
              <w:rPr>
                <w:rFonts w:ascii="MinionPro-Regular" w:hAnsi="MinionPro-Regular"/>
                <w:sz w:val="16"/>
                <w:szCs w:val="24"/>
                <w:lang w:val="es-ES_tradnl"/>
              </w:rPr>
              <w:t>3.649.881</w:t>
            </w:r>
          </w:p>
        </w:tc>
        <w:tc>
          <w:tcPr>
            <w:tcW w:w="1620" w:type="dxa"/>
            <w:tcBorders>
              <w:bottom w:val="single" w:sz="4" w:space="0" w:color="auto"/>
            </w:tcBorders>
            <w:vAlign w:val="center"/>
          </w:tcPr>
          <w:p w:rsidR="00E2336B" w:rsidRPr="00A62C1C" w:rsidRDefault="00E2336B" w:rsidP="00A62C1C">
            <w:pPr>
              <w:autoSpaceDE w:val="0"/>
              <w:autoSpaceDN w:val="0"/>
              <w:spacing w:line="360" w:lineRule="auto"/>
              <w:jc w:val="center"/>
              <w:rPr>
                <w:rFonts w:ascii="MinionPro-Regular" w:hAnsi="MinionPro-Regular"/>
                <w:sz w:val="16"/>
                <w:szCs w:val="24"/>
                <w:lang w:val="es-ES_tradnl"/>
              </w:rPr>
            </w:pPr>
            <w:r w:rsidRPr="00A62C1C">
              <w:rPr>
                <w:rFonts w:ascii="MinionPro-Regular" w:hAnsi="MinionPro-Regular"/>
                <w:sz w:val="16"/>
                <w:szCs w:val="24"/>
                <w:lang w:val="es-ES_tradnl"/>
              </w:rPr>
              <w:t>4.645.649</w:t>
            </w:r>
          </w:p>
        </w:tc>
        <w:tc>
          <w:tcPr>
            <w:tcW w:w="2910" w:type="dxa"/>
            <w:tcBorders>
              <w:bottom w:val="single" w:sz="4" w:space="0" w:color="auto"/>
            </w:tcBorders>
            <w:vAlign w:val="center"/>
          </w:tcPr>
          <w:p w:rsidR="00E2336B" w:rsidRPr="00A62C1C" w:rsidRDefault="00E2336B" w:rsidP="00A62C1C">
            <w:pPr>
              <w:autoSpaceDE w:val="0"/>
              <w:autoSpaceDN w:val="0"/>
              <w:spacing w:line="360" w:lineRule="auto"/>
              <w:jc w:val="center"/>
              <w:rPr>
                <w:rFonts w:ascii="MinionPro-Regular" w:hAnsi="MinionPro-Regular"/>
                <w:sz w:val="16"/>
                <w:szCs w:val="24"/>
                <w:lang w:val="es-ES_tradnl"/>
              </w:rPr>
            </w:pPr>
            <w:r w:rsidRPr="00A62C1C">
              <w:rPr>
                <w:rFonts w:ascii="MinionPro-Regular" w:hAnsi="MinionPro-Regular"/>
                <w:sz w:val="16"/>
                <w:szCs w:val="24"/>
                <w:lang w:val="es-ES_tradnl"/>
              </w:rPr>
              <w:t>17.265.718</w:t>
            </w:r>
          </w:p>
        </w:tc>
      </w:tr>
      <w:tr w:rsidR="00E2336B" w:rsidRPr="0057142A" w:rsidTr="00A62C1C">
        <w:trPr>
          <w:trHeight w:val="206"/>
        </w:trPr>
        <w:tc>
          <w:tcPr>
            <w:tcW w:w="2214" w:type="dxa"/>
            <w:tcBorders>
              <w:top w:val="single" w:sz="4" w:space="0" w:color="auto"/>
              <w:bottom w:val="single" w:sz="4" w:space="0" w:color="auto"/>
            </w:tcBorders>
            <w:vAlign w:val="center"/>
          </w:tcPr>
          <w:p w:rsidR="00E2336B" w:rsidRPr="00A62C1C" w:rsidRDefault="00E2336B" w:rsidP="00A62C1C">
            <w:pPr>
              <w:autoSpaceDE w:val="0"/>
              <w:autoSpaceDN w:val="0"/>
              <w:spacing w:line="360" w:lineRule="auto"/>
              <w:rPr>
                <w:rFonts w:ascii="MinionPro-Regular" w:hAnsi="MinionPro-Regular"/>
                <w:sz w:val="16"/>
                <w:szCs w:val="24"/>
                <w:lang w:val="es-ES_tradnl"/>
              </w:rPr>
            </w:pPr>
            <w:r w:rsidRPr="00A62C1C">
              <w:rPr>
                <w:rFonts w:ascii="MinionPro-Regular" w:hAnsi="MinionPro-Regular"/>
                <w:sz w:val="16"/>
                <w:szCs w:val="24"/>
                <w:lang w:val="es-ES_tradnl"/>
              </w:rPr>
              <w:t>Retorno medio por persona con discapacidad  en España obtenida de la MCVL  (euros)</w:t>
            </w:r>
          </w:p>
        </w:tc>
        <w:tc>
          <w:tcPr>
            <w:tcW w:w="1869" w:type="dxa"/>
            <w:tcBorders>
              <w:top w:val="single" w:sz="4" w:space="0" w:color="auto"/>
              <w:bottom w:val="single" w:sz="4" w:space="0" w:color="auto"/>
            </w:tcBorders>
            <w:vAlign w:val="center"/>
          </w:tcPr>
          <w:p w:rsidR="00E2336B" w:rsidRPr="00A62C1C" w:rsidRDefault="00E2336B" w:rsidP="00A62C1C">
            <w:pPr>
              <w:autoSpaceDE w:val="0"/>
              <w:autoSpaceDN w:val="0"/>
              <w:spacing w:line="360" w:lineRule="auto"/>
              <w:jc w:val="center"/>
              <w:rPr>
                <w:rFonts w:ascii="MinionPro-Regular" w:hAnsi="MinionPro-Regular"/>
                <w:sz w:val="16"/>
                <w:szCs w:val="24"/>
                <w:lang w:val="es-ES_tradnl"/>
              </w:rPr>
            </w:pPr>
            <w:r w:rsidRPr="00A62C1C">
              <w:rPr>
                <w:rFonts w:ascii="MinionPro-Regular" w:hAnsi="MinionPro-Regular"/>
                <w:sz w:val="16"/>
                <w:szCs w:val="24"/>
                <w:lang w:val="es-ES_tradnl"/>
              </w:rPr>
              <w:t>597</w:t>
            </w:r>
          </w:p>
        </w:tc>
        <w:tc>
          <w:tcPr>
            <w:tcW w:w="1620" w:type="dxa"/>
            <w:tcBorders>
              <w:top w:val="single" w:sz="4" w:space="0" w:color="auto"/>
              <w:bottom w:val="single" w:sz="4" w:space="0" w:color="auto"/>
            </w:tcBorders>
            <w:vAlign w:val="center"/>
          </w:tcPr>
          <w:p w:rsidR="00E2336B" w:rsidRPr="00A62C1C" w:rsidRDefault="00E2336B" w:rsidP="00A62C1C">
            <w:pPr>
              <w:autoSpaceDE w:val="0"/>
              <w:autoSpaceDN w:val="0"/>
              <w:spacing w:line="360" w:lineRule="auto"/>
              <w:jc w:val="center"/>
              <w:rPr>
                <w:rFonts w:ascii="MinionPro-Regular" w:hAnsi="MinionPro-Regular"/>
                <w:sz w:val="16"/>
                <w:szCs w:val="24"/>
                <w:lang w:val="es-ES_tradnl"/>
              </w:rPr>
            </w:pPr>
            <w:r w:rsidRPr="00A62C1C">
              <w:rPr>
                <w:rFonts w:ascii="MinionPro-Regular" w:hAnsi="MinionPro-Regular"/>
                <w:sz w:val="16"/>
                <w:szCs w:val="24"/>
                <w:lang w:val="es-ES_tradnl"/>
              </w:rPr>
              <w:t>760</w:t>
            </w:r>
          </w:p>
        </w:tc>
        <w:tc>
          <w:tcPr>
            <w:tcW w:w="2910" w:type="dxa"/>
            <w:tcBorders>
              <w:top w:val="single" w:sz="4" w:space="0" w:color="auto"/>
              <w:bottom w:val="single" w:sz="4" w:space="0" w:color="auto"/>
            </w:tcBorders>
            <w:vAlign w:val="center"/>
          </w:tcPr>
          <w:p w:rsidR="00E2336B" w:rsidRPr="00A62C1C" w:rsidRDefault="00E2336B" w:rsidP="00A62C1C">
            <w:pPr>
              <w:autoSpaceDE w:val="0"/>
              <w:autoSpaceDN w:val="0"/>
              <w:spacing w:line="360" w:lineRule="auto"/>
              <w:jc w:val="center"/>
              <w:rPr>
                <w:rFonts w:ascii="MinionPro-Regular" w:hAnsi="MinionPro-Regular"/>
                <w:sz w:val="16"/>
                <w:szCs w:val="24"/>
                <w:lang w:val="es-ES_tradnl"/>
              </w:rPr>
            </w:pPr>
            <w:r w:rsidRPr="00A62C1C">
              <w:rPr>
                <w:rFonts w:ascii="MinionPro-Regular" w:hAnsi="MinionPro-Regular"/>
                <w:sz w:val="16"/>
                <w:szCs w:val="24"/>
                <w:lang w:val="es-ES_tradnl"/>
              </w:rPr>
              <w:t>2.824</w:t>
            </w:r>
          </w:p>
        </w:tc>
      </w:tr>
      <w:tr w:rsidR="00E2336B" w:rsidRPr="0057142A" w:rsidTr="00A62C1C">
        <w:trPr>
          <w:trHeight w:val="206"/>
        </w:trPr>
        <w:tc>
          <w:tcPr>
            <w:tcW w:w="8613" w:type="dxa"/>
            <w:gridSpan w:val="4"/>
            <w:tcBorders>
              <w:top w:val="single" w:sz="4" w:space="0" w:color="auto"/>
              <w:bottom w:val="single" w:sz="12" w:space="0" w:color="409DAD"/>
            </w:tcBorders>
            <w:noWrap/>
            <w:vAlign w:val="center"/>
          </w:tcPr>
          <w:p w:rsidR="00E2336B" w:rsidRPr="00A62C1C" w:rsidRDefault="00E2336B" w:rsidP="00A62C1C">
            <w:pPr>
              <w:autoSpaceDE w:val="0"/>
              <w:autoSpaceDN w:val="0"/>
              <w:spacing w:line="360" w:lineRule="auto"/>
              <w:jc w:val="both"/>
              <w:rPr>
                <w:color w:val="000000"/>
                <w:sz w:val="16"/>
                <w:szCs w:val="22"/>
                <w:lang w:val="es-ES_tradnl"/>
              </w:rPr>
            </w:pPr>
            <w:r w:rsidRPr="00A62C1C">
              <w:rPr>
                <w:rFonts w:ascii="MinionPro-Regular" w:hAnsi="MinionPro-Regular"/>
                <w:sz w:val="16"/>
                <w:szCs w:val="24"/>
                <w:lang w:val="es-ES_tradnl"/>
              </w:rPr>
              <w:t>Nota: Datos obtenidos de la MCVL sobre una muestra de 6.114 personas con grado de minusvalía declarado a la seguridad social.</w:t>
            </w:r>
            <w:r w:rsidRPr="00A62C1C">
              <w:rPr>
                <w:color w:val="000000"/>
                <w:sz w:val="16"/>
                <w:szCs w:val="22"/>
                <w:lang w:val="es-ES_tradnl"/>
              </w:rPr>
              <w:t xml:space="preserve"> </w:t>
            </w:r>
          </w:p>
        </w:tc>
      </w:tr>
    </w:tbl>
    <w:p w:rsidR="00E2336B" w:rsidRDefault="00E2336B" w:rsidP="00853204">
      <w:pPr>
        <w:pBdr>
          <w:bottom w:val="single" w:sz="4" w:space="1" w:color="auto"/>
        </w:pBdr>
        <w:autoSpaceDE w:val="0"/>
        <w:autoSpaceDN w:val="0"/>
        <w:spacing w:line="360" w:lineRule="auto"/>
        <w:jc w:val="both"/>
        <w:rPr>
          <w:rFonts w:ascii="MinionPro-Regular" w:hAnsi="MinionPro-Regular"/>
          <w:sz w:val="20"/>
          <w:szCs w:val="24"/>
          <w:lang w:val="es-ES_tradnl"/>
        </w:rPr>
      </w:pPr>
    </w:p>
    <w:p w:rsidR="00E2336B" w:rsidRDefault="00E2336B" w:rsidP="00853204">
      <w:pPr>
        <w:pBdr>
          <w:bottom w:val="single" w:sz="4" w:space="1" w:color="auto"/>
        </w:pBdr>
        <w:autoSpaceDE w:val="0"/>
        <w:autoSpaceDN w:val="0"/>
        <w:spacing w:line="360" w:lineRule="auto"/>
        <w:jc w:val="both"/>
        <w:rPr>
          <w:lang w:val="es-ES_tradnl"/>
        </w:rPr>
      </w:pPr>
      <w:r w:rsidRPr="00853204">
        <w:rPr>
          <w:rFonts w:ascii="MinionPro-Regular" w:hAnsi="MinionPro-Regular"/>
          <w:sz w:val="20"/>
          <w:szCs w:val="24"/>
          <w:lang w:val="es-ES_tradnl"/>
        </w:rPr>
        <w:t>Fuente: Elaboración propia a partir de la MCVL</w:t>
      </w:r>
    </w:p>
    <w:p w:rsidR="00E2336B" w:rsidRDefault="00E2336B" w:rsidP="00890FE5">
      <w:pPr>
        <w:pStyle w:val="Textoindependiente"/>
        <w:rPr>
          <w:lang w:val="es-ES_tradnl"/>
        </w:rPr>
      </w:pPr>
    </w:p>
    <w:p w:rsidR="00E2336B" w:rsidRPr="00200C9A" w:rsidRDefault="00E2336B" w:rsidP="00890FE5">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lastRenderedPageBreak/>
        <w:t>Los resultados anteriores se han extrapolado al conjunto de personas que trabajan en centros especiales de empleo</w:t>
      </w:r>
      <w:r w:rsidRPr="00200C9A">
        <w:rPr>
          <w:rFonts w:ascii="MinionPro-Regular" w:hAnsi="MinionPro-Regular"/>
          <w:sz w:val="24"/>
          <w:szCs w:val="24"/>
          <w:lang w:val="es-ES_tradnl"/>
        </w:rPr>
        <w:t>.</w:t>
      </w:r>
    </w:p>
    <w:p w:rsidR="00E2336B" w:rsidRPr="00200C9A" w:rsidRDefault="00E2336B" w:rsidP="00890FE5">
      <w:pPr>
        <w:autoSpaceDE w:val="0"/>
        <w:autoSpaceDN w:val="0"/>
        <w:spacing w:line="360" w:lineRule="auto"/>
        <w:jc w:val="both"/>
        <w:rPr>
          <w:rFonts w:ascii="MinionPro-Regular" w:hAnsi="MinionPro-Regular"/>
          <w:sz w:val="24"/>
          <w:szCs w:val="24"/>
          <w:lang w:val="es-ES_tradnl"/>
        </w:rPr>
      </w:pPr>
    </w:p>
    <w:p w:rsidR="00E2336B" w:rsidRPr="00200C9A" w:rsidRDefault="00E2336B" w:rsidP="00890FE5">
      <w:pPr>
        <w:autoSpaceDE w:val="0"/>
        <w:autoSpaceDN w:val="0"/>
        <w:spacing w:line="360" w:lineRule="auto"/>
        <w:jc w:val="both"/>
        <w:rPr>
          <w:rFonts w:ascii="MinionPro-Regular" w:hAnsi="MinionPro-Regular"/>
          <w:sz w:val="24"/>
          <w:szCs w:val="24"/>
          <w:lang w:val="es-ES_tradnl"/>
        </w:rPr>
      </w:pPr>
      <w:r w:rsidRPr="00200C9A">
        <w:rPr>
          <w:rFonts w:ascii="MinionPro-Regular" w:hAnsi="MinionPro-Regular"/>
          <w:sz w:val="24"/>
          <w:szCs w:val="24"/>
          <w:lang w:val="es-ES_tradnl"/>
        </w:rPr>
        <w:t xml:space="preserve">Según información aportada por el Servicio Público de Empleo Estatal, 64.391 personas con discapacidad trabajan en </w:t>
      </w:r>
      <w:r>
        <w:rPr>
          <w:rFonts w:ascii="MinionPro-Regular" w:hAnsi="MinionPro-Regular"/>
          <w:sz w:val="24"/>
          <w:szCs w:val="24"/>
          <w:lang w:val="es-ES_tradnl"/>
        </w:rPr>
        <w:t>centros especiales de empleo</w:t>
      </w:r>
      <w:r w:rsidRPr="00200C9A">
        <w:rPr>
          <w:rFonts w:ascii="MinionPro-Regular" w:hAnsi="MinionPro-Regular"/>
          <w:sz w:val="24"/>
          <w:szCs w:val="24"/>
          <w:lang w:val="es-ES_tradnl"/>
        </w:rPr>
        <w:t xml:space="preserve"> en España a 31 de diciembre de 2011.</w:t>
      </w:r>
    </w:p>
    <w:p w:rsidR="00E2336B" w:rsidRDefault="00E2336B" w:rsidP="00890FE5">
      <w:pPr>
        <w:pStyle w:val="Textoindependiente"/>
        <w:rPr>
          <w:lang w:val="es-ES_tradnl"/>
        </w:rPr>
      </w:pPr>
    </w:p>
    <w:tbl>
      <w:tblPr>
        <w:tblW w:w="8364" w:type="dxa"/>
        <w:tblBorders>
          <w:bottom w:val="single" w:sz="12" w:space="0" w:color="409DAD"/>
        </w:tblBorders>
        <w:tblLayout w:type="fixed"/>
        <w:tblCellMar>
          <w:top w:w="28" w:type="dxa"/>
          <w:left w:w="28" w:type="dxa"/>
          <w:bottom w:w="28" w:type="dxa"/>
          <w:right w:w="28" w:type="dxa"/>
        </w:tblCellMar>
        <w:tblLook w:val="00A0"/>
      </w:tblPr>
      <w:tblGrid>
        <w:gridCol w:w="2127"/>
        <w:gridCol w:w="1417"/>
        <w:gridCol w:w="1701"/>
        <w:gridCol w:w="1418"/>
        <w:gridCol w:w="1701"/>
      </w:tblGrid>
      <w:tr w:rsidR="00E2336B" w:rsidRPr="001D16A8" w:rsidTr="00A62C1C">
        <w:trPr>
          <w:trHeight w:val="295"/>
        </w:trPr>
        <w:tc>
          <w:tcPr>
            <w:tcW w:w="2127" w:type="dxa"/>
            <w:shd w:val="clear" w:color="auto" w:fill="409DAD"/>
            <w:noWrap/>
            <w:vAlign w:val="center"/>
          </w:tcPr>
          <w:p w:rsidR="00E2336B" w:rsidRPr="00A62C1C" w:rsidRDefault="00E2336B" w:rsidP="00A62C1C">
            <w:pPr>
              <w:spacing w:line="180" w:lineRule="atLeast"/>
              <w:rPr>
                <w:rFonts w:ascii="Calibri" w:hAnsi="Calibri" w:cs="Calibri"/>
                <w:color w:val="000000"/>
                <w:szCs w:val="22"/>
                <w:lang w:val="es-ES_tradnl"/>
              </w:rPr>
            </w:pPr>
            <w:r w:rsidRPr="00A62C1C">
              <w:rPr>
                <w:rFonts w:ascii="Calibri" w:hAnsi="Calibri" w:cs="Calibri"/>
                <w:color w:val="000000"/>
                <w:szCs w:val="22"/>
                <w:lang w:val="es-ES_tradnl"/>
              </w:rPr>
              <w:t> </w:t>
            </w:r>
          </w:p>
        </w:tc>
        <w:tc>
          <w:tcPr>
            <w:tcW w:w="1417" w:type="dxa"/>
            <w:shd w:val="clear" w:color="auto" w:fill="409DAD"/>
            <w:vAlign w:val="center"/>
          </w:tcPr>
          <w:p w:rsidR="00E2336B" w:rsidRPr="00A62C1C" w:rsidRDefault="00E2336B" w:rsidP="00A62C1C">
            <w:pPr>
              <w:autoSpaceDE w:val="0"/>
              <w:autoSpaceDN w:val="0"/>
              <w:spacing w:line="360" w:lineRule="auto"/>
              <w:jc w:val="center"/>
              <w:rPr>
                <w:rFonts w:ascii="MinionPro-Regular" w:hAnsi="MinionPro-Regular"/>
                <w:color w:val="FFFFFF"/>
                <w:sz w:val="16"/>
                <w:szCs w:val="24"/>
                <w:lang w:val="es-ES_tradnl"/>
              </w:rPr>
            </w:pPr>
            <w:r w:rsidRPr="00A62C1C">
              <w:rPr>
                <w:rFonts w:ascii="MinionPro-Regular" w:hAnsi="MinionPro-Regular"/>
                <w:color w:val="FFFFFF"/>
                <w:sz w:val="16"/>
                <w:szCs w:val="24"/>
                <w:lang w:val="es-ES_tradnl"/>
              </w:rPr>
              <w:t>IRPF</w:t>
            </w:r>
          </w:p>
        </w:tc>
        <w:tc>
          <w:tcPr>
            <w:tcW w:w="1701" w:type="dxa"/>
            <w:shd w:val="clear" w:color="auto" w:fill="409DAD"/>
            <w:vAlign w:val="center"/>
          </w:tcPr>
          <w:p w:rsidR="00E2336B" w:rsidRPr="00A62C1C" w:rsidRDefault="00E2336B" w:rsidP="00A62C1C">
            <w:pPr>
              <w:autoSpaceDE w:val="0"/>
              <w:autoSpaceDN w:val="0"/>
              <w:spacing w:line="360" w:lineRule="auto"/>
              <w:jc w:val="center"/>
              <w:rPr>
                <w:rFonts w:ascii="MinionPro-Regular" w:hAnsi="MinionPro-Regular"/>
                <w:color w:val="FFFFFF"/>
                <w:sz w:val="16"/>
                <w:szCs w:val="24"/>
                <w:lang w:val="es-ES_tradnl"/>
              </w:rPr>
            </w:pPr>
            <w:r w:rsidRPr="00A62C1C">
              <w:rPr>
                <w:rFonts w:ascii="MinionPro-Regular" w:hAnsi="MinionPro-Regular"/>
                <w:color w:val="FFFFFF"/>
                <w:sz w:val="16"/>
                <w:szCs w:val="24"/>
                <w:lang w:val="es-ES_tradnl"/>
              </w:rPr>
              <w:t>Cuota seguridad social (empleado)</w:t>
            </w:r>
          </w:p>
        </w:tc>
        <w:tc>
          <w:tcPr>
            <w:tcW w:w="1418" w:type="dxa"/>
            <w:shd w:val="clear" w:color="auto" w:fill="409DAD"/>
            <w:vAlign w:val="center"/>
          </w:tcPr>
          <w:p w:rsidR="00E2336B" w:rsidRPr="00A62C1C" w:rsidRDefault="00E2336B" w:rsidP="00A62C1C">
            <w:pPr>
              <w:autoSpaceDE w:val="0"/>
              <w:autoSpaceDN w:val="0"/>
              <w:spacing w:line="360" w:lineRule="auto"/>
              <w:jc w:val="center"/>
              <w:rPr>
                <w:rFonts w:ascii="MinionPro-Regular" w:hAnsi="MinionPro-Regular"/>
                <w:color w:val="FFFFFF"/>
                <w:sz w:val="16"/>
                <w:szCs w:val="24"/>
                <w:lang w:val="es-ES_tradnl"/>
              </w:rPr>
            </w:pPr>
            <w:r w:rsidRPr="00A62C1C">
              <w:rPr>
                <w:rFonts w:ascii="MinionPro-Regular" w:hAnsi="MinionPro-Regular"/>
                <w:color w:val="FFFFFF"/>
                <w:sz w:val="16"/>
                <w:szCs w:val="24"/>
                <w:lang w:val="es-ES_tradnl"/>
              </w:rPr>
              <w:t>Cuota seguridad social (CEE)*</w:t>
            </w:r>
          </w:p>
        </w:tc>
        <w:tc>
          <w:tcPr>
            <w:tcW w:w="1701" w:type="dxa"/>
            <w:shd w:val="clear" w:color="auto" w:fill="409DAD"/>
            <w:vAlign w:val="center"/>
          </w:tcPr>
          <w:p w:rsidR="00E2336B" w:rsidRPr="00A62C1C" w:rsidRDefault="00E2336B" w:rsidP="00A62C1C">
            <w:pPr>
              <w:autoSpaceDE w:val="0"/>
              <w:autoSpaceDN w:val="0"/>
              <w:spacing w:line="360" w:lineRule="auto"/>
              <w:jc w:val="center"/>
              <w:rPr>
                <w:rFonts w:ascii="MinionPro-Regular" w:hAnsi="MinionPro-Regular"/>
                <w:color w:val="FFFFFF"/>
                <w:sz w:val="16"/>
                <w:szCs w:val="24"/>
                <w:lang w:val="es-ES_tradnl"/>
              </w:rPr>
            </w:pPr>
            <w:r w:rsidRPr="00A62C1C">
              <w:rPr>
                <w:rFonts w:ascii="MinionPro-Regular" w:hAnsi="MinionPro-Regular"/>
                <w:color w:val="FFFFFF"/>
                <w:sz w:val="16"/>
                <w:szCs w:val="24"/>
                <w:lang w:val="es-ES_tradnl"/>
              </w:rPr>
              <w:t>Total aportaciones de las personas con discapacidad</w:t>
            </w:r>
          </w:p>
        </w:tc>
      </w:tr>
      <w:tr w:rsidR="00E2336B" w:rsidRPr="001D16A8" w:rsidTr="00A62C1C">
        <w:trPr>
          <w:trHeight w:val="295"/>
        </w:trPr>
        <w:tc>
          <w:tcPr>
            <w:tcW w:w="2127" w:type="dxa"/>
            <w:tcBorders>
              <w:bottom w:val="single" w:sz="12" w:space="0" w:color="409DAD"/>
            </w:tcBorders>
            <w:vAlign w:val="center"/>
          </w:tcPr>
          <w:p w:rsidR="00E2336B" w:rsidRPr="00A62C1C" w:rsidRDefault="00E2336B" w:rsidP="00A62C1C">
            <w:pPr>
              <w:autoSpaceDE w:val="0"/>
              <w:autoSpaceDN w:val="0"/>
              <w:spacing w:line="360" w:lineRule="auto"/>
              <w:rPr>
                <w:rFonts w:ascii="Calibri" w:hAnsi="Calibri" w:cs="Calibri"/>
                <w:bCs/>
                <w:szCs w:val="22"/>
                <w:lang w:val="es-ES_tradnl"/>
              </w:rPr>
            </w:pPr>
            <w:r w:rsidRPr="00A62C1C">
              <w:rPr>
                <w:rFonts w:ascii="MinionPro-Regular" w:hAnsi="MinionPro-Regular"/>
                <w:sz w:val="16"/>
                <w:szCs w:val="24"/>
                <w:lang w:val="es-ES_tradnl"/>
              </w:rPr>
              <w:t>Estimación del retorno de las personas con discapacidad que trabajan en centros especiales de empleo (euros)</w:t>
            </w:r>
          </w:p>
        </w:tc>
        <w:tc>
          <w:tcPr>
            <w:tcW w:w="1417" w:type="dxa"/>
            <w:tcBorders>
              <w:bottom w:val="single" w:sz="12" w:space="0" w:color="409DAD"/>
            </w:tcBorders>
            <w:vAlign w:val="center"/>
          </w:tcPr>
          <w:p w:rsidR="00E2336B" w:rsidRPr="00A62C1C" w:rsidRDefault="00E2336B" w:rsidP="00A62C1C">
            <w:pPr>
              <w:autoSpaceDE w:val="0"/>
              <w:autoSpaceDN w:val="0"/>
              <w:spacing w:line="360" w:lineRule="auto"/>
              <w:jc w:val="center"/>
              <w:rPr>
                <w:rFonts w:ascii="MinionPro-Regular" w:hAnsi="MinionPro-Regular"/>
                <w:sz w:val="16"/>
                <w:szCs w:val="24"/>
                <w:lang w:val="es-ES_tradnl"/>
              </w:rPr>
            </w:pPr>
            <w:r w:rsidRPr="00A62C1C">
              <w:rPr>
                <w:rFonts w:ascii="MinionPro-Regular" w:hAnsi="MinionPro-Regular"/>
                <w:sz w:val="16"/>
                <w:szCs w:val="24"/>
                <w:lang w:val="es-ES_tradnl"/>
              </w:rPr>
              <w:t>38.439.568</w:t>
            </w:r>
          </w:p>
        </w:tc>
        <w:tc>
          <w:tcPr>
            <w:tcW w:w="1701" w:type="dxa"/>
            <w:tcBorders>
              <w:bottom w:val="single" w:sz="12" w:space="0" w:color="409DAD"/>
            </w:tcBorders>
            <w:vAlign w:val="center"/>
          </w:tcPr>
          <w:p w:rsidR="00E2336B" w:rsidRPr="00A62C1C" w:rsidRDefault="00E2336B" w:rsidP="00A62C1C">
            <w:pPr>
              <w:autoSpaceDE w:val="0"/>
              <w:autoSpaceDN w:val="0"/>
              <w:spacing w:line="360" w:lineRule="auto"/>
              <w:jc w:val="center"/>
              <w:rPr>
                <w:rFonts w:ascii="MinionPro-Regular" w:hAnsi="MinionPro-Regular"/>
                <w:sz w:val="16"/>
                <w:szCs w:val="24"/>
                <w:lang w:val="es-ES_tradnl"/>
              </w:rPr>
            </w:pPr>
            <w:r w:rsidRPr="00A62C1C">
              <w:rPr>
                <w:rFonts w:ascii="MinionPro-Regular" w:hAnsi="MinionPro-Regular"/>
                <w:sz w:val="16"/>
                <w:szCs w:val="24"/>
                <w:lang w:val="es-ES_tradnl"/>
              </w:rPr>
              <w:t>48.926.719</w:t>
            </w:r>
          </w:p>
        </w:tc>
        <w:tc>
          <w:tcPr>
            <w:tcW w:w="1418" w:type="dxa"/>
            <w:tcBorders>
              <w:bottom w:val="single" w:sz="12" w:space="0" w:color="409DAD"/>
            </w:tcBorders>
            <w:vAlign w:val="center"/>
          </w:tcPr>
          <w:p w:rsidR="00E2336B" w:rsidRPr="00A62C1C" w:rsidRDefault="00E2336B" w:rsidP="00A62C1C">
            <w:pPr>
              <w:autoSpaceDE w:val="0"/>
              <w:autoSpaceDN w:val="0"/>
              <w:spacing w:line="360" w:lineRule="auto"/>
              <w:jc w:val="center"/>
              <w:rPr>
                <w:rFonts w:ascii="MinionPro-Regular" w:hAnsi="MinionPro-Regular"/>
                <w:sz w:val="16"/>
                <w:szCs w:val="24"/>
                <w:lang w:val="es-ES_tradnl"/>
              </w:rPr>
            </w:pPr>
            <w:r w:rsidRPr="00A62C1C">
              <w:rPr>
                <w:rFonts w:ascii="MinionPro-Regular" w:hAnsi="MinionPro-Regular"/>
                <w:sz w:val="16"/>
                <w:szCs w:val="24"/>
                <w:lang w:val="es-ES_tradnl"/>
              </w:rPr>
              <w:t>0</w:t>
            </w:r>
          </w:p>
        </w:tc>
        <w:tc>
          <w:tcPr>
            <w:tcW w:w="1701" w:type="dxa"/>
            <w:tcBorders>
              <w:bottom w:val="single" w:sz="12" w:space="0" w:color="409DAD"/>
            </w:tcBorders>
            <w:vAlign w:val="center"/>
          </w:tcPr>
          <w:p w:rsidR="00E2336B" w:rsidRPr="00A62C1C" w:rsidRDefault="00E2336B" w:rsidP="00A62C1C">
            <w:pPr>
              <w:autoSpaceDE w:val="0"/>
              <w:autoSpaceDN w:val="0"/>
              <w:spacing w:line="360" w:lineRule="auto"/>
              <w:jc w:val="center"/>
              <w:rPr>
                <w:rFonts w:ascii="MinionPro-Regular" w:hAnsi="MinionPro-Regular"/>
                <w:sz w:val="16"/>
                <w:szCs w:val="24"/>
                <w:lang w:val="es-ES_tradnl"/>
              </w:rPr>
            </w:pPr>
            <w:r w:rsidRPr="00A62C1C">
              <w:rPr>
                <w:rFonts w:ascii="MinionPro-Regular" w:hAnsi="MinionPro-Regular"/>
                <w:sz w:val="16"/>
                <w:szCs w:val="24"/>
                <w:lang w:val="es-ES_tradnl"/>
              </w:rPr>
              <w:t>87.366.287</w:t>
            </w:r>
          </w:p>
        </w:tc>
      </w:tr>
    </w:tbl>
    <w:p w:rsidR="00E2336B" w:rsidRPr="004D5933" w:rsidRDefault="00E2336B" w:rsidP="00890FE5">
      <w:pPr>
        <w:autoSpaceDE w:val="0"/>
        <w:autoSpaceDN w:val="0"/>
        <w:spacing w:line="360" w:lineRule="auto"/>
        <w:jc w:val="both"/>
        <w:rPr>
          <w:rFonts w:ascii="MinionPro-Regular" w:hAnsi="MinionPro-Regular"/>
          <w:sz w:val="16"/>
          <w:szCs w:val="24"/>
          <w:lang w:val="es-ES_tradnl"/>
        </w:rPr>
      </w:pPr>
      <w:r w:rsidRPr="004D5933">
        <w:rPr>
          <w:rFonts w:ascii="MinionPro-Regular" w:hAnsi="MinionPro-Regular"/>
          <w:sz w:val="16"/>
          <w:szCs w:val="24"/>
          <w:lang w:val="es-ES_tradnl"/>
        </w:rPr>
        <w:t>Nota*: Los centros especiales de empleo reciben bonificación del 100% a la Seguridad Social empresarial por todos los conceptos, según se establece en la Ley</w:t>
      </w:r>
      <w:r>
        <w:rPr>
          <w:rFonts w:ascii="MinionPro-Regular" w:hAnsi="MinionPro-Regular"/>
          <w:sz w:val="16"/>
          <w:szCs w:val="24"/>
          <w:lang w:val="es-ES_tradnl"/>
        </w:rPr>
        <w:t xml:space="preserve"> </w:t>
      </w:r>
      <w:r w:rsidRPr="004D5933">
        <w:rPr>
          <w:rFonts w:ascii="MinionPro-Regular" w:hAnsi="MinionPro-Regular"/>
          <w:sz w:val="16"/>
          <w:szCs w:val="24"/>
          <w:lang w:val="es-ES_tradnl"/>
        </w:rPr>
        <w:t>43/2006</w:t>
      </w:r>
      <w:r>
        <w:rPr>
          <w:rFonts w:ascii="MinionPro-Regular" w:hAnsi="MinionPro-Regular"/>
          <w:sz w:val="16"/>
          <w:szCs w:val="24"/>
          <w:lang w:val="es-ES_tradnl"/>
        </w:rPr>
        <w:t>, de 29 de diciembre, de</w:t>
      </w:r>
      <w:r w:rsidRPr="004D5933">
        <w:rPr>
          <w:rFonts w:ascii="MinionPro-Regular" w:hAnsi="MinionPro-Regular"/>
          <w:sz w:val="16"/>
          <w:szCs w:val="24"/>
          <w:lang w:val="es-ES_tradnl"/>
        </w:rPr>
        <w:t xml:space="preserve"> </w:t>
      </w:r>
      <w:r>
        <w:rPr>
          <w:rFonts w:ascii="MinionPro-Regular" w:hAnsi="MinionPro-Regular"/>
          <w:sz w:val="16"/>
          <w:szCs w:val="24"/>
          <w:lang w:val="es-ES_tradnl"/>
        </w:rPr>
        <w:t>mejora del crecimiento y del empleo.</w:t>
      </w:r>
    </w:p>
    <w:p w:rsidR="00E2336B" w:rsidRDefault="00E2336B" w:rsidP="00253E3E">
      <w:pPr>
        <w:pBdr>
          <w:bottom w:val="single" w:sz="4" w:space="1" w:color="auto"/>
        </w:pBdr>
        <w:autoSpaceDE w:val="0"/>
        <w:autoSpaceDN w:val="0"/>
        <w:spacing w:line="360" w:lineRule="auto"/>
        <w:jc w:val="both"/>
        <w:rPr>
          <w:rFonts w:ascii="MinionPro-Regular" w:hAnsi="MinionPro-Regular"/>
          <w:sz w:val="20"/>
          <w:szCs w:val="24"/>
          <w:lang w:val="es-ES_tradnl"/>
        </w:rPr>
      </w:pPr>
    </w:p>
    <w:p w:rsidR="00E2336B" w:rsidRDefault="00E2336B" w:rsidP="00253E3E">
      <w:pPr>
        <w:pBdr>
          <w:bottom w:val="single" w:sz="4" w:space="1" w:color="auto"/>
        </w:pBdr>
        <w:autoSpaceDE w:val="0"/>
        <w:autoSpaceDN w:val="0"/>
        <w:spacing w:line="360" w:lineRule="auto"/>
        <w:jc w:val="both"/>
        <w:rPr>
          <w:lang w:val="es-ES_tradnl"/>
        </w:rPr>
      </w:pPr>
      <w:r w:rsidRPr="00853204">
        <w:rPr>
          <w:rFonts w:ascii="MinionPro-Regular" w:hAnsi="MinionPro-Regular"/>
          <w:sz w:val="20"/>
          <w:szCs w:val="24"/>
          <w:lang w:val="es-ES_tradnl"/>
        </w:rPr>
        <w:t>Fuente: Elaboración propia a partir de la MCVL</w:t>
      </w:r>
    </w:p>
    <w:p w:rsidR="00451351" w:rsidRDefault="00451351" w:rsidP="00253E3E">
      <w:pPr>
        <w:autoSpaceDE w:val="0"/>
        <w:autoSpaceDN w:val="0"/>
        <w:spacing w:line="360" w:lineRule="auto"/>
        <w:jc w:val="both"/>
        <w:rPr>
          <w:rFonts w:ascii="MinionPro-Regular" w:hAnsi="MinionPro-Regular"/>
          <w:sz w:val="24"/>
          <w:szCs w:val="24"/>
          <w:lang w:val="es-ES_tradnl"/>
        </w:rPr>
      </w:pPr>
    </w:p>
    <w:p w:rsidR="00E2336B" w:rsidRPr="00253E3E" w:rsidRDefault="00E2336B" w:rsidP="00253E3E">
      <w:pPr>
        <w:pBdr>
          <w:top w:val="single" w:sz="4" w:space="1" w:color="auto"/>
        </w:pBdr>
        <w:autoSpaceDE w:val="0"/>
        <w:autoSpaceDN w:val="0"/>
        <w:spacing w:line="360" w:lineRule="auto"/>
        <w:jc w:val="both"/>
        <w:rPr>
          <w:rFonts w:ascii="MinionPro-Regular" w:hAnsi="MinionPro-Regular"/>
          <w:sz w:val="20"/>
          <w:szCs w:val="24"/>
          <w:lang w:val="es-ES_tradnl"/>
        </w:rPr>
      </w:pPr>
      <w:r w:rsidRPr="00253E3E">
        <w:rPr>
          <w:rFonts w:ascii="MinionPro-Regular" w:hAnsi="MinionPro-Regular"/>
          <w:sz w:val="20"/>
          <w:szCs w:val="24"/>
          <w:lang w:val="es-ES_tradnl"/>
        </w:rPr>
        <w:t>Estimación de pagos en IRPF y cotización a la seguridad social de las personas con discapacidad</w:t>
      </w:r>
      <w:r>
        <w:rPr>
          <w:rFonts w:ascii="MinionPro-Regular" w:hAnsi="MinionPro-Regular"/>
          <w:sz w:val="20"/>
          <w:szCs w:val="24"/>
          <w:lang w:val="es-ES_tradnl"/>
        </w:rPr>
        <w:t xml:space="preserve"> en centros especiales de empleo</w:t>
      </w:r>
    </w:p>
    <w:p w:rsidR="00E2336B" w:rsidRDefault="00E1516B" w:rsidP="00253E3E">
      <w:pPr>
        <w:autoSpaceDE w:val="0"/>
        <w:autoSpaceDN w:val="0"/>
        <w:spacing w:line="360" w:lineRule="auto"/>
        <w:rPr>
          <w:rFonts w:ascii="MinionPro-Regular" w:hAnsi="MinionPro-Regular"/>
          <w:b/>
          <w:sz w:val="24"/>
          <w:szCs w:val="24"/>
          <w:lang w:val="es-ES_tradnl"/>
        </w:rPr>
      </w:pPr>
      <w:r>
        <w:rPr>
          <w:rFonts w:ascii="MinionPro-Regular" w:hAnsi="MinionPro-Regular"/>
          <w:b/>
          <w:noProof/>
          <w:sz w:val="24"/>
          <w:szCs w:val="24"/>
          <w:lang w:eastAsia="es-ES"/>
        </w:rPr>
        <w:lastRenderedPageBreak/>
        <w:drawing>
          <wp:inline distT="0" distB="0" distL="0" distR="0">
            <wp:extent cx="4615180" cy="2855595"/>
            <wp:effectExtent l="0" t="0" r="0" b="0"/>
            <wp:docPr id="91" name="Picture 9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5"/>
              </a:graphicData>
            </a:graphic>
          </wp:inline>
        </w:drawing>
      </w:r>
    </w:p>
    <w:p w:rsidR="00E2336B" w:rsidRDefault="00E2336B" w:rsidP="000D19D2">
      <w:pPr>
        <w:pBdr>
          <w:bottom w:val="single" w:sz="4" w:space="1" w:color="auto"/>
        </w:pBdr>
        <w:autoSpaceDE w:val="0"/>
        <w:autoSpaceDN w:val="0"/>
        <w:spacing w:line="360" w:lineRule="auto"/>
        <w:jc w:val="both"/>
        <w:rPr>
          <w:rFonts w:ascii="MinionPro-Regular" w:hAnsi="MinionPro-Regular"/>
          <w:sz w:val="20"/>
          <w:szCs w:val="24"/>
          <w:lang w:val="es-ES_tradnl"/>
        </w:rPr>
      </w:pPr>
      <w:r w:rsidRPr="008B461D">
        <w:rPr>
          <w:rFonts w:ascii="MinionPro-Regular" w:hAnsi="MinionPro-Regular"/>
          <w:sz w:val="20"/>
          <w:szCs w:val="24"/>
          <w:lang w:val="es-ES_tradnl"/>
        </w:rPr>
        <w:t>Fuente: Elaboración propia a partir de datos de la Tesorería General de la Seguridad Social</w:t>
      </w:r>
    </w:p>
    <w:p w:rsidR="00E2336B" w:rsidRDefault="00E2336B" w:rsidP="000D19D2">
      <w:pPr>
        <w:pBdr>
          <w:bottom w:val="single" w:sz="4" w:space="1" w:color="auto"/>
        </w:pBdr>
        <w:autoSpaceDE w:val="0"/>
        <w:autoSpaceDN w:val="0"/>
        <w:spacing w:line="360" w:lineRule="auto"/>
        <w:jc w:val="both"/>
        <w:rPr>
          <w:rFonts w:ascii="MinionPro-Regular" w:hAnsi="MinionPro-Regular"/>
          <w:sz w:val="20"/>
          <w:szCs w:val="24"/>
          <w:lang w:val="es-ES_tradnl"/>
        </w:rPr>
      </w:pPr>
    </w:p>
    <w:p w:rsidR="00E2336B" w:rsidRPr="000D19D2" w:rsidRDefault="00E2336B" w:rsidP="000D19D2">
      <w:pPr>
        <w:pBdr>
          <w:bottom w:val="single" w:sz="4" w:space="1" w:color="auto"/>
        </w:pBdr>
        <w:autoSpaceDE w:val="0"/>
        <w:autoSpaceDN w:val="0"/>
        <w:spacing w:line="360" w:lineRule="auto"/>
        <w:jc w:val="both"/>
        <w:rPr>
          <w:rFonts w:ascii="MinionPro-Regular" w:hAnsi="MinionPro-Regular"/>
          <w:sz w:val="20"/>
          <w:szCs w:val="24"/>
          <w:lang w:val="es-ES_tradnl"/>
        </w:rPr>
      </w:pPr>
      <w:r>
        <w:rPr>
          <w:rFonts w:ascii="MinionPro-Regular" w:hAnsi="MinionPro-Regular"/>
          <w:sz w:val="20"/>
          <w:szCs w:val="24"/>
          <w:lang w:val="es-ES_tradnl"/>
        </w:rPr>
        <w:t>Nota explicativa de la gráfica: Eje vertical, euros. Eje horizontal, año 2011. Estimación del pago de IRPF por parte de los centros especiales de empleo (38.439.56</w:t>
      </w:r>
      <w:r w:rsidRPr="00FA2790">
        <w:rPr>
          <w:rFonts w:ascii="MinionPro-Regular" w:hAnsi="MinionPro-Regular"/>
          <w:sz w:val="20"/>
          <w:szCs w:val="24"/>
          <w:lang w:val="es-ES_tradnl"/>
        </w:rPr>
        <w:t xml:space="preserve"> </w:t>
      </w:r>
      <w:r>
        <w:rPr>
          <w:rFonts w:ascii="MinionPro-Regular" w:hAnsi="MinionPro-Regular"/>
          <w:sz w:val="20"/>
          <w:szCs w:val="24"/>
          <w:lang w:val="es-ES_tradnl"/>
        </w:rPr>
        <w:t>euros). Estimación de la cotización a la seguridad social de los centros especiales de empleo (48.926.719 euros). Total de ambos conceptos: 87.366.287 euros, constituyendo el concepto de IRPF el 44%, y la cotización a la seguridad social el 56% restante.</w:t>
      </w:r>
    </w:p>
    <w:p w:rsidR="00E2336B" w:rsidRDefault="00E2336B" w:rsidP="00890FE5">
      <w:pPr>
        <w:autoSpaceDE w:val="0"/>
        <w:autoSpaceDN w:val="0"/>
        <w:spacing w:line="360" w:lineRule="auto"/>
        <w:jc w:val="both"/>
        <w:rPr>
          <w:rFonts w:ascii="MinionPro-Regular" w:hAnsi="MinionPro-Regular"/>
          <w:sz w:val="24"/>
          <w:szCs w:val="24"/>
          <w:lang w:val="es-ES_tradnl"/>
        </w:rPr>
      </w:pPr>
    </w:p>
    <w:p w:rsidR="00E2336B" w:rsidRDefault="00E2336B" w:rsidP="00890FE5">
      <w:pPr>
        <w:autoSpaceDE w:val="0"/>
        <w:autoSpaceDN w:val="0"/>
        <w:spacing w:line="360" w:lineRule="auto"/>
        <w:jc w:val="both"/>
        <w:rPr>
          <w:rFonts w:ascii="MinionPro-Regular" w:hAnsi="MinionPro-Regular"/>
          <w:sz w:val="24"/>
          <w:szCs w:val="24"/>
          <w:lang w:val="es-ES_tradnl"/>
        </w:rPr>
      </w:pPr>
      <w:r w:rsidRPr="00200C9A">
        <w:rPr>
          <w:rFonts w:ascii="MinionPro-Regular" w:hAnsi="MinionPro-Regular"/>
          <w:sz w:val="24"/>
          <w:szCs w:val="24"/>
          <w:lang w:val="es-ES_tradnl"/>
        </w:rPr>
        <w:t>Adicionalmente</w:t>
      </w:r>
      <w:r>
        <w:rPr>
          <w:rFonts w:ascii="MinionPro-Regular" w:hAnsi="MinionPro-Regular"/>
          <w:sz w:val="24"/>
          <w:szCs w:val="24"/>
          <w:lang w:val="es-ES_tradnl"/>
        </w:rPr>
        <w:t>,</w:t>
      </w:r>
      <w:r w:rsidRPr="00200C9A">
        <w:rPr>
          <w:rFonts w:ascii="MinionPro-Regular" w:hAnsi="MinionPro-Regular"/>
          <w:sz w:val="24"/>
          <w:szCs w:val="24"/>
          <w:lang w:val="es-ES_tradnl"/>
        </w:rPr>
        <w:t xml:space="preserve"> hay que tener en cuenta el </w:t>
      </w:r>
      <w:r>
        <w:rPr>
          <w:rFonts w:ascii="MinionPro-Regular" w:hAnsi="MinionPro-Regular"/>
          <w:sz w:val="24"/>
          <w:szCs w:val="24"/>
          <w:lang w:val="es-ES_tradnl"/>
        </w:rPr>
        <w:t>retorno en términos de IRPF y cotizaciones sociales</w:t>
      </w:r>
      <w:r w:rsidRPr="00200C9A">
        <w:rPr>
          <w:rFonts w:ascii="MinionPro-Regular" w:hAnsi="MinionPro-Regular"/>
          <w:sz w:val="24"/>
          <w:szCs w:val="24"/>
          <w:lang w:val="es-ES_tradnl"/>
        </w:rPr>
        <w:t xml:space="preserve"> </w:t>
      </w:r>
      <w:r>
        <w:rPr>
          <w:rFonts w:ascii="MinionPro-Regular" w:hAnsi="MinionPro-Regular"/>
          <w:sz w:val="24"/>
          <w:szCs w:val="24"/>
          <w:lang w:val="es-ES_tradnl"/>
        </w:rPr>
        <w:t xml:space="preserve">como consecuencia del trabajo de </w:t>
      </w:r>
      <w:r w:rsidRPr="00200C9A">
        <w:rPr>
          <w:rFonts w:ascii="MinionPro-Regular" w:hAnsi="MinionPro-Regular"/>
          <w:sz w:val="24"/>
          <w:szCs w:val="24"/>
          <w:lang w:val="es-ES_tradnl"/>
        </w:rPr>
        <w:t xml:space="preserve">las personas sin discapacidad que trabajan en los </w:t>
      </w:r>
      <w:r>
        <w:rPr>
          <w:rFonts w:ascii="MinionPro-Regular" w:hAnsi="MinionPro-Regular"/>
          <w:sz w:val="24"/>
          <w:szCs w:val="24"/>
          <w:lang w:val="es-ES_tradnl"/>
        </w:rPr>
        <w:t>centros especiales de empleo</w:t>
      </w:r>
      <w:r w:rsidRPr="00200C9A">
        <w:rPr>
          <w:rFonts w:ascii="MinionPro-Regular" w:hAnsi="MinionPro-Regular"/>
          <w:sz w:val="24"/>
          <w:szCs w:val="24"/>
          <w:lang w:val="es-ES_tradnl"/>
        </w:rPr>
        <w:t xml:space="preserve">. </w:t>
      </w:r>
      <w:r>
        <w:rPr>
          <w:rFonts w:ascii="MinionPro-Regular" w:hAnsi="MinionPro-Regular"/>
          <w:sz w:val="24"/>
          <w:szCs w:val="24"/>
          <w:lang w:val="es-ES_tradnl"/>
        </w:rPr>
        <w:t>Sobre la base de la información disponible de las comunidades autónomas, se estima que hay</w:t>
      </w:r>
      <w:r w:rsidRPr="00200C9A">
        <w:rPr>
          <w:rFonts w:ascii="MinionPro-Regular" w:hAnsi="MinionPro-Regular"/>
          <w:sz w:val="24"/>
          <w:szCs w:val="24"/>
          <w:lang w:val="es-ES_tradnl"/>
        </w:rPr>
        <w:t xml:space="preserve"> 7.424 personas sin discapacidad empleada</w:t>
      </w:r>
      <w:r>
        <w:rPr>
          <w:rFonts w:ascii="MinionPro-Regular" w:hAnsi="MinionPro-Regular"/>
          <w:sz w:val="24"/>
          <w:szCs w:val="24"/>
          <w:lang w:val="es-ES_tradnl"/>
        </w:rPr>
        <w:t>s</w:t>
      </w:r>
      <w:r w:rsidRPr="00200C9A">
        <w:rPr>
          <w:rFonts w:ascii="MinionPro-Regular" w:hAnsi="MinionPro-Regular"/>
          <w:sz w:val="24"/>
          <w:szCs w:val="24"/>
          <w:lang w:val="es-ES_tradnl"/>
        </w:rPr>
        <w:t xml:space="preserve"> en </w:t>
      </w:r>
      <w:r>
        <w:rPr>
          <w:rFonts w:ascii="MinionPro-Regular" w:hAnsi="MinionPro-Regular"/>
          <w:sz w:val="24"/>
          <w:szCs w:val="24"/>
          <w:lang w:val="es-ES_tradnl"/>
        </w:rPr>
        <w:t xml:space="preserve">centros especiales de empleo a 31 de diciembre de 2011. </w:t>
      </w:r>
    </w:p>
    <w:p w:rsidR="00E2336B" w:rsidRDefault="00E2336B" w:rsidP="00890FE5">
      <w:pPr>
        <w:autoSpaceDE w:val="0"/>
        <w:autoSpaceDN w:val="0"/>
        <w:spacing w:line="360" w:lineRule="auto"/>
        <w:jc w:val="both"/>
        <w:rPr>
          <w:rFonts w:ascii="MinionPro-Regular" w:hAnsi="MinionPro-Regular"/>
          <w:sz w:val="24"/>
          <w:szCs w:val="24"/>
          <w:lang w:val="es-ES_tradnl"/>
        </w:rPr>
      </w:pPr>
    </w:p>
    <w:p w:rsidR="00E2336B" w:rsidRDefault="00E2336B" w:rsidP="00890FE5">
      <w:pPr>
        <w:autoSpaceDE w:val="0"/>
        <w:autoSpaceDN w:val="0"/>
        <w:spacing w:line="360" w:lineRule="auto"/>
        <w:jc w:val="both"/>
        <w:rPr>
          <w:rFonts w:ascii="MinionPro-Regular" w:hAnsi="MinionPro-Regular"/>
          <w:sz w:val="24"/>
          <w:szCs w:val="24"/>
          <w:lang w:val="es-ES_tradnl"/>
        </w:rPr>
      </w:pPr>
      <w:r w:rsidRPr="00200C9A">
        <w:rPr>
          <w:rFonts w:ascii="MinionPro-Regular" w:hAnsi="MinionPro-Regular"/>
          <w:sz w:val="24"/>
          <w:szCs w:val="24"/>
          <w:lang w:val="es-ES_tradnl"/>
        </w:rPr>
        <w:t xml:space="preserve">Con estas dos variables, se </w:t>
      </w:r>
      <w:r>
        <w:rPr>
          <w:rFonts w:ascii="MinionPro-Regular" w:hAnsi="MinionPro-Regular"/>
          <w:sz w:val="24"/>
          <w:szCs w:val="24"/>
          <w:lang w:val="es-ES_tradnl"/>
        </w:rPr>
        <w:t>estima el</w:t>
      </w:r>
      <w:r w:rsidRPr="00200C9A">
        <w:rPr>
          <w:rFonts w:ascii="MinionPro-Regular" w:hAnsi="MinionPro-Regular"/>
          <w:sz w:val="24"/>
          <w:szCs w:val="24"/>
          <w:lang w:val="es-ES_tradnl"/>
        </w:rPr>
        <w:t xml:space="preserve"> total de </w:t>
      </w:r>
      <w:r>
        <w:rPr>
          <w:rFonts w:ascii="MinionPro-Regular" w:hAnsi="MinionPro-Regular"/>
          <w:sz w:val="24"/>
          <w:szCs w:val="24"/>
          <w:lang w:val="es-ES_tradnl"/>
        </w:rPr>
        <w:t>IRPF y cotizaciones a la seguridad social de las personas sin discapacidad que trabajan en centros especiales de empleo.</w:t>
      </w:r>
    </w:p>
    <w:p w:rsidR="00B02346" w:rsidRDefault="00B02346" w:rsidP="00890FE5">
      <w:pPr>
        <w:pBdr>
          <w:bottom w:val="single" w:sz="4" w:space="1" w:color="auto"/>
        </w:pBdr>
        <w:autoSpaceDE w:val="0"/>
        <w:autoSpaceDN w:val="0"/>
        <w:spacing w:line="360" w:lineRule="auto"/>
        <w:jc w:val="both"/>
        <w:rPr>
          <w:rFonts w:ascii="MinionPro-Regular" w:hAnsi="MinionPro-Regular"/>
          <w:sz w:val="24"/>
          <w:szCs w:val="24"/>
          <w:lang w:val="es-ES_tradnl"/>
        </w:rPr>
      </w:pPr>
    </w:p>
    <w:p w:rsidR="00E2336B" w:rsidRDefault="00E2336B" w:rsidP="00890FE5">
      <w:pPr>
        <w:pBdr>
          <w:bottom w:val="single" w:sz="4" w:space="1" w:color="auto"/>
        </w:pBdr>
        <w:autoSpaceDE w:val="0"/>
        <w:autoSpaceDN w:val="0"/>
        <w:spacing w:line="360" w:lineRule="auto"/>
        <w:jc w:val="both"/>
        <w:rPr>
          <w:rFonts w:ascii="MinionPro-Regular" w:hAnsi="MinionPro-Regular"/>
          <w:sz w:val="24"/>
          <w:szCs w:val="24"/>
          <w:lang w:val="es-ES_tradnl"/>
        </w:rPr>
      </w:pPr>
    </w:p>
    <w:p w:rsidR="00E2336B" w:rsidRPr="00200C9A" w:rsidRDefault="00E2336B" w:rsidP="00890FE5">
      <w:pPr>
        <w:autoSpaceDE w:val="0"/>
        <w:autoSpaceDN w:val="0"/>
        <w:spacing w:line="360" w:lineRule="auto"/>
        <w:jc w:val="both"/>
        <w:rPr>
          <w:rFonts w:ascii="MinionPro-Regular" w:hAnsi="MinionPro-Regular"/>
          <w:sz w:val="24"/>
          <w:szCs w:val="24"/>
          <w:lang w:val="es-ES_tradnl"/>
        </w:rPr>
      </w:pPr>
    </w:p>
    <w:tbl>
      <w:tblPr>
        <w:tblW w:w="8080" w:type="dxa"/>
        <w:tblBorders>
          <w:bottom w:val="single" w:sz="12" w:space="0" w:color="409DAD"/>
        </w:tblBorders>
        <w:tblCellMar>
          <w:top w:w="28" w:type="dxa"/>
          <w:left w:w="28" w:type="dxa"/>
          <w:bottom w:w="28" w:type="dxa"/>
          <w:right w:w="28" w:type="dxa"/>
        </w:tblCellMar>
        <w:tblLook w:val="00A0"/>
      </w:tblPr>
      <w:tblGrid>
        <w:gridCol w:w="2410"/>
        <w:gridCol w:w="1276"/>
        <w:gridCol w:w="1276"/>
        <w:gridCol w:w="1559"/>
        <w:gridCol w:w="1559"/>
      </w:tblGrid>
      <w:tr w:rsidR="00E2336B" w:rsidRPr="00D65B23" w:rsidTr="00A62C1C">
        <w:trPr>
          <w:trHeight w:val="302"/>
        </w:trPr>
        <w:tc>
          <w:tcPr>
            <w:tcW w:w="2410" w:type="dxa"/>
            <w:tcBorders>
              <w:bottom w:val="nil"/>
            </w:tcBorders>
            <w:shd w:val="clear" w:color="auto" w:fill="409DAD"/>
            <w:noWrap/>
            <w:vAlign w:val="center"/>
          </w:tcPr>
          <w:p w:rsidR="00E2336B" w:rsidRPr="00A62C1C" w:rsidRDefault="00E2336B" w:rsidP="00A62C1C">
            <w:pPr>
              <w:spacing w:line="180" w:lineRule="atLeast"/>
              <w:rPr>
                <w:rFonts w:ascii="Calibri" w:hAnsi="Calibri" w:cs="Calibri"/>
                <w:color w:val="000000"/>
                <w:sz w:val="16"/>
                <w:szCs w:val="22"/>
                <w:lang w:val="es-ES_tradnl"/>
              </w:rPr>
            </w:pPr>
            <w:r w:rsidRPr="00A62C1C">
              <w:rPr>
                <w:rFonts w:ascii="Calibri" w:hAnsi="Calibri" w:cs="Calibri"/>
                <w:color w:val="000000"/>
                <w:sz w:val="16"/>
                <w:szCs w:val="22"/>
                <w:lang w:val="es-ES_tradnl"/>
              </w:rPr>
              <w:t> </w:t>
            </w:r>
          </w:p>
        </w:tc>
        <w:tc>
          <w:tcPr>
            <w:tcW w:w="1276" w:type="dxa"/>
            <w:tcBorders>
              <w:bottom w:val="nil"/>
            </w:tcBorders>
            <w:shd w:val="clear" w:color="auto" w:fill="409DAD"/>
            <w:vAlign w:val="center"/>
          </w:tcPr>
          <w:p w:rsidR="00E2336B" w:rsidRPr="00A62C1C" w:rsidRDefault="00E2336B" w:rsidP="00A62C1C">
            <w:pPr>
              <w:autoSpaceDE w:val="0"/>
              <w:autoSpaceDN w:val="0"/>
              <w:spacing w:line="360" w:lineRule="auto"/>
              <w:jc w:val="center"/>
              <w:rPr>
                <w:rFonts w:ascii="MinionPro-Regular" w:hAnsi="MinionPro-Regular"/>
                <w:color w:val="FFFFFF"/>
                <w:sz w:val="16"/>
                <w:szCs w:val="24"/>
                <w:lang w:val="es-ES_tradnl"/>
              </w:rPr>
            </w:pPr>
            <w:r w:rsidRPr="00A62C1C">
              <w:rPr>
                <w:rFonts w:ascii="MinionPro-Regular" w:hAnsi="MinionPro-Regular"/>
                <w:color w:val="FFFFFF"/>
                <w:sz w:val="16"/>
                <w:szCs w:val="24"/>
                <w:lang w:val="es-ES_tradnl"/>
              </w:rPr>
              <w:t>IRPF</w:t>
            </w:r>
          </w:p>
        </w:tc>
        <w:tc>
          <w:tcPr>
            <w:tcW w:w="1276" w:type="dxa"/>
            <w:tcBorders>
              <w:bottom w:val="nil"/>
            </w:tcBorders>
            <w:shd w:val="clear" w:color="auto" w:fill="409DAD"/>
            <w:vAlign w:val="center"/>
          </w:tcPr>
          <w:p w:rsidR="00E2336B" w:rsidRPr="00A62C1C" w:rsidRDefault="00E2336B" w:rsidP="00A62C1C">
            <w:pPr>
              <w:autoSpaceDE w:val="0"/>
              <w:autoSpaceDN w:val="0"/>
              <w:spacing w:line="360" w:lineRule="auto"/>
              <w:jc w:val="center"/>
              <w:rPr>
                <w:rFonts w:ascii="MinionPro-Regular" w:hAnsi="MinionPro-Regular"/>
                <w:color w:val="FFFFFF"/>
                <w:sz w:val="16"/>
                <w:szCs w:val="24"/>
                <w:lang w:val="es-ES_tradnl"/>
              </w:rPr>
            </w:pPr>
            <w:r w:rsidRPr="00A62C1C">
              <w:rPr>
                <w:rFonts w:ascii="MinionPro-Regular" w:hAnsi="MinionPro-Regular"/>
                <w:color w:val="FFFFFF"/>
                <w:sz w:val="16"/>
                <w:szCs w:val="24"/>
                <w:lang w:val="es-ES_tradnl"/>
              </w:rPr>
              <w:t>Cuota seguridad social (empleado)</w:t>
            </w:r>
          </w:p>
        </w:tc>
        <w:tc>
          <w:tcPr>
            <w:tcW w:w="1559" w:type="dxa"/>
            <w:tcBorders>
              <w:bottom w:val="nil"/>
            </w:tcBorders>
            <w:shd w:val="clear" w:color="auto" w:fill="409DAD"/>
            <w:vAlign w:val="center"/>
          </w:tcPr>
          <w:p w:rsidR="00E2336B" w:rsidRPr="00A62C1C" w:rsidRDefault="00E2336B" w:rsidP="00A62C1C">
            <w:pPr>
              <w:autoSpaceDE w:val="0"/>
              <w:autoSpaceDN w:val="0"/>
              <w:spacing w:line="360" w:lineRule="auto"/>
              <w:jc w:val="center"/>
              <w:rPr>
                <w:rFonts w:ascii="MinionPro-Regular" w:hAnsi="MinionPro-Regular"/>
                <w:color w:val="FFFFFF"/>
                <w:sz w:val="16"/>
                <w:szCs w:val="24"/>
                <w:lang w:val="es-ES_tradnl"/>
              </w:rPr>
            </w:pPr>
            <w:r w:rsidRPr="00A62C1C">
              <w:rPr>
                <w:rFonts w:ascii="MinionPro-Regular" w:hAnsi="MinionPro-Regular"/>
                <w:color w:val="FFFFFF"/>
                <w:sz w:val="16"/>
                <w:szCs w:val="24"/>
                <w:lang w:val="es-ES_tradnl"/>
              </w:rPr>
              <w:t>Cuota seguridad social (CEE)</w:t>
            </w:r>
          </w:p>
        </w:tc>
        <w:tc>
          <w:tcPr>
            <w:tcW w:w="1559" w:type="dxa"/>
            <w:tcBorders>
              <w:bottom w:val="nil"/>
            </w:tcBorders>
            <w:shd w:val="clear" w:color="auto" w:fill="409DAD"/>
            <w:vAlign w:val="center"/>
          </w:tcPr>
          <w:p w:rsidR="00E2336B" w:rsidRPr="00A62C1C" w:rsidRDefault="00E2336B" w:rsidP="00A62C1C">
            <w:pPr>
              <w:autoSpaceDE w:val="0"/>
              <w:autoSpaceDN w:val="0"/>
              <w:spacing w:line="360" w:lineRule="auto"/>
              <w:jc w:val="center"/>
              <w:rPr>
                <w:rFonts w:ascii="MinionPro-Regular" w:hAnsi="MinionPro-Regular"/>
                <w:color w:val="FFFFFF"/>
                <w:sz w:val="16"/>
                <w:szCs w:val="24"/>
                <w:lang w:val="es-ES_tradnl"/>
              </w:rPr>
            </w:pPr>
          </w:p>
          <w:p w:rsidR="00E2336B" w:rsidRPr="00A62C1C" w:rsidRDefault="00E2336B" w:rsidP="00A62C1C">
            <w:pPr>
              <w:autoSpaceDE w:val="0"/>
              <w:autoSpaceDN w:val="0"/>
              <w:spacing w:line="360" w:lineRule="auto"/>
              <w:jc w:val="center"/>
              <w:rPr>
                <w:rFonts w:ascii="MinionPro-Regular" w:hAnsi="MinionPro-Regular"/>
                <w:color w:val="FFFFFF"/>
                <w:sz w:val="16"/>
                <w:szCs w:val="24"/>
                <w:lang w:val="es-ES_tradnl"/>
              </w:rPr>
            </w:pPr>
            <w:r w:rsidRPr="00A62C1C">
              <w:rPr>
                <w:rFonts w:ascii="MinionPro-Regular" w:hAnsi="MinionPro-Regular"/>
                <w:color w:val="FFFFFF"/>
                <w:sz w:val="16"/>
                <w:szCs w:val="24"/>
                <w:lang w:val="es-ES_tradnl"/>
              </w:rPr>
              <w:t>Total estimación de pago en concepto de IRPF y seguridad social</w:t>
            </w:r>
          </w:p>
        </w:tc>
      </w:tr>
      <w:tr w:rsidR="00E2336B" w:rsidRPr="008B461D" w:rsidTr="00A62C1C">
        <w:trPr>
          <w:trHeight w:val="934"/>
        </w:trPr>
        <w:tc>
          <w:tcPr>
            <w:tcW w:w="2410" w:type="dxa"/>
            <w:tcBorders>
              <w:bottom w:val="single" w:sz="4" w:space="0" w:color="auto"/>
            </w:tcBorders>
            <w:vAlign w:val="center"/>
          </w:tcPr>
          <w:p w:rsidR="00E2336B" w:rsidRPr="00A62C1C" w:rsidRDefault="00E2336B" w:rsidP="00A62C1C">
            <w:pPr>
              <w:autoSpaceDE w:val="0"/>
              <w:autoSpaceDN w:val="0"/>
              <w:spacing w:line="360" w:lineRule="auto"/>
              <w:rPr>
                <w:rFonts w:ascii="MinionPro-Regular" w:hAnsi="MinionPro-Regular"/>
                <w:sz w:val="16"/>
                <w:szCs w:val="24"/>
                <w:lang w:val="es-ES_tradnl"/>
              </w:rPr>
            </w:pPr>
            <w:r w:rsidRPr="00A62C1C">
              <w:rPr>
                <w:rFonts w:ascii="MinionPro-Regular" w:hAnsi="MinionPro-Regular"/>
                <w:sz w:val="16"/>
                <w:szCs w:val="24"/>
                <w:lang w:val="es-ES_tradnl"/>
              </w:rPr>
              <w:t>Estimación de las retenciones medias de las personas sin discapacidad que trabajan en centros especiales de empleo euros/empleado)</w:t>
            </w:r>
          </w:p>
        </w:tc>
        <w:tc>
          <w:tcPr>
            <w:tcW w:w="1276" w:type="dxa"/>
            <w:tcBorders>
              <w:bottom w:val="single" w:sz="4" w:space="0" w:color="auto"/>
            </w:tcBorders>
            <w:vAlign w:val="center"/>
          </w:tcPr>
          <w:p w:rsidR="00E2336B" w:rsidRPr="00A62C1C" w:rsidRDefault="00E2336B" w:rsidP="00A62C1C">
            <w:pPr>
              <w:autoSpaceDE w:val="0"/>
              <w:autoSpaceDN w:val="0"/>
              <w:spacing w:line="360" w:lineRule="auto"/>
              <w:jc w:val="center"/>
              <w:rPr>
                <w:rFonts w:ascii="MinionPro-Regular" w:hAnsi="MinionPro-Regular"/>
                <w:sz w:val="16"/>
                <w:szCs w:val="24"/>
                <w:lang w:val="es-ES_tradnl"/>
              </w:rPr>
            </w:pPr>
            <w:r w:rsidRPr="00A62C1C">
              <w:rPr>
                <w:rFonts w:ascii="MinionPro-Regular" w:hAnsi="MinionPro-Regular"/>
                <w:sz w:val="16"/>
                <w:szCs w:val="24"/>
                <w:lang w:val="es-ES_tradnl"/>
              </w:rPr>
              <w:t>2.797</w:t>
            </w:r>
          </w:p>
        </w:tc>
        <w:tc>
          <w:tcPr>
            <w:tcW w:w="1276" w:type="dxa"/>
            <w:tcBorders>
              <w:bottom w:val="single" w:sz="4" w:space="0" w:color="auto"/>
            </w:tcBorders>
            <w:vAlign w:val="center"/>
          </w:tcPr>
          <w:p w:rsidR="00E2336B" w:rsidRPr="00A62C1C" w:rsidRDefault="00E2336B" w:rsidP="00A62C1C">
            <w:pPr>
              <w:autoSpaceDE w:val="0"/>
              <w:autoSpaceDN w:val="0"/>
              <w:spacing w:line="360" w:lineRule="auto"/>
              <w:jc w:val="center"/>
              <w:rPr>
                <w:rFonts w:ascii="MinionPro-Regular" w:hAnsi="MinionPro-Regular"/>
                <w:sz w:val="16"/>
                <w:szCs w:val="24"/>
                <w:lang w:val="es-ES_tradnl"/>
              </w:rPr>
            </w:pPr>
            <w:r w:rsidRPr="00A62C1C">
              <w:rPr>
                <w:rFonts w:ascii="MinionPro-Regular" w:hAnsi="MinionPro-Regular"/>
                <w:sz w:val="16"/>
                <w:szCs w:val="24"/>
                <w:lang w:val="es-ES_tradnl"/>
              </w:rPr>
              <w:t>1.429</w:t>
            </w:r>
          </w:p>
        </w:tc>
        <w:tc>
          <w:tcPr>
            <w:tcW w:w="1559" w:type="dxa"/>
            <w:tcBorders>
              <w:bottom w:val="single" w:sz="4" w:space="0" w:color="auto"/>
            </w:tcBorders>
            <w:vAlign w:val="center"/>
          </w:tcPr>
          <w:p w:rsidR="00E2336B" w:rsidRPr="00A62C1C" w:rsidRDefault="00E2336B" w:rsidP="00A62C1C">
            <w:pPr>
              <w:autoSpaceDE w:val="0"/>
              <w:autoSpaceDN w:val="0"/>
              <w:spacing w:line="360" w:lineRule="auto"/>
              <w:jc w:val="center"/>
              <w:rPr>
                <w:rFonts w:ascii="MinionPro-Regular" w:hAnsi="MinionPro-Regular"/>
                <w:sz w:val="16"/>
                <w:szCs w:val="24"/>
                <w:lang w:val="es-ES_tradnl"/>
              </w:rPr>
            </w:pPr>
            <w:r w:rsidRPr="00A62C1C">
              <w:rPr>
                <w:rFonts w:ascii="MinionPro-Regular" w:hAnsi="MinionPro-Regular"/>
                <w:sz w:val="16"/>
                <w:szCs w:val="24"/>
                <w:lang w:val="es-ES_tradnl"/>
              </w:rPr>
              <w:t>8.160</w:t>
            </w:r>
          </w:p>
        </w:tc>
        <w:tc>
          <w:tcPr>
            <w:tcW w:w="1559" w:type="dxa"/>
            <w:tcBorders>
              <w:bottom w:val="single" w:sz="4" w:space="0" w:color="auto"/>
            </w:tcBorders>
            <w:vAlign w:val="center"/>
          </w:tcPr>
          <w:p w:rsidR="00E2336B" w:rsidRPr="00A62C1C" w:rsidRDefault="00E2336B" w:rsidP="00A62C1C">
            <w:pPr>
              <w:autoSpaceDE w:val="0"/>
              <w:autoSpaceDN w:val="0"/>
              <w:spacing w:line="360" w:lineRule="auto"/>
              <w:jc w:val="center"/>
              <w:rPr>
                <w:rFonts w:ascii="MinionPro-Regular" w:hAnsi="MinionPro-Regular"/>
                <w:sz w:val="16"/>
                <w:szCs w:val="24"/>
                <w:lang w:val="es-ES_tradnl"/>
              </w:rPr>
            </w:pPr>
            <w:r w:rsidRPr="00A62C1C">
              <w:rPr>
                <w:rFonts w:ascii="MinionPro-Regular" w:hAnsi="MinionPro-Regular"/>
                <w:sz w:val="16"/>
                <w:szCs w:val="24"/>
                <w:lang w:val="es-ES_tradnl"/>
              </w:rPr>
              <w:t>12.386</w:t>
            </w:r>
          </w:p>
        </w:tc>
      </w:tr>
      <w:tr w:rsidR="00E2336B" w:rsidRPr="008B461D" w:rsidTr="00A62C1C">
        <w:trPr>
          <w:trHeight w:val="846"/>
        </w:trPr>
        <w:tc>
          <w:tcPr>
            <w:tcW w:w="2410" w:type="dxa"/>
            <w:tcBorders>
              <w:top w:val="single" w:sz="4" w:space="0" w:color="auto"/>
              <w:bottom w:val="single" w:sz="12" w:space="0" w:color="409DAD"/>
            </w:tcBorders>
            <w:vAlign w:val="center"/>
          </w:tcPr>
          <w:p w:rsidR="00E2336B" w:rsidRPr="00A62C1C" w:rsidRDefault="00E2336B" w:rsidP="00A62C1C">
            <w:pPr>
              <w:autoSpaceDE w:val="0"/>
              <w:autoSpaceDN w:val="0"/>
              <w:spacing w:line="360" w:lineRule="auto"/>
              <w:rPr>
                <w:rFonts w:ascii="MinionPro-Regular" w:hAnsi="MinionPro-Regular"/>
                <w:sz w:val="16"/>
                <w:szCs w:val="24"/>
                <w:lang w:val="es-ES_tradnl"/>
              </w:rPr>
            </w:pPr>
            <w:r w:rsidRPr="00A62C1C">
              <w:rPr>
                <w:rFonts w:ascii="MinionPro-Regular" w:hAnsi="MinionPro-Regular"/>
                <w:sz w:val="16"/>
                <w:szCs w:val="24"/>
                <w:lang w:val="es-ES_tradnl"/>
              </w:rPr>
              <w:t>Estimación de las retenciones totales de las personas sin discapacidad que trabajan en centros especiales de empleo (euros)</w:t>
            </w:r>
          </w:p>
        </w:tc>
        <w:tc>
          <w:tcPr>
            <w:tcW w:w="1276" w:type="dxa"/>
            <w:tcBorders>
              <w:top w:val="single" w:sz="4" w:space="0" w:color="auto"/>
              <w:bottom w:val="single" w:sz="12" w:space="0" w:color="409DAD"/>
            </w:tcBorders>
            <w:vAlign w:val="center"/>
          </w:tcPr>
          <w:p w:rsidR="00E2336B" w:rsidRPr="00A62C1C" w:rsidRDefault="00E2336B" w:rsidP="00A62C1C">
            <w:pPr>
              <w:autoSpaceDE w:val="0"/>
              <w:autoSpaceDN w:val="0"/>
              <w:spacing w:line="360" w:lineRule="auto"/>
              <w:jc w:val="center"/>
              <w:rPr>
                <w:rFonts w:ascii="MinionPro-Regular" w:hAnsi="MinionPro-Regular"/>
                <w:sz w:val="16"/>
                <w:szCs w:val="24"/>
                <w:lang w:val="es-ES_tradnl"/>
              </w:rPr>
            </w:pPr>
            <w:r w:rsidRPr="00A62C1C">
              <w:rPr>
                <w:rFonts w:ascii="MinionPro-Regular" w:hAnsi="MinionPro-Regular"/>
                <w:sz w:val="16"/>
                <w:szCs w:val="24"/>
                <w:lang w:val="es-ES_tradnl"/>
              </w:rPr>
              <w:t>20.768.856</w:t>
            </w:r>
          </w:p>
        </w:tc>
        <w:tc>
          <w:tcPr>
            <w:tcW w:w="1276" w:type="dxa"/>
            <w:tcBorders>
              <w:top w:val="single" w:sz="4" w:space="0" w:color="auto"/>
              <w:bottom w:val="single" w:sz="12" w:space="0" w:color="409DAD"/>
            </w:tcBorders>
            <w:vAlign w:val="center"/>
          </w:tcPr>
          <w:p w:rsidR="00E2336B" w:rsidRPr="00A62C1C" w:rsidRDefault="00E2336B" w:rsidP="00A62C1C">
            <w:pPr>
              <w:autoSpaceDE w:val="0"/>
              <w:autoSpaceDN w:val="0"/>
              <w:spacing w:line="360" w:lineRule="auto"/>
              <w:jc w:val="center"/>
              <w:rPr>
                <w:rFonts w:ascii="MinionPro-Regular" w:hAnsi="MinionPro-Regular"/>
                <w:sz w:val="16"/>
                <w:szCs w:val="24"/>
                <w:lang w:val="es-ES_tradnl"/>
              </w:rPr>
            </w:pPr>
            <w:r w:rsidRPr="00A62C1C">
              <w:rPr>
                <w:rFonts w:ascii="MinionPro-Regular" w:hAnsi="MinionPro-Regular"/>
                <w:sz w:val="16"/>
                <w:szCs w:val="24"/>
                <w:lang w:val="es-ES_tradnl"/>
              </w:rPr>
              <w:t>10.612.703</w:t>
            </w:r>
          </w:p>
        </w:tc>
        <w:tc>
          <w:tcPr>
            <w:tcW w:w="1559" w:type="dxa"/>
            <w:tcBorders>
              <w:top w:val="single" w:sz="4" w:space="0" w:color="auto"/>
              <w:bottom w:val="single" w:sz="12" w:space="0" w:color="409DAD"/>
            </w:tcBorders>
            <w:vAlign w:val="center"/>
          </w:tcPr>
          <w:p w:rsidR="00E2336B" w:rsidRPr="00A62C1C" w:rsidRDefault="00E2336B" w:rsidP="00A62C1C">
            <w:pPr>
              <w:autoSpaceDE w:val="0"/>
              <w:autoSpaceDN w:val="0"/>
              <w:spacing w:line="360" w:lineRule="auto"/>
              <w:jc w:val="center"/>
              <w:rPr>
                <w:rFonts w:ascii="MinionPro-Regular" w:hAnsi="MinionPro-Regular"/>
                <w:sz w:val="16"/>
                <w:szCs w:val="24"/>
                <w:lang w:val="es-ES_tradnl"/>
              </w:rPr>
            </w:pPr>
            <w:r w:rsidRPr="00A62C1C">
              <w:rPr>
                <w:rFonts w:ascii="MinionPro-Regular" w:hAnsi="MinionPro-Regular"/>
                <w:sz w:val="16"/>
                <w:szCs w:val="24"/>
                <w:lang w:val="es-ES_tradnl"/>
              </w:rPr>
              <w:t>60.584.326</w:t>
            </w:r>
          </w:p>
        </w:tc>
        <w:tc>
          <w:tcPr>
            <w:tcW w:w="1559" w:type="dxa"/>
            <w:tcBorders>
              <w:top w:val="single" w:sz="4" w:space="0" w:color="auto"/>
              <w:bottom w:val="single" w:sz="12" w:space="0" w:color="409DAD"/>
            </w:tcBorders>
            <w:vAlign w:val="center"/>
          </w:tcPr>
          <w:p w:rsidR="00E2336B" w:rsidRPr="00A62C1C" w:rsidRDefault="00E2336B" w:rsidP="00A62C1C">
            <w:pPr>
              <w:autoSpaceDE w:val="0"/>
              <w:autoSpaceDN w:val="0"/>
              <w:spacing w:line="360" w:lineRule="auto"/>
              <w:jc w:val="center"/>
              <w:rPr>
                <w:rFonts w:ascii="MinionPro-Regular" w:hAnsi="MinionPro-Regular"/>
                <w:sz w:val="16"/>
                <w:szCs w:val="24"/>
                <w:lang w:val="es-ES_tradnl"/>
              </w:rPr>
            </w:pPr>
            <w:r w:rsidRPr="00A62C1C">
              <w:rPr>
                <w:rFonts w:ascii="MinionPro-Regular" w:hAnsi="MinionPro-Regular"/>
                <w:sz w:val="16"/>
                <w:szCs w:val="24"/>
                <w:lang w:val="es-ES_tradnl"/>
              </w:rPr>
              <w:t>91.965.885</w:t>
            </w:r>
          </w:p>
        </w:tc>
      </w:tr>
    </w:tbl>
    <w:p w:rsidR="00E2336B" w:rsidRPr="008B461D" w:rsidRDefault="00E2336B" w:rsidP="00890FE5">
      <w:pPr>
        <w:rPr>
          <w:lang w:val="es-ES_tradnl"/>
        </w:rPr>
      </w:pPr>
    </w:p>
    <w:p w:rsidR="00E2336B" w:rsidRPr="006146B2" w:rsidRDefault="00E2336B" w:rsidP="006146B2">
      <w:pPr>
        <w:pBdr>
          <w:bottom w:val="single" w:sz="4" w:space="1" w:color="auto"/>
        </w:pBdr>
        <w:autoSpaceDE w:val="0"/>
        <w:autoSpaceDN w:val="0"/>
        <w:spacing w:line="360" w:lineRule="auto"/>
        <w:jc w:val="both"/>
        <w:rPr>
          <w:rFonts w:ascii="MinionPro-Regular" w:hAnsi="MinionPro-Regular"/>
          <w:b/>
          <w:sz w:val="24"/>
          <w:szCs w:val="24"/>
          <w:lang w:val="es-ES_tradnl"/>
        </w:rPr>
      </w:pPr>
      <w:r w:rsidRPr="008B461D">
        <w:rPr>
          <w:rFonts w:ascii="MinionPro-Regular" w:hAnsi="MinionPro-Regular"/>
          <w:sz w:val="20"/>
          <w:szCs w:val="24"/>
          <w:lang w:val="es-ES_tradnl"/>
        </w:rPr>
        <w:t>Fuente: Elaboración propia a partir de datos de la Tesorería General de la Seguridad Social</w:t>
      </w:r>
    </w:p>
    <w:p w:rsidR="00E2336B" w:rsidRDefault="00E2336B" w:rsidP="00890FE5">
      <w:pPr>
        <w:rPr>
          <w:rFonts w:ascii="MinionPro-Regular" w:hAnsi="MinionPro-Regular"/>
          <w:sz w:val="24"/>
          <w:szCs w:val="24"/>
          <w:lang w:val="es-ES_tradnl"/>
        </w:rPr>
      </w:pPr>
    </w:p>
    <w:p w:rsidR="00E2336B" w:rsidRDefault="00E2336B" w:rsidP="00890FE5">
      <w:pPr>
        <w:rPr>
          <w:rFonts w:ascii="MinionPro-Regular" w:hAnsi="MinionPro-Regular"/>
          <w:sz w:val="24"/>
          <w:szCs w:val="24"/>
          <w:lang w:val="es-ES_tradnl"/>
        </w:rPr>
      </w:pPr>
    </w:p>
    <w:p w:rsidR="001E0871" w:rsidRDefault="001E0871" w:rsidP="00890FE5">
      <w:pPr>
        <w:rPr>
          <w:rFonts w:ascii="MinionPro-Regular" w:hAnsi="MinionPro-Regular"/>
          <w:sz w:val="24"/>
          <w:szCs w:val="24"/>
          <w:lang w:val="es-ES_tradnl"/>
        </w:rPr>
      </w:pPr>
    </w:p>
    <w:p w:rsidR="00E2336B" w:rsidRDefault="00E2336B" w:rsidP="00890FE5">
      <w:pPr>
        <w:rPr>
          <w:rFonts w:ascii="MinionPro-Regular" w:hAnsi="MinionPro-Regular"/>
          <w:sz w:val="24"/>
          <w:szCs w:val="24"/>
          <w:lang w:val="es-ES_tradnl"/>
        </w:rPr>
      </w:pPr>
    </w:p>
    <w:p w:rsidR="00E2336B" w:rsidRPr="00253E3E" w:rsidRDefault="00E2336B" w:rsidP="00253E3E">
      <w:pPr>
        <w:pBdr>
          <w:top w:val="single" w:sz="4" w:space="1" w:color="auto"/>
        </w:pBdr>
        <w:autoSpaceDE w:val="0"/>
        <w:autoSpaceDN w:val="0"/>
        <w:spacing w:line="360" w:lineRule="auto"/>
        <w:jc w:val="both"/>
        <w:rPr>
          <w:rFonts w:ascii="MinionPro-Regular" w:hAnsi="MinionPro-Regular"/>
          <w:sz w:val="20"/>
          <w:szCs w:val="24"/>
          <w:lang w:val="es-ES_tradnl"/>
        </w:rPr>
      </w:pPr>
      <w:r w:rsidRPr="00253E3E">
        <w:rPr>
          <w:rFonts w:ascii="MinionPro-Regular" w:hAnsi="MinionPro-Regular"/>
          <w:sz w:val="20"/>
          <w:szCs w:val="24"/>
          <w:lang w:val="es-ES_tradnl"/>
        </w:rPr>
        <w:t>Estimación del retorno en concepto de IRPF y cotización a la seguridad social de las personas sin discapacidad que trabajan en centros especiales de empleo</w:t>
      </w:r>
    </w:p>
    <w:p w:rsidR="00E2336B" w:rsidRDefault="00E1516B" w:rsidP="003B0DBC">
      <w:pPr>
        <w:autoSpaceDE w:val="0"/>
        <w:autoSpaceDN w:val="0"/>
        <w:spacing w:line="360" w:lineRule="auto"/>
        <w:rPr>
          <w:rFonts w:ascii="MinionPro-Regular" w:hAnsi="MinionPro-Regular"/>
          <w:b/>
          <w:sz w:val="24"/>
          <w:szCs w:val="24"/>
          <w:lang w:val="es-ES_tradnl"/>
        </w:rPr>
      </w:pPr>
      <w:r>
        <w:rPr>
          <w:rFonts w:ascii="MinionPro-Regular" w:hAnsi="MinionPro-Regular"/>
          <w:b/>
          <w:noProof/>
          <w:sz w:val="24"/>
          <w:szCs w:val="24"/>
          <w:lang w:eastAsia="es-ES"/>
        </w:rPr>
        <w:drawing>
          <wp:inline distT="0" distB="0" distL="0" distR="0">
            <wp:extent cx="4615180" cy="2855595"/>
            <wp:effectExtent l="0" t="0" r="0" b="0"/>
            <wp:docPr id="92" name="Picture 9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6"/>
              </a:graphicData>
            </a:graphic>
          </wp:inline>
        </w:drawing>
      </w:r>
    </w:p>
    <w:p w:rsidR="00E2336B" w:rsidRDefault="00E2336B" w:rsidP="006146B2">
      <w:pPr>
        <w:pBdr>
          <w:bottom w:val="single" w:sz="4" w:space="1" w:color="auto"/>
        </w:pBdr>
        <w:autoSpaceDE w:val="0"/>
        <w:autoSpaceDN w:val="0"/>
        <w:spacing w:line="360" w:lineRule="auto"/>
        <w:jc w:val="both"/>
        <w:rPr>
          <w:rFonts w:ascii="MinionPro-Regular" w:hAnsi="MinionPro-Regular"/>
          <w:sz w:val="20"/>
          <w:szCs w:val="24"/>
          <w:lang w:val="es-ES_tradnl"/>
        </w:rPr>
      </w:pPr>
      <w:r w:rsidRPr="008B461D">
        <w:rPr>
          <w:rFonts w:ascii="MinionPro-Regular" w:hAnsi="MinionPro-Regular"/>
          <w:sz w:val="20"/>
          <w:szCs w:val="24"/>
          <w:lang w:val="es-ES_tradnl"/>
        </w:rPr>
        <w:lastRenderedPageBreak/>
        <w:t>Fuente: Elaboración propia a partir de datos de la Tesorería General de la Seguridad Social</w:t>
      </w:r>
    </w:p>
    <w:p w:rsidR="00E2336B" w:rsidRDefault="00E2336B" w:rsidP="006146B2">
      <w:pPr>
        <w:pBdr>
          <w:bottom w:val="single" w:sz="4" w:space="1" w:color="auto"/>
        </w:pBdr>
        <w:autoSpaceDE w:val="0"/>
        <w:autoSpaceDN w:val="0"/>
        <w:spacing w:line="360" w:lineRule="auto"/>
        <w:jc w:val="both"/>
        <w:rPr>
          <w:rFonts w:ascii="MinionPro-Regular" w:hAnsi="MinionPro-Regular"/>
          <w:sz w:val="20"/>
          <w:szCs w:val="24"/>
          <w:lang w:val="es-ES_tradnl"/>
        </w:rPr>
      </w:pPr>
    </w:p>
    <w:p w:rsidR="00E2336B" w:rsidRPr="007D2492" w:rsidRDefault="00E2336B" w:rsidP="006146B2">
      <w:pPr>
        <w:pBdr>
          <w:bottom w:val="single" w:sz="4" w:space="1" w:color="auto"/>
        </w:pBdr>
        <w:autoSpaceDE w:val="0"/>
        <w:autoSpaceDN w:val="0"/>
        <w:spacing w:line="360" w:lineRule="auto"/>
        <w:jc w:val="both"/>
        <w:rPr>
          <w:rFonts w:ascii="MinionPro-Regular" w:hAnsi="MinionPro-Regular"/>
          <w:sz w:val="20"/>
          <w:szCs w:val="24"/>
          <w:lang w:val="es-ES_tradnl"/>
        </w:rPr>
      </w:pPr>
      <w:r>
        <w:rPr>
          <w:rFonts w:ascii="MinionPro-Regular" w:hAnsi="MinionPro-Regular"/>
          <w:sz w:val="20"/>
          <w:szCs w:val="24"/>
          <w:lang w:val="es-ES_tradnl"/>
        </w:rPr>
        <w:t>Nota explicativa de la gráfica: Eje vertical, euros. Eje horizontal, año 2011. Estimación de IRPF de las personas sin discapacidad de los centros especiales de empleo (20.768.856 euros). Estimación de la cotización a la seguridad social por parte del empleado sin discapacidad de los centros especiales de empleo (10.612.703 euros). Estimación de la cotización a la seguridad social por parte del empleador en relación a las personas sin discapacidad del centro especial de empleo (60.584.326 euros). Total de conceptos IRPF y seguridad social en relación a las personas sin discapacidad de los centros especiales de empleo: 91.965.885 euros. De este total, el 22,5% correspondería a IRPF, el 11,5% a la cotización seguridad social de empleado y el 65,9% a cotización seguridad social del empleador.</w:t>
      </w:r>
    </w:p>
    <w:p w:rsidR="00E2336B" w:rsidRDefault="00E2336B" w:rsidP="00890FE5">
      <w:pPr>
        <w:rPr>
          <w:rFonts w:ascii="MinionPro-Regular" w:hAnsi="MinionPro-Regular"/>
          <w:b/>
          <w:sz w:val="20"/>
          <w:szCs w:val="24"/>
          <w:lang w:val="es-ES_tradnl"/>
        </w:rPr>
      </w:pPr>
    </w:p>
    <w:p w:rsidR="00E2336B" w:rsidRDefault="00E2336B" w:rsidP="00890FE5">
      <w:pPr>
        <w:rPr>
          <w:rFonts w:ascii="MinionPro-Regular" w:hAnsi="MinionPro-Regular"/>
          <w:b/>
          <w:sz w:val="20"/>
          <w:szCs w:val="24"/>
          <w:lang w:val="es-ES_tradnl"/>
        </w:rPr>
      </w:pPr>
    </w:p>
    <w:p w:rsidR="00E2336B" w:rsidRDefault="00E2336B" w:rsidP="00890FE5">
      <w:pPr>
        <w:rPr>
          <w:rFonts w:ascii="MinionPro-Regular" w:hAnsi="MinionPro-Regular"/>
          <w:b/>
          <w:sz w:val="20"/>
          <w:szCs w:val="24"/>
          <w:lang w:val="es-ES_tradnl"/>
        </w:rPr>
      </w:pPr>
    </w:p>
    <w:p w:rsidR="00451351" w:rsidRDefault="00451351" w:rsidP="00890FE5">
      <w:pPr>
        <w:rPr>
          <w:rFonts w:ascii="MinionPro-Regular" w:hAnsi="MinionPro-Regular"/>
          <w:b/>
          <w:sz w:val="20"/>
          <w:szCs w:val="24"/>
          <w:lang w:val="es-ES_tradnl"/>
        </w:rPr>
      </w:pPr>
    </w:p>
    <w:p w:rsidR="001624DD" w:rsidRDefault="001624DD" w:rsidP="00890FE5">
      <w:pPr>
        <w:rPr>
          <w:rFonts w:ascii="MinionPro-Regular" w:hAnsi="MinionPro-Regular"/>
          <w:b/>
          <w:sz w:val="20"/>
          <w:szCs w:val="24"/>
          <w:lang w:val="es-ES_tradnl"/>
        </w:rPr>
      </w:pPr>
    </w:p>
    <w:p w:rsidR="001624DD" w:rsidRDefault="001624DD" w:rsidP="00890FE5">
      <w:pPr>
        <w:rPr>
          <w:rFonts w:ascii="MinionPro-Regular" w:hAnsi="MinionPro-Regular"/>
          <w:b/>
          <w:sz w:val="20"/>
          <w:szCs w:val="24"/>
          <w:lang w:val="es-ES_tradnl"/>
        </w:rPr>
      </w:pPr>
    </w:p>
    <w:p w:rsidR="001E0871" w:rsidRDefault="001E0871" w:rsidP="00890FE5">
      <w:pPr>
        <w:rPr>
          <w:rFonts w:ascii="MinionPro-Regular" w:hAnsi="MinionPro-Regular"/>
          <w:b/>
          <w:sz w:val="20"/>
          <w:szCs w:val="24"/>
          <w:lang w:val="es-ES_tradnl"/>
        </w:rPr>
      </w:pPr>
    </w:p>
    <w:p w:rsidR="001E0871" w:rsidRDefault="001E0871" w:rsidP="00890FE5">
      <w:pPr>
        <w:rPr>
          <w:rFonts w:ascii="MinionPro-Regular" w:hAnsi="MinionPro-Regular"/>
          <w:b/>
          <w:sz w:val="20"/>
          <w:szCs w:val="24"/>
          <w:lang w:val="es-ES_tradnl"/>
        </w:rPr>
      </w:pPr>
    </w:p>
    <w:p w:rsidR="001E0871" w:rsidRDefault="001E0871" w:rsidP="00890FE5">
      <w:pPr>
        <w:rPr>
          <w:rFonts w:ascii="MinionPro-Regular" w:hAnsi="MinionPro-Regular"/>
          <w:b/>
          <w:sz w:val="20"/>
          <w:szCs w:val="24"/>
          <w:lang w:val="es-ES_tradnl"/>
        </w:rPr>
      </w:pPr>
    </w:p>
    <w:p w:rsidR="001E0871" w:rsidRDefault="001E0871" w:rsidP="00890FE5">
      <w:pPr>
        <w:rPr>
          <w:rFonts w:ascii="MinionPro-Regular" w:hAnsi="MinionPro-Regular"/>
          <w:b/>
          <w:sz w:val="20"/>
          <w:szCs w:val="24"/>
          <w:lang w:val="es-ES_tradnl"/>
        </w:rPr>
      </w:pPr>
    </w:p>
    <w:p w:rsidR="001624DD" w:rsidRDefault="001624DD" w:rsidP="00890FE5">
      <w:pPr>
        <w:rPr>
          <w:rFonts w:ascii="MinionPro-Regular" w:hAnsi="MinionPro-Regular"/>
          <w:b/>
          <w:sz w:val="20"/>
          <w:szCs w:val="24"/>
          <w:lang w:val="es-ES_tradnl"/>
        </w:rPr>
      </w:pPr>
    </w:p>
    <w:p w:rsidR="001624DD" w:rsidRDefault="001624DD" w:rsidP="00890FE5">
      <w:pPr>
        <w:rPr>
          <w:rFonts w:ascii="MinionPro-Regular" w:hAnsi="MinionPro-Regular"/>
          <w:b/>
          <w:sz w:val="20"/>
          <w:szCs w:val="24"/>
          <w:lang w:val="es-ES_tradnl"/>
        </w:rPr>
      </w:pPr>
    </w:p>
    <w:p w:rsidR="001624DD" w:rsidRDefault="001624DD" w:rsidP="00890FE5">
      <w:pPr>
        <w:rPr>
          <w:rFonts w:ascii="MinionPro-Regular" w:hAnsi="MinionPro-Regular"/>
          <w:b/>
          <w:sz w:val="20"/>
          <w:szCs w:val="24"/>
          <w:lang w:val="es-ES_tradnl"/>
        </w:rPr>
      </w:pPr>
    </w:p>
    <w:p w:rsidR="00E2336B" w:rsidRPr="003B0DBC" w:rsidRDefault="00E2336B" w:rsidP="00890FE5">
      <w:pPr>
        <w:rPr>
          <w:rFonts w:ascii="MinionPro-Regular" w:hAnsi="MinionPro-Regular"/>
          <w:b/>
          <w:sz w:val="20"/>
          <w:szCs w:val="24"/>
          <w:lang w:val="es-ES_tradnl"/>
        </w:rPr>
      </w:pPr>
    </w:p>
    <w:p w:rsidR="00E2336B" w:rsidRPr="003B0DBC" w:rsidRDefault="00E2336B" w:rsidP="003B0DBC">
      <w:pPr>
        <w:pBdr>
          <w:top w:val="single" w:sz="4" w:space="1" w:color="auto"/>
        </w:pBdr>
        <w:rPr>
          <w:rFonts w:ascii="MinionPro-Regular" w:hAnsi="MinionPro-Regular"/>
          <w:sz w:val="20"/>
          <w:szCs w:val="24"/>
          <w:lang w:val="es-ES_tradnl"/>
        </w:rPr>
      </w:pPr>
      <w:r w:rsidRPr="003B0DBC">
        <w:rPr>
          <w:rFonts w:ascii="MinionPro-Regular" w:hAnsi="MinionPro-Regular"/>
          <w:sz w:val="20"/>
          <w:szCs w:val="24"/>
          <w:lang w:val="es-ES_tradnl"/>
        </w:rPr>
        <w:t>Tabla resumen: Estimación total de IRPF y cotizaciones a la seguridad social</w:t>
      </w:r>
      <w:r>
        <w:rPr>
          <w:rFonts w:ascii="MinionPro-Regular" w:hAnsi="MinionPro-Regular"/>
          <w:sz w:val="20"/>
          <w:szCs w:val="24"/>
          <w:lang w:val="es-ES_tradnl"/>
        </w:rPr>
        <w:t xml:space="preserve"> retornadas por centros especiales de empleo</w:t>
      </w:r>
    </w:p>
    <w:p w:rsidR="00E2336B" w:rsidRDefault="00E2336B" w:rsidP="00890FE5">
      <w:pPr>
        <w:rPr>
          <w:rFonts w:ascii="MinionPro-Regular" w:hAnsi="MinionPro-Regular"/>
          <w:b/>
          <w:sz w:val="24"/>
          <w:szCs w:val="24"/>
          <w:lang w:val="es-ES_tradnl"/>
        </w:rPr>
      </w:pPr>
    </w:p>
    <w:tbl>
      <w:tblPr>
        <w:tblW w:w="7567" w:type="dxa"/>
        <w:tblBorders>
          <w:bottom w:val="single" w:sz="12" w:space="0" w:color="409DAD"/>
        </w:tblBorders>
        <w:tblCellMar>
          <w:top w:w="28" w:type="dxa"/>
          <w:left w:w="28" w:type="dxa"/>
          <w:bottom w:w="28" w:type="dxa"/>
          <w:right w:w="28" w:type="dxa"/>
        </w:tblCellMar>
        <w:tblLook w:val="00A0"/>
      </w:tblPr>
      <w:tblGrid>
        <w:gridCol w:w="1755"/>
        <w:gridCol w:w="1276"/>
        <w:gridCol w:w="1418"/>
        <w:gridCol w:w="1842"/>
        <w:gridCol w:w="1276"/>
      </w:tblGrid>
      <w:tr w:rsidR="00E2336B" w:rsidRPr="00F21A64" w:rsidTr="00A62C1C">
        <w:trPr>
          <w:trHeight w:val="1169"/>
        </w:trPr>
        <w:tc>
          <w:tcPr>
            <w:tcW w:w="1755" w:type="dxa"/>
            <w:shd w:val="clear" w:color="auto" w:fill="409DAD"/>
            <w:noWrap/>
            <w:vAlign w:val="center"/>
          </w:tcPr>
          <w:p w:rsidR="00E2336B" w:rsidRPr="00A62C1C" w:rsidRDefault="00E2336B" w:rsidP="00A62C1C">
            <w:pPr>
              <w:spacing w:line="180" w:lineRule="atLeast"/>
              <w:rPr>
                <w:rFonts w:ascii="MinionPro-Regular" w:hAnsi="MinionPro-Regular" w:cs="Calibri"/>
                <w:color w:val="000000"/>
                <w:sz w:val="20"/>
                <w:lang w:val="es-ES_tradnl"/>
              </w:rPr>
            </w:pPr>
            <w:r w:rsidRPr="00A62C1C">
              <w:rPr>
                <w:rFonts w:ascii="MinionPro-Regular" w:hAnsi="MinionPro-Regular" w:cs="Calibri"/>
                <w:color w:val="000000"/>
                <w:sz w:val="20"/>
                <w:lang w:val="es-ES_tradnl"/>
              </w:rPr>
              <w:t> </w:t>
            </w:r>
          </w:p>
        </w:tc>
        <w:tc>
          <w:tcPr>
            <w:tcW w:w="1276" w:type="dxa"/>
            <w:shd w:val="clear" w:color="auto" w:fill="409DAD"/>
            <w:vAlign w:val="center"/>
          </w:tcPr>
          <w:p w:rsidR="00E2336B" w:rsidRPr="00A62C1C" w:rsidRDefault="00E2336B" w:rsidP="00A62C1C">
            <w:pPr>
              <w:spacing w:line="180" w:lineRule="atLeast"/>
              <w:jc w:val="center"/>
              <w:rPr>
                <w:rFonts w:ascii="MinionPro-Regular" w:hAnsi="MinionPro-Regular" w:cs="Calibri"/>
                <w:bCs/>
                <w:color w:val="FFFFFF"/>
                <w:sz w:val="20"/>
                <w:lang w:val="en-US"/>
              </w:rPr>
            </w:pPr>
            <w:r w:rsidRPr="00A62C1C">
              <w:rPr>
                <w:rFonts w:ascii="MinionPro-Regular" w:hAnsi="MinionPro-Regular" w:cs="Calibri"/>
                <w:bCs/>
                <w:color w:val="FFFFFF"/>
                <w:sz w:val="20"/>
                <w:lang w:val="en-US"/>
              </w:rPr>
              <w:t>IRPF</w:t>
            </w:r>
          </w:p>
        </w:tc>
        <w:tc>
          <w:tcPr>
            <w:tcW w:w="1418" w:type="dxa"/>
            <w:shd w:val="clear" w:color="auto" w:fill="409DAD"/>
            <w:vAlign w:val="center"/>
          </w:tcPr>
          <w:p w:rsidR="00E2336B" w:rsidRPr="00A62C1C" w:rsidRDefault="00E2336B" w:rsidP="00A62C1C">
            <w:pPr>
              <w:spacing w:line="180" w:lineRule="atLeast"/>
              <w:jc w:val="center"/>
              <w:rPr>
                <w:rFonts w:ascii="MinionPro-Regular" w:hAnsi="MinionPro-Regular" w:cs="Calibri"/>
                <w:bCs/>
                <w:color w:val="FFFFFF"/>
                <w:sz w:val="20"/>
                <w:lang w:val="en-US"/>
              </w:rPr>
            </w:pPr>
            <w:r w:rsidRPr="00A62C1C">
              <w:rPr>
                <w:rFonts w:ascii="MinionPro-Regular" w:hAnsi="MinionPro-Regular" w:cs="Calibri"/>
                <w:bCs/>
                <w:color w:val="FFFFFF"/>
                <w:sz w:val="20"/>
                <w:lang w:val="en-US"/>
              </w:rPr>
              <w:t>Seguridad social (empleado)</w:t>
            </w:r>
          </w:p>
        </w:tc>
        <w:tc>
          <w:tcPr>
            <w:tcW w:w="1842" w:type="dxa"/>
            <w:shd w:val="clear" w:color="auto" w:fill="409DAD"/>
            <w:vAlign w:val="center"/>
          </w:tcPr>
          <w:p w:rsidR="00E2336B" w:rsidRPr="00A62C1C" w:rsidRDefault="00E2336B" w:rsidP="00A62C1C">
            <w:pPr>
              <w:spacing w:line="180" w:lineRule="atLeast"/>
              <w:jc w:val="center"/>
              <w:rPr>
                <w:rFonts w:ascii="MinionPro-Regular" w:hAnsi="MinionPro-Regular" w:cs="Calibri"/>
                <w:bCs/>
                <w:color w:val="FFFFFF"/>
                <w:sz w:val="20"/>
                <w:lang w:val="en-US"/>
              </w:rPr>
            </w:pPr>
            <w:r w:rsidRPr="00A62C1C">
              <w:rPr>
                <w:rFonts w:ascii="MinionPro-Regular" w:hAnsi="MinionPro-Regular" w:cs="Calibri"/>
                <w:bCs/>
                <w:color w:val="FFFFFF"/>
                <w:sz w:val="20"/>
                <w:lang w:val="en-US"/>
              </w:rPr>
              <w:t>Seguridad social (CEE)</w:t>
            </w:r>
          </w:p>
        </w:tc>
        <w:tc>
          <w:tcPr>
            <w:tcW w:w="1276" w:type="dxa"/>
            <w:shd w:val="clear" w:color="auto" w:fill="409DAD"/>
            <w:vAlign w:val="center"/>
          </w:tcPr>
          <w:p w:rsidR="00E2336B" w:rsidRPr="00A62C1C" w:rsidRDefault="00E2336B" w:rsidP="00A62C1C">
            <w:pPr>
              <w:spacing w:line="180" w:lineRule="atLeast"/>
              <w:jc w:val="center"/>
              <w:rPr>
                <w:rFonts w:ascii="MinionPro-Regular" w:hAnsi="MinionPro-Regular" w:cs="Calibri"/>
                <w:b/>
                <w:bCs/>
                <w:color w:val="FFFFFF"/>
                <w:sz w:val="20"/>
                <w:lang w:val="en-US"/>
              </w:rPr>
            </w:pPr>
            <w:r w:rsidRPr="00A62C1C">
              <w:rPr>
                <w:rFonts w:ascii="MinionPro-Regular" w:hAnsi="MinionPro-Regular" w:cs="Calibri"/>
                <w:b/>
                <w:bCs/>
                <w:color w:val="FFFFFF"/>
                <w:sz w:val="20"/>
                <w:lang w:val="en-US"/>
              </w:rPr>
              <w:t>Total</w:t>
            </w:r>
          </w:p>
        </w:tc>
      </w:tr>
      <w:tr w:rsidR="00E2336B" w:rsidRPr="00F21A64" w:rsidTr="00A62C1C">
        <w:trPr>
          <w:trHeight w:val="779"/>
        </w:trPr>
        <w:tc>
          <w:tcPr>
            <w:tcW w:w="1755" w:type="dxa"/>
            <w:tcBorders>
              <w:bottom w:val="single" w:sz="12" w:space="0" w:color="409DAD"/>
            </w:tcBorders>
            <w:vAlign w:val="center"/>
          </w:tcPr>
          <w:p w:rsidR="00E2336B" w:rsidRPr="00A62C1C" w:rsidRDefault="00E2336B" w:rsidP="00A62C1C">
            <w:pPr>
              <w:spacing w:line="180" w:lineRule="atLeast"/>
              <w:rPr>
                <w:rFonts w:ascii="MinionPro-Regular" w:hAnsi="MinionPro-Regular" w:cs="Calibri"/>
                <w:bCs/>
                <w:color w:val="FFFFFF"/>
                <w:sz w:val="20"/>
              </w:rPr>
            </w:pPr>
            <w:r w:rsidRPr="00A62C1C">
              <w:rPr>
                <w:rFonts w:ascii="MinionPro-Regular" w:hAnsi="MinionPro-Regular" w:cs="Calibri"/>
                <w:color w:val="000000"/>
                <w:sz w:val="20"/>
              </w:rPr>
              <w:t>Total retorno debido a pagos de IRPF y Seguridad Social (euros)</w:t>
            </w:r>
          </w:p>
        </w:tc>
        <w:tc>
          <w:tcPr>
            <w:tcW w:w="1276" w:type="dxa"/>
            <w:tcBorders>
              <w:bottom w:val="single" w:sz="12" w:space="0" w:color="409DAD"/>
            </w:tcBorders>
            <w:vAlign w:val="center"/>
          </w:tcPr>
          <w:p w:rsidR="00E2336B" w:rsidRPr="00A62C1C" w:rsidRDefault="00E2336B" w:rsidP="00A62C1C">
            <w:pPr>
              <w:spacing w:line="180" w:lineRule="atLeast"/>
              <w:jc w:val="center"/>
              <w:rPr>
                <w:rFonts w:ascii="MinionPro-Regular" w:hAnsi="MinionPro-Regular" w:cs="Calibri"/>
                <w:color w:val="000000"/>
                <w:sz w:val="20"/>
                <w:lang w:val="en-US"/>
              </w:rPr>
            </w:pPr>
            <w:r w:rsidRPr="00A62C1C">
              <w:rPr>
                <w:rFonts w:ascii="MinionPro-Regular" w:hAnsi="MinionPro-Regular" w:cs="Calibri"/>
                <w:color w:val="000000"/>
                <w:sz w:val="20"/>
                <w:lang w:val="en-US"/>
              </w:rPr>
              <w:t>59.208.424</w:t>
            </w:r>
          </w:p>
        </w:tc>
        <w:tc>
          <w:tcPr>
            <w:tcW w:w="1418" w:type="dxa"/>
            <w:tcBorders>
              <w:bottom w:val="single" w:sz="12" w:space="0" w:color="409DAD"/>
            </w:tcBorders>
            <w:vAlign w:val="center"/>
          </w:tcPr>
          <w:p w:rsidR="00E2336B" w:rsidRPr="00A62C1C" w:rsidRDefault="00E2336B" w:rsidP="00A62C1C">
            <w:pPr>
              <w:spacing w:line="180" w:lineRule="atLeast"/>
              <w:jc w:val="center"/>
              <w:rPr>
                <w:rFonts w:ascii="MinionPro-Regular" w:hAnsi="MinionPro-Regular" w:cs="Calibri"/>
                <w:color w:val="000000"/>
                <w:sz w:val="20"/>
                <w:lang w:val="en-US"/>
              </w:rPr>
            </w:pPr>
            <w:r w:rsidRPr="00A62C1C">
              <w:rPr>
                <w:rFonts w:ascii="MinionPro-Regular" w:hAnsi="MinionPro-Regular" w:cs="Calibri"/>
                <w:color w:val="000000"/>
                <w:sz w:val="20"/>
                <w:lang w:val="en-US"/>
              </w:rPr>
              <w:t>59.539.422</w:t>
            </w:r>
          </w:p>
        </w:tc>
        <w:tc>
          <w:tcPr>
            <w:tcW w:w="1842" w:type="dxa"/>
            <w:tcBorders>
              <w:bottom w:val="single" w:sz="12" w:space="0" w:color="409DAD"/>
            </w:tcBorders>
            <w:vAlign w:val="center"/>
          </w:tcPr>
          <w:p w:rsidR="00E2336B" w:rsidRPr="00A62C1C" w:rsidRDefault="00E2336B" w:rsidP="00A62C1C">
            <w:pPr>
              <w:spacing w:line="180" w:lineRule="atLeast"/>
              <w:jc w:val="center"/>
              <w:rPr>
                <w:rFonts w:ascii="MinionPro-Regular" w:hAnsi="MinionPro-Regular" w:cs="Calibri"/>
                <w:color w:val="000000"/>
                <w:sz w:val="20"/>
                <w:lang w:val="en-US"/>
              </w:rPr>
            </w:pPr>
            <w:r w:rsidRPr="00A62C1C">
              <w:rPr>
                <w:rFonts w:ascii="MinionPro-Regular" w:hAnsi="MinionPro-Regular" w:cs="Calibri"/>
                <w:color w:val="000000"/>
                <w:sz w:val="20"/>
                <w:lang w:val="en-US"/>
              </w:rPr>
              <w:t>60.584.326</w:t>
            </w:r>
          </w:p>
        </w:tc>
        <w:tc>
          <w:tcPr>
            <w:tcW w:w="1276" w:type="dxa"/>
            <w:tcBorders>
              <w:bottom w:val="single" w:sz="12" w:space="0" w:color="409DAD"/>
            </w:tcBorders>
            <w:vAlign w:val="center"/>
          </w:tcPr>
          <w:p w:rsidR="00E2336B" w:rsidRPr="00A62C1C" w:rsidRDefault="00E2336B" w:rsidP="00A62C1C">
            <w:pPr>
              <w:spacing w:line="180" w:lineRule="atLeast"/>
              <w:jc w:val="center"/>
              <w:rPr>
                <w:rFonts w:ascii="MinionPro-Regular" w:hAnsi="MinionPro-Regular" w:cs="Calibri"/>
                <w:b/>
                <w:color w:val="000000"/>
                <w:sz w:val="20"/>
                <w:lang w:val="en-US"/>
              </w:rPr>
            </w:pPr>
            <w:r w:rsidRPr="00A62C1C">
              <w:rPr>
                <w:rFonts w:ascii="MinionPro-Regular" w:hAnsi="MinionPro-Regular" w:cs="Calibri"/>
                <w:b/>
                <w:color w:val="000000"/>
                <w:sz w:val="20"/>
                <w:lang w:val="en-US"/>
              </w:rPr>
              <w:t>179.332.172</w:t>
            </w:r>
          </w:p>
        </w:tc>
      </w:tr>
    </w:tbl>
    <w:p w:rsidR="00E2336B" w:rsidRDefault="00E2336B" w:rsidP="00890FE5">
      <w:pPr>
        <w:rPr>
          <w:rFonts w:ascii="MinionPro-Regular" w:hAnsi="MinionPro-Regular"/>
          <w:b/>
          <w:sz w:val="24"/>
          <w:szCs w:val="24"/>
          <w:lang w:val="es-ES_tradnl"/>
        </w:rPr>
      </w:pPr>
    </w:p>
    <w:p w:rsidR="00E2336B" w:rsidRDefault="00E2336B" w:rsidP="000D19D2">
      <w:pPr>
        <w:pBdr>
          <w:bottom w:val="single" w:sz="4" w:space="1" w:color="auto"/>
        </w:pBdr>
        <w:rPr>
          <w:rFonts w:ascii="MinionPro-Regular" w:hAnsi="MinionPro-Regular"/>
          <w:sz w:val="20"/>
          <w:szCs w:val="24"/>
          <w:lang w:val="es-ES_tradnl"/>
        </w:rPr>
      </w:pPr>
      <w:r w:rsidRPr="008B461D">
        <w:rPr>
          <w:rFonts w:ascii="MinionPro-Regular" w:hAnsi="MinionPro-Regular"/>
          <w:sz w:val="20"/>
          <w:szCs w:val="24"/>
          <w:lang w:val="es-ES_tradnl"/>
        </w:rPr>
        <w:t>Fuente: Elaboración propia a partir de datos de la Tesorería General de la Seguridad Social</w:t>
      </w:r>
      <w:r w:rsidRPr="00EC5083">
        <w:rPr>
          <w:rFonts w:ascii="MinionPro-Regular" w:hAnsi="MinionPro-Regular"/>
          <w:sz w:val="20"/>
          <w:szCs w:val="24"/>
          <w:lang w:val="es-ES_tradnl"/>
        </w:rPr>
        <w:t xml:space="preserve"> </w:t>
      </w:r>
      <w:r w:rsidRPr="000D19D2">
        <w:rPr>
          <w:rFonts w:ascii="MinionPro-Regular" w:hAnsi="MinionPro-Regular"/>
          <w:sz w:val="20"/>
          <w:szCs w:val="24"/>
          <w:bdr w:val="single" w:sz="4" w:space="0" w:color="auto"/>
          <w:lang w:val="es-ES_tradnl"/>
        </w:rPr>
        <w:t xml:space="preserve"> </w:t>
      </w:r>
    </w:p>
    <w:p w:rsidR="00E2336B" w:rsidRDefault="00E2336B" w:rsidP="000D19D2">
      <w:pPr>
        <w:rPr>
          <w:rFonts w:ascii="MinionPro-Regular" w:hAnsi="MinionPro-Regular"/>
          <w:sz w:val="24"/>
          <w:szCs w:val="24"/>
          <w:lang w:val="es-ES_tradnl"/>
        </w:rPr>
      </w:pPr>
    </w:p>
    <w:p w:rsidR="00B02346" w:rsidRDefault="00B02346" w:rsidP="000D19D2">
      <w:pPr>
        <w:autoSpaceDE w:val="0"/>
        <w:autoSpaceDN w:val="0"/>
        <w:spacing w:line="360" w:lineRule="auto"/>
        <w:jc w:val="both"/>
        <w:rPr>
          <w:rFonts w:ascii="MinionPro-Regular" w:hAnsi="MinionPro-Regular"/>
          <w:sz w:val="20"/>
          <w:szCs w:val="24"/>
          <w:lang w:val="es-ES_tradnl"/>
        </w:rPr>
      </w:pPr>
    </w:p>
    <w:p w:rsidR="00E2336B" w:rsidRPr="000D19D2" w:rsidRDefault="00E2336B" w:rsidP="000D19D2">
      <w:pPr>
        <w:pBdr>
          <w:top w:val="single" w:sz="4" w:space="1" w:color="auto"/>
        </w:pBdr>
        <w:autoSpaceDE w:val="0"/>
        <w:autoSpaceDN w:val="0"/>
        <w:spacing w:line="360" w:lineRule="auto"/>
        <w:jc w:val="both"/>
        <w:rPr>
          <w:rFonts w:ascii="MinionPro-Regular" w:hAnsi="MinionPro-Regular"/>
          <w:sz w:val="20"/>
          <w:szCs w:val="24"/>
          <w:lang w:val="es-ES_tradnl"/>
        </w:rPr>
      </w:pPr>
      <w:r w:rsidRPr="008C0DEC">
        <w:rPr>
          <w:rFonts w:ascii="MinionPro-Regular" w:hAnsi="MinionPro-Regular"/>
          <w:sz w:val="20"/>
          <w:szCs w:val="24"/>
          <w:lang w:val="es-ES_tradnl"/>
        </w:rPr>
        <w:lastRenderedPageBreak/>
        <w:t>Estimación del retorno en IRPF y seguridad social de las personas con y sin discapacidad en centros especiales de empleo frente a las ayudas que implican una salida de caja</w:t>
      </w:r>
      <w:r>
        <w:rPr>
          <w:rFonts w:ascii="MinionPro-Regular" w:hAnsi="MinionPro-Regular"/>
          <w:sz w:val="20"/>
          <w:szCs w:val="24"/>
          <w:lang w:val="es-ES_tradnl"/>
        </w:rPr>
        <w:t>.</w:t>
      </w:r>
    </w:p>
    <w:p w:rsidR="00E2336B" w:rsidRDefault="00E1516B" w:rsidP="000D19D2">
      <w:pPr>
        <w:rPr>
          <w:rFonts w:ascii="MinionPro-Regular" w:hAnsi="MinionPro-Regular"/>
          <w:sz w:val="24"/>
          <w:szCs w:val="24"/>
          <w:lang w:val="es-ES_tradnl"/>
        </w:rPr>
      </w:pPr>
      <w:r>
        <w:rPr>
          <w:rFonts w:ascii="MinionPro-Regular" w:hAnsi="MinionPro-Regular"/>
          <w:noProof/>
          <w:sz w:val="24"/>
          <w:szCs w:val="24"/>
          <w:lang w:eastAsia="es-ES"/>
        </w:rPr>
        <w:drawing>
          <wp:inline distT="0" distB="0" distL="0" distR="0">
            <wp:extent cx="3888257" cy="2665730"/>
            <wp:effectExtent l="0" t="0" r="2388" b="0"/>
            <wp:docPr id="93" name="Picture 93"/>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4680520" cy="3835008"/>
                      <a:chOff x="1259633" y="2060848"/>
                      <a:chExt cx="4680520" cy="3835008"/>
                    </a:xfrm>
                  </a:grpSpPr>
                  <a:graphicFrame>
                    <a:nvGraphicFramePr>
                      <a:cNvPr id="4" name="Chart 3"/>
                      <a:cNvGraphicFramePr/>
                    </a:nvGraphicFramePr>
                    <a:graphic>
                      <a:graphicData uri="http://schemas.openxmlformats.org/drawingml/2006/chart">
                        <c:chart xmlns:c="http://schemas.openxmlformats.org/drawingml/2006/chart" xmlns:r="http://schemas.openxmlformats.org/officeDocument/2006/relationships" r:id="rId117"/>
                      </a:graphicData>
                    </a:graphic>
                    <a:xfrm>
                      <a:off x="1259633" y="2060848"/>
                      <a:ext cx="4680520" cy="3208057"/>
                    </a:xfrm>
                  </a:graphicFrame>
                  <a:sp>
                    <a:nvSpPr>
                      <a:cNvPr id="15" name="Rectangle 14"/>
                      <a:cNvSpPr/>
                    </a:nvSpPr>
                    <a:spPr>
                      <a:xfrm>
                        <a:off x="2339752" y="5157192"/>
                        <a:ext cx="1440160" cy="577081"/>
                      </a:xfrm>
                      <a:prstGeom prst="rect">
                        <a:avLst/>
                      </a:prstGeom>
                    </a:spPr>
                    <a:txSp>
                      <a:txBody>
                        <a:bodyPr wrap="square">
                          <a:spAutoFit/>
                        </a:bodyPr>
                        <a:lstStyle>
                          <a:defPPr>
                            <a:defRPr lang="es-E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s-ES" sz="1050" dirty="0" smtClean="0">
                              <a:latin typeface="MinionPro-Regular"/>
                            </a:rPr>
                            <a:t>Retorno derivado del IRPF y de la seguridad social</a:t>
                          </a:r>
                          <a:endParaRPr lang="es-ES" sz="1050" dirty="0">
                            <a:latin typeface="MinionPro-Regular"/>
                          </a:endParaRPr>
                        </a:p>
                      </a:txBody>
                      <a:useSpRect/>
                    </a:txSp>
                  </a:sp>
                  <a:cxnSp>
                    <a:nvCxnSpPr>
                      <a:cNvPr id="17" name="Straight Connector 16"/>
                      <a:cNvCxnSpPr/>
                    </a:nvCxnSpPr>
                    <a:spPr>
                      <a:xfrm>
                        <a:off x="2077120" y="5013176"/>
                        <a:ext cx="4032448" cy="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sp>
                    <a:nvSpPr>
                      <a:cNvPr id="7" name="Rectangle 6"/>
                      <a:cNvSpPr/>
                    </a:nvSpPr>
                    <a:spPr>
                      <a:xfrm>
                        <a:off x="4139952" y="5157192"/>
                        <a:ext cx="1440160" cy="738664"/>
                      </a:xfrm>
                      <a:prstGeom prst="rect">
                        <a:avLst/>
                      </a:prstGeom>
                    </a:spPr>
                    <a:txSp>
                      <a:txBody>
                        <a:bodyPr wrap="square">
                          <a:spAutoFit/>
                        </a:bodyPr>
                        <a:lstStyle>
                          <a:defPPr>
                            <a:defRPr lang="es-E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s-ES" sz="1050" dirty="0" smtClean="0">
                              <a:latin typeface="MinionPro-Regular"/>
                            </a:rPr>
                            <a:t>Ayudas de la administración pública que implican salida de caja</a:t>
                          </a:r>
                          <a:endParaRPr lang="es-ES" sz="1050" dirty="0">
                            <a:latin typeface="MinionPro-Regular"/>
                          </a:endParaRPr>
                        </a:p>
                      </a:txBody>
                      <a:useSpRect/>
                    </a:txSp>
                  </a:sp>
                </lc:lockedCanvas>
              </a:graphicData>
            </a:graphic>
          </wp:inline>
        </w:drawing>
      </w:r>
    </w:p>
    <w:p w:rsidR="00E2336B" w:rsidRDefault="00E2336B">
      <w:pPr>
        <w:pBdr>
          <w:bottom w:val="single" w:sz="4" w:space="1" w:color="auto"/>
        </w:pBdr>
        <w:autoSpaceDE w:val="0"/>
        <w:autoSpaceDN w:val="0"/>
        <w:spacing w:line="360" w:lineRule="auto"/>
        <w:jc w:val="both"/>
        <w:rPr>
          <w:rFonts w:ascii="MinionPro-Regular" w:hAnsi="MinionPro-Regular"/>
          <w:sz w:val="20"/>
          <w:szCs w:val="24"/>
          <w:lang w:val="es-ES_tradnl"/>
        </w:rPr>
      </w:pPr>
      <w:r w:rsidRPr="00664A5E">
        <w:rPr>
          <w:rFonts w:ascii="MinionPro-Regular" w:hAnsi="MinionPro-Regular"/>
          <w:sz w:val="20"/>
          <w:szCs w:val="24"/>
          <w:lang w:val="es-ES_tradnl"/>
        </w:rPr>
        <w:t>Fuente: Elaboración propi</w:t>
      </w:r>
      <w:r>
        <w:rPr>
          <w:rFonts w:ascii="MinionPro-Regular" w:hAnsi="MinionPro-Regular"/>
          <w:sz w:val="20"/>
          <w:szCs w:val="24"/>
          <w:lang w:val="es-ES_tradnl"/>
        </w:rPr>
        <w:t>a</w:t>
      </w:r>
    </w:p>
    <w:p w:rsidR="00E2336B" w:rsidRDefault="00E2336B">
      <w:pPr>
        <w:pBdr>
          <w:bottom w:val="single" w:sz="4" w:space="1" w:color="auto"/>
        </w:pBdr>
        <w:autoSpaceDE w:val="0"/>
        <w:autoSpaceDN w:val="0"/>
        <w:spacing w:line="360" w:lineRule="auto"/>
        <w:jc w:val="both"/>
        <w:rPr>
          <w:rFonts w:ascii="MinionPro-Regular" w:hAnsi="MinionPro-Regular"/>
          <w:sz w:val="20"/>
          <w:szCs w:val="24"/>
          <w:lang w:val="es-ES_tradnl"/>
        </w:rPr>
      </w:pPr>
    </w:p>
    <w:p w:rsidR="00E2336B" w:rsidRDefault="00E2336B">
      <w:pPr>
        <w:pBdr>
          <w:bottom w:val="single" w:sz="4" w:space="1" w:color="auto"/>
        </w:pBdr>
        <w:autoSpaceDE w:val="0"/>
        <w:autoSpaceDN w:val="0"/>
        <w:spacing w:line="360" w:lineRule="auto"/>
        <w:jc w:val="both"/>
        <w:rPr>
          <w:rFonts w:ascii="MinionPro-Regular" w:hAnsi="MinionPro-Regular"/>
          <w:sz w:val="20"/>
          <w:szCs w:val="24"/>
          <w:lang w:val="es-ES_tradnl"/>
        </w:rPr>
      </w:pPr>
      <w:r>
        <w:rPr>
          <w:rFonts w:ascii="MinionPro-Regular" w:hAnsi="MinionPro-Regular"/>
          <w:sz w:val="20"/>
          <w:szCs w:val="24"/>
          <w:lang w:val="es-ES_tradnl"/>
        </w:rPr>
        <w:t>Nota explicativa de la gráfica: Eje vertical, euros. Eje horizontal, por una parte el retorno total de los centros especiales de empleo (trabajadores con y sin discapacidad) en relación a los conceptos de IRPF (59.208.424 euros) y cotización a la seguridad social (120.123.748 euros). Por otra parte, en otra columna, aparece el dato de las ayudas de la administración pública que implican salida de caja (323.514.020 euros).</w:t>
      </w:r>
    </w:p>
    <w:p w:rsidR="00E2336B" w:rsidRDefault="00E2336B" w:rsidP="000D19D2">
      <w:pPr>
        <w:rPr>
          <w:rFonts w:ascii="MinionPro-Regular" w:hAnsi="MinionPro-Regular"/>
          <w:sz w:val="24"/>
          <w:szCs w:val="24"/>
          <w:lang w:val="es-ES_tradnl"/>
        </w:rPr>
      </w:pPr>
    </w:p>
    <w:p w:rsidR="00E2336B" w:rsidRPr="004C6D3E" w:rsidRDefault="00E2336B" w:rsidP="000D19D2">
      <w:pPr>
        <w:rPr>
          <w:rFonts w:ascii="MinionPro-Regular" w:hAnsi="MinionPro-Regular"/>
          <w:sz w:val="24"/>
          <w:szCs w:val="24"/>
          <w:lang w:val="es-ES_tradnl"/>
        </w:rPr>
      </w:pPr>
    </w:p>
    <w:p w:rsidR="00E2336B" w:rsidRPr="00807F12" w:rsidRDefault="00E2336B" w:rsidP="0007541A">
      <w:pPr>
        <w:pStyle w:val="Ttulo3"/>
        <w:numPr>
          <w:ilvl w:val="2"/>
          <w:numId w:val="3"/>
        </w:numPr>
        <w:rPr>
          <w:rFonts w:ascii="MinionPro-Regular" w:hAnsi="MinionPro-Regular"/>
          <w:lang w:val="es-ES_tradnl"/>
        </w:rPr>
      </w:pPr>
      <w:bookmarkStart w:id="416" w:name="_Toc340340564"/>
      <w:bookmarkStart w:id="417" w:name="_Toc352773585"/>
      <w:r w:rsidRPr="00807F12">
        <w:rPr>
          <w:rFonts w:ascii="MinionPro-Regular" w:hAnsi="MinionPro-Regular"/>
          <w:lang w:val="es-ES_tradnl"/>
        </w:rPr>
        <w:t>Impuesto sobre el valor añadido</w:t>
      </w:r>
      <w:bookmarkEnd w:id="416"/>
      <w:bookmarkEnd w:id="417"/>
    </w:p>
    <w:p w:rsidR="00E2336B" w:rsidRDefault="00E2336B" w:rsidP="00890FE5">
      <w:pPr>
        <w:pStyle w:val="Textoindependiente"/>
        <w:rPr>
          <w:lang w:val="es-ES_tradnl"/>
        </w:rPr>
      </w:pPr>
    </w:p>
    <w:p w:rsidR="00E2336B" w:rsidRDefault="00E2336B" w:rsidP="00890FE5">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El cálculo de los impuestos indirectos se ha realizado sobre la base de la estimación de la contribución al consumo final de los centros especiales de empleo. Para ello, se ha estimado en primer lugar la contribución de los centros especiales de empleo al PIB de España, sobre los datos sobre valor añadido y contribución al PIB por empleado, disponibles en Eurostat.  La contribución de los centros especiales de empleo al PIB podría situarse alrededor de los 2.600 millones de</w:t>
      </w:r>
      <w:r w:rsidRPr="008B461D">
        <w:rPr>
          <w:rFonts w:ascii="MinionPro-Regular" w:hAnsi="MinionPro-Regular"/>
          <w:sz w:val="24"/>
          <w:szCs w:val="24"/>
          <w:lang w:val="es-ES_tradnl"/>
        </w:rPr>
        <w:t xml:space="preserve"> euros.</w:t>
      </w:r>
      <w:r>
        <w:rPr>
          <w:rFonts w:ascii="MinionPro-Regular" w:hAnsi="MinionPro-Regular"/>
          <w:sz w:val="24"/>
          <w:szCs w:val="24"/>
          <w:lang w:val="es-ES_tradnl"/>
        </w:rPr>
        <w:t xml:space="preserve"> </w:t>
      </w:r>
    </w:p>
    <w:p w:rsidR="00E2336B" w:rsidRDefault="00E2336B" w:rsidP="00890FE5">
      <w:pPr>
        <w:autoSpaceDE w:val="0"/>
        <w:autoSpaceDN w:val="0"/>
        <w:spacing w:line="360" w:lineRule="auto"/>
        <w:jc w:val="both"/>
        <w:rPr>
          <w:rFonts w:ascii="MinionPro-Regular" w:hAnsi="MinionPro-Regular"/>
          <w:sz w:val="24"/>
          <w:szCs w:val="24"/>
          <w:lang w:val="es-ES_tradnl"/>
        </w:rPr>
      </w:pPr>
    </w:p>
    <w:p w:rsidR="00E2336B" w:rsidRDefault="00E2336B" w:rsidP="00890FE5">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 xml:space="preserve">Posteriormente, se ha aplicado la fracción correspondiente al consumo de bienes y servicios que, de acuerdo a Eurostat, supondría la actividad de los centros especiales de empleo, aplicándose el tipo impositivo general correspondiente a la imposición indirecta.  </w:t>
      </w:r>
    </w:p>
    <w:p w:rsidR="00E2336B" w:rsidRDefault="00E2336B" w:rsidP="00890FE5">
      <w:pPr>
        <w:autoSpaceDE w:val="0"/>
        <w:autoSpaceDN w:val="0"/>
        <w:spacing w:line="360" w:lineRule="auto"/>
        <w:jc w:val="both"/>
        <w:rPr>
          <w:rFonts w:ascii="MinionPro-Regular" w:hAnsi="MinionPro-Regular"/>
          <w:sz w:val="24"/>
          <w:szCs w:val="24"/>
          <w:lang w:val="es-ES_tradnl"/>
        </w:rPr>
      </w:pPr>
    </w:p>
    <w:p w:rsidR="00E2336B" w:rsidRDefault="00E2336B" w:rsidP="00890FE5">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Los cálculos anteriores permiten estimar que los impuestos indirectos recibidos por la administración pública como consecuencia de la actividad de mercado de los centros especiales de empleo ascendería a alrededor de 240 millones de euros.</w:t>
      </w:r>
    </w:p>
    <w:p w:rsidR="00E2336B" w:rsidRDefault="00E2336B" w:rsidP="00890FE5">
      <w:pPr>
        <w:autoSpaceDE w:val="0"/>
        <w:autoSpaceDN w:val="0"/>
        <w:spacing w:line="360" w:lineRule="auto"/>
        <w:jc w:val="both"/>
        <w:rPr>
          <w:rFonts w:ascii="MinionPro-Regular" w:hAnsi="MinionPro-Regular"/>
          <w:sz w:val="24"/>
          <w:szCs w:val="24"/>
          <w:lang w:val="es-ES_tradnl"/>
        </w:rPr>
      </w:pPr>
    </w:p>
    <w:p w:rsidR="00E2336B" w:rsidRDefault="00E2336B" w:rsidP="000D19D2">
      <w:pPr>
        <w:pBdr>
          <w:top w:val="single" w:sz="4" w:space="1" w:color="auto"/>
        </w:pBdr>
        <w:autoSpaceDE w:val="0"/>
        <w:autoSpaceDN w:val="0"/>
        <w:spacing w:line="360" w:lineRule="auto"/>
        <w:jc w:val="both"/>
        <w:rPr>
          <w:rFonts w:ascii="MinionPro-Regular" w:hAnsi="MinionPro-Regular"/>
          <w:sz w:val="20"/>
          <w:szCs w:val="24"/>
          <w:lang w:val="es-ES_tradnl"/>
        </w:rPr>
      </w:pPr>
      <w:r w:rsidRPr="003D3464">
        <w:rPr>
          <w:rFonts w:ascii="MinionPro-Regular" w:hAnsi="MinionPro-Regular"/>
          <w:sz w:val="20"/>
          <w:szCs w:val="24"/>
          <w:lang w:val="es-ES_tradnl"/>
        </w:rPr>
        <w:t>Estimación del retorno en IRPF, seguridad social e IVA frente a las ayudas que implican una salida de caja</w:t>
      </w:r>
      <w:r>
        <w:rPr>
          <w:rFonts w:ascii="MinionPro-Regular" w:hAnsi="MinionPro-Regular"/>
          <w:sz w:val="20"/>
          <w:szCs w:val="24"/>
          <w:lang w:val="es-ES_tradnl"/>
        </w:rPr>
        <w:t>.</w:t>
      </w:r>
    </w:p>
    <w:p w:rsidR="00E2336B" w:rsidRPr="00664A5E" w:rsidRDefault="00E2336B" w:rsidP="000D19D2">
      <w:pPr>
        <w:pBdr>
          <w:top w:val="single" w:sz="4" w:space="1" w:color="auto"/>
        </w:pBdr>
        <w:autoSpaceDE w:val="0"/>
        <w:autoSpaceDN w:val="0"/>
        <w:spacing w:line="360" w:lineRule="auto"/>
        <w:jc w:val="both"/>
        <w:rPr>
          <w:rFonts w:ascii="MinionPro-Regular" w:hAnsi="MinionPro-Regular"/>
          <w:sz w:val="20"/>
          <w:szCs w:val="24"/>
          <w:lang w:val="es-ES_tradnl"/>
        </w:rPr>
      </w:pPr>
    </w:p>
    <w:p w:rsidR="00E2336B" w:rsidRDefault="00E1516B" w:rsidP="00890FE5">
      <w:pPr>
        <w:autoSpaceDE w:val="0"/>
        <w:autoSpaceDN w:val="0"/>
        <w:spacing w:line="360" w:lineRule="auto"/>
        <w:jc w:val="both"/>
        <w:rPr>
          <w:rFonts w:ascii="MinionPro-Regular" w:hAnsi="MinionPro-Regular"/>
          <w:sz w:val="24"/>
          <w:szCs w:val="24"/>
          <w:lang w:val="es-ES_tradnl"/>
        </w:rPr>
      </w:pPr>
      <w:r>
        <w:rPr>
          <w:rFonts w:ascii="MinionPro-Regular" w:hAnsi="MinionPro-Regular"/>
          <w:noProof/>
          <w:sz w:val="24"/>
          <w:szCs w:val="24"/>
          <w:lang w:eastAsia="es-ES"/>
        </w:rPr>
        <w:drawing>
          <wp:inline distT="0" distB="0" distL="0" distR="0">
            <wp:extent cx="4002405" cy="2458720"/>
            <wp:effectExtent l="0" t="0" r="0" b="0"/>
            <wp:docPr id="94" name="Picture 94"/>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5065059" cy="3982917"/>
                      <a:chOff x="2039470" y="1753534"/>
                      <a:chExt cx="5065059" cy="3982917"/>
                    </a:xfrm>
                  </a:grpSpPr>
                  <a:graphicFrame>
                    <a:nvGraphicFramePr>
                      <a:cNvPr id="4" name="Chart 3"/>
                      <a:cNvGraphicFramePr/>
                    </a:nvGraphicFramePr>
                    <a:graphic>
                      <a:graphicData uri="http://schemas.openxmlformats.org/drawingml/2006/chart">
                        <c:chart xmlns:c="http://schemas.openxmlformats.org/drawingml/2006/chart" xmlns:r="http://schemas.openxmlformats.org/officeDocument/2006/relationships" r:id="rId118"/>
                      </a:graphicData>
                    </a:graphic>
                    <a:xfrm>
                      <a:off x="2039470" y="1753534"/>
                      <a:ext cx="5065059" cy="3350932"/>
                    </a:xfrm>
                  </a:graphicFrame>
                  <a:sp>
                    <a:nvSpPr>
                      <a:cNvPr id="5" name="Rectangle 4"/>
                      <a:cNvSpPr/>
                    </a:nvSpPr>
                    <a:spPr>
                      <a:xfrm>
                        <a:off x="2771800" y="4941168"/>
                        <a:ext cx="1440160" cy="577081"/>
                      </a:xfrm>
                      <a:prstGeom prst="rect">
                        <a:avLst/>
                      </a:prstGeom>
                    </a:spPr>
                    <a:txSp>
                      <a:txBody>
                        <a:bodyPr wrap="square">
                          <a:spAutoFit/>
                        </a:bodyPr>
                        <a:lstStyle>
                          <a:defPPr>
                            <a:defRPr lang="es-E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s-ES" sz="1050" dirty="0" smtClean="0">
                              <a:latin typeface="MinionPro-Regular"/>
                            </a:rPr>
                            <a:t>Retorno derivado del IRPF y de la seguridad social</a:t>
                          </a:r>
                          <a:endParaRPr lang="es-ES" sz="1050" dirty="0">
                            <a:latin typeface="MinionPro-Regular"/>
                          </a:endParaRPr>
                        </a:p>
                      </a:txBody>
                      <a:useSpRect/>
                    </a:txSp>
                  </a:sp>
                  <a:sp>
                    <a:nvSpPr>
                      <a:cNvPr id="6" name="Rectangle 5"/>
                      <a:cNvSpPr/>
                    </a:nvSpPr>
                    <a:spPr>
                      <a:xfrm>
                        <a:off x="5292080" y="5013176"/>
                        <a:ext cx="1440160" cy="723275"/>
                      </a:xfrm>
                      <a:prstGeom prst="rect">
                        <a:avLst/>
                      </a:prstGeom>
                    </a:spPr>
                    <a:txSp>
                      <a:txBody>
                        <a:bodyPr wrap="square">
                          <a:spAutoFit/>
                        </a:bodyPr>
                        <a:lstStyle>
                          <a:defPPr>
                            <a:defRPr lang="es-E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s-ES" sz="1000" dirty="0" smtClean="0">
                              <a:latin typeface="MinionPro-Regular"/>
                            </a:rPr>
                            <a:t>Ayudas de la administración pública que implican salida de caja</a:t>
                          </a:r>
                          <a:endParaRPr lang="es-ES" sz="1000" dirty="0">
                            <a:latin typeface="MinionPro-Regular"/>
                          </a:endParaRPr>
                        </a:p>
                      </a:txBody>
                      <a:useSpRect/>
                    </a:txSp>
                  </a:sp>
                  <a:sp>
                    <a:nvSpPr>
                      <a:cNvPr id="7" name="Rectangle 6"/>
                      <a:cNvSpPr/>
                    </a:nvSpPr>
                    <a:spPr>
                      <a:xfrm>
                        <a:off x="4211960" y="5013176"/>
                        <a:ext cx="1152128" cy="577081"/>
                      </a:xfrm>
                      <a:prstGeom prst="rect">
                        <a:avLst/>
                      </a:prstGeom>
                    </a:spPr>
                    <a:txSp>
                      <a:txBody>
                        <a:bodyPr wrap="square">
                          <a:spAutoFit/>
                        </a:bodyPr>
                        <a:lstStyle>
                          <a:defPPr>
                            <a:defRPr lang="es-E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s-ES" sz="1050" dirty="0" smtClean="0">
                              <a:latin typeface="MinionPro-Regular"/>
                            </a:rPr>
                            <a:t>Retorno derivado del </a:t>
                          </a:r>
                          <a:r>
                            <a:rPr lang="es-ES" sz="1050" dirty="0" smtClean="0">
                              <a:latin typeface="MinionPro-Regular"/>
                            </a:rPr>
                            <a:t>IVA</a:t>
                          </a:r>
                          <a:endParaRPr lang="es-ES" sz="1050" dirty="0">
                            <a:latin typeface="MinionPro-Regular"/>
                          </a:endParaRPr>
                        </a:p>
                      </a:txBody>
                      <a:useSpRect/>
                    </a:txSp>
                  </a:sp>
                  <a:cxnSp>
                    <a:nvCxnSpPr>
                      <a:cNvPr id="9" name="Straight Connector 8"/>
                      <a:cNvCxnSpPr/>
                    </a:nvCxnSpPr>
                    <a:spPr>
                      <a:xfrm>
                        <a:off x="2862858" y="4706094"/>
                        <a:ext cx="4104456" cy="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lc:lockedCanvas>
              </a:graphicData>
            </a:graphic>
          </wp:inline>
        </w:drawing>
      </w:r>
    </w:p>
    <w:p w:rsidR="00E2336B" w:rsidRDefault="00E2336B" w:rsidP="006146B2">
      <w:pPr>
        <w:pBdr>
          <w:bottom w:val="single" w:sz="4" w:space="1" w:color="auto"/>
        </w:pBdr>
        <w:autoSpaceDE w:val="0"/>
        <w:autoSpaceDN w:val="0"/>
        <w:spacing w:line="360" w:lineRule="auto"/>
        <w:jc w:val="both"/>
        <w:rPr>
          <w:rFonts w:ascii="MinionPro-Regular" w:hAnsi="MinionPro-Regular"/>
          <w:sz w:val="20"/>
          <w:szCs w:val="24"/>
          <w:lang w:val="es-ES_tradnl"/>
        </w:rPr>
      </w:pPr>
      <w:r w:rsidRPr="00664A5E">
        <w:rPr>
          <w:rFonts w:ascii="MinionPro-Regular" w:hAnsi="MinionPro-Regular"/>
          <w:sz w:val="20"/>
          <w:szCs w:val="24"/>
          <w:lang w:val="es-ES_tradnl"/>
        </w:rPr>
        <w:t>Fuente: Elaboración propi</w:t>
      </w:r>
      <w:r>
        <w:rPr>
          <w:rFonts w:ascii="MinionPro-Regular" w:hAnsi="MinionPro-Regular"/>
          <w:sz w:val="20"/>
          <w:szCs w:val="24"/>
          <w:lang w:val="es-ES_tradnl"/>
        </w:rPr>
        <w:t>a</w:t>
      </w:r>
      <w:bookmarkStart w:id="418" w:name="_Toc340732445"/>
      <w:bookmarkStart w:id="419" w:name="_Toc340745369"/>
      <w:bookmarkStart w:id="420" w:name="_Toc340745530"/>
      <w:bookmarkEnd w:id="418"/>
      <w:bookmarkEnd w:id="419"/>
      <w:bookmarkEnd w:id="420"/>
    </w:p>
    <w:p w:rsidR="00E2336B" w:rsidRDefault="00E2336B" w:rsidP="006146B2">
      <w:pPr>
        <w:pBdr>
          <w:bottom w:val="single" w:sz="4" w:space="1" w:color="auto"/>
        </w:pBdr>
        <w:autoSpaceDE w:val="0"/>
        <w:autoSpaceDN w:val="0"/>
        <w:spacing w:line="360" w:lineRule="auto"/>
        <w:jc w:val="both"/>
        <w:rPr>
          <w:rFonts w:ascii="MinionPro-Regular" w:hAnsi="MinionPro-Regular"/>
          <w:sz w:val="20"/>
          <w:szCs w:val="24"/>
          <w:lang w:val="es-ES_tradnl"/>
        </w:rPr>
      </w:pPr>
    </w:p>
    <w:p w:rsidR="001624DD" w:rsidRPr="001624DD" w:rsidRDefault="00E2336B" w:rsidP="001624DD">
      <w:pPr>
        <w:pBdr>
          <w:bottom w:val="single" w:sz="4" w:space="1" w:color="auto"/>
        </w:pBdr>
        <w:autoSpaceDE w:val="0"/>
        <w:autoSpaceDN w:val="0"/>
        <w:spacing w:line="360" w:lineRule="auto"/>
        <w:jc w:val="both"/>
        <w:rPr>
          <w:rFonts w:ascii="MinionPro-Regular" w:hAnsi="MinionPro-Regular"/>
          <w:sz w:val="20"/>
          <w:szCs w:val="24"/>
          <w:lang w:val="es-ES_tradnl"/>
        </w:rPr>
      </w:pPr>
      <w:r>
        <w:rPr>
          <w:rFonts w:ascii="MinionPro-Regular" w:hAnsi="MinionPro-Regular"/>
          <w:sz w:val="20"/>
          <w:szCs w:val="24"/>
          <w:lang w:val="es-ES_tradnl"/>
        </w:rPr>
        <w:t xml:space="preserve">Nota explicativa de la gráfica: Eje vertical, euros. Eje horizontal. Tres columnas. Primera columna que incluye el retorno total de los centros especiales de empleo (trabajadores con y sin discapacidad) en relación a los conceptos de IRPF (59.208.424 euros) y cotización a la seguridad social (120.123.748 euros). </w:t>
      </w:r>
      <w:r>
        <w:rPr>
          <w:rFonts w:ascii="MinionPro-Regular" w:hAnsi="MinionPro-Regular"/>
          <w:sz w:val="20"/>
          <w:szCs w:val="24"/>
          <w:lang w:val="es-ES_tradnl"/>
        </w:rPr>
        <w:lastRenderedPageBreak/>
        <w:t>Segunda columna representa el retorno derivado del IVA (239.555.474 euros). Tercera y última columna en la que aparecen las ayudas de la administración pública que implican salida de caja (323.514.020 euros).</w:t>
      </w:r>
      <w:bookmarkStart w:id="421" w:name="_Toc340340565"/>
    </w:p>
    <w:p w:rsidR="00E2336B" w:rsidRPr="00891BAF" w:rsidRDefault="00E2336B" w:rsidP="0007541A">
      <w:pPr>
        <w:pStyle w:val="Ttulo3"/>
        <w:numPr>
          <w:ilvl w:val="2"/>
          <w:numId w:val="3"/>
        </w:numPr>
        <w:rPr>
          <w:rFonts w:ascii="MinionPro-Regular" w:hAnsi="MinionPro-Regular"/>
          <w:szCs w:val="24"/>
          <w:lang w:val="es-ES_tradnl"/>
        </w:rPr>
      </w:pPr>
      <w:bookmarkStart w:id="422" w:name="_Toc352773586"/>
      <w:r w:rsidRPr="00891BAF">
        <w:rPr>
          <w:rFonts w:ascii="MinionPro-Regular" w:hAnsi="MinionPro-Regular"/>
          <w:lang w:val="es-ES_tradnl"/>
        </w:rPr>
        <w:t>Impuesto de sociedades</w:t>
      </w:r>
      <w:bookmarkEnd w:id="421"/>
      <w:bookmarkEnd w:id="422"/>
    </w:p>
    <w:p w:rsidR="00E2336B" w:rsidRPr="009B2037" w:rsidRDefault="00E2336B" w:rsidP="00890FE5">
      <w:pPr>
        <w:autoSpaceDE w:val="0"/>
        <w:autoSpaceDN w:val="0"/>
        <w:spacing w:line="360" w:lineRule="auto"/>
        <w:jc w:val="both"/>
        <w:rPr>
          <w:rFonts w:ascii="MinionPro-Regular" w:hAnsi="MinionPro-Regular"/>
          <w:sz w:val="24"/>
          <w:szCs w:val="24"/>
          <w:lang w:val="es-ES_tradnl"/>
        </w:rPr>
      </w:pPr>
    </w:p>
    <w:p w:rsidR="00E2336B" w:rsidRDefault="00E2336B" w:rsidP="00890FE5">
      <w:pPr>
        <w:autoSpaceDE w:val="0"/>
        <w:autoSpaceDN w:val="0"/>
        <w:spacing w:line="360" w:lineRule="auto"/>
        <w:jc w:val="both"/>
        <w:rPr>
          <w:rFonts w:ascii="MinionPro-Regular" w:hAnsi="MinionPro-Regular"/>
          <w:sz w:val="24"/>
          <w:szCs w:val="24"/>
          <w:lang w:val="es-ES_tradnl"/>
        </w:rPr>
      </w:pPr>
      <w:r w:rsidRPr="009B2037">
        <w:rPr>
          <w:rFonts w:ascii="MinionPro-Regular" w:hAnsi="MinionPro-Regular"/>
          <w:sz w:val="24"/>
          <w:szCs w:val="24"/>
          <w:lang w:val="es-ES_tradnl"/>
        </w:rPr>
        <w:t>Utilizando una extrapolación similar a la anterior puede llegarse a la cifra de</w:t>
      </w:r>
      <w:r>
        <w:rPr>
          <w:rFonts w:ascii="MinionPro-Regular" w:hAnsi="MinionPro-Regular"/>
          <w:sz w:val="24"/>
          <w:szCs w:val="24"/>
          <w:lang w:val="es-ES_tradnl"/>
        </w:rPr>
        <w:t>l i</w:t>
      </w:r>
      <w:r w:rsidRPr="009B2037">
        <w:rPr>
          <w:rFonts w:ascii="MinionPro-Regular" w:hAnsi="MinionPro-Regular"/>
          <w:sz w:val="24"/>
          <w:szCs w:val="24"/>
          <w:lang w:val="es-ES_tradnl"/>
        </w:rPr>
        <w:t xml:space="preserve">mpuesto de </w:t>
      </w:r>
      <w:r>
        <w:rPr>
          <w:rFonts w:ascii="MinionPro-Regular" w:hAnsi="MinionPro-Regular"/>
          <w:sz w:val="24"/>
          <w:szCs w:val="24"/>
          <w:lang w:val="es-ES_tradnl"/>
        </w:rPr>
        <w:t>s</w:t>
      </w:r>
      <w:r w:rsidRPr="009B2037">
        <w:rPr>
          <w:rFonts w:ascii="MinionPro-Regular" w:hAnsi="MinionPro-Regular"/>
          <w:sz w:val="24"/>
          <w:szCs w:val="24"/>
          <w:lang w:val="es-ES_tradnl"/>
        </w:rPr>
        <w:t xml:space="preserve">ociedades </w:t>
      </w:r>
      <w:r>
        <w:rPr>
          <w:rFonts w:ascii="MinionPro-Regular" w:hAnsi="MinionPro-Regular"/>
          <w:sz w:val="24"/>
          <w:szCs w:val="24"/>
          <w:lang w:val="es-ES_tradnl"/>
        </w:rPr>
        <w:t xml:space="preserve">que correspondería a los centros especiales de empleo. La estimación de la contribución de los centros especiales de empleo al mencionado impuesto toma como punto de partida el porcentaje del PIB que, de acuerdo a la OCDE, supuso el impuesto de sociedades en 2011. La última cifra disponible indica que el impuesto sobre sociedades supuso el 1,8% del PIB de España. </w:t>
      </w:r>
    </w:p>
    <w:p w:rsidR="00E2336B" w:rsidRDefault="00E2336B" w:rsidP="00890FE5">
      <w:pPr>
        <w:autoSpaceDE w:val="0"/>
        <w:autoSpaceDN w:val="0"/>
        <w:spacing w:line="360" w:lineRule="auto"/>
        <w:jc w:val="both"/>
        <w:rPr>
          <w:rFonts w:ascii="MinionPro-Regular" w:hAnsi="MinionPro-Regular"/>
          <w:sz w:val="24"/>
          <w:szCs w:val="24"/>
          <w:lang w:val="es-ES_tradnl"/>
        </w:rPr>
      </w:pPr>
    </w:p>
    <w:p w:rsidR="00E2336B" w:rsidRDefault="00E2336B">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 xml:space="preserve">La cifra anterior se aplica sobre la estimación de la contribución de los centros especiales de empleo al PIB, lo que permite estimar que el ingreso a las arcas públicas en concepto de impuesto de sociedades de los centros especiales de empleo en 2011 fue de alrededor de 40,7 millones de euros. </w:t>
      </w:r>
    </w:p>
    <w:p w:rsidR="00E2336B" w:rsidRDefault="00E2336B">
      <w:pPr>
        <w:autoSpaceDE w:val="0"/>
        <w:autoSpaceDN w:val="0"/>
        <w:spacing w:line="360" w:lineRule="auto"/>
        <w:jc w:val="both"/>
        <w:rPr>
          <w:rFonts w:ascii="MinionPro-Regular" w:hAnsi="MinionPro-Regular"/>
          <w:sz w:val="24"/>
          <w:szCs w:val="24"/>
          <w:lang w:val="es-ES_tradnl"/>
        </w:rPr>
      </w:pPr>
    </w:p>
    <w:p w:rsidR="00E2336B" w:rsidRPr="00664A5E" w:rsidRDefault="00E2336B" w:rsidP="00664A5E">
      <w:pPr>
        <w:pBdr>
          <w:top w:val="single" w:sz="4" w:space="1" w:color="auto"/>
        </w:pBdr>
        <w:autoSpaceDE w:val="0"/>
        <w:autoSpaceDN w:val="0"/>
        <w:spacing w:line="360" w:lineRule="auto"/>
        <w:jc w:val="both"/>
        <w:rPr>
          <w:rFonts w:ascii="MinionPro-Regular" w:hAnsi="MinionPro-Regular"/>
          <w:sz w:val="20"/>
          <w:szCs w:val="24"/>
          <w:lang w:val="es-ES_tradnl"/>
        </w:rPr>
      </w:pPr>
      <w:r w:rsidRPr="000C1FA9">
        <w:rPr>
          <w:rFonts w:ascii="MinionPro-Regular" w:hAnsi="MinionPro-Regular"/>
          <w:sz w:val="20"/>
          <w:szCs w:val="24"/>
          <w:lang w:val="es-ES_tradnl"/>
        </w:rPr>
        <w:t>Tabla resumen del retorno que implica salida de efectivo</w:t>
      </w:r>
      <w:r>
        <w:rPr>
          <w:rFonts w:ascii="MinionPro-Regular" w:hAnsi="MinionPro-Regular"/>
          <w:sz w:val="20"/>
          <w:szCs w:val="24"/>
          <w:lang w:val="es-ES_tradnl"/>
        </w:rPr>
        <w:t xml:space="preserve"> de los centros especiales de empleo</w:t>
      </w:r>
      <w:r w:rsidRPr="000C1FA9">
        <w:rPr>
          <w:rFonts w:ascii="MinionPro-Regular" w:hAnsi="MinionPro-Regular"/>
          <w:sz w:val="20"/>
          <w:szCs w:val="24"/>
          <w:lang w:val="es-ES_tradnl"/>
        </w:rPr>
        <w:t xml:space="preserve"> hacia la administración pública</w:t>
      </w:r>
    </w:p>
    <w:tbl>
      <w:tblPr>
        <w:tblW w:w="5000" w:type="pct"/>
        <w:tblBorders>
          <w:bottom w:val="single" w:sz="12" w:space="0" w:color="409DAD"/>
        </w:tblBorders>
        <w:tblLayout w:type="fixed"/>
        <w:tblCellMar>
          <w:top w:w="28" w:type="dxa"/>
          <w:left w:w="28" w:type="dxa"/>
          <w:bottom w:w="28" w:type="dxa"/>
          <w:right w:w="28" w:type="dxa"/>
        </w:tblCellMar>
        <w:tblLook w:val="00A0"/>
      </w:tblPr>
      <w:tblGrid>
        <w:gridCol w:w="1588"/>
        <w:gridCol w:w="1135"/>
        <w:gridCol w:w="1133"/>
        <w:gridCol w:w="1133"/>
        <w:gridCol w:w="1276"/>
        <w:gridCol w:w="993"/>
        <w:gridCol w:w="1303"/>
      </w:tblGrid>
      <w:tr w:rsidR="001624DD" w:rsidRPr="00FA2790" w:rsidTr="001624DD">
        <w:trPr>
          <w:trHeight w:val="1133"/>
        </w:trPr>
        <w:tc>
          <w:tcPr>
            <w:tcW w:w="927" w:type="pct"/>
            <w:vMerge w:val="restart"/>
            <w:shd w:val="clear" w:color="auto" w:fill="409DAD"/>
            <w:noWrap/>
            <w:vAlign w:val="center"/>
          </w:tcPr>
          <w:p w:rsidR="001624DD" w:rsidRPr="00A62C1C" w:rsidRDefault="001624DD" w:rsidP="00A62C1C">
            <w:pPr>
              <w:spacing w:line="180" w:lineRule="atLeast"/>
              <w:rPr>
                <w:rFonts w:ascii="MinionPro-Regular" w:hAnsi="MinionPro-Regular" w:cs="Calibri"/>
                <w:color w:val="000000"/>
                <w:sz w:val="20"/>
                <w:lang w:val="es-ES_tradnl"/>
              </w:rPr>
            </w:pPr>
            <w:r w:rsidRPr="00A62C1C">
              <w:rPr>
                <w:rFonts w:ascii="MinionPro-Regular" w:hAnsi="MinionPro-Regular" w:cs="Calibri"/>
                <w:color w:val="000000"/>
                <w:sz w:val="20"/>
                <w:lang w:val="es-ES_tradnl"/>
              </w:rPr>
              <w:t> </w:t>
            </w:r>
          </w:p>
          <w:p w:rsidR="001624DD" w:rsidRPr="001624DD" w:rsidRDefault="001624DD" w:rsidP="001624DD">
            <w:pPr>
              <w:spacing w:line="180" w:lineRule="atLeast"/>
              <w:rPr>
                <w:rFonts w:ascii="MinionPro-Regular" w:hAnsi="MinionPro-Regular" w:cs="Calibri"/>
                <w:color w:val="FFFFFF" w:themeColor="background1"/>
                <w:sz w:val="20"/>
                <w:lang w:val="es-ES_tradnl"/>
              </w:rPr>
            </w:pPr>
            <w:r w:rsidRPr="001624DD">
              <w:rPr>
                <w:rFonts w:ascii="MinionPro-Regular" w:hAnsi="MinionPro-Regular" w:cs="Calibri"/>
                <w:color w:val="FFFFFF" w:themeColor="background1"/>
                <w:sz w:val="20"/>
              </w:rPr>
              <w:t>Estimación total de los retornos de los centros especiales de empleo que implican salida de efectivo hacia las arcas públicas (euros)</w:t>
            </w:r>
          </w:p>
        </w:tc>
        <w:tc>
          <w:tcPr>
            <w:tcW w:w="663" w:type="pct"/>
            <w:shd w:val="clear" w:color="auto" w:fill="409DAD"/>
            <w:vAlign w:val="center"/>
          </w:tcPr>
          <w:p w:rsidR="001624DD" w:rsidRPr="00A62C1C" w:rsidRDefault="001624DD" w:rsidP="00A62C1C">
            <w:pPr>
              <w:spacing w:line="180" w:lineRule="atLeast"/>
              <w:jc w:val="center"/>
              <w:rPr>
                <w:rFonts w:ascii="MinionPro-Regular" w:hAnsi="MinionPro-Regular" w:cs="Calibri"/>
                <w:bCs/>
                <w:color w:val="FFFFFF"/>
                <w:sz w:val="20"/>
                <w:lang w:val="en-US"/>
              </w:rPr>
            </w:pPr>
            <w:r w:rsidRPr="00A62C1C">
              <w:rPr>
                <w:rFonts w:ascii="MinionPro-Regular" w:hAnsi="MinionPro-Regular" w:cs="Calibri"/>
                <w:bCs/>
                <w:color w:val="FFFFFF"/>
                <w:sz w:val="20"/>
                <w:lang w:val="en-US"/>
              </w:rPr>
              <w:t>IRPF</w:t>
            </w:r>
          </w:p>
        </w:tc>
        <w:tc>
          <w:tcPr>
            <w:tcW w:w="662" w:type="pct"/>
            <w:shd w:val="clear" w:color="auto" w:fill="409DAD"/>
            <w:vAlign w:val="center"/>
          </w:tcPr>
          <w:p w:rsidR="001624DD" w:rsidRPr="00A62C1C" w:rsidRDefault="001624DD" w:rsidP="00A62C1C">
            <w:pPr>
              <w:spacing w:line="180" w:lineRule="atLeast"/>
              <w:jc w:val="center"/>
              <w:rPr>
                <w:rFonts w:ascii="MinionPro-Regular" w:hAnsi="MinionPro-Regular" w:cs="Calibri"/>
                <w:bCs/>
                <w:color w:val="FFFFFF"/>
                <w:sz w:val="20"/>
                <w:lang w:val="en-US"/>
              </w:rPr>
            </w:pPr>
            <w:r w:rsidRPr="00A62C1C">
              <w:rPr>
                <w:rFonts w:ascii="MinionPro-Regular" w:hAnsi="MinionPro-Regular" w:cs="Calibri"/>
                <w:bCs/>
                <w:color w:val="FFFFFF"/>
                <w:sz w:val="20"/>
                <w:lang w:val="en-US"/>
              </w:rPr>
              <w:t>Seguridad social (empleado)</w:t>
            </w:r>
          </w:p>
        </w:tc>
        <w:tc>
          <w:tcPr>
            <w:tcW w:w="662" w:type="pct"/>
            <w:shd w:val="clear" w:color="auto" w:fill="409DAD"/>
            <w:vAlign w:val="center"/>
          </w:tcPr>
          <w:p w:rsidR="001624DD" w:rsidRPr="00A62C1C" w:rsidRDefault="001624DD" w:rsidP="00A62C1C">
            <w:pPr>
              <w:spacing w:line="180" w:lineRule="atLeast"/>
              <w:jc w:val="center"/>
              <w:rPr>
                <w:rFonts w:ascii="MinionPro-Regular" w:hAnsi="MinionPro-Regular" w:cs="Calibri"/>
                <w:bCs/>
                <w:color w:val="FFFFFF"/>
                <w:sz w:val="20"/>
                <w:lang w:val="en-US"/>
              </w:rPr>
            </w:pPr>
            <w:r w:rsidRPr="00A62C1C">
              <w:rPr>
                <w:rFonts w:ascii="MinionPro-Regular" w:hAnsi="MinionPro-Regular" w:cs="Calibri"/>
                <w:bCs/>
                <w:color w:val="FFFFFF"/>
                <w:sz w:val="20"/>
                <w:lang w:val="en-US"/>
              </w:rPr>
              <w:t>Seguridad social (CEE)</w:t>
            </w:r>
          </w:p>
        </w:tc>
        <w:tc>
          <w:tcPr>
            <w:tcW w:w="745" w:type="pct"/>
            <w:shd w:val="clear" w:color="auto" w:fill="409DAD"/>
            <w:vAlign w:val="center"/>
          </w:tcPr>
          <w:p w:rsidR="001624DD" w:rsidRPr="00A62C1C" w:rsidRDefault="001624DD" w:rsidP="00A62C1C">
            <w:pPr>
              <w:spacing w:line="180" w:lineRule="atLeast"/>
              <w:jc w:val="center"/>
              <w:rPr>
                <w:rFonts w:ascii="MinionPro-Regular" w:hAnsi="MinionPro-Regular" w:cs="Calibri"/>
                <w:bCs/>
                <w:color w:val="FFFFFF"/>
                <w:sz w:val="20"/>
                <w:lang w:val="es-ES_tradnl"/>
              </w:rPr>
            </w:pPr>
            <w:r w:rsidRPr="00A62C1C">
              <w:rPr>
                <w:rFonts w:ascii="MinionPro-Regular" w:hAnsi="MinionPro-Regular" w:cs="Calibri"/>
                <w:bCs/>
                <w:color w:val="FFFFFF"/>
                <w:sz w:val="20"/>
                <w:lang w:val="es-ES_tradnl"/>
              </w:rPr>
              <w:t>Impuesto de Valor Añadido (IVA)</w:t>
            </w:r>
          </w:p>
        </w:tc>
        <w:tc>
          <w:tcPr>
            <w:tcW w:w="580" w:type="pct"/>
            <w:shd w:val="clear" w:color="auto" w:fill="409DAD"/>
            <w:vAlign w:val="center"/>
          </w:tcPr>
          <w:p w:rsidR="001624DD" w:rsidRPr="00A62C1C" w:rsidRDefault="001624DD" w:rsidP="00A62C1C">
            <w:pPr>
              <w:spacing w:line="180" w:lineRule="atLeast"/>
              <w:jc w:val="center"/>
              <w:rPr>
                <w:rFonts w:ascii="MinionPro-Regular" w:hAnsi="MinionPro-Regular" w:cs="Calibri"/>
                <w:bCs/>
                <w:color w:val="FFFFFF"/>
                <w:sz w:val="20"/>
                <w:lang w:val="en-US"/>
              </w:rPr>
            </w:pPr>
            <w:r w:rsidRPr="00A62C1C">
              <w:rPr>
                <w:rFonts w:ascii="MinionPro-Regular" w:hAnsi="MinionPro-Regular" w:cs="Calibri"/>
                <w:bCs/>
                <w:color w:val="FFFFFF"/>
                <w:sz w:val="20"/>
                <w:lang w:val="en-US"/>
              </w:rPr>
              <w:t>Impuesto sociedades (CEE)</w:t>
            </w:r>
          </w:p>
        </w:tc>
        <w:tc>
          <w:tcPr>
            <w:tcW w:w="761" w:type="pct"/>
            <w:shd w:val="clear" w:color="auto" w:fill="409DAD"/>
            <w:vAlign w:val="center"/>
          </w:tcPr>
          <w:p w:rsidR="001624DD" w:rsidRPr="00A62C1C" w:rsidRDefault="001624DD" w:rsidP="00A62C1C">
            <w:pPr>
              <w:spacing w:line="180" w:lineRule="atLeast"/>
              <w:jc w:val="center"/>
              <w:rPr>
                <w:rFonts w:ascii="MinionPro-Regular" w:hAnsi="MinionPro-Regular" w:cs="Calibri"/>
                <w:b/>
                <w:bCs/>
                <w:color w:val="FFFFFF"/>
                <w:sz w:val="20"/>
                <w:lang w:val="en-US"/>
              </w:rPr>
            </w:pPr>
            <w:r w:rsidRPr="00A62C1C">
              <w:rPr>
                <w:rFonts w:ascii="MinionPro-Regular" w:hAnsi="MinionPro-Regular" w:cs="Calibri"/>
                <w:b/>
                <w:bCs/>
                <w:color w:val="FFFFFF"/>
                <w:sz w:val="20"/>
                <w:lang w:val="en-US"/>
              </w:rPr>
              <w:t>Total</w:t>
            </w:r>
          </w:p>
        </w:tc>
      </w:tr>
      <w:tr w:rsidR="001624DD" w:rsidRPr="00FA2790" w:rsidTr="001624DD">
        <w:trPr>
          <w:trHeight w:val="1403"/>
        </w:trPr>
        <w:tc>
          <w:tcPr>
            <w:tcW w:w="927" w:type="pct"/>
            <w:vMerge/>
            <w:tcBorders>
              <w:bottom w:val="single" w:sz="12" w:space="0" w:color="409DAD"/>
            </w:tcBorders>
            <w:vAlign w:val="center"/>
          </w:tcPr>
          <w:p w:rsidR="001624DD" w:rsidRPr="00A62C1C" w:rsidRDefault="001624DD" w:rsidP="00A62C1C">
            <w:pPr>
              <w:spacing w:line="180" w:lineRule="atLeast"/>
              <w:rPr>
                <w:rFonts w:ascii="MinionPro-Regular" w:hAnsi="MinionPro-Regular" w:cs="Calibri"/>
                <w:bCs/>
                <w:color w:val="FFFFFF"/>
                <w:sz w:val="20"/>
              </w:rPr>
            </w:pPr>
          </w:p>
        </w:tc>
        <w:tc>
          <w:tcPr>
            <w:tcW w:w="663" w:type="pct"/>
            <w:tcBorders>
              <w:bottom w:val="single" w:sz="12" w:space="0" w:color="409DAD"/>
            </w:tcBorders>
            <w:vAlign w:val="center"/>
          </w:tcPr>
          <w:p w:rsidR="001624DD" w:rsidRPr="00A62C1C" w:rsidRDefault="001624DD" w:rsidP="00A62C1C">
            <w:pPr>
              <w:spacing w:line="180" w:lineRule="atLeast"/>
              <w:jc w:val="center"/>
              <w:rPr>
                <w:rFonts w:ascii="MinionPro-Regular" w:hAnsi="MinionPro-Regular" w:cs="Calibri"/>
                <w:color w:val="000000"/>
                <w:sz w:val="20"/>
                <w:lang w:val="en-US"/>
              </w:rPr>
            </w:pPr>
            <w:r w:rsidRPr="00A62C1C">
              <w:rPr>
                <w:rFonts w:ascii="MinionPro-Regular" w:hAnsi="MinionPro-Regular" w:cs="Calibri"/>
                <w:color w:val="000000"/>
                <w:sz w:val="20"/>
                <w:lang w:val="en-US"/>
              </w:rPr>
              <w:t>59.208.424</w:t>
            </w:r>
          </w:p>
        </w:tc>
        <w:tc>
          <w:tcPr>
            <w:tcW w:w="662" w:type="pct"/>
            <w:tcBorders>
              <w:bottom w:val="single" w:sz="12" w:space="0" w:color="409DAD"/>
            </w:tcBorders>
            <w:vAlign w:val="center"/>
          </w:tcPr>
          <w:p w:rsidR="001624DD" w:rsidRPr="00A62C1C" w:rsidRDefault="001624DD" w:rsidP="00A62C1C">
            <w:pPr>
              <w:spacing w:line="180" w:lineRule="atLeast"/>
              <w:jc w:val="center"/>
              <w:rPr>
                <w:rFonts w:ascii="MinionPro-Regular" w:hAnsi="MinionPro-Regular" w:cs="Calibri"/>
                <w:color w:val="000000"/>
                <w:sz w:val="20"/>
                <w:lang w:val="en-US"/>
              </w:rPr>
            </w:pPr>
            <w:r w:rsidRPr="00A62C1C">
              <w:rPr>
                <w:rFonts w:ascii="MinionPro-Regular" w:hAnsi="MinionPro-Regular" w:cs="Calibri"/>
                <w:color w:val="000000"/>
                <w:sz w:val="20"/>
                <w:lang w:val="en-US"/>
              </w:rPr>
              <w:t>59.539.422</w:t>
            </w:r>
          </w:p>
        </w:tc>
        <w:tc>
          <w:tcPr>
            <w:tcW w:w="662" w:type="pct"/>
            <w:tcBorders>
              <w:bottom w:val="single" w:sz="12" w:space="0" w:color="409DAD"/>
            </w:tcBorders>
            <w:vAlign w:val="center"/>
          </w:tcPr>
          <w:p w:rsidR="001624DD" w:rsidRPr="00A62C1C" w:rsidRDefault="001624DD" w:rsidP="00A62C1C">
            <w:pPr>
              <w:spacing w:line="180" w:lineRule="atLeast"/>
              <w:jc w:val="center"/>
              <w:rPr>
                <w:rFonts w:ascii="MinionPro-Regular" w:hAnsi="MinionPro-Regular" w:cs="Calibri"/>
                <w:color w:val="000000"/>
                <w:sz w:val="20"/>
                <w:lang w:val="en-US"/>
              </w:rPr>
            </w:pPr>
            <w:r w:rsidRPr="00A62C1C">
              <w:rPr>
                <w:rFonts w:ascii="MinionPro-Regular" w:hAnsi="MinionPro-Regular" w:cs="Calibri"/>
                <w:color w:val="000000"/>
                <w:sz w:val="20"/>
                <w:lang w:val="en-US"/>
              </w:rPr>
              <w:t>60.584.326</w:t>
            </w:r>
          </w:p>
        </w:tc>
        <w:tc>
          <w:tcPr>
            <w:tcW w:w="745" w:type="pct"/>
            <w:tcBorders>
              <w:bottom w:val="single" w:sz="12" w:space="0" w:color="409DAD"/>
            </w:tcBorders>
            <w:vAlign w:val="center"/>
          </w:tcPr>
          <w:p w:rsidR="001624DD" w:rsidRPr="00A62C1C" w:rsidRDefault="001624DD" w:rsidP="00A62C1C">
            <w:pPr>
              <w:spacing w:line="180" w:lineRule="atLeast"/>
              <w:jc w:val="center"/>
              <w:rPr>
                <w:rFonts w:ascii="MinionPro-Regular" w:hAnsi="MinionPro-Regular" w:cs="Calibri"/>
                <w:color w:val="000000"/>
                <w:sz w:val="20"/>
                <w:lang w:val="en-US"/>
              </w:rPr>
            </w:pPr>
            <w:r w:rsidRPr="00A62C1C">
              <w:rPr>
                <w:rFonts w:ascii="MinionPro-Regular" w:hAnsi="MinionPro-Regular" w:cs="Calibri"/>
                <w:color w:val="000000"/>
                <w:sz w:val="20"/>
                <w:lang w:val="en-US"/>
              </w:rPr>
              <w:t>239.555.474</w:t>
            </w:r>
          </w:p>
        </w:tc>
        <w:tc>
          <w:tcPr>
            <w:tcW w:w="580" w:type="pct"/>
            <w:tcBorders>
              <w:bottom w:val="single" w:sz="12" w:space="0" w:color="409DAD"/>
            </w:tcBorders>
            <w:vAlign w:val="center"/>
          </w:tcPr>
          <w:p w:rsidR="001624DD" w:rsidRPr="00A62C1C" w:rsidRDefault="001624DD" w:rsidP="00A62C1C">
            <w:pPr>
              <w:spacing w:line="180" w:lineRule="atLeast"/>
              <w:jc w:val="center"/>
              <w:rPr>
                <w:rFonts w:ascii="MinionPro-Regular" w:hAnsi="MinionPro-Regular" w:cs="Calibri"/>
                <w:color w:val="000000"/>
                <w:sz w:val="20"/>
                <w:lang w:val="en-US"/>
              </w:rPr>
            </w:pPr>
            <w:r w:rsidRPr="00A62C1C">
              <w:rPr>
                <w:rFonts w:ascii="MinionPro-Regular" w:hAnsi="MinionPro-Regular" w:cs="Calibri"/>
                <w:color w:val="000000"/>
                <w:sz w:val="20"/>
                <w:lang w:val="en-US"/>
              </w:rPr>
              <w:t>40.700.000</w:t>
            </w:r>
          </w:p>
        </w:tc>
        <w:tc>
          <w:tcPr>
            <w:tcW w:w="761" w:type="pct"/>
            <w:tcBorders>
              <w:bottom w:val="single" w:sz="12" w:space="0" w:color="409DAD"/>
            </w:tcBorders>
            <w:vAlign w:val="center"/>
          </w:tcPr>
          <w:p w:rsidR="001624DD" w:rsidRPr="00A62C1C" w:rsidRDefault="001624DD" w:rsidP="00A62C1C">
            <w:pPr>
              <w:spacing w:line="180" w:lineRule="atLeast"/>
              <w:jc w:val="center"/>
              <w:rPr>
                <w:rFonts w:ascii="MinionPro-Regular" w:hAnsi="MinionPro-Regular" w:cs="Calibri"/>
                <w:b/>
                <w:color w:val="000000"/>
                <w:sz w:val="20"/>
                <w:lang w:val="en-US"/>
              </w:rPr>
            </w:pPr>
            <w:r w:rsidRPr="00A62C1C">
              <w:rPr>
                <w:rFonts w:ascii="MinionPro-Regular" w:hAnsi="MinionPro-Regular" w:cs="Calibri"/>
                <w:b/>
                <w:color w:val="000000"/>
                <w:sz w:val="20"/>
                <w:lang w:val="en-US"/>
              </w:rPr>
              <w:t>459.587.646</w:t>
            </w:r>
          </w:p>
        </w:tc>
      </w:tr>
    </w:tbl>
    <w:p w:rsidR="00E2336B" w:rsidRDefault="00E2336B">
      <w:pPr>
        <w:pBdr>
          <w:bottom w:val="single" w:sz="4" w:space="1" w:color="auto"/>
        </w:pBdr>
        <w:autoSpaceDE w:val="0"/>
        <w:autoSpaceDN w:val="0"/>
        <w:spacing w:line="360" w:lineRule="auto"/>
        <w:jc w:val="both"/>
        <w:rPr>
          <w:lang w:val="es-ES_tradnl"/>
        </w:rPr>
      </w:pPr>
      <w:r w:rsidRPr="008B461D">
        <w:rPr>
          <w:rFonts w:ascii="MinionPro-Regular" w:hAnsi="MinionPro-Regular"/>
          <w:sz w:val="20"/>
          <w:szCs w:val="24"/>
          <w:lang w:val="es-ES_tradnl"/>
        </w:rPr>
        <w:t>Fuente: Elaboración propia</w:t>
      </w:r>
    </w:p>
    <w:p w:rsidR="00E2336B" w:rsidRDefault="00E2336B" w:rsidP="00890FE5">
      <w:pPr>
        <w:pStyle w:val="Textoindependiente"/>
        <w:rPr>
          <w:lang w:val="es-ES_tradnl"/>
        </w:rPr>
      </w:pPr>
    </w:p>
    <w:p w:rsidR="00E2336B" w:rsidRDefault="00E2336B" w:rsidP="00890FE5">
      <w:pPr>
        <w:pStyle w:val="Textoindependiente"/>
        <w:rPr>
          <w:lang w:val="es-ES_tradnl"/>
        </w:rPr>
      </w:pPr>
    </w:p>
    <w:p w:rsidR="00E2336B" w:rsidRDefault="00E2336B" w:rsidP="005C118C">
      <w:pPr>
        <w:pBdr>
          <w:top w:val="single" w:sz="4" w:space="1" w:color="auto"/>
        </w:pBdr>
        <w:autoSpaceDE w:val="0"/>
        <w:autoSpaceDN w:val="0"/>
        <w:spacing w:line="360" w:lineRule="auto"/>
        <w:jc w:val="both"/>
        <w:rPr>
          <w:rFonts w:ascii="MinionPro-Regular" w:hAnsi="MinionPro-Regular"/>
          <w:sz w:val="20"/>
          <w:szCs w:val="24"/>
          <w:lang w:val="es-ES_tradnl"/>
        </w:rPr>
      </w:pPr>
      <w:r w:rsidRPr="003D3464">
        <w:rPr>
          <w:rFonts w:ascii="MinionPro-Regular" w:hAnsi="MinionPro-Regular"/>
          <w:sz w:val="20"/>
          <w:szCs w:val="24"/>
          <w:lang w:val="es-ES_tradnl"/>
        </w:rPr>
        <w:t>Estimación del reto</w:t>
      </w:r>
      <w:r>
        <w:rPr>
          <w:rFonts w:ascii="MinionPro-Regular" w:hAnsi="MinionPro-Regular"/>
          <w:sz w:val="20"/>
          <w:szCs w:val="24"/>
          <w:lang w:val="es-ES_tradnl"/>
        </w:rPr>
        <w:t xml:space="preserve">rno en IRPF, seguridad social, </w:t>
      </w:r>
      <w:r w:rsidRPr="003D3464">
        <w:rPr>
          <w:rFonts w:ascii="MinionPro-Regular" w:hAnsi="MinionPro-Regular"/>
          <w:sz w:val="20"/>
          <w:szCs w:val="24"/>
          <w:lang w:val="es-ES_tradnl"/>
        </w:rPr>
        <w:t xml:space="preserve">IVA </w:t>
      </w:r>
      <w:r>
        <w:rPr>
          <w:rFonts w:ascii="MinionPro-Regular" w:hAnsi="MinionPro-Regular"/>
          <w:sz w:val="20"/>
          <w:szCs w:val="24"/>
          <w:lang w:val="es-ES_tradnl"/>
        </w:rPr>
        <w:t xml:space="preserve">e impuesto de sociedades </w:t>
      </w:r>
      <w:r w:rsidRPr="003D3464">
        <w:rPr>
          <w:rFonts w:ascii="MinionPro-Regular" w:hAnsi="MinionPro-Regular"/>
          <w:sz w:val="20"/>
          <w:szCs w:val="24"/>
          <w:lang w:val="es-ES_tradnl"/>
        </w:rPr>
        <w:t>frente a las ayudas que implican una salida de caja</w:t>
      </w:r>
      <w:r>
        <w:rPr>
          <w:rFonts w:ascii="MinionPro-Regular" w:hAnsi="MinionPro-Regular"/>
          <w:sz w:val="20"/>
          <w:szCs w:val="24"/>
          <w:lang w:val="es-ES_tradnl"/>
        </w:rPr>
        <w:t>.</w:t>
      </w:r>
    </w:p>
    <w:p w:rsidR="00E2336B" w:rsidRDefault="00E2336B" w:rsidP="005C118C">
      <w:pPr>
        <w:pBdr>
          <w:top w:val="single" w:sz="4" w:space="1" w:color="auto"/>
        </w:pBdr>
        <w:autoSpaceDE w:val="0"/>
        <w:autoSpaceDN w:val="0"/>
        <w:spacing w:line="360" w:lineRule="auto"/>
        <w:jc w:val="both"/>
        <w:rPr>
          <w:rFonts w:ascii="MinionPro-Regular" w:hAnsi="MinionPro-Regular"/>
          <w:sz w:val="20"/>
          <w:szCs w:val="24"/>
          <w:lang w:val="es-ES_tradnl"/>
        </w:rPr>
      </w:pPr>
    </w:p>
    <w:p w:rsidR="00E2336B" w:rsidRDefault="00E1516B" w:rsidP="00867628">
      <w:pPr>
        <w:pBdr>
          <w:top w:val="single" w:sz="4" w:space="1" w:color="auto"/>
        </w:pBdr>
        <w:autoSpaceDE w:val="0"/>
        <w:autoSpaceDN w:val="0"/>
        <w:spacing w:line="360" w:lineRule="auto"/>
        <w:rPr>
          <w:lang w:val="es-ES_tradnl"/>
        </w:rPr>
      </w:pPr>
      <w:r>
        <w:rPr>
          <w:rFonts w:ascii="MinionPro-Regular" w:hAnsi="MinionPro-Regular"/>
          <w:noProof/>
          <w:sz w:val="20"/>
          <w:szCs w:val="24"/>
          <w:lang w:eastAsia="es-ES"/>
        </w:rPr>
        <w:drawing>
          <wp:inline distT="0" distB="0" distL="0" distR="0">
            <wp:extent cx="5158740" cy="2872740"/>
            <wp:effectExtent l="0" t="0" r="0" b="0"/>
            <wp:docPr id="95" name="Picture 9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9"/>
              </a:graphicData>
            </a:graphic>
          </wp:inline>
        </w:drawing>
      </w:r>
    </w:p>
    <w:p w:rsidR="00E2336B" w:rsidRDefault="00E2336B" w:rsidP="005C118C">
      <w:pPr>
        <w:pBdr>
          <w:bottom w:val="single" w:sz="4" w:space="1" w:color="auto"/>
        </w:pBdr>
        <w:autoSpaceDE w:val="0"/>
        <w:autoSpaceDN w:val="0"/>
        <w:spacing w:line="360" w:lineRule="auto"/>
        <w:jc w:val="both"/>
        <w:rPr>
          <w:rFonts w:ascii="MinionPro-Regular" w:hAnsi="MinionPro-Regular"/>
          <w:sz w:val="20"/>
          <w:szCs w:val="24"/>
          <w:lang w:val="es-ES_tradnl"/>
        </w:rPr>
      </w:pPr>
      <w:r w:rsidRPr="00664A5E">
        <w:rPr>
          <w:rFonts w:ascii="MinionPro-Regular" w:hAnsi="MinionPro-Regular"/>
          <w:sz w:val="20"/>
          <w:szCs w:val="24"/>
          <w:lang w:val="es-ES_tradnl"/>
        </w:rPr>
        <w:t>Fuente: Elaboración propi</w:t>
      </w:r>
      <w:r>
        <w:rPr>
          <w:rFonts w:ascii="MinionPro-Regular" w:hAnsi="MinionPro-Regular"/>
          <w:sz w:val="20"/>
          <w:szCs w:val="24"/>
          <w:lang w:val="es-ES_tradnl"/>
        </w:rPr>
        <w:t>a</w:t>
      </w:r>
    </w:p>
    <w:p w:rsidR="00E2336B" w:rsidRDefault="00E2336B" w:rsidP="005C118C">
      <w:pPr>
        <w:pBdr>
          <w:bottom w:val="single" w:sz="4" w:space="1" w:color="auto"/>
        </w:pBdr>
        <w:autoSpaceDE w:val="0"/>
        <w:autoSpaceDN w:val="0"/>
        <w:spacing w:line="360" w:lineRule="auto"/>
        <w:jc w:val="both"/>
        <w:rPr>
          <w:rFonts w:ascii="MinionPro-Regular" w:hAnsi="MinionPro-Regular"/>
          <w:sz w:val="20"/>
          <w:szCs w:val="24"/>
          <w:lang w:val="es-ES_tradnl"/>
        </w:rPr>
      </w:pPr>
    </w:p>
    <w:p w:rsidR="00E2336B" w:rsidRDefault="00E2336B" w:rsidP="005C118C">
      <w:pPr>
        <w:pBdr>
          <w:bottom w:val="single" w:sz="4" w:space="1" w:color="auto"/>
        </w:pBdr>
        <w:autoSpaceDE w:val="0"/>
        <w:autoSpaceDN w:val="0"/>
        <w:spacing w:line="360" w:lineRule="auto"/>
        <w:jc w:val="both"/>
        <w:rPr>
          <w:rFonts w:ascii="MinionPro-Regular" w:hAnsi="MinionPro-Regular"/>
          <w:sz w:val="20"/>
          <w:szCs w:val="24"/>
          <w:lang w:val="es-ES_tradnl"/>
        </w:rPr>
      </w:pPr>
      <w:r>
        <w:rPr>
          <w:rFonts w:ascii="MinionPro-Regular" w:hAnsi="MinionPro-Regular"/>
          <w:sz w:val="20"/>
          <w:szCs w:val="24"/>
          <w:lang w:val="es-ES_tradnl"/>
        </w:rPr>
        <w:t>Nota explicativa de la gráfica: Eje vertical, euros. Eje horizontal. Seis columnas. Primera columna que incluye el retorno total de los centros especiales de empleo (trabajadores con y sin discapacidad) en relación a los conceptos de IRPF (59.208.424 euros). A continuación otra columna con la cotización a la seguridad social (120.123.748 euros). Tercera columna representa el retorno derivado del IVA (239.555.474 euros). Cuarta columna en la que aparece el retorno derivado del impuesto de sociedades (40.700.000 euros). Siguiente columna, incluye el retorno total de los conceptos anteriormente mencionados (459.587.646 euros). Sexta y última columna, en la que aparecen las ayudas de la administración que implican salida de efectivo (323.514.020 euros).</w:t>
      </w:r>
    </w:p>
    <w:p w:rsidR="00E2336B" w:rsidRDefault="00E2336B" w:rsidP="00890FE5">
      <w:pPr>
        <w:pStyle w:val="Textoindependiente"/>
        <w:rPr>
          <w:lang w:val="es-ES_tradnl"/>
        </w:rPr>
      </w:pPr>
    </w:p>
    <w:p w:rsidR="00E2336B" w:rsidRDefault="00E2336B" w:rsidP="00890FE5">
      <w:pPr>
        <w:pStyle w:val="Textoindependiente"/>
        <w:rPr>
          <w:lang w:val="es-ES_tradnl"/>
        </w:rPr>
      </w:pPr>
    </w:p>
    <w:p w:rsidR="00CD0211" w:rsidRDefault="00CD0211" w:rsidP="00890FE5">
      <w:pPr>
        <w:pStyle w:val="Textoindependiente"/>
        <w:rPr>
          <w:lang w:val="es-ES_tradnl"/>
        </w:rPr>
      </w:pPr>
    </w:p>
    <w:p w:rsidR="001E0871" w:rsidRDefault="001E0871" w:rsidP="00890FE5">
      <w:pPr>
        <w:pStyle w:val="Textoindependiente"/>
        <w:rPr>
          <w:lang w:val="es-ES_tradnl"/>
        </w:rPr>
      </w:pPr>
    </w:p>
    <w:p w:rsidR="00E2336B" w:rsidRPr="00664A5E" w:rsidRDefault="00E2336B" w:rsidP="000D19D2">
      <w:pPr>
        <w:pBdr>
          <w:top w:val="single" w:sz="4" w:space="1" w:color="auto"/>
        </w:pBdr>
        <w:autoSpaceDE w:val="0"/>
        <w:autoSpaceDN w:val="0"/>
        <w:spacing w:line="360" w:lineRule="auto"/>
        <w:jc w:val="both"/>
        <w:rPr>
          <w:rFonts w:ascii="MinionPro-Regular" w:hAnsi="MinionPro-Regular"/>
          <w:sz w:val="20"/>
          <w:szCs w:val="24"/>
          <w:lang w:val="es-ES_tradnl"/>
        </w:rPr>
      </w:pPr>
      <w:r w:rsidRPr="003D3464">
        <w:rPr>
          <w:rFonts w:ascii="MinionPro-Regular" w:hAnsi="MinionPro-Regular"/>
          <w:sz w:val="20"/>
          <w:szCs w:val="24"/>
          <w:lang w:val="es-ES_tradnl"/>
        </w:rPr>
        <w:lastRenderedPageBreak/>
        <w:t>Estimación del reto</w:t>
      </w:r>
      <w:r>
        <w:rPr>
          <w:rFonts w:ascii="MinionPro-Regular" w:hAnsi="MinionPro-Regular"/>
          <w:sz w:val="20"/>
          <w:szCs w:val="24"/>
          <w:lang w:val="es-ES_tradnl"/>
        </w:rPr>
        <w:t xml:space="preserve">rno en IRPF, seguridad social, </w:t>
      </w:r>
      <w:r w:rsidRPr="003D3464">
        <w:rPr>
          <w:rFonts w:ascii="MinionPro-Regular" w:hAnsi="MinionPro-Regular"/>
          <w:sz w:val="20"/>
          <w:szCs w:val="24"/>
          <w:lang w:val="es-ES_tradnl"/>
        </w:rPr>
        <w:t xml:space="preserve">IVA </w:t>
      </w:r>
      <w:r>
        <w:rPr>
          <w:rFonts w:ascii="MinionPro-Regular" w:hAnsi="MinionPro-Regular"/>
          <w:sz w:val="20"/>
          <w:szCs w:val="24"/>
          <w:lang w:val="es-ES_tradnl"/>
        </w:rPr>
        <w:t xml:space="preserve">e impuesto de sociedades </w:t>
      </w:r>
      <w:r w:rsidRPr="003D3464">
        <w:rPr>
          <w:rFonts w:ascii="MinionPro-Regular" w:hAnsi="MinionPro-Regular"/>
          <w:sz w:val="20"/>
          <w:szCs w:val="24"/>
          <w:lang w:val="es-ES_tradnl"/>
        </w:rPr>
        <w:t>frente a las ayudas que implican salida de caja</w:t>
      </w:r>
      <w:r>
        <w:rPr>
          <w:rFonts w:ascii="MinionPro-Regular" w:hAnsi="MinionPro-Regular"/>
          <w:sz w:val="20"/>
          <w:szCs w:val="24"/>
          <w:lang w:val="es-ES_tradnl"/>
        </w:rPr>
        <w:t>.</w:t>
      </w:r>
    </w:p>
    <w:p w:rsidR="00E2336B" w:rsidRDefault="00E1516B" w:rsidP="00890FE5">
      <w:pPr>
        <w:pStyle w:val="Textoindependiente"/>
        <w:rPr>
          <w:lang w:val="es-ES_tradnl"/>
        </w:rPr>
      </w:pPr>
      <w:r>
        <w:rPr>
          <w:noProof/>
          <w:lang w:eastAsia="es-ES"/>
        </w:rPr>
        <w:drawing>
          <wp:inline distT="0" distB="0" distL="0" distR="0">
            <wp:extent cx="3933825" cy="2596515"/>
            <wp:effectExtent l="0" t="0" r="0" b="0"/>
            <wp:docPr id="96" name="Picture 96"/>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5577036" cy="3948246"/>
                      <a:chOff x="1619672" y="1713002"/>
                      <a:chExt cx="5577036" cy="3948246"/>
                    </a:xfrm>
                  </a:grpSpPr>
                  <a:graphicFrame>
                    <a:nvGraphicFramePr>
                      <a:cNvPr id="4" name="Chart 3"/>
                      <a:cNvGraphicFramePr/>
                    </a:nvGraphicFramePr>
                    <a:graphic>
                      <a:graphicData uri="http://schemas.openxmlformats.org/drawingml/2006/chart">
                        <c:chart xmlns:c="http://schemas.openxmlformats.org/drawingml/2006/chart" xmlns:r="http://schemas.openxmlformats.org/officeDocument/2006/relationships" r:id="rId120"/>
                      </a:graphicData>
                    </a:graphic>
                    <a:xfrm>
                      <a:off x="1619672" y="1713002"/>
                      <a:ext cx="5577036" cy="3350932"/>
                    </a:xfrm>
                  </a:graphicFrame>
                  <a:sp>
                    <a:nvSpPr>
                      <a:cNvPr id="5" name="Rectangle 4"/>
                      <a:cNvSpPr/>
                    </a:nvSpPr>
                    <a:spPr>
                      <a:xfrm>
                        <a:off x="5508104" y="4953362"/>
                        <a:ext cx="1440160" cy="707886"/>
                      </a:xfrm>
                      <a:prstGeom prst="rect">
                        <a:avLst/>
                      </a:prstGeom>
                    </a:spPr>
                    <a:txSp>
                      <a:txBody>
                        <a:bodyPr wrap="square">
                          <a:spAutoFit/>
                        </a:bodyPr>
                        <a:lstStyle>
                          <a:defPPr>
                            <a:defRPr lang="es-E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s-ES" sz="1000" dirty="0" smtClean="0">
                              <a:latin typeface="MinionPro-Regular"/>
                            </a:rPr>
                            <a:t>Ayudas de la administración pública que implican salida de caja</a:t>
                          </a:r>
                          <a:endParaRPr lang="es-ES" sz="1000" dirty="0">
                            <a:latin typeface="MinionPro-Regular"/>
                          </a:endParaRPr>
                        </a:p>
                      </a:txBody>
                      <a:useSpRect/>
                    </a:txSp>
                  </a:sp>
                  <a:sp>
                    <a:nvSpPr>
                      <a:cNvPr id="6" name="Rectangle 5"/>
                      <a:cNvSpPr/>
                    </a:nvSpPr>
                    <a:spPr>
                      <a:xfrm>
                        <a:off x="2339752" y="4881354"/>
                        <a:ext cx="1152128" cy="553998"/>
                      </a:xfrm>
                      <a:prstGeom prst="rect">
                        <a:avLst/>
                      </a:prstGeom>
                    </a:spPr>
                    <a:txSp>
                      <a:txBody>
                        <a:bodyPr wrap="square">
                          <a:spAutoFit/>
                        </a:bodyPr>
                        <a:lstStyle>
                          <a:defPPr>
                            <a:defRPr lang="es-E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s-ES" sz="1000" dirty="0" smtClean="0">
                              <a:latin typeface="MinionPro-Regular"/>
                            </a:rPr>
                            <a:t>Retorno derivado del IRPF y de la seguridad social</a:t>
                          </a:r>
                          <a:endParaRPr lang="es-ES" sz="1000" dirty="0">
                            <a:latin typeface="MinionPro-Regular"/>
                          </a:endParaRPr>
                        </a:p>
                      </a:txBody>
                      <a:useSpRect/>
                    </a:txSp>
                  </a:sp>
                  <a:sp>
                    <a:nvSpPr>
                      <a:cNvPr id="7" name="Rectangle 6"/>
                      <a:cNvSpPr/>
                    </a:nvSpPr>
                    <a:spPr>
                      <a:xfrm>
                        <a:off x="3419872" y="4953362"/>
                        <a:ext cx="1152128" cy="400110"/>
                      </a:xfrm>
                      <a:prstGeom prst="rect">
                        <a:avLst/>
                      </a:prstGeom>
                    </a:spPr>
                    <a:txSp>
                      <a:txBody>
                        <a:bodyPr wrap="square">
                          <a:spAutoFit/>
                        </a:bodyPr>
                        <a:lstStyle>
                          <a:defPPr>
                            <a:defRPr lang="es-E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s-ES" sz="1000" dirty="0" smtClean="0">
                              <a:latin typeface="MinionPro-Regular"/>
                            </a:rPr>
                            <a:t>Retorno derivado del </a:t>
                          </a:r>
                          <a:r>
                            <a:rPr lang="es-ES" sz="1000" dirty="0" smtClean="0">
                              <a:latin typeface="MinionPro-Regular"/>
                            </a:rPr>
                            <a:t>IVA</a:t>
                          </a:r>
                          <a:endParaRPr lang="es-ES" sz="1000" dirty="0">
                            <a:latin typeface="MinionPro-Regular"/>
                          </a:endParaRPr>
                        </a:p>
                      </a:txBody>
                      <a:useSpRect/>
                    </a:txSp>
                  </a:sp>
                  <a:sp>
                    <a:nvSpPr>
                      <a:cNvPr id="8" name="Rectangle 7"/>
                      <a:cNvSpPr/>
                    </a:nvSpPr>
                    <a:spPr>
                      <a:xfrm>
                        <a:off x="4427984" y="4953362"/>
                        <a:ext cx="1152128" cy="553998"/>
                      </a:xfrm>
                      <a:prstGeom prst="rect">
                        <a:avLst/>
                      </a:prstGeom>
                    </a:spPr>
                    <a:txSp>
                      <a:txBody>
                        <a:bodyPr wrap="square">
                          <a:spAutoFit/>
                        </a:bodyPr>
                        <a:lstStyle>
                          <a:defPPr>
                            <a:defRPr lang="es-E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s-ES" sz="1000" dirty="0" smtClean="0">
                              <a:latin typeface="MinionPro-Regular"/>
                            </a:rPr>
                            <a:t>Retorno derivado del </a:t>
                          </a:r>
                          <a:r>
                            <a:rPr lang="es-ES" sz="1000" dirty="0" smtClean="0">
                              <a:latin typeface="MinionPro-Regular"/>
                            </a:rPr>
                            <a:t>impuesto de sociedades</a:t>
                          </a:r>
                          <a:endParaRPr lang="es-ES" sz="1000" dirty="0">
                            <a:latin typeface="MinionPro-Regular"/>
                          </a:endParaRPr>
                        </a:p>
                      </a:txBody>
                      <a:useSpRect/>
                    </a:txSp>
                  </a:sp>
                </lc:lockedCanvas>
              </a:graphicData>
            </a:graphic>
          </wp:inline>
        </w:drawing>
      </w:r>
    </w:p>
    <w:p w:rsidR="00E2336B" w:rsidRDefault="00E2336B" w:rsidP="00891BAF">
      <w:pPr>
        <w:rPr>
          <w:rFonts w:ascii="MinionPro-Regular" w:hAnsi="MinionPro-Regular"/>
          <w:sz w:val="20"/>
          <w:szCs w:val="24"/>
          <w:lang w:val="es-ES_tradnl"/>
        </w:rPr>
      </w:pPr>
      <w:r w:rsidRPr="00664A5E">
        <w:rPr>
          <w:rFonts w:ascii="MinionPro-Regular" w:hAnsi="MinionPro-Regular"/>
          <w:sz w:val="20"/>
          <w:szCs w:val="24"/>
          <w:lang w:val="es-ES_tradnl"/>
        </w:rPr>
        <w:t>Fuente: Elaboración propi</w:t>
      </w:r>
      <w:r>
        <w:rPr>
          <w:rFonts w:ascii="MinionPro-Regular" w:hAnsi="MinionPro-Regular"/>
          <w:sz w:val="20"/>
          <w:szCs w:val="24"/>
          <w:lang w:val="es-ES_tradnl"/>
        </w:rPr>
        <w:t>a</w:t>
      </w:r>
    </w:p>
    <w:p w:rsidR="00E2336B" w:rsidRDefault="00E2336B" w:rsidP="00891BAF">
      <w:pPr>
        <w:rPr>
          <w:rFonts w:ascii="MinionPro-Regular" w:hAnsi="MinionPro-Regular"/>
          <w:sz w:val="20"/>
          <w:szCs w:val="24"/>
          <w:lang w:val="es-ES_tradnl"/>
        </w:rPr>
      </w:pPr>
    </w:p>
    <w:p w:rsidR="00E2336B" w:rsidRPr="00891BAF" w:rsidRDefault="00E2336B" w:rsidP="00891BAF">
      <w:pPr>
        <w:pBdr>
          <w:bottom w:val="single" w:sz="4" w:space="1" w:color="auto"/>
        </w:pBdr>
        <w:autoSpaceDE w:val="0"/>
        <w:autoSpaceDN w:val="0"/>
        <w:spacing w:line="360" w:lineRule="auto"/>
        <w:jc w:val="both"/>
        <w:rPr>
          <w:rFonts w:ascii="MinionPro-Regular" w:hAnsi="MinionPro-Regular"/>
          <w:sz w:val="20"/>
          <w:szCs w:val="24"/>
          <w:lang w:val="es-ES_tradnl"/>
        </w:rPr>
      </w:pPr>
      <w:r>
        <w:rPr>
          <w:rFonts w:ascii="MinionPro-Regular" w:hAnsi="MinionPro-Regular"/>
          <w:sz w:val="20"/>
          <w:szCs w:val="24"/>
          <w:lang w:val="es-ES_tradnl"/>
        </w:rPr>
        <w:t>Nota explicativa de la gráfica: Eje vertical, euros. Eje horizontal. Cuatro columnas. Primera columna que incluye el retorno total de los centros especiales de empleo (trabajadores con y sin discapacidad) en relación a los conceptos de IRPF (59.208.424 euros) y cotización a la seguridad social (120.123.748 euros). Segunda columna representa el retorno derivado del IVA (239.555.474 euros). Tercera columna representa el retorno derivado del impuesto de sociedades (40.700.000 euros). Cuarta y última columna en la que aparecen las ayudas de la administración pública que implican salida de caja (323.514.020 euros).</w:t>
      </w:r>
    </w:p>
    <w:p w:rsidR="00E2336B" w:rsidRDefault="00E2336B" w:rsidP="00890FE5">
      <w:pPr>
        <w:pStyle w:val="Textoindependiente"/>
        <w:rPr>
          <w:lang w:val="es-ES_tradnl"/>
        </w:rPr>
      </w:pPr>
    </w:p>
    <w:p w:rsidR="00C60A7D" w:rsidRDefault="00E2336B">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De este modo, la actividad económica de los centros especiales de empleo genera ingresos para el estado que pueden estimarse en función de distintas partidas impositivas.</w:t>
      </w:r>
    </w:p>
    <w:p w:rsidR="00E2336B" w:rsidRPr="00807F12" w:rsidRDefault="00E2336B" w:rsidP="0007541A">
      <w:pPr>
        <w:pStyle w:val="Ttulo2"/>
        <w:numPr>
          <w:ilvl w:val="1"/>
          <w:numId w:val="3"/>
        </w:numPr>
        <w:ind w:left="0"/>
        <w:rPr>
          <w:rFonts w:ascii="MinionPro-Regular" w:hAnsi="MinionPro-Regular"/>
          <w:lang w:val="es-ES_tradnl"/>
        </w:rPr>
      </w:pPr>
      <w:bookmarkStart w:id="423" w:name="_Toc340340566"/>
      <w:bookmarkStart w:id="424" w:name="_Toc352773587"/>
      <w:r w:rsidRPr="00807F12">
        <w:rPr>
          <w:rFonts w:ascii="MinionPro-Regular" w:hAnsi="MinionPro-Regular"/>
          <w:lang w:val="es-ES_tradnl"/>
        </w:rPr>
        <w:t>Retornos de los centros especiales de empleo que no implican salida de efectivo</w:t>
      </w:r>
      <w:bookmarkEnd w:id="423"/>
      <w:bookmarkEnd w:id="424"/>
    </w:p>
    <w:p w:rsidR="00E2336B" w:rsidRDefault="00E2336B" w:rsidP="00890FE5">
      <w:pPr>
        <w:pStyle w:val="Textoindependiente"/>
        <w:rPr>
          <w:lang w:val="es-ES_tradnl"/>
        </w:rPr>
      </w:pPr>
    </w:p>
    <w:p w:rsidR="00E2336B" w:rsidRDefault="00E2336B" w:rsidP="00664A5E">
      <w:pPr>
        <w:autoSpaceDE w:val="0"/>
        <w:autoSpaceDN w:val="0"/>
        <w:spacing w:line="360" w:lineRule="auto"/>
        <w:jc w:val="both"/>
        <w:rPr>
          <w:rFonts w:ascii="MinionPro-Regular" w:hAnsi="MinionPro-Regular"/>
          <w:sz w:val="24"/>
          <w:szCs w:val="24"/>
          <w:lang w:val="es-ES_tradnl"/>
        </w:rPr>
      </w:pPr>
      <w:r w:rsidRPr="00A05369">
        <w:rPr>
          <w:rFonts w:ascii="MinionPro-Regular" w:hAnsi="MinionPro-Regular"/>
          <w:sz w:val="24"/>
          <w:szCs w:val="24"/>
          <w:lang w:val="es-ES_tradnl"/>
        </w:rPr>
        <w:lastRenderedPageBreak/>
        <w:t xml:space="preserve">En el apartado de </w:t>
      </w:r>
      <w:r>
        <w:rPr>
          <w:rFonts w:ascii="MinionPro-Regular" w:hAnsi="MinionPro-Regular"/>
          <w:sz w:val="24"/>
          <w:szCs w:val="24"/>
          <w:lang w:val="es-ES_tradnl"/>
        </w:rPr>
        <w:t>retornos a la administración pública que no implican salida de efectivo se han incluido las prestaciones y ayudas, así como el gasto sanitario, que las arcas del estado</w:t>
      </w:r>
      <w:r w:rsidRPr="00A05369">
        <w:rPr>
          <w:rFonts w:ascii="MinionPro-Regular" w:hAnsi="MinionPro-Regular"/>
          <w:sz w:val="24"/>
          <w:szCs w:val="24"/>
          <w:lang w:val="es-ES_tradnl"/>
        </w:rPr>
        <w:t xml:space="preserve"> deja</w:t>
      </w:r>
      <w:r>
        <w:rPr>
          <w:rFonts w:ascii="MinionPro-Regular" w:hAnsi="MinionPro-Regular"/>
          <w:sz w:val="24"/>
          <w:szCs w:val="24"/>
          <w:lang w:val="es-ES_tradnl"/>
        </w:rPr>
        <w:t>n</w:t>
      </w:r>
      <w:r w:rsidRPr="00A05369">
        <w:rPr>
          <w:rFonts w:ascii="MinionPro-Regular" w:hAnsi="MinionPro-Regular"/>
          <w:sz w:val="24"/>
          <w:szCs w:val="24"/>
          <w:lang w:val="es-ES_tradnl"/>
        </w:rPr>
        <w:t xml:space="preserve"> </w:t>
      </w:r>
      <w:r>
        <w:rPr>
          <w:rFonts w:ascii="MinionPro-Regular" w:hAnsi="MinionPro-Regular"/>
          <w:sz w:val="24"/>
          <w:szCs w:val="24"/>
          <w:lang w:val="es-ES_tradnl"/>
        </w:rPr>
        <w:t>de dedicar a</w:t>
      </w:r>
      <w:r w:rsidRPr="00A05369">
        <w:rPr>
          <w:rFonts w:ascii="MinionPro-Regular" w:hAnsi="MinionPro-Regular"/>
          <w:sz w:val="24"/>
          <w:szCs w:val="24"/>
          <w:lang w:val="es-ES_tradnl"/>
        </w:rPr>
        <w:t xml:space="preserve"> las personas con disc</w:t>
      </w:r>
      <w:r>
        <w:rPr>
          <w:rFonts w:ascii="MinionPro-Regular" w:hAnsi="MinionPro-Regular"/>
          <w:sz w:val="24"/>
          <w:szCs w:val="24"/>
          <w:lang w:val="es-ES_tradnl"/>
        </w:rPr>
        <w:t>apacidad en centros especiales de empleo</w:t>
      </w:r>
      <w:r w:rsidRPr="00A05369">
        <w:rPr>
          <w:rFonts w:ascii="MinionPro-Regular" w:hAnsi="MinionPro-Regular"/>
          <w:sz w:val="24"/>
          <w:szCs w:val="24"/>
          <w:lang w:val="es-ES_tradnl"/>
        </w:rPr>
        <w:t xml:space="preserve">. Las variables </w:t>
      </w:r>
      <w:r>
        <w:rPr>
          <w:rFonts w:ascii="MinionPro-Regular" w:hAnsi="MinionPro-Regular"/>
          <w:sz w:val="24"/>
          <w:szCs w:val="24"/>
          <w:lang w:val="es-ES_tradnl"/>
        </w:rPr>
        <w:t>tenidas</w:t>
      </w:r>
      <w:r w:rsidRPr="00A05369">
        <w:rPr>
          <w:rFonts w:ascii="MinionPro-Regular" w:hAnsi="MinionPro-Regular"/>
          <w:sz w:val="24"/>
          <w:szCs w:val="24"/>
          <w:lang w:val="es-ES_tradnl"/>
        </w:rPr>
        <w:t xml:space="preserve"> en cuenta son: ayudas de la LISMI, pensiones no contributivas, pensiones contributivas de incapacidad permanente y gasto sanitario.</w:t>
      </w:r>
    </w:p>
    <w:p w:rsidR="00E2336B" w:rsidRPr="00807F12" w:rsidRDefault="00E2336B" w:rsidP="0007541A">
      <w:pPr>
        <w:pStyle w:val="Ttulo3"/>
        <w:numPr>
          <w:ilvl w:val="2"/>
          <w:numId w:val="3"/>
        </w:numPr>
        <w:rPr>
          <w:rFonts w:ascii="MinionPro-Regular" w:hAnsi="MinionPro-Regular"/>
        </w:rPr>
      </w:pPr>
      <w:bookmarkStart w:id="425" w:name="_Toc340340567"/>
      <w:bookmarkStart w:id="426" w:name="_Toc352773588"/>
      <w:r w:rsidRPr="00807F12">
        <w:rPr>
          <w:rFonts w:ascii="MinionPro-Regular" w:hAnsi="MinionPro-Regular"/>
        </w:rPr>
        <w:t>Ayudas de la LISMI</w:t>
      </w:r>
      <w:bookmarkEnd w:id="425"/>
      <w:bookmarkEnd w:id="426"/>
    </w:p>
    <w:p w:rsidR="00E2336B" w:rsidRDefault="00E2336B" w:rsidP="00890FE5">
      <w:pPr>
        <w:autoSpaceDE w:val="0"/>
        <w:autoSpaceDN w:val="0"/>
        <w:spacing w:line="360" w:lineRule="auto"/>
        <w:jc w:val="both"/>
        <w:rPr>
          <w:rFonts w:ascii="MinionPro-Regular" w:hAnsi="MinionPro-Regular"/>
          <w:sz w:val="24"/>
          <w:szCs w:val="24"/>
          <w:lang w:val="es-ES_tradnl"/>
        </w:rPr>
      </w:pPr>
    </w:p>
    <w:p w:rsidR="00E2336B" w:rsidRPr="008F703A" w:rsidRDefault="00E2336B" w:rsidP="00890FE5">
      <w:pPr>
        <w:autoSpaceDE w:val="0"/>
        <w:autoSpaceDN w:val="0"/>
        <w:spacing w:line="360" w:lineRule="auto"/>
        <w:jc w:val="both"/>
        <w:rPr>
          <w:rFonts w:ascii="MinionPro-Regular" w:hAnsi="MinionPro-Regular"/>
          <w:sz w:val="24"/>
          <w:szCs w:val="24"/>
          <w:lang w:val="es-ES_tradnl"/>
        </w:rPr>
      </w:pPr>
      <w:r w:rsidRPr="006062EE">
        <w:rPr>
          <w:rFonts w:ascii="MinionPro-Regular" w:hAnsi="MinionPro-Regular"/>
          <w:sz w:val="24"/>
          <w:szCs w:val="24"/>
          <w:lang w:val="es-ES_tradnl"/>
        </w:rPr>
        <w:t xml:space="preserve">La Ley Integración para Minusválidos (LISMI) prevé ayudas a las personas con discapacidad incompatibles con la realización de </w:t>
      </w:r>
      <w:r>
        <w:rPr>
          <w:rFonts w:ascii="MinionPro-Regular" w:hAnsi="MinionPro-Regular"/>
          <w:sz w:val="24"/>
          <w:szCs w:val="24"/>
          <w:lang w:val="es-ES_tradnl"/>
        </w:rPr>
        <w:t xml:space="preserve">cualquier </w:t>
      </w:r>
      <w:r w:rsidRPr="006062EE">
        <w:rPr>
          <w:rFonts w:ascii="MinionPro-Regular" w:hAnsi="MinionPro-Regular"/>
          <w:sz w:val="24"/>
          <w:szCs w:val="24"/>
          <w:lang w:val="es-ES_tradnl"/>
        </w:rPr>
        <w:t xml:space="preserve">actividad laboral. </w:t>
      </w:r>
      <w:r>
        <w:rPr>
          <w:rFonts w:ascii="MinionPro-Regular" w:hAnsi="MinionPro-Regular"/>
          <w:sz w:val="24"/>
          <w:szCs w:val="24"/>
          <w:lang w:val="es-ES_tradnl"/>
        </w:rPr>
        <w:t xml:space="preserve"> De esta forma, se puede considerar que las personas con discapacidad que trabajan en centros especiales de empleo generan un ahorro a las arcas públicas en la medida en que no perciben estas ayudas</w:t>
      </w:r>
      <w:r w:rsidRPr="006062EE">
        <w:rPr>
          <w:rFonts w:ascii="MinionPro-Regular" w:hAnsi="MinionPro-Regular"/>
          <w:sz w:val="24"/>
          <w:szCs w:val="24"/>
          <w:lang w:val="es-ES_tradnl"/>
        </w:rPr>
        <w:t>.</w:t>
      </w:r>
    </w:p>
    <w:p w:rsidR="00E2336B" w:rsidRDefault="00E2336B" w:rsidP="00890FE5">
      <w:pPr>
        <w:autoSpaceDE w:val="0"/>
        <w:autoSpaceDN w:val="0"/>
        <w:spacing w:line="360" w:lineRule="auto"/>
        <w:jc w:val="both"/>
        <w:rPr>
          <w:rFonts w:ascii="MinionPro-Regular" w:hAnsi="MinionPro-Regular"/>
          <w:sz w:val="24"/>
          <w:szCs w:val="24"/>
          <w:lang w:val="es-ES_tradnl"/>
        </w:rPr>
      </w:pPr>
    </w:p>
    <w:p w:rsidR="00E2336B" w:rsidRPr="006062EE" w:rsidRDefault="00E2336B" w:rsidP="00890FE5">
      <w:pPr>
        <w:autoSpaceDE w:val="0"/>
        <w:autoSpaceDN w:val="0"/>
        <w:spacing w:line="360" w:lineRule="auto"/>
        <w:jc w:val="both"/>
        <w:rPr>
          <w:rFonts w:ascii="MinionPro-Regular" w:hAnsi="MinionPro-Regular"/>
          <w:sz w:val="24"/>
          <w:szCs w:val="24"/>
          <w:lang w:val="es-ES_tradnl"/>
        </w:rPr>
      </w:pPr>
      <w:r w:rsidRPr="008F703A">
        <w:rPr>
          <w:rFonts w:ascii="MinionPro-Regular" w:hAnsi="MinionPro-Regular"/>
          <w:sz w:val="24"/>
          <w:szCs w:val="24"/>
          <w:lang w:val="es-ES_tradnl"/>
        </w:rPr>
        <w:t>De los conceptos inicialmente considerados en la LISMI (</w:t>
      </w:r>
      <w:r>
        <w:rPr>
          <w:rFonts w:ascii="MinionPro-Regular" w:hAnsi="MinionPro-Regular"/>
          <w:sz w:val="24"/>
          <w:szCs w:val="24"/>
          <w:lang w:val="es-ES_tradnl"/>
        </w:rPr>
        <w:t>s</w:t>
      </w:r>
      <w:r w:rsidRPr="008F703A">
        <w:rPr>
          <w:rFonts w:ascii="MinionPro-Regular" w:hAnsi="MinionPro-Regular"/>
          <w:sz w:val="24"/>
          <w:szCs w:val="24"/>
          <w:lang w:val="es-ES_tradnl"/>
        </w:rPr>
        <w:t>ubsidio de garantía de ingresos mínimos</w:t>
      </w:r>
      <w:r>
        <w:rPr>
          <w:rFonts w:ascii="MinionPro-Regular" w:hAnsi="MinionPro-Regular"/>
          <w:sz w:val="24"/>
          <w:szCs w:val="24"/>
          <w:lang w:val="es-ES_tradnl"/>
        </w:rPr>
        <w:t>, s</w:t>
      </w:r>
      <w:r w:rsidRPr="008F703A">
        <w:rPr>
          <w:rFonts w:ascii="MinionPro-Regular" w:hAnsi="MinionPro-Regular"/>
          <w:sz w:val="24"/>
          <w:szCs w:val="24"/>
          <w:lang w:val="es-ES_tradnl"/>
        </w:rPr>
        <w:t>ubsidio de ayuda de tercera persona</w:t>
      </w:r>
      <w:r>
        <w:rPr>
          <w:rFonts w:ascii="MinionPro-Regular" w:hAnsi="MinionPro-Regular"/>
          <w:sz w:val="24"/>
          <w:szCs w:val="24"/>
          <w:lang w:val="es-ES_tradnl"/>
        </w:rPr>
        <w:t xml:space="preserve"> y s</w:t>
      </w:r>
      <w:r w:rsidRPr="008F703A">
        <w:rPr>
          <w:rFonts w:ascii="MinionPro-Regular" w:hAnsi="MinionPro-Regular"/>
          <w:sz w:val="24"/>
          <w:szCs w:val="24"/>
          <w:lang w:val="es-ES_tradnl"/>
        </w:rPr>
        <w:t>ubsidio de movilidad y compensación para gastos de transporte</w:t>
      </w:r>
      <w:r>
        <w:rPr>
          <w:rFonts w:ascii="MinionPro-Regular" w:hAnsi="MinionPro-Regular"/>
          <w:sz w:val="24"/>
          <w:szCs w:val="24"/>
          <w:lang w:val="es-ES_tradnl"/>
        </w:rPr>
        <w:t>) hoy sólo aplica el último de ellos. L</w:t>
      </w:r>
      <w:r w:rsidRPr="006062EE">
        <w:rPr>
          <w:rFonts w:ascii="MinionPro-Regular" w:hAnsi="MinionPro-Regular"/>
          <w:sz w:val="24"/>
          <w:szCs w:val="24"/>
          <w:lang w:val="es-ES_tradnl"/>
        </w:rPr>
        <w:t xml:space="preserve">os dos primeros sólo </w:t>
      </w:r>
      <w:r>
        <w:rPr>
          <w:rFonts w:ascii="MinionPro-Regular" w:hAnsi="MinionPro-Regular"/>
          <w:sz w:val="24"/>
          <w:szCs w:val="24"/>
          <w:lang w:val="es-ES_tradnl"/>
        </w:rPr>
        <w:t>se tienen en cuenta para</w:t>
      </w:r>
      <w:r w:rsidRPr="006062EE">
        <w:rPr>
          <w:rFonts w:ascii="MinionPro-Regular" w:hAnsi="MinionPro-Regular"/>
          <w:sz w:val="24"/>
          <w:szCs w:val="24"/>
          <w:lang w:val="es-ES_tradnl"/>
        </w:rPr>
        <w:t xml:space="preserve"> </w:t>
      </w:r>
      <w:r>
        <w:rPr>
          <w:rFonts w:ascii="MinionPro-Regular" w:hAnsi="MinionPro-Regular"/>
          <w:sz w:val="24"/>
          <w:szCs w:val="24"/>
          <w:lang w:val="es-ES_tradnl"/>
        </w:rPr>
        <w:t>l</w:t>
      </w:r>
      <w:r w:rsidRPr="006062EE">
        <w:rPr>
          <w:rFonts w:ascii="MinionPro-Regular" w:hAnsi="MinionPro-Regular"/>
          <w:sz w:val="24"/>
          <w:szCs w:val="24"/>
          <w:lang w:val="es-ES_tradnl"/>
        </w:rPr>
        <w:t>a</w:t>
      </w:r>
      <w:r>
        <w:rPr>
          <w:rFonts w:ascii="MinionPro-Regular" w:hAnsi="MinionPro-Regular"/>
          <w:sz w:val="24"/>
          <w:szCs w:val="24"/>
          <w:lang w:val="es-ES_tradnl"/>
        </w:rPr>
        <w:t xml:space="preserve">s </w:t>
      </w:r>
      <w:r w:rsidRPr="006062EE">
        <w:rPr>
          <w:rFonts w:ascii="MinionPro-Regular" w:hAnsi="MinionPro-Regular"/>
          <w:sz w:val="24"/>
          <w:szCs w:val="24"/>
          <w:lang w:val="es-ES_tradnl"/>
        </w:rPr>
        <w:t xml:space="preserve">personas que tienen reconocido tal derecho antes de 1994. </w:t>
      </w:r>
    </w:p>
    <w:p w:rsidR="00E2336B" w:rsidRPr="00807F12" w:rsidRDefault="00E2336B" w:rsidP="00FF4A09">
      <w:pPr>
        <w:pStyle w:val="Textoindependiente"/>
        <w:pBdr>
          <w:top w:val="single" w:sz="4" w:space="1" w:color="auto"/>
        </w:pBdr>
        <w:rPr>
          <w:rFonts w:ascii="MinionPro-Regular" w:hAnsi="MinionPro-Regular"/>
        </w:rPr>
      </w:pPr>
    </w:p>
    <w:tbl>
      <w:tblPr>
        <w:tblW w:w="8510" w:type="dxa"/>
        <w:tblBorders>
          <w:bottom w:val="single" w:sz="12" w:space="0" w:color="409DAD"/>
        </w:tblBorders>
        <w:tblCellMar>
          <w:top w:w="28" w:type="dxa"/>
          <w:left w:w="28" w:type="dxa"/>
          <w:bottom w:w="28" w:type="dxa"/>
          <w:right w:w="28" w:type="dxa"/>
        </w:tblCellMar>
        <w:tblLook w:val="00A0"/>
      </w:tblPr>
      <w:tblGrid>
        <w:gridCol w:w="5959"/>
        <w:gridCol w:w="2551"/>
      </w:tblGrid>
      <w:tr w:rsidR="00E2336B" w:rsidRPr="00596D70" w:rsidTr="00A62C1C">
        <w:trPr>
          <w:trHeight w:val="364"/>
        </w:trPr>
        <w:tc>
          <w:tcPr>
            <w:tcW w:w="8510" w:type="dxa"/>
            <w:gridSpan w:val="2"/>
            <w:shd w:val="clear" w:color="auto" w:fill="409DAD"/>
            <w:noWrap/>
            <w:vAlign w:val="center"/>
          </w:tcPr>
          <w:p w:rsidR="00E2336B" w:rsidRPr="00A62C1C" w:rsidRDefault="00E2336B" w:rsidP="00A62C1C">
            <w:pPr>
              <w:autoSpaceDE w:val="0"/>
              <w:autoSpaceDN w:val="0"/>
              <w:spacing w:line="360" w:lineRule="auto"/>
              <w:jc w:val="center"/>
              <w:rPr>
                <w:rFonts w:ascii="MinionPro-Regular" w:hAnsi="MinionPro-Regular"/>
                <w:color w:val="FFFFFF"/>
                <w:sz w:val="20"/>
                <w:lang w:val="es-ES_tradnl"/>
              </w:rPr>
            </w:pPr>
            <w:r w:rsidRPr="00A62C1C">
              <w:rPr>
                <w:rFonts w:ascii="MinionPro-Regular" w:hAnsi="MinionPro-Regular"/>
                <w:color w:val="FFFFFF"/>
                <w:sz w:val="20"/>
                <w:lang w:val="es-ES_tradnl"/>
              </w:rPr>
              <w:t>Estimación de las personas que reciben cada tipo de ayuda</w:t>
            </w:r>
          </w:p>
        </w:tc>
      </w:tr>
      <w:tr w:rsidR="00E2336B" w:rsidRPr="00596D70" w:rsidTr="00A62C1C">
        <w:trPr>
          <w:trHeight w:val="364"/>
        </w:trPr>
        <w:tc>
          <w:tcPr>
            <w:tcW w:w="5959" w:type="dxa"/>
            <w:noWrap/>
            <w:vAlign w:val="center"/>
          </w:tcPr>
          <w:p w:rsidR="00E2336B" w:rsidRPr="00A62C1C" w:rsidRDefault="00E2336B" w:rsidP="00A62C1C">
            <w:pPr>
              <w:autoSpaceDE w:val="0"/>
              <w:autoSpaceDN w:val="0"/>
              <w:spacing w:line="360" w:lineRule="auto"/>
              <w:rPr>
                <w:rFonts w:ascii="MinionPro-Regular" w:hAnsi="MinionPro-Regular"/>
                <w:sz w:val="20"/>
                <w:lang w:val="es-ES_tradnl"/>
              </w:rPr>
            </w:pPr>
            <w:r w:rsidRPr="00A62C1C">
              <w:rPr>
                <w:rFonts w:ascii="MinionPro-Regular" w:hAnsi="MinionPro-Regular"/>
                <w:sz w:val="20"/>
                <w:lang w:val="es-ES_tradnl"/>
              </w:rPr>
              <w:t>Nº Personas con discapacidad que trabajan en centros especiales de empleo</w:t>
            </w:r>
          </w:p>
        </w:tc>
        <w:tc>
          <w:tcPr>
            <w:tcW w:w="2551" w:type="dxa"/>
            <w:vAlign w:val="center"/>
          </w:tcPr>
          <w:p w:rsidR="00E2336B" w:rsidRPr="00A62C1C" w:rsidRDefault="00E2336B" w:rsidP="00A62C1C">
            <w:pPr>
              <w:autoSpaceDE w:val="0"/>
              <w:autoSpaceDN w:val="0"/>
              <w:spacing w:line="360" w:lineRule="auto"/>
              <w:jc w:val="center"/>
              <w:rPr>
                <w:rFonts w:ascii="MinionPro-Regular" w:hAnsi="MinionPro-Regular"/>
                <w:sz w:val="20"/>
                <w:lang w:val="es-ES_tradnl"/>
              </w:rPr>
            </w:pPr>
            <w:r w:rsidRPr="00A62C1C">
              <w:rPr>
                <w:rFonts w:ascii="MinionPro-Regular" w:hAnsi="MinionPro-Regular"/>
                <w:sz w:val="20"/>
                <w:lang w:val="es-ES_tradnl"/>
              </w:rPr>
              <w:t>64.391</w:t>
            </w:r>
          </w:p>
        </w:tc>
      </w:tr>
      <w:tr w:rsidR="00E2336B" w:rsidRPr="00596D70" w:rsidTr="00A62C1C">
        <w:trPr>
          <w:trHeight w:val="300"/>
        </w:trPr>
        <w:tc>
          <w:tcPr>
            <w:tcW w:w="5959" w:type="dxa"/>
            <w:noWrap/>
            <w:vAlign w:val="center"/>
          </w:tcPr>
          <w:p w:rsidR="00E2336B" w:rsidRPr="00A62C1C" w:rsidRDefault="00E2336B" w:rsidP="00A62C1C">
            <w:pPr>
              <w:autoSpaceDE w:val="0"/>
              <w:autoSpaceDN w:val="0"/>
              <w:spacing w:line="360" w:lineRule="auto"/>
              <w:rPr>
                <w:rFonts w:ascii="MinionPro-Regular" w:hAnsi="MinionPro-Regular"/>
                <w:sz w:val="20"/>
                <w:lang w:val="es-ES_tradnl"/>
              </w:rPr>
            </w:pPr>
            <w:r w:rsidRPr="00A62C1C">
              <w:rPr>
                <w:rFonts w:ascii="MinionPro-Regular" w:hAnsi="MinionPro-Regular"/>
                <w:sz w:val="20"/>
                <w:lang w:val="es-ES_tradnl"/>
              </w:rPr>
              <w:t>PCD que no reciben pensiones no contributivas (MCVL)</w:t>
            </w:r>
          </w:p>
        </w:tc>
        <w:tc>
          <w:tcPr>
            <w:tcW w:w="2551" w:type="dxa"/>
            <w:vAlign w:val="center"/>
          </w:tcPr>
          <w:p w:rsidR="00E2336B" w:rsidRPr="00451351" w:rsidRDefault="00E2336B" w:rsidP="00A62C1C">
            <w:pPr>
              <w:autoSpaceDE w:val="0"/>
              <w:autoSpaceDN w:val="0"/>
              <w:spacing w:line="360" w:lineRule="auto"/>
              <w:jc w:val="center"/>
              <w:rPr>
                <w:rFonts w:ascii="MinionPro-Regular" w:hAnsi="MinionPro-Regular"/>
                <w:sz w:val="20"/>
                <w:lang w:val="es-ES_tradnl"/>
              </w:rPr>
            </w:pPr>
            <w:r w:rsidRPr="00451351">
              <w:rPr>
                <w:rFonts w:ascii="MinionPro-Regular" w:hAnsi="MinionPro-Regular"/>
                <w:sz w:val="20"/>
                <w:lang w:val="es-ES_tradnl"/>
              </w:rPr>
              <w:t>402</w:t>
            </w:r>
          </w:p>
        </w:tc>
      </w:tr>
      <w:tr w:rsidR="00E2336B" w:rsidRPr="00596D70" w:rsidTr="00A62C1C">
        <w:trPr>
          <w:trHeight w:val="300"/>
        </w:trPr>
        <w:tc>
          <w:tcPr>
            <w:tcW w:w="5959" w:type="dxa"/>
            <w:tcBorders>
              <w:bottom w:val="single" w:sz="12" w:space="0" w:color="409DAD"/>
            </w:tcBorders>
            <w:noWrap/>
            <w:vAlign w:val="center"/>
          </w:tcPr>
          <w:p w:rsidR="00E2336B" w:rsidRPr="00A62C1C" w:rsidRDefault="00E2336B" w:rsidP="00A62C1C">
            <w:pPr>
              <w:autoSpaceDE w:val="0"/>
              <w:autoSpaceDN w:val="0"/>
              <w:spacing w:line="360" w:lineRule="auto"/>
              <w:rPr>
                <w:rFonts w:ascii="MinionPro-Regular" w:hAnsi="MinionPro-Regular"/>
                <w:sz w:val="20"/>
                <w:lang w:val="es-ES_tradnl"/>
              </w:rPr>
            </w:pPr>
            <w:r w:rsidRPr="00A62C1C">
              <w:rPr>
                <w:rFonts w:ascii="MinionPro-Regular" w:hAnsi="MinionPro-Regular"/>
                <w:sz w:val="20"/>
                <w:lang w:val="es-ES_tradnl"/>
              </w:rPr>
              <w:t>Nº PCD mayor del 75% de la MCVL</w:t>
            </w:r>
          </w:p>
        </w:tc>
        <w:tc>
          <w:tcPr>
            <w:tcW w:w="2551" w:type="dxa"/>
            <w:tcBorders>
              <w:bottom w:val="single" w:sz="12" w:space="0" w:color="409DAD"/>
            </w:tcBorders>
            <w:vAlign w:val="center"/>
          </w:tcPr>
          <w:p w:rsidR="00E2336B" w:rsidRPr="00451351" w:rsidRDefault="00E2336B" w:rsidP="00A62C1C">
            <w:pPr>
              <w:autoSpaceDE w:val="0"/>
              <w:autoSpaceDN w:val="0"/>
              <w:spacing w:line="360" w:lineRule="auto"/>
              <w:jc w:val="center"/>
              <w:rPr>
                <w:rFonts w:ascii="MinionPro-Regular" w:hAnsi="MinionPro-Regular"/>
                <w:sz w:val="20"/>
                <w:lang w:val="es-ES_tradnl"/>
              </w:rPr>
            </w:pPr>
            <w:r w:rsidRPr="00451351">
              <w:rPr>
                <w:rFonts w:ascii="MinionPro-Regular" w:hAnsi="MinionPro-Regular"/>
                <w:sz w:val="20"/>
                <w:lang w:val="es-ES_tradnl"/>
              </w:rPr>
              <w:t>225</w:t>
            </w:r>
          </w:p>
        </w:tc>
      </w:tr>
    </w:tbl>
    <w:p w:rsidR="002959F0" w:rsidRDefault="00E2336B">
      <w:pPr>
        <w:pStyle w:val="Textoindependiente"/>
        <w:rPr>
          <w:lang w:val="es-ES_tradnl"/>
        </w:rPr>
      </w:pPr>
      <w:r w:rsidRPr="007949F6">
        <w:rPr>
          <w:rFonts w:ascii="MinionPro-Regular" w:hAnsi="MinionPro-Regular"/>
          <w:sz w:val="20"/>
          <w:szCs w:val="24"/>
          <w:lang w:val="es-ES_tradnl"/>
        </w:rPr>
        <w:t>Fuente: Elaboración propia a partir de datos de la MCVL, SPEE</w:t>
      </w:r>
      <w:r>
        <w:rPr>
          <w:rFonts w:ascii="MinionPro-Regular" w:hAnsi="MinionPro-Regular"/>
          <w:sz w:val="20"/>
          <w:szCs w:val="24"/>
          <w:lang w:val="es-ES_tradnl"/>
        </w:rPr>
        <w:t>.</w:t>
      </w:r>
    </w:p>
    <w:p w:rsidR="00E2336B" w:rsidRDefault="00E2336B">
      <w:pPr>
        <w:pStyle w:val="Textoindependiente"/>
        <w:pBdr>
          <w:top w:val="single" w:sz="4" w:space="0" w:color="auto"/>
        </w:pBdr>
        <w:rPr>
          <w:lang w:val="es-ES_tradnl"/>
        </w:rPr>
      </w:pPr>
    </w:p>
    <w:p w:rsidR="00E2336B" w:rsidRDefault="00E2336B">
      <w:pPr>
        <w:pStyle w:val="Textoindependiente"/>
        <w:pBdr>
          <w:top w:val="single" w:sz="4" w:space="0" w:color="auto"/>
        </w:pBdr>
        <w:rPr>
          <w:lang w:val="es-ES_tradnl"/>
        </w:rPr>
      </w:pPr>
    </w:p>
    <w:p w:rsidR="001E0871" w:rsidRDefault="001E0871">
      <w:pPr>
        <w:pStyle w:val="Textoindependiente"/>
        <w:pBdr>
          <w:top w:val="single" w:sz="4" w:space="0" w:color="auto"/>
        </w:pBdr>
        <w:rPr>
          <w:lang w:val="es-ES_tradnl"/>
        </w:rPr>
      </w:pPr>
    </w:p>
    <w:p w:rsidR="001E0871" w:rsidRDefault="001E0871">
      <w:pPr>
        <w:pStyle w:val="Textoindependiente"/>
        <w:pBdr>
          <w:top w:val="single" w:sz="4" w:space="0" w:color="auto"/>
        </w:pBdr>
        <w:rPr>
          <w:lang w:val="es-ES_tradnl"/>
        </w:rPr>
      </w:pPr>
    </w:p>
    <w:p w:rsidR="001E0871" w:rsidRDefault="001E0871">
      <w:pPr>
        <w:pStyle w:val="Textoindependiente"/>
        <w:pBdr>
          <w:top w:val="single" w:sz="4" w:space="0" w:color="auto"/>
        </w:pBdr>
        <w:rPr>
          <w:lang w:val="es-ES_tradnl"/>
        </w:rPr>
      </w:pPr>
    </w:p>
    <w:p w:rsidR="001E0871" w:rsidRDefault="001E0871">
      <w:pPr>
        <w:pStyle w:val="Textoindependiente"/>
        <w:pBdr>
          <w:top w:val="single" w:sz="4" w:space="0" w:color="auto"/>
        </w:pBdr>
        <w:rPr>
          <w:lang w:val="es-ES_tradnl"/>
        </w:rPr>
      </w:pPr>
    </w:p>
    <w:p w:rsidR="00E2336B" w:rsidRPr="00E2336B" w:rsidRDefault="00E2336B">
      <w:pPr>
        <w:pStyle w:val="Textoindependiente"/>
        <w:pBdr>
          <w:top w:val="single" w:sz="4" w:space="0" w:color="auto"/>
        </w:pBdr>
        <w:rPr>
          <w:lang w:val="es-ES_tradnl"/>
        </w:rPr>
      </w:pPr>
    </w:p>
    <w:tbl>
      <w:tblPr>
        <w:tblW w:w="8505" w:type="dxa"/>
        <w:tblBorders>
          <w:bottom w:val="single" w:sz="12" w:space="0" w:color="409DAD"/>
        </w:tblBorders>
        <w:tblCellMar>
          <w:top w:w="28" w:type="dxa"/>
          <w:left w:w="28" w:type="dxa"/>
          <w:bottom w:w="28" w:type="dxa"/>
          <w:right w:w="28" w:type="dxa"/>
        </w:tblCellMar>
        <w:tblLook w:val="00A0"/>
      </w:tblPr>
      <w:tblGrid>
        <w:gridCol w:w="3402"/>
        <w:gridCol w:w="1560"/>
        <w:gridCol w:w="1701"/>
        <w:gridCol w:w="1842"/>
      </w:tblGrid>
      <w:tr w:rsidR="00E2336B" w:rsidRPr="00596D70" w:rsidTr="00A62C1C">
        <w:trPr>
          <w:trHeight w:val="375"/>
        </w:trPr>
        <w:tc>
          <w:tcPr>
            <w:tcW w:w="3402" w:type="dxa"/>
            <w:shd w:val="clear" w:color="auto" w:fill="409DAD"/>
            <w:noWrap/>
            <w:vAlign w:val="center"/>
          </w:tcPr>
          <w:p w:rsidR="00E2336B" w:rsidRPr="00A62C1C" w:rsidRDefault="00E2336B" w:rsidP="00A62C1C">
            <w:pPr>
              <w:autoSpaceDE w:val="0"/>
              <w:autoSpaceDN w:val="0"/>
              <w:spacing w:line="360" w:lineRule="auto"/>
              <w:jc w:val="center"/>
              <w:rPr>
                <w:color w:val="FFFFFF"/>
                <w:sz w:val="20"/>
                <w:lang w:val="es-ES_tradnl"/>
              </w:rPr>
            </w:pPr>
            <w:r w:rsidRPr="00A62C1C">
              <w:rPr>
                <w:rFonts w:ascii="MinionPro-Regular" w:hAnsi="MinionPro-Regular"/>
                <w:color w:val="FFFFFF"/>
                <w:sz w:val="20"/>
                <w:lang w:val="es-ES_tradnl"/>
              </w:rPr>
              <w:t>Conceptos que incluye la LISMI</w:t>
            </w:r>
          </w:p>
        </w:tc>
        <w:tc>
          <w:tcPr>
            <w:tcW w:w="1560" w:type="dxa"/>
            <w:shd w:val="clear" w:color="auto" w:fill="409DAD"/>
            <w:vAlign w:val="center"/>
          </w:tcPr>
          <w:p w:rsidR="00E2336B" w:rsidRPr="00A62C1C" w:rsidRDefault="00E2336B" w:rsidP="00A62C1C">
            <w:pPr>
              <w:autoSpaceDE w:val="0"/>
              <w:autoSpaceDN w:val="0"/>
              <w:spacing w:line="360" w:lineRule="auto"/>
              <w:jc w:val="center"/>
              <w:rPr>
                <w:rFonts w:ascii="MinionPro-Regular" w:hAnsi="MinionPro-Regular"/>
                <w:color w:val="FFFFFF"/>
                <w:sz w:val="20"/>
                <w:lang w:val="es-ES_tradnl"/>
              </w:rPr>
            </w:pPr>
            <w:r w:rsidRPr="00A62C1C">
              <w:rPr>
                <w:rFonts w:ascii="MinionPro-Regular" w:hAnsi="MinionPro-Regular"/>
                <w:color w:val="FFFFFF"/>
                <w:sz w:val="20"/>
                <w:lang w:val="es-ES_tradnl"/>
              </w:rPr>
              <w:t>Euros/ persona y año</w:t>
            </w:r>
          </w:p>
        </w:tc>
        <w:tc>
          <w:tcPr>
            <w:tcW w:w="1701" w:type="dxa"/>
            <w:shd w:val="clear" w:color="auto" w:fill="409DAD"/>
            <w:vAlign w:val="center"/>
          </w:tcPr>
          <w:p w:rsidR="00E2336B" w:rsidRPr="00A62C1C" w:rsidRDefault="00E2336B" w:rsidP="00A62C1C">
            <w:pPr>
              <w:autoSpaceDE w:val="0"/>
              <w:autoSpaceDN w:val="0"/>
              <w:spacing w:line="360" w:lineRule="auto"/>
              <w:jc w:val="center"/>
              <w:rPr>
                <w:rFonts w:ascii="MinionPro-Regular" w:hAnsi="MinionPro-Regular"/>
                <w:color w:val="FFFFFF"/>
                <w:sz w:val="20"/>
                <w:lang w:val="es-ES_tradnl"/>
              </w:rPr>
            </w:pPr>
            <w:r w:rsidRPr="00A62C1C">
              <w:rPr>
                <w:rFonts w:ascii="MinionPro-Regular" w:hAnsi="MinionPro-Regular"/>
                <w:color w:val="FFFFFF"/>
                <w:sz w:val="20"/>
                <w:lang w:val="es-ES_tradnl"/>
              </w:rPr>
              <w:t>Euros totales empleados por tipología de ayuda CEE/año</w:t>
            </w:r>
          </w:p>
        </w:tc>
        <w:tc>
          <w:tcPr>
            <w:tcW w:w="1842" w:type="dxa"/>
            <w:shd w:val="clear" w:color="auto" w:fill="409DAD"/>
            <w:vAlign w:val="center"/>
          </w:tcPr>
          <w:p w:rsidR="00E2336B" w:rsidRPr="00A62C1C" w:rsidRDefault="00E2336B" w:rsidP="00A62C1C">
            <w:pPr>
              <w:autoSpaceDE w:val="0"/>
              <w:autoSpaceDN w:val="0"/>
              <w:spacing w:line="360" w:lineRule="auto"/>
              <w:jc w:val="center"/>
              <w:rPr>
                <w:rFonts w:ascii="MinionPro-Regular" w:hAnsi="MinionPro-Regular"/>
                <w:color w:val="FFFFFF"/>
                <w:sz w:val="20"/>
                <w:lang w:val="es-ES_tradnl"/>
              </w:rPr>
            </w:pPr>
            <w:r w:rsidRPr="00A62C1C">
              <w:rPr>
                <w:rFonts w:ascii="MinionPro-Regular" w:hAnsi="MinionPro-Regular"/>
                <w:color w:val="FFFFFF"/>
                <w:sz w:val="20"/>
                <w:lang w:val="es-ES_tradnl"/>
              </w:rPr>
              <w:t>Euros totales empleados CEE/año</w:t>
            </w:r>
          </w:p>
        </w:tc>
      </w:tr>
      <w:tr w:rsidR="00E2336B" w:rsidRPr="007949F6" w:rsidTr="00A62C1C">
        <w:trPr>
          <w:trHeight w:val="300"/>
        </w:trPr>
        <w:tc>
          <w:tcPr>
            <w:tcW w:w="3402" w:type="dxa"/>
            <w:vAlign w:val="center"/>
          </w:tcPr>
          <w:p w:rsidR="00E2336B" w:rsidRPr="00A62C1C" w:rsidRDefault="00E2336B" w:rsidP="00A62C1C">
            <w:pPr>
              <w:autoSpaceDE w:val="0"/>
              <w:autoSpaceDN w:val="0"/>
              <w:spacing w:line="360" w:lineRule="auto"/>
              <w:rPr>
                <w:rFonts w:ascii="MinionPro-Regular" w:hAnsi="MinionPro-Regular"/>
                <w:sz w:val="20"/>
                <w:lang w:val="es-ES_tradnl"/>
              </w:rPr>
            </w:pPr>
            <w:r w:rsidRPr="00A62C1C">
              <w:rPr>
                <w:rFonts w:ascii="MinionPro-Regular" w:hAnsi="MinionPro-Regular"/>
                <w:sz w:val="20"/>
                <w:lang w:val="es-ES_tradnl"/>
              </w:rPr>
              <w:t>Subsidio de garantía de ingresos mínimos*</w:t>
            </w:r>
          </w:p>
        </w:tc>
        <w:tc>
          <w:tcPr>
            <w:tcW w:w="1560" w:type="dxa"/>
            <w:vAlign w:val="center"/>
          </w:tcPr>
          <w:p w:rsidR="00E2336B" w:rsidRPr="00A62C1C" w:rsidRDefault="00E2336B" w:rsidP="00A62C1C">
            <w:pPr>
              <w:autoSpaceDE w:val="0"/>
              <w:autoSpaceDN w:val="0"/>
              <w:spacing w:line="360" w:lineRule="auto"/>
              <w:jc w:val="center"/>
              <w:rPr>
                <w:rFonts w:ascii="MinionPro-Regular" w:hAnsi="MinionPro-Regular"/>
                <w:sz w:val="20"/>
                <w:lang w:val="es-ES_tradnl"/>
              </w:rPr>
            </w:pPr>
            <w:r w:rsidRPr="00A62C1C">
              <w:rPr>
                <w:rFonts w:ascii="MinionPro-Regular" w:hAnsi="MinionPro-Regular"/>
                <w:sz w:val="20"/>
                <w:lang w:val="es-ES_tradnl"/>
              </w:rPr>
              <w:t>2.098</w:t>
            </w:r>
          </w:p>
        </w:tc>
        <w:tc>
          <w:tcPr>
            <w:tcW w:w="1701" w:type="dxa"/>
            <w:vAlign w:val="center"/>
          </w:tcPr>
          <w:p w:rsidR="00E2336B" w:rsidRPr="00451351" w:rsidRDefault="00E2336B" w:rsidP="00A62C1C">
            <w:pPr>
              <w:autoSpaceDE w:val="0"/>
              <w:autoSpaceDN w:val="0"/>
              <w:spacing w:line="360" w:lineRule="auto"/>
              <w:jc w:val="center"/>
              <w:rPr>
                <w:rFonts w:ascii="MinionPro-Regular" w:hAnsi="MinionPro-Regular"/>
                <w:sz w:val="20"/>
                <w:lang w:val="es-ES_tradnl"/>
              </w:rPr>
            </w:pPr>
            <w:r w:rsidRPr="00451351">
              <w:rPr>
                <w:rFonts w:ascii="MinionPro-Regular" w:hAnsi="MinionPro-Regular"/>
                <w:sz w:val="20"/>
                <w:lang w:val="es-ES_tradnl"/>
              </w:rPr>
              <w:t>1.310.451</w:t>
            </w:r>
          </w:p>
        </w:tc>
        <w:tc>
          <w:tcPr>
            <w:tcW w:w="1842" w:type="dxa"/>
            <w:vMerge w:val="restart"/>
            <w:vAlign w:val="center"/>
          </w:tcPr>
          <w:p w:rsidR="00E2336B" w:rsidRPr="00451351" w:rsidRDefault="00E2336B" w:rsidP="00A62C1C">
            <w:pPr>
              <w:autoSpaceDE w:val="0"/>
              <w:autoSpaceDN w:val="0"/>
              <w:spacing w:line="360" w:lineRule="auto"/>
              <w:jc w:val="center"/>
              <w:rPr>
                <w:rFonts w:ascii="MinionPro-Regular" w:hAnsi="MinionPro-Regular"/>
                <w:sz w:val="20"/>
                <w:lang w:val="es-ES_tradnl"/>
              </w:rPr>
            </w:pPr>
            <w:r w:rsidRPr="00451351">
              <w:rPr>
                <w:rFonts w:ascii="MinionPro-Regular" w:hAnsi="MinionPro-Regular"/>
                <w:sz w:val="20"/>
                <w:lang w:val="es-ES_tradnl"/>
              </w:rPr>
              <w:t>1.778.73</w:t>
            </w:r>
            <w:r w:rsidR="00867628">
              <w:rPr>
                <w:rFonts w:ascii="MinionPro-Regular" w:hAnsi="MinionPro-Regular"/>
                <w:sz w:val="20"/>
                <w:lang w:val="es-ES_tradnl"/>
              </w:rPr>
              <w:t>8</w:t>
            </w:r>
          </w:p>
        </w:tc>
      </w:tr>
      <w:tr w:rsidR="00E2336B" w:rsidRPr="007949F6" w:rsidTr="00A62C1C">
        <w:trPr>
          <w:trHeight w:val="497"/>
        </w:trPr>
        <w:tc>
          <w:tcPr>
            <w:tcW w:w="3402" w:type="dxa"/>
            <w:vAlign w:val="center"/>
          </w:tcPr>
          <w:p w:rsidR="00E2336B" w:rsidRPr="00A62C1C" w:rsidRDefault="00E2336B" w:rsidP="00A62C1C">
            <w:pPr>
              <w:autoSpaceDE w:val="0"/>
              <w:autoSpaceDN w:val="0"/>
              <w:spacing w:line="360" w:lineRule="auto"/>
              <w:rPr>
                <w:rFonts w:ascii="MinionPro-Regular" w:hAnsi="MinionPro-Regular"/>
                <w:sz w:val="20"/>
                <w:lang w:val="es-ES_tradnl"/>
              </w:rPr>
            </w:pPr>
            <w:r w:rsidRPr="00A62C1C">
              <w:rPr>
                <w:rFonts w:ascii="MinionPro-Regular" w:hAnsi="MinionPro-Regular"/>
                <w:sz w:val="20"/>
                <w:lang w:val="es-ES_tradnl"/>
              </w:rPr>
              <w:t>Subsidio de ayuda de tercera persona (a partir del 75% de discapacidad)*</w:t>
            </w:r>
          </w:p>
        </w:tc>
        <w:tc>
          <w:tcPr>
            <w:tcW w:w="1560" w:type="dxa"/>
            <w:vAlign w:val="center"/>
          </w:tcPr>
          <w:p w:rsidR="00E2336B" w:rsidRPr="00A62C1C" w:rsidRDefault="00E2336B" w:rsidP="00A62C1C">
            <w:pPr>
              <w:autoSpaceDE w:val="0"/>
              <w:autoSpaceDN w:val="0"/>
              <w:spacing w:line="360" w:lineRule="auto"/>
              <w:jc w:val="center"/>
              <w:rPr>
                <w:rFonts w:ascii="MinionPro-Regular" w:hAnsi="MinionPro-Regular"/>
                <w:sz w:val="20"/>
                <w:lang w:val="es-ES_tradnl"/>
              </w:rPr>
            </w:pPr>
            <w:r w:rsidRPr="00A62C1C">
              <w:rPr>
                <w:rFonts w:ascii="MinionPro-Regular" w:hAnsi="MinionPro-Regular"/>
                <w:sz w:val="20"/>
                <w:lang w:val="es-ES_tradnl"/>
              </w:rPr>
              <w:t>818,3</w:t>
            </w:r>
          </w:p>
        </w:tc>
        <w:tc>
          <w:tcPr>
            <w:tcW w:w="1701" w:type="dxa"/>
            <w:vAlign w:val="center"/>
          </w:tcPr>
          <w:p w:rsidR="00E2336B" w:rsidRPr="00451351" w:rsidRDefault="00E2336B" w:rsidP="00A62C1C">
            <w:pPr>
              <w:autoSpaceDE w:val="0"/>
              <w:autoSpaceDN w:val="0"/>
              <w:spacing w:line="360" w:lineRule="auto"/>
              <w:jc w:val="center"/>
              <w:rPr>
                <w:rFonts w:ascii="MinionPro-Regular" w:hAnsi="MinionPro-Regular"/>
                <w:sz w:val="20"/>
                <w:lang w:val="es-ES_tradnl"/>
              </w:rPr>
            </w:pPr>
            <w:r w:rsidRPr="00451351">
              <w:rPr>
                <w:rFonts w:ascii="MinionPro-Regular" w:hAnsi="MinionPro-Regular"/>
                <w:sz w:val="20"/>
                <w:lang w:val="es-ES_tradnl"/>
              </w:rPr>
              <w:t>211.058</w:t>
            </w:r>
          </w:p>
        </w:tc>
        <w:tc>
          <w:tcPr>
            <w:tcW w:w="1842" w:type="dxa"/>
            <w:vMerge/>
            <w:vAlign w:val="center"/>
          </w:tcPr>
          <w:p w:rsidR="00E2336B" w:rsidRPr="00A62C1C" w:rsidRDefault="00E2336B" w:rsidP="00A62C1C">
            <w:pPr>
              <w:autoSpaceDE w:val="0"/>
              <w:autoSpaceDN w:val="0"/>
              <w:spacing w:line="360" w:lineRule="auto"/>
              <w:jc w:val="center"/>
              <w:rPr>
                <w:rFonts w:ascii="MinionPro-Regular" w:hAnsi="MinionPro-Regular"/>
                <w:sz w:val="20"/>
                <w:lang w:val="es-ES_tradnl"/>
              </w:rPr>
            </w:pPr>
          </w:p>
        </w:tc>
      </w:tr>
      <w:tr w:rsidR="00E2336B" w:rsidRPr="007949F6" w:rsidTr="00A62C1C">
        <w:trPr>
          <w:trHeight w:val="419"/>
        </w:trPr>
        <w:tc>
          <w:tcPr>
            <w:tcW w:w="3402" w:type="dxa"/>
            <w:tcBorders>
              <w:bottom w:val="single" w:sz="12" w:space="0" w:color="409DAD"/>
            </w:tcBorders>
            <w:vAlign w:val="center"/>
          </w:tcPr>
          <w:p w:rsidR="00E2336B" w:rsidRPr="00A62C1C" w:rsidRDefault="00E2336B" w:rsidP="00A62C1C">
            <w:pPr>
              <w:autoSpaceDE w:val="0"/>
              <w:autoSpaceDN w:val="0"/>
              <w:spacing w:line="360" w:lineRule="auto"/>
              <w:rPr>
                <w:rFonts w:ascii="MinionPro-Regular" w:hAnsi="MinionPro-Regular"/>
                <w:sz w:val="20"/>
                <w:lang w:val="es-ES_tradnl"/>
              </w:rPr>
            </w:pPr>
            <w:r w:rsidRPr="00A62C1C">
              <w:rPr>
                <w:rFonts w:ascii="MinionPro-Regular" w:hAnsi="MinionPro-Regular"/>
                <w:sz w:val="20"/>
                <w:lang w:val="es-ES_tradnl"/>
              </w:rPr>
              <w:t xml:space="preserve">Subsidio de movilidad y compensación para gastos de transporte </w:t>
            </w:r>
          </w:p>
        </w:tc>
        <w:tc>
          <w:tcPr>
            <w:tcW w:w="1560" w:type="dxa"/>
            <w:tcBorders>
              <w:bottom w:val="single" w:sz="12" w:space="0" w:color="409DAD"/>
            </w:tcBorders>
            <w:vAlign w:val="center"/>
          </w:tcPr>
          <w:p w:rsidR="00E2336B" w:rsidRPr="00A62C1C" w:rsidRDefault="00E2336B" w:rsidP="00A62C1C">
            <w:pPr>
              <w:autoSpaceDE w:val="0"/>
              <w:autoSpaceDN w:val="0"/>
              <w:spacing w:line="360" w:lineRule="auto"/>
              <w:jc w:val="center"/>
              <w:rPr>
                <w:rFonts w:ascii="MinionPro-Regular" w:hAnsi="MinionPro-Regular"/>
                <w:sz w:val="20"/>
                <w:lang w:val="es-ES_tradnl"/>
              </w:rPr>
            </w:pPr>
            <w:r w:rsidRPr="00A62C1C">
              <w:rPr>
                <w:rFonts w:ascii="MinionPro-Regular" w:hAnsi="MinionPro-Regular"/>
                <w:sz w:val="20"/>
                <w:lang w:val="es-ES_tradnl"/>
              </w:rPr>
              <w:t>714</w:t>
            </w:r>
          </w:p>
        </w:tc>
        <w:tc>
          <w:tcPr>
            <w:tcW w:w="1701" w:type="dxa"/>
            <w:tcBorders>
              <w:bottom w:val="single" w:sz="12" w:space="0" w:color="409DAD"/>
            </w:tcBorders>
            <w:vAlign w:val="center"/>
          </w:tcPr>
          <w:p w:rsidR="00E2336B" w:rsidRPr="00451351" w:rsidRDefault="00E2336B" w:rsidP="00A62C1C">
            <w:pPr>
              <w:autoSpaceDE w:val="0"/>
              <w:autoSpaceDN w:val="0"/>
              <w:spacing w:line="360" w:lineRule="auto"/>
              <w:jc w:val="center"/>
              <w:rPr>
                <w:rFonts w:ascii="MinionPro-Regular" w:hAnsi="MinionPro-Regular"/>
                <w:sz w:val="20"/>
                <w:lang w:val="es-ES_tradnl"/>
              </w:rPr>
            </w:pPr>
            <w:r w:rsidRPr="00451351">
              <w:rPr>
                <w:rFonts w:ascii="MinionPro-Regular" w:hAnsi="MinionPro-Regular"/>
                <w:sz w:val="20"/>
                <w:lang w:val="es-ES_tradnl"/>
              </w:rPr>
              <w:t>257.229</w:t>
            </w:r>
          </w:p>
        </w:tc>
        <w:tc>
          <w:tcPr>
            <w:tcW w:w="1842" w:type="dxa"/>
            <w:vMerge/>
            <w:tcBorders>
              <w:bottom w:val="single" w:sz="12" w:space="0" w:color="409DAD"/>
            </w:tcBorders>
            <w:vAlign w:val="center"/>
          </w:tcPr>
          <w:p w:rsidR="00E2336B" w:rsidRPr="00A62C1C" w:rsidRDefault="00E2336B" w:rsidP="00A62C1C">
            <w:pPr>
              <w:autoSpaceDE w:val="0"/>
              <w:autoSpaceDN w:val="0"/>
              <w:spacing w:line="360" w:lineRule="auto"/>
              <w:jc w:val="center"/>
              <w:rPr>
                <w:rFonts w:ascii="MinionPro-Regular" w:hAnsi="MinionPro-Regular"/>
                <w:sz w:val="20"/>
                <w:lang w:val="es-ES_tradnl"/>
              </w:rPr>
            </w:pPr>
          </w:p>
        </w:tc>
      </w:tr>
    </w:tbl>
    <w:p w:rsidR="00E2336B" w:rsidRPr="00E9764A" w:rsidRDefault="00E2336B" w:rsidP="00890FE5">
      <w:pPr>
        <w:pStyle w:val="Textoindependiente"/>
        <w:rPr>
          <w:rFonts w:ascii="MinionPro-Regular" w:hAnsi="MinionPro-Regular"/>
          <w:sz w:val="16"/>
          <w:szCs w:val="24"/>
          <w:lang w:val="es-ES_tradnl"/>
        </w:rPr>
      </w:pPr>
      <w:r w:rsidRPr="00E9764A">
        <w:rPr>
          <w:rFonts w:ascii="MinionPro-Regular" w:hAnsi="MinionPro-Regular"/>
          <w:sz w:val="16"/>
          <w:szCs w:val="24"/>
          <w:lang w:val="es-ES_tradnl"/>
        </w:rPr>
        <w:t>Nota*: Los subsidios de garantía de ingresos mínimos y de ayuda de tercera persona sólo son aplicable a aquellas personas que tienen reconocido tal derecho antes de 1994, cuando fueron suprimidos por Disposición Transitoria Undécima del Real Decreto Legislativo 1/1994.</w:t>
      </w:r>
    </w:p>
    <w:p w:rsidR="00E2336B" w:rsidRPr="00596D70" w:rsidRDefault="00E2336B" w:rsidP="00CD6A57">
      <w:pPr>
        <w:pStyle w:val="Textoindependiente"/>
        <w:pBdr>
          <w:bottom w:val="single" w:sz="4" w:space="1" w:color="auto"/>
        </w:pBdr>
        <w:rPr>
          <w:rFonts w:ascii="MinionPro-Regular" w:hAnsi="MinionPro-Regular"/>
          <w:sz w:val="20"/>
          <w:szCs w:val="24"/>
          <w:lang w:val="es-ES_tradnl"/>
        </w:rPr>
      </w:pPr>
      <w:r w:rsidRPr="007949F6">
        <w:rPr>
          <w:rFonts w:ascii="MinionPro-Regular" w:hAnsi="MinionPro-Regular"/>
          <w:sz w:val="20"/>
          <w:szCs w:val="24"/>
          <w:lang w:val="es-ES_tradnl"/>
        </w:rPr>
        <w:t>Fuente: Ley de Presupuestos Generales del Estado para el año 2011.</w:t>
      </w:r>
    </w:p>
    <w:p w:rsidR="00E2336B" w:rsidRDefault="00E2336B" w:rsidP="00890FE5">
      <w:pPr>
        <w:autoSpaceDE w:val="0"/>
        <w:autoSpaceDN w:val="0"/>
        <w:spacing w:line="360" w:lineRule="auto"/>
        <w:jc w:val="both"/>
        <w:rPr>
          <w:lang w:val="es-ES_tradnl"/>
        </w:rPr>
      </w:pPr>
    </w:p>
    <w:p w:rsidR="00E2336B" w:rsidRPr="007949F6" w:rsidRDefault="00E2336B" w:rsidP="00890FE5">
      <w:pPr>
        <w:autoSpaceDE w:val="0"/>
        <w:autoSpaceDN w:val="0"/>
        <w:spacing w:line="360" w:lineRule="auto"/>
        <w:jc w:val="both"/>
        <w:rPr>
          <w:rFonts w:ascii="MinionPro-Regular" w:hAnsi="MinionPro-Regular"/>
          <w:sz w:val="24"/>
          <w:lang w:val="es-ES_tradnl"/>
        </w:rPr>
      </w:pPr>
      <w:r>
        <w:rPr>
          <w:rFonts w:ascii="MinionPro-Regular" w:hAnsi="MinionPro-Regular"/>
          <w:sz w:val="24"/>
          <w:szCs w:val="24"/>
          <w:lang w:val="es-ES_tradnl"/>
        </w:rPr>
        <w:t>L</w:t>
      </w:r>
      <w:r w:rsidRPr="006062EE">
        <w:rPr>
          <w:rFonts w:ascii="MinionPro-Regular" w:hAnsi="MinionPro-Regular"/>
          <w:sz w:val="24"/>
          <w:szCs w:val="24"/>
          <w:lang w:val="es-ES_tradnl"/>
        </w:rPr>
        <w:t xml:space="preserve">as aportaciones de la LISMI que el Estado </w:t>
      </w:r>
      <w:r>
        <w:rPr>
          <w:rFonts w:ascii="MinionPro-Regular" w:hAnsi="MinionPro-Regular"/>
          <w:sz w:val="24"/>
          <w:szCs w:val="24"/>
          <w:lang w:val="es-ES_tradnl"/>
        </w:rPr>
        <w:t xml:space="preserve">ahorra como consecuencia del empleo de personas con discapacidad en los centros especiales de empleo ascenderían a alrededor </w:t>
      </w:r>
      <w:r w:rsidRPr="00451351">
        <w:rPr>
          <w:rFonts w:ascii="MinionPro-Regular" w:hAnsi="MinionPro-Regular"/>
          <w:sz w:val="24"/>
          <w:szCs w:val="24"/>
          <w:lang w:val="es-ES_tradnl"/>
        </w:rPr>
        <w:t>de  1</w:t>
      </w:r>
      <w:r w:rsidR="00F23441" w:rsidRPr="00451351">
        <w:rPr>
          <w:rFonts w:ascii="MinionPro-Regular" w:hAnsi="MinionPro-Regular"/>
          <w:sz w:val="24"/>
          <w:szCs w:val="24"/>
          <w:lang w:val="es-ES_tradnl"/>
        </w:rPr>
        <w:t>,7</w:t>
      </w:r>
      <w:r w:rsidRPr="00451351">
        <w:rPr>
          <w:rFonts w:ascii="MinionPro-Regular" w:hAnsi="MinionPro-Regular"/>
          <w:sz w:val="24"/>
          <w:szCs w:val="24"/>
          <w:lang w:val="es-ES_tradnl"/>
        </w:rPr>
        <w:t xml:space="preserve"> millones</w:t>
      </w:r>
      <w:r>
        <w:rPr>
          <w:rFonts w:ascii="MinionPro-Regular" w:hAnsi="MinionPro-Regular"/>
          <w:sz w:val="24"/>
          <w:szCs w:val="24"/>
          <w:lang w:val="es-ES_tradnl"/>
        </w:rPr>
        <w:t xml:space="preserve"> de</w:t>
      </w:r>
      <w:r w:rsidRPr="007949F6">
        <w:rPr>
          <w:rFonts w:ascii="MinionPro-Regular" w:hAnsi="MinionPro-Regular"/>
          <w:sz w:val="24"/>
          <w:szCs w:val="24"/>
          <w:lang w:val="es-ES_tradnl"/>
        </w:rPr>
        <w:t xml:space="preserve"> euros anuales.</w:t>
      </w:r>
    </w:p>
    <w:p w:rsidR="002959F0" w:rsidRDefault="002959F0">
      <w:pPr>
        <w:autoSpaceDE w:val="0"/>
        <w:autoSpaceDN w:val="0"/>
        <w:spacing w:line="360" w:lineRule="auto"/>
        <w:jc w:val="both"/>
        <w:rPr>
          <w:rFonts w:ascii="MinionPro-Regular" w:hAnsi="MinionPro-Regular"/>
          <w:sz w:val="24"/>
          <w:lang w:val="es-ES_tradnl"/>
        </w:rPr>
      </w:pPr>
    </w:p>
    <w:p w:rsidR="001E0871" w:rsidRDefault="001E0871">
      <w:pPr>
        <w:autoSpaceDE w:val="0"/>
        <w:autoSpaceDN w:val="0"/>
        <w:spacing w:line="360" w:lineRule="auto"/>
        <w:jc w:val="both"/>
        <w:rPr>
          <w:rFonts w:ascii="MinionPro-Regular" w:hAnsi="MinionPro-Regular"/>
          <w:sz w:val="24"/>
          <w:lang w:val="es-ES_tradnl"/>
        </w:rPr>
      </w:pPr>
    </w:p>
    <w:p w:rsidR="001E0871" w:rsidRDefault="001E0871">
      <w:pPr>
        <w:autoSpaceDE w:val="0"/>
        <w:autoSpaceDN w:val="0"/>
        <w:spacing w:line="360" w:lineRule="auto"/>
        <w:jc w:val="both"/>
        <w:rPr>
          <w:rFonts w:ascii="MinionPro-Regular" w:hAnsi="MinionPro-Regular"/>
          <w:sz w:val="24"/>
          <w:lang w:val="es-ES_tradnl"/>
        </w:rPr>
      </w:pPr>
    </w:p>
    <w:p w:rsidR="001E0871" w:rsidRDefault="001E0871">
      <w:pPr>
        <w:autoSpaceDE w:val="0"/>
        <w:autoSpaceDN w:val="0"/>
        <w:spacing w:line="360" w:lineRule="auto"/>
        <w:jc w:val="both"/>
        <w:rPr>
          <w:rFonts w:ascii="MinionPro-Regular" w:hAnsi="MinionPro-Regular"/>
          <w:sz w:val="24"/>
          <w:lang w:val="es-ES_tradnl"/>
        </w:rPr>
      </w:pPr>
    </w:p>
    <w:p w:rsidR="001E0871" w:rsidRDefault="001E0871">
      <w:pPr>
        <w:autoSpaceDE w:val="0"/>
        <w:autoSpaceDN w:val="0"/>
        <w:spacing w:line="360" w:lineRule="auto"/>
        <w:jc w:val="both"/>
        <w:rPr>
          <w:rFonts w:ascii="MinionPro-Regular" w:hAnsi="MinionPro-Regular"/>
          <w:sz w:val="24"/>
          <w:lang w:val="es-ES_tradnl"/>
        </w:rPr>
      </w:pPr>
    </w:p>
    <w:p w:rsidR="001E0871" w:rsidRDefault="001E0871">
      <w:pPr>
        <w:autoSpaceDE w:val="0"/>
        <w:autoSpaceDN w:val="0"/>
        <w:spacing w:line="360" w:lineRule="auto"/>
        <w:jc w:val="both"/>
        <w:rPr>
          <w:rFonts w:ascii="MinionPro-Regular" w:hAnsi="MinionPro-Regular"/>
          <w:sz w:val="24"/>
          <w:lang w:val="es-ES_tradnl"/>
        </w:rPr>
      </w:pPr>
    </w:p>
    <w:p w:rsidR="001E0871" w:rsidRDefault="001E0871">
      <w:pPr>
        <w:autoSpaceDE w:val="0"/>
        <w:autoSpaceDN w:val="0"/>
        <w:spacing w:line="360" w:lineRule="auto"/>
        <w:jc w:val="both"/>
        <w:rPr>
          <w:rFonts w:ascii="MinionPro-Regular" w:hAnsi="MinionPro-Regular"/>
          <w:sz w:val="24"/>
          <w:lang w:val="es-ES_tradnl"/>
        </w:rPr>
      </w:pPr>
    </w:p>
    <w:p w:rsidR="001E0871" w:rsidRDefault="001E0871">
      <w:pPr>
        <w:autoSpaceDE w:val="0"/>
        <w:autoSpaceDN w:val="0"/>
        <w:spacing w:line="360" w:lineRule="auto"/>
        <w:jc w:val="both"/>
        <w:rPr>
          <w:rFonts w:ascii="MinionPro-Regular" w:hAnsi="MinionPro-Regular"/>
          <w:sz w:val="24"/>
          <w:lang w:val="es-ES_tradnl"/>
        </w:rPr>
      </w:pPr>
    </w:p>
    <w:p w:rsidR="001E0871" w:rsidRDefault="001E0871">
      <w:pPr>
        <w:autoSpaceDE w:val="0"/>
        <w:autoSpaceDN w:val="0"/>
        <w:spacing w:line="360" w:lineRule="auto"/>
        <w:jc w:val="both"/>
        <w:rPr>
          <w:rFonts w:ascii="MinionPro-Regular" w:hAnsi="MinionPro-Regular"/>
          <w:sz w:val="24"/>
          <w:lang w:val="es-ES_tradnl"/>
        </w:rPr>
      </w:pPr>
    </w:p>
    <w:p w:rsidR="001E0871" w:rsidRDefault="001E0871">
      <w:pPr>
        <w:autoSpaceDE w:val="0"/>
        <w:autoSpaceDN w:val="0"/>
        <w:spacing w:line="360" w:lineRule="auto"/>
        <w:jc w:val="both"/>
        <w:rPr>
          <w:rFonts w:ascii="MinionPro-Regular" w:hAnsi="MinionPro-Regular"/>
          <w:sz w:val="24"/>
          <w:lang w:val="es-ES_tradnl"/>
        </w:rPr>
      </w:pPr>
    </w:p>
    <w:p w:rsidR="001E0871" w:rsidRDefault="001E0871">
      <w:pPr>
        <w:autoSpaceDE w:val="0"/>
        <w:autoSpaceDN w:val="0"/>
        <w:spacing w:line="360" w:lineRule="auto"/>
        <w:jc w:val="both"/>
        <w:rPr>
          <w:rFonts w:ascii="MinionPro-Regular" w:hAnsi="MinionPro-Regular"/>
          <w:sz w:val="24"/>
          <w:lang w:val="es-ES_tradnl"/>
        </w:rPr>
      </w:pPr>
    </w:p>
    <w:p w:rsidR="001E0871" w:rsidRDefault="001E0871">
      <w:pPr>
        <w:autoSpaceDE w:val="0"/>
        <w:autoSpaceDN w:val="0"/>
        <w:spacing w:line="360" w:lineRule="auto"/>
        <w:jc w:val="both"/>
        <w:rPr>
          <w:rFonts w:ascii="MinionPro-Regular" w:hAnsi="MinionPro-Regular"/>
          <w:sz w:val="24"/>
          <w:lang w:val="es-ES_tradnl"/>
        </w:rPr>
      </w:pPr>
    </w:p>
    <w:p w:rsidR="001E0871" w:rsidRDefault="001E0871">
      <w:pPr>
        <w:autoSpaceDE w:val="0"/>
        <w:autoSpaceDN w:val="0"/>
        <w:spacing w:line="360" w:lineRule="auto"/>
        <w:jc w:val="both"/>
        <w:rPr>
          <w:rFonts w:ascii="MinionPro-Regular" w:hAnsi="MinionPro-Regular"/>
          <w:sz w:val="24"/>
          <w:lang w:val="es-ES_tradnl"/>
        </w:rPr>
      </w:pPr>
    </w:p>
    <w:p w:rsidR="001E0871" w:rsidRDefault="001E0871">
      <w:pPr>
        <w:autoSpaceDE w:val="0"/>
        <w:autoSpaceDN w:val="0"/>
        <w:spacing w:line="360" w:lineRule="auto"/>
        <w:jc w:val="both"/>
        <w:rPr>
          <w:rFonts w:ascii="MinionPro-Regular" w:hAnsi="MinionPro-Regular"/>
          <w:sz w:val="24"/>
          <w:lang w:val="es-ES_tradnl"/>
        </w:rPr>
      </w:pPr>
    </w:p>
    <w:p w:rsidR="00E2336B" w:rsidRDefault="00E2336B">
      <w:pPr>
        <w:pBdr>
          <w:top w:val="single" w:sz="4" w:space="1" w:color="auto"/>
        </w:pBdr>
        <w:autoSpaceDE w:val="0"/>
        <w:autoSpaceDN w:val="0"/>
        <w:spacing w:line="360" w:lineRule="auto"/>
        <w:jc w:val="both"/>
        <w:rPr>
          <w:rFonts w:ascii="MinionPro-Regular" w:hAnsi="MinionPro-Regular"/>
          <w:color w:val="FF0000"/>
          <w:sz w:val="20"/>
          <w:lang w:val="es-ES_tradnl"/>
        </w:rPr>
      </w:pPr>
      <w:r w:rsidRPr="00CD6A57">
        <w:rPr>
          <w:rFonts w:ascii="MinionPro-Regular" w:hAnsi="MinionPro-Regular"/>
          <w:sz w:val="20"/>
          <w:lang w:val="es-ES_tradnl"/>
        </w:rPr>
        <w:t>Distribución de las ayudas según los conceptos que establece la LISMI</w:t>
      </w:r>
      <w:r>
        <w:rPr>
          <w:rFonts w:ascii="MinionPro-Regular" w:hAnsi="MinionPro-Regular"/>
          <w:sz w:val="20"/>
          <w:lang w:val="es-ES_tradnl"/>
        </w:rPr>
        <w:t>.</w:t>
      </w:r>
    </w:p>
    <w:p w:rsidR="00E2336B" w:rsidRDefault="00E1516B" w:rsidP="00890FE5">
      <w:pPr>
        <w:autoSpaceDE w:val="0"/>
        <w:autoSpaceDN w:val="0"/>
        <w:spacing w:line="360" w:lineRule="auto"/>
        <w:jc w:val="both"/>
        <w:rPr>
          <w:lang w:val="es-ES_tradnl"/>
        </w:rPr>
      </w:pPr>
      <w:r>
        <w:rPr>
          <w:rFonts w:ascii="MinionPro-Regular" w:hAnsi="MinionPro-Regular"/>
          <w:noProof/>
          <w:sz w:val="20"/>
          <w:szCs w:val="24"/>
          <w:lang w:eastAsia="es-ES"/>
        </w:rPr>
        <w:drawing>
          <wp:inline distT="0" distB="0" distL="0" distR="0">
            <wp:extent cx="5038090" cy="3295015"/>
            <wp:effectExtent l="0" t="0" r="0" b="0"/>
            <wp:docPr id="97" name="Picture 9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1"/>
              </a:graphicData>
            </a:graphic>
          </wp:inline>
        </w:drawing>
      </w:r>
      <w:r w:rsidR="00E2336B">
        <w:rPr>
          <w:rFonts w:ascii="MinionPro-Regular" w:hAnsi="MinionPro-Regular"/>
          <w:sz w:val="20"/>
          <w:szCs w:val="24"/>
          <w:lang w:val="es-ES_tradnl"/>
        </w:rPr>
        <w:t>v</w:t>
      </w:r>
    </w:p>
    <w:p w:rsidR="00E2336B" w:rsidRDefault="00E2336B" w:rsidP="00390656">
      <w:pPr>
        <w:pBdr>
          <w:bottom w:val="single" w:sz="4" w:space="1" w:color="auto"/>
        </w:pBdr>
        <w:autoSpaceDE w:val="0"/>
        <w:autoSpaceDN w:val="0"/>
        <w:spacing w:line="360" w:lineRule="auto"/>
        <w:jc w:val="both"/>
        <w:rPr>
          <w:rFonts w:ascii="MinionPro-Regular" w:hAnsi="MinionPro-Regular"/>
          <w:sz w:val="20"/>
          <w:szCs w:val="24"/>
          <w:lang w:val="es-ES_tradnl"/>
        </w:rPr>
      </w:pPr>
      <w:r w:rsidRPr="007949F6">
        <w:rPr>
          <w:rFonts w:ascii="MinionPro-Regular" w:hAnsi="MinionPro-Regular"/>
          <w:sz w:val="20"/>
          <w:szCs w:val="24"/>
          <w:lang w:val="es-ES_tradnl"/>
        </w:rPr>
        <w:t>Fuente: Elaboración propia</w:t>
      </w:r>
    </w:p>
    <w:p w:rsidR="00E2336B" w:rsidRDefault="00E2336B" w:rsidP="00390656">
      <w:pPr>
        <w:pBdr>
          <w:bottom w:val="single" w:sz="4" w:space="1" w:color="auto"/>
        </w:pBdr>
        <w:autoSpaceDE w:val="0"/>
        <w:autoSpaceDN w:val="0"/>
        <w:spacing w:line="360" w:lineRule="auto"/>
        <w:jc w:val="both"/>
        <w:rPr>
          <w:rFonts w:ascii="MinionPro-Regular" w:hAnsi="MinionPro-Regular"/>
          <w:sz w:val="20"/>
          <w:szCs w:val="24"/>
          <w:lang w:val="es-ES_tradnl"/>
        </w:rPr>
      </w:pPr>
    </w:p>
    <w:p w:rsidR="00E2336B" w:rsidRPr="00451351" w:rsidRDefault="00E2336B" w:rsidP="00390656">
      <w:pPr>
        <w:pBdr>
          <w:bottom w:val="single" w:sz="4" w:space="1" w:color="auto"/>
        </w:pBdr>
        <w:autoSpaceDE w:val="0"/>
        <w:autoSpaceDN w:val="0"/>
        <w:spacing w:line="360" w:lineRule="auto"/>
        <w:jc w:val="both"/>
        <w:rPr>
          <w:rFonts w:ascii="MinionPro-Regular" w:hAnsi="MinionPro-Regular"/>
          <w:sz w:val="20"/>
          <w:szCs w:val="24"/>
          <w:lang w:val="es-ES_tradnl"/>
        </w:rPr>
      </w:pPr>
      <w:r>
        <w:rPr>
          <w:rFonts w:ascii="MinionPro-Regular" w:hAnsi="MinionPro-Regular"/>
          <w:sz w:val="20"/>
          <w:szCs w:val="24"/>
          <w:lang w:val="es-ES_tradnl"/>
        </w:rPr>
        <w:t>Nota explicativa de la gráfica: Gráfico circular en el que están representadas las ayudas según los conceptos que establece la LISMI. Subsidio de movilidad y compensación para gastos de transporte (</w:t>
      </w:r>
      <w:r w:rsidRPr="00451351">
        <w:rPr>
          <w:rFonts w:ascii="MinionPro-Regular" w:hAnsi="MinionPro-Regular"/>
          <w:sz w:val="20"/>
          <w:szCs w:val="24"/>
          <w:lang w:val="es-ES_tradnl"/>
        </w:rPr>
        <w:t>14</w:t>
      </w:r>
      <w:r w:rsidR="00F23441" w:rsidRPr="00451351">
        <w:rPr>
          <w:rFonts w:ascii="MinionPro-Regular" w:hAnsi="MinionPro-Regular"/>
          <w:sz w:val="20"/>
          <w:szCs w:val="24"/>
          <w:lang w:val="es-ES_tradnl"/>
        </w:rPr>
        <w:t>%</w:t>
      </w:r>
      <w:r w:rsidRPr="00451351">
        <w:rPr>
          <w:rFonts w:ascii="MinionPro-Regular" w:hAnsi="MinionPro-Regular"/>
          <w:sz w:val="20"/>
          <w:szCs w:val="24"/>
          <w:lang w:val="es-ES_tradnl"/>
        </w:rPr>
        <w:t xml:space="preserve">) </w:t>
      </w:r>
      <w:r w:rsidRPr="00451351">
        <w:rPr>
          <w:rFonts w:ascii="MinionPro-Regular" w:hAnsi="MinionPro-Regular"/>
          <w:sz w:val="20"/>
          <w:szCs w:val="24"/>
          <w:lang w:val="es-ES_tradnl"/>
        </w:rPr>
        <w:lastRenderedPageBreak/>
        <w:t xml:space="preserve">igual a </w:t>
      </w:r>
      <w:r w:rsidRPr="00451351">
        <w:rPr>
          <w:rFonts w:ascii="MinionPro-Regular" w:hAnsi="MinionPro-Regular"/>
          <w:sz w:val="20"/>
          <w:lang w:val="es-ES_tradnl"/>
        </w:rPr>
        <w:t xml:space="preserve">257.229 </w:t>
      </w:r>
      <w:r w:rsidRPr="00451351">
        <w:rPr>
          <w:rFonts w:ascii="MinionPro-Regular" w:hAnsi="MinionPro-Regular"/>
          <w:sz w:val="20"/>
          <w:szCs w:val="24"/>
          <w:lang w:val="es-ES_tradnl"/>
        </w:rPr>
        <w:t>euros; subsidio de garantía de ingresos mínimos (74</w:t>
      </w:r>
      <w:r w:rsidR="00F23441" w:rsidRPr="00451351">
        <w:rPr>
          <w:rFonts w:ascii="MinionPro-Regular" w:hAnsi="MinionPro-Regular"/>
          <w:sz w:val="20"/>
          <w:szCs w:val="24"/>
          <w:lang w:val="es-ES_tradnl"/>
        </w:rPr>
        <w:t>%</w:t>
      </w:r>
      <w:r w:rsidRPr="00451351">
        <w:rPr>
          <w:rFonts w:ascii="MinionPro-Regular" w:hAnsi="MinionPro-Regular"/>
          <w:sz w:val="20"/>
          <w:szCs w:val="24"/>
          <w:lang w:val="es-ES_tradnl"/>
        </w:rPr>
        <w:t xml:space="preserve">) igual a </w:t>
      </w:r>
      <w:r w:rsidRPr="00451351">
        <w:rPr>
          <w:rFonts w:ascii="MinionPro-Regular" w:hAnsi="MinionPro-Regular"/>
          <w:sz w:val="20"/>
          <w:lang w:val="es-ES_tradnl"/>
        </w:rPr>
        <w:t>1.310.451</w:t>
      </w:r>
      <w:r w:rsidRPr="00451351">
        <w:rPr>
          <w:rFonts w:ascii="MinionPro-Regular" w:hAnsi="MinionPro-Regular"/>
          <w:sz w:val="20"/>
          <w:szCs w:val="24"/>
          <w:lang w:val="es-ES_tradnl"/>
        </w:rPr>
        <w:t>euros y por último, el subsidio de ayuda de tercera persona (12</w:t>
      </w:r>
      <w:r w:rsidR="00F23441" w:rsidRPr="00451351">
        <w:rPr>
          <w:rFonts w:ascii="MinionPro-Regular" w:hAnsi="MinionPro-Regular"/>
          <w:sz w:val="20"/>
          <w:szCs w:val="24"/>
          <w:lang w:val="es-ES_tradnl"/>
        </w:rPr>
        <w:t>%)</w:t>
      </w:r>
      <w:r w:rsidRPr="00451351">
        <w:rPr>
          <w:rFonts w:ascii="MinionPro-Regular" w:hAnsi="MinionPro-Regular"/>
          <w:sz w:val="20"/>
          <w:szCs w:val="24"/>
          <w:lang w:val="es-ES_tradnl"/>
        </w:rPr>
        <w:t xml:space="preserve"> igual a </w:t>
      </w:r>
      <w:r w:rsidR="00F23441" w:rsidRPr="00451351">
        <w:rPr>
          <w:rFonts w:ascii="MinionPro-Regular" w:hAnsi="MinionPro-Regular"/>
          <w:sz w:val="20"/>
          <w:szCs w:val="24"/>
          <w:lang w:val="es-ES_tradnl"/>
        </w:rPr>
        <w:t>211.050</w:t>
      </w:r>
      <w:r w:rsidRPr="00451351">
        <w:rPr>
          <w:rFonts w:ascii="MinionPro-Regular" w:hAnsi="MinionPro-Regular"/>
          <w:sz w:val="20"/>
          <w:szCs w:val="24"/>
          <w:lang w:val="es-ES_tradnl"/>
        </w:rPr>
        <w:t xml:space="preserve"> euros. En total, suman </w:t>
      </w:r>
      <w:r w:rsidR="00867628">
        <w:rPr>
          <w:rFonts w:ascii="MinionPro-Regular" w:hAnsi="MinionPro-Regular"/>
          <w:sz w:val="20"/>
          <w:lang w:val="es-ES_tradnl"/>
        </w:rPr>
        <w:t>1.778.738</w:t>
      </w:r>
      <w:r w:rsidRPr="00451351">
        <w:rPr>
          <w:rFonts w:ascii="MinionPro-Regular" w:hAnsi="MinionPro-Regular"/>
          <w:sz w:val="20"/>
          <w:szCs w:val="24"/>
          <w:lang w:val="es-ES_tradnl"/>
        </w:rPr>
        <w:t xml:space="preserve"> euros.</w:t>
      </w:r>
    </w:p>
    <w:p w:rsidR="00E2336B" w:rsidRDefault="00E2336B" w:rsidP="00890FE5">
      <w:pPr>
        <w:autoSpaceDE w:val="0"/>
        <w:autoSpaceDN w:val="0"/>
        <w:spacing w:line="360" w:lineRule="auto"/>
        <w:jc w:val="both"/>
        <w:rPr>
          <w:rFonts w:ascii="MinionPro-Regular" w:hAnsi="MinionPro-Regular"/>
          <w:sz w:val="24"/>
          <w:szCs w:val="24"/>
          <w:lang w:val="es-ES_tradnl"/>
        </w:rPr>
      </w:pPr>
    </w:p>
    <w:p w:rsidR="00E2336B" w:rsidRPr="006062EE" w:rsidRDefault="00E2336B" w:rsidP="00890FE5">
      <w:pPr>
        <w:autoSpaceDE w:val="0"/>
        <w:autoSpaceDN w:val="0"/>
        <w:spacing w:line="360" w:lineRule="auto"/>
        <w:jc w:val="both"/>
        <w:rPr>
          <w:rFonts w:ascii="MinionPro-Regular" w:hAnsi="MinionPro-Regular"/>
          <w:sz w:val="24"/>
          <w:szCs w:val="24"/>
          <w:lang w:val="es-ES_tradnl"/>
        </w:rPr>
      </w:pPr>
      <w:r w:rsidRPr="006062EE">
        <w:rPr>
          <w:rFonts w:ascii="MinionPro-Regular" w:hAnsi="MinionPro-Regular"/>
          <w:sz w:val="24"/>
          <w:szCs w:val="24"/>
          <w:lang w:val="es-ES_tradnl"/>
        </w:rPr>
        <w:t>Para los subsidios de garantía de ingresos m</w:t>
      </w:r>
      <w:r>
        <w:rPr>
          <w:rFonts w:ascii="MinionPro-Regular" w:hAnsi="MinionPro-Regular"/>
          <w:sz w:val="24"/>
          <w:szCs w:val="24"/>
          <w:lang w:val="es-ES_tradnl"/>
        </w:rPr>
        <w:t>ínimos, se han considerado las personas con discapacidad</w:t>
      </w:r>
      <w:r w:rsidRPr="006062EE">
        <w:rPr>
          <w:rFonts w:ascii="MinionPro-Regular" w:hAnsi="MinionPro-Regular"/>
          <w:sz w:val="24"/>
          <w:szCs w:val="24"/>
          <w:lang w:val="es-ES_tradnl"/>
        </w:rPr>
        <w:t xml:space="preserve"> cuya declaración de minusvalía fue anterior a 1994 y en ese momento no estaban trabajando. Esta información se ha obtenido de los años cotizados a 2011</w:t>
      </w:r>
      <w:r>
        <w:rPr>
          <w:rFonts w:ascii="MinionPro-Regular" w:hAnsi="MinionPro-Regular"/>
          <w:sz w:val="24"/>
          <w:szCs w:val="24"/>
          <w:lang w:val="es-ES_tradnl"/>
        </w:rPr>
        <w:t xml:space="preserve"> disponibles en la MCVL</w:t>
      </w:r>
      <w:r w:rsidRPr="006062EE">
        <w:rPr>
          <w:rFonts w:ascii="MinionPro-Regular" w:hAnsi="MinionPro-Regular"/>
          <w:sz w:val="24"/>
          <w:szCs w:val="24"/>
          <w:lang w:val="es-ES_tradnl"/>
        </w:rPr>
        <w:t xml:space="preserve">. </w:t>
      </w:r>
    </w:p>
    <w:p w:rsidR="00E2336B" w:rsidRDefault="00E2336B" w:rsidP="00390656">
      <w:pPr>
        <w:pBdr>
          <w:bottom w:val="single" w:sz="4" w:space="1" w:color="auto"/>
        </w:pBdr>
        <w:jc w:val="both"/>
      </w:pPr>
    </w:p>
    <w:p w:rsidR="00E2336B" w:rsidRDefault="00E2336B" w:rsidP="00390656">
      <w:pPr>
        <w:pBdr>
          <w:bottom w:val="single" w:sz="4" w:space="1" w:color="auto"/>
        </w:pBdr>
        <w:jc w:val="both"/>
      </w:pPr>
    </w:p>
    <w:p w:rsidR="00E2336B" w:rsidRDefault="00E2336B" w:rsidP="00390656">
      <w:pPr>
        <w:pBdr>
          <w:bottom w:val="single" w:sz="4" w:space="1" w:color="auto"/>
        </w:pBdr>
        <w:jc w:val="both"/>
      </w:pPr>
    </w:p>
    <w:p w:rsidR="00E2336B" w:rsidRDefault="00E2336B" w:rsidP="00390656">
      <w:pPr>
        <w:pBdr>
          <w:bottom w:val="single" w:sz="4" w:space="1" w:color="auto"/>
        </w:pBdr>
        <w:jc w:val="both"/>
      </w:pPr>
    </w:p>
    <w:p w:rsidR="00E2336B" w:rsidRDefault="00E2336B" w:rsidP="00390656">
      <w:pPr>
        <w:pBdr>
          <w:bottom w:val="single" w:sz="4" w:space="1" w:color="auto"/>
        </w:pBdr>
        <w:jc w:val="both"/>
      </w:pPr>
    </w:p>
    <w:p w:rsidR="00E2336B" w:rsidRDefault="00E2336B" w:rsidP="00390656">
      <w:pPr>
        <w:pBdr>
          <w:bottom w:val="single" w:sz="4" w:space="1" w:color="auto"/>
        </w:pBdr>
        <w:jc w:val="both"/>
      </w:pPr>
    </w:p>
    <w:p w:rsidR="001E0871" w:rsidRDefault="001E0871" w:rsidP="00390656">
      <w:pPr>
        <w:pBdr>
          <w:bottom w:val="single" w:sz="4" w:space="1" w:color="auto"/>
        </w:pBdr>
        <w:jc w:val="both"/>
      </w:pPr>
    </w:p>
    <w:p w:rsidR="00E2336B" w:rsidRDefault="00E2336B" w:rsidP="00390656">
      <w:pPr>
        <w:pBdr>
          <w:bottom w:val="single" w:sz="4" w:space="1" w:color="auto"/>
        </w:pBdr>
        <w:jc w:val="both"/>
      </w:pPr>
    </w:p>
    <w:p w:rsidR="001E0871" w:rsidRDefault="001E0871" w:rsidP="00390656">
      <w:pPr>
        <w:pBdr>
          <w:bottom w:val="single" w:sz="4" w:space="1" w:color="auto"/>
        </w:pBdr>
        <w:jc w:val="both"/>
      </w:pPr>
    </w:p>
    <w:p w:rsidR="00E2336B" w:rsidRDefault="00E2336B">
      <w:pPr>
        <w:jc w:val="both"/>
      </w:pPr>
    </w:p>
    <w:tbl>
      <w:tblPr>
        <w:tblW w:w="8369" w:type="dxa"/>
        <w:tblBorders>
          <w:bottom w:val="single" w:sz="12" w:space="0" w:color="409DAD"/>
        </w:tblBorders>
        <w:tblCellMar>
          <w:top w:w="28" w:type="dxa"/>
          <w:left w:w="28" w:type="dxa"/>
          <w:bottom w:w="28" w:type="dxa"/>
          <w:right w:w="28" w:type="dxa"/>
        </w:tblCellMar>
        <w:tblLook w:val="00A0"/>
      </w:tblPr>
      <w:tblGrid>
        <w:gridCol w:w="5959"/>
        <w:gridCol w:w="2410"/>
      </w:tblGrid>
      <w:tr w:rsidR="00E2336B" w:rsidRPr="00596D70" w:rsidTr="00A62C1C">
        <w:trPr>
          <w:trHeight w:val="300"/>
        </w:trPr>
        <w:tc>
          <w:tcPr>
            <w:tcW w:w="8369" w:type="dxa"/>
            <w:gridSpan w:val="2"/>
            <w:shd w:val="clear" w:color="auto" w:fill="409DAD"/>
            <w:noWrap/>
            <w:vAlign w:val="center"/>
          </w:tcPr>
          <w:p w:rsidR="00E2336B" w:rsidRPr="00A62C1C" w:rsidRDefault="00E2336B" w:rsidP="00A62C1C">
            <w:pPr>
              <w:autoSpaceDE w:val="0"/>
              <w:autoSpaceDN w:val="0"/>
              <w:spacing w:line="360" w:lineRule="auto"/>
              <w:rPr>
                <w:rFonts w:ascii="MinionPro-Regular" w:hAnsi="MinionPro-Regular"/>
                <w:color w:val="FFFFFF"/>
                <w:sz w:val="20"/>
                <w:lang w:val="es-ES_tradnl"/>
              </w:rPr>
            </w:pPr>
            <w:r w:rsidRPr="00A62C1C">
              <w:rPr>
                <w:rFonts w:ascii="MinionPro-Regular" w:hAnsi="MinionPro-Regular"/>
                <w:color w:val="FFFFFF"/>
                <w:sz w:val="20"/>
                <w:lang w:val="es-ES_tradnl"/>
              </w:rPr>
              <w:t>Estimación de las personas con discapacidad en centros especiales de empleo con derecho al subsidio de garantía de ingresos mínimos</w:t>
            </w:r>
          </w:p>
        </w:tc>
      </w:tr>
      <w:tr w:rsidR="00E2336B" w:rsidRPr="00596D70" w:rsidTr="00A62C1C">
        <w:trPr>
          <w:trHeight w:val="300"/>
        </w:trPr>
        <w:tc>
          <w:tcPr>
            <w:tcW w:w="5959" w:type="dxa"/>
            <w:noWrap/>
            <w:vAlign w:val="center"/>
          </w:tcPr>
          <w:p w:rsidR="00E2336B" w:rsidRPr="00A62C1C" w:rsidRDefault="00E2336B" w:rsidP="00A62C1C">
            <w:pPr>
              <w:autoSpaceDE w:val="0"/>
              <w:autoSpaceDN w:val="0"/>
              <w:spacing w:line="360" w:lineRule="auto"/>
              <w:rPr>
                <w:rFonts w:ascii="MinionPro-Regular" w:hAnsi="MinionPro-Regular"/>
                <w:sz w:val="20"/>
                <w:lang w:val="es-ES_tradnl"/>
              </w:rPr>
            </w:pPr>
            <w:r w:rsidRPr="00A62C1C">
              <w:rPr>
                <w:rFonts w:ascii="MinionPro-Regular" w:hAnsi="MinionPro-Regular"/>
                <w:sz w:val="20"/>
                <w:lang w:val="es-ES_tradnl"/>
              </w:rPr>
              <w:t xml:space="preserve">Personas con discapacidad en España obtenida de la MCVL </w:t>
            </w:r>
          </w:p>
        </w:tc>
        <w:tc>
          <w:tcPr>
            <w:tcW w:w="2410" w:type="dxa"/>
            <w:vAlign w:val="center"/>
          </w:tcPr>
          <w:p w:rsidR="00E2336B" w:rsidRPr="00A62C1C" w:rsidRDefault="00E2336B" w:rsidP="00A62C1C">
            <w:pPr>
              <w:autoSpaceDE w:val="0"/>
              <w:autoSpaceDN w:val="0"/>
              <w:spacing w:line="360" w:lineRule="auto"/>
              <w:jc w:val="center"/>
              <w:rPr>
                <w:rFonts w:ascii="MinionPro-Regular" w:hAnsi="MinionPro-Regular"/>
                <w:sz w:val="20"/>
                <w:lang w:val="es-ES_tradnl"/>
              </w:rPr>
            </w:pPr>
            <w:r w:rsidRPr="00A62C1C">
              <w:rPr>
                <w:rFonts w:ascii="MinionPro-Regular" w:hAnsi="MinionPro-Regular"/>
                <w:sz w:val="20"/>
                <w:lang w:val="es-ES_tradnl"/>
              </w:rPr>
              <w:t>6.114</w:t>
            </w:r>
          </w:p>
        </w:tc>
      </w:tr>
      <w:tr w:rsidR="00E2336B" w:rsidRPr="00596D70" w:rsidTr="00A62C1C">
        <w:trPr>
          <w:trHeight w:val="600"/>
        </w:trPr>
        <w:tc>
          <w:tcPr>
            <w:tcW w:w="5959" w:type="dxa"/>
            <w:vAlign w:val="center"/>
          </w:tcPr>
          <w:p w:rsidR="00E2336B" w:rsidRPr="00A62C1C" w:rsidRDefault="00E2336B" w:rsidP="00A62C1C">
            <w:pPr>
              <w:autoSpaceDE w:val="0"/>
              <w:autoSpaceDN w:val="0"/>
              <w:spacing w:line="360" w:lineRule="auto"/>
              <w:rPr>
                <w:rFonts w:ascii="MinionPro-Regular" w:hAnsi="MinionPro-Regular"/>
                <w:sz w:val="20"/>
                <w:lang w:val="es-ES_tradnl"/>
              </w:rPr>
            </w:pPr>
            <w:r w:rsidRPr="00A62C1C">
              <w:rPr>
                <w:rFonts w:ascii="MinionPro-Regular" w:hAnsi="MinionPro-Regular"/>
                <w:sz w:val="20"/>
                <w:lang w:val="es-ES_tradnl"/>
              </w:rPr>
              <w:t>PCD con minusvalía reconocida antes de 1994 de la MCVL</w:t>
            </w:r>
          </w:p>
        </w:tc>
        <w:tc>
          <w:tcPr>
            <w:tcW w:w="2410" w:type="dxa"/>
            <w:vAlign w:val="center"/>
          </w:tcPr>
          <w:p w:rsidR="00E2336B" w:rsidRPr="00B56E1C" w:rsidRDefault="00E2336B" w:rsidP="00A62C1C">
            <w:pPr>
              <w:autoSpaceDE w:val="0"/>
              <w:autoSpaceDN w:val="0"/>
              <w:spacing w:line="360" w:lineRule="auto"/>
              <w:jc w:val="center"/>
              <w:rPr>
                <w:rFonts w:ascii="MinionPro-Regular" w:hAnsi="MinionPro-Regular"/>
                <w:sz w:val="20"/>
                <w:lang w:val="es-ES_tradnl"/>
              </w:rPr>
            </w:pPr>
            <w:r w:rsidRPr="00B56E1C">
              <w:rPr>
                <w:rFonts w:ascii="MinionPro-Regular" w:hAnsi="MinionPro-Regular"/>
                <w:sz w:val="20"/>
                <w:lang w:val="es-ES_tradnl"/>
              </w:rPr>
              <w:t>902</w:t>
            </w:r>
          </w:p>
        </w:tc>
      </w:tr>
      <w:tr w:rsidR="00E2336B" w:rsidRPr="00596D70" w:rsidTr="00A62C1C">
        <w:trPr>
          <w:trHeight w:val="300"/>
        </w:trPr>
        <w:tc>
          <w:tcPr>
            <w:tcW w:w="5959" w:type="dxa"/>
            <w:noWrap/>
            <w:vAlign w:val="center"/>
          </w:tcPr>
          <w:p w:rsidR="00E2336B" w:rsidRPr="00A62C1C" w:rsidRDefault="00E2336B" w:rsidP="00A62C1C">
            <w:pPr>
              <w:autoSpaceDE w:val="0"/>
              <w:autoSpaceDN w:val="0"/>
              <w:spacing w:line="360" w:lineRule="auto"/>
              <w:rPr>
                <w:rFonts w:ascii="MinionPro-Regular" w:hAnsi="MinionPro-Regular"/>
                <w:sz w:val="20"/>
                <w:lang w:val="es-ES_tradnl"/>
              </w:rPr>
            </w:pPr>
            <w:r w:rsidRPr="00A62C1C">
              <w:rPr>
                <w:rFonts w:ascii="MinionPro-Regular" w:hAnsi="MinionPro-Regular"/>
                <w:sz w:val="20"/>
                <w:lang w:val="es-ES_tradnl"/>
              </w:rPr>
              <w:t>Población de personas con discapacidad que trabaja en centros especiales de empleo</w:t>
            </w:r>
          </w:p>
        </w:tc>
        <w:tc>
          <w:tcPr>
            <w:tcW w:w="2410" w:type="dxa"/>
            <w:vAlign w:val="center"/>
          </w:tcPr>
          <w:p w:rsidR="00E2336B" w:rsidRPr="00B56E1C" w:rsidRDefault="00E2336B" w:rsidP="00A62C1C">
            <w:pPr>
              <w:autoSpaceDE w:val="0"/>
              <w:autoSpaceDN w:val="0"/>
              <w:spacing w:line="360" w:lineRule="auto"/>
              <w:jc w:val="center"/>
              <w:rPr>
                <w:rFonts w:ascii="MinionPro-Regular" w:hAnsi="MinionPro-Regular"/>
                <w:sz w:val="20"/>
                <w:lang w:val="es-ES_tradnl"/>
              </w:rPr>
            </w:pPr>
            <w:r w:rsidRPr="00B56E1C">
              <w:rPr>
                <w:rFonts w:ascii="MinionPro-Regular" w:hAnsi="MinionPro-Regular"/>
                <w:sz w:val="20"/>
                <w:lang w:val="es-ES_tradnl"/>
              </w:rPr>
              <w:t>64.391</w:t>
            </w:r>
          </w:p>
        </w:tc>
      </w:tr>
      <w:tr w:rsidR="00E2336B" w:rsidRPr="00596D70" w:rsidTr="00A62C1C">
        <w:trPr>
          <w:trHeight w:val="600"/>
        </w:trPr>
        <w:tc>
          <w:tcPr>
            <w:tcW w:w="5959" w:type="dxa"/>
            <w:tcBorders>
              <w:bottom w:val="single" w:sz="12" w:space="0" w:color="409DAD"/>
            </w:tcBorders>
            <w:vAlign w:val="center"/>
          </w:tcPr>
          <w:p w:rsidR="00E2336B" w:rsidRPr="00A62C1C" w:rsidRDefault="00E2336B" w:rsidP="00A62C1C">
            <w:pPr>
              <w:autoSpaceDE w:val="0"/>
              <w:autoSpaceDN w:val="0"/>
              <w:spacing w:line="360" w:lineRule="auto"/>
              <w:rPr>
                <w:rFonts w:ascii="MinionPro-Regular" w:hAnsi="MinionPro-Regular"/>
                <w:sz w:val="20"/>
                <w:lang w:val="es-ES_tradnl"/>
              </w:rPr>
            </w:pPr>
            <w:r w:rsidRPr="00A62C1C">
              <w:rPr>
                <w:rFonts w:ascii="MinionPro-Regular" w:hAnsi="MinionPro-Regular"/>
                <w:sz w:val="20"/>
                <w:lang w:val="es-ES_tradnl"/>
              </w:rPr>
              <w:t>Personas con discapacidad en centros especiales de empleo con derecho al subsidio de garantía de ingresos mínimos</w:t>
            </w:r>
          </w:p>
        </w:tc>
        <w:tc>
          <w:tcPr>
            <w:tcW w:w="2410" w:type="dxa"/>
            <w:tcBorders>
              <w:bottom w:val="single" w:sz="12" w:space="0" w:color="409DAD"/>
            </w:tcBorders>
            <w:vAlign w:val="center"/>
          </w:tcPr>
          <w:p w:rsidR="00E2336B" w:rsidRPr="00B56E1C" w:rsidRDefault="00E2336B" w:rsidP="00A62C1C">
            <w:pPr>
              <w:autoSpaceDE w:val="0"/>
              <w:autoSpaceDN w:val="0"/>
              <w:spacing w:line="360" w:lineRule="auto"/>
              <w:jc w:val="center"/>
              <w:rPr>
                <w:rFonts w:ascii="MinionPro-Regular" w:hAnsi="MinionPro-Regular"/>
                <w:sz w:val="20"/>
                <w:lang w:val="es-ES_tradnl"/>
              </w:rPr>
            </w:pPr>
            <w:r w:rsidRPr="00B56E1C">
              <w:rPr>
                <w:rFonts w:ascii="MinionPro-Regular" w:hAnsi="MinionPro-Regular"/>
                <w:sz w:val="20"/>
                <w:lang w:val="es-ES_tradnl"/>
              </w:rPr>
              <w:t>625</w:t>
            </w:r>
          </w:p>
        </w:tc>
      </w:tr>
    </w:tbl>
    <w:p w:rsidR="00E2336B" w:rsidRPr="00596D70" w:rsidRDefault="00E2336B" w:rsidP="00390656">
      <w:pPr>
        <w:pStyle w:val="Textoindependiente"/>
        <w:pBdr>
          <w:bottom w:val="single" w:sz="4" w:space="1" w:color="auto"/>
        </w:pBdr>
        <w:rPr>
          <w:rFonts w:ascii="MinionPro-Regular" w:hAnsi="MinionPro-Regular"/>
          <w:sz w:val="20"/>
          <w:szCs w:val="24"/>
          <w:lang w:val="es-ES_tradnl"/>
        </w:rPr>
      </w:pPr>
      <w:r w:rsidRPr="007949F6">
        <w:rPr>
          <w:rFonts w:ascii="MinionPro-Regular" w:hAnsi="MinionPro-Regular"/>
          <w:sz w:val="20"/>
          <w:szCs w:val="24"/>
          <w:lang w:val="es-ES_tradnl"/>
        </w:rPr>
        <w:t>Fuente: Elaboración propia a partir de datos de la MCVL, SPEE.</w:t>
      </w:r>
    </w:p>
    <w:p w:rsidR="00E2336B" w:rsidRDefault="00E2336B" w:rsidP="00890FE5">
      <w:pPr>
        <w:rPr>
          <w:rFonts w:ascii="MinionPro-Regular" w:hAnsi="MinionPro-Regular"/>
          <w:sz w:val="24"/>
          <w:szCs w:val="24"/>
          <w:lang w:val="es-ES_tradnl"/>
        </w:rPr>
      </w:pPr>
    </w:p>
    <w:p w:rsidR="00E2336B" w:rsidRDefault="00E2336B" w:rsidP="00890FE5">
      <w:pPr>
        <w:autoSpaceDE w:val="0"/>
        <w:autoSpaceDN w:val="0"/>
        <w:spacing w:line="360" w:lineRule="auto"/>
        <w:jc w:val="both"/>
        <w:rPr>
          <w:rFonts w:ascii="MinionPro-Regular" w:hAnsi="MinionPro-Regular"/>
          <w:sz w:val="24"/>
          <w:szCs w:val="24"/>
          <w:lang w:val="es-ES_tradnl"/>
        </w:rPr>
      </w:pPr>
      <w:r w:rsidRPr="006062EE">
        <w:rPr>
          <w:rFonts w:ascii="MinionPro-Regular" w:hAnsi="MinionPro-Regular"/>
          <w:sz w:val="24"/>
          <w:szCs w:val="24"/>
          <w:lang w:val="es-ES_tradnl"/>
        </w:rPr>
        <w:t>Para los subsidios  de ayuda de tercera persona (a partir del 75% de discapacidad) se han tenido en cuenta las personas con mayor</w:t>
      </w:r>
      <w:r>
        <w:rPr>
          <w:rFonts w:ascii="MinionPro-Regular" w:hAnsi="MinionPro-Regular"/>
          <w:sz w:val="24"/>
          <w:szCs w:val="24"/>
          <w:lang w:val="es-ES_tradnl"/>
        </w:rPr>
        <w:t xml:space="preserve"> grado de discapacidad.</w:t>
      </w:r>
    </w:p>
    <w:p w:rsidR="00E2336B" w:rsidRPr="006062EE" w:rsidRDefault="00E2336B" w:rsidP="00390656">
      <w:pPr>
        <w:pBdr>
          <w:bottom w:val="single" w:sz="4" w:space="1" w:color="auto"/>
        </w:pBdr>
        <w:autoSpaceDE w:val="0"/>
        <w:autoSpaceDN w:val="0"/>
        <w:spacing w:line="360" w:lineRule="auto"/>
        <w:jc w:val="both"/>
        <w:rPr>
          <w:rFonts w:ascii="MinionPro-Regular" w:hAnsi="MinionPro-Regular"/>
          <w:sz w:val="24"/>
          <w:szCs w:val="24"/>
          <w:lang w:val="es-ES_tradnl"/>
        </w:rPr>
      </w:pPr>
    </w:p>
    <w:p w:rsidR="00E2336B" w:rsidRDefault="00E2336B" w:rsidP="00890FE5"/>
    <w:tbl>
      <w:tblPr>
        <w:tblW w:w="8369" w:type="dxa"/>
        <w:tblBorders>
          <w:bottom w:val="single" w:sz="12" w:space="0" w:color="409DAD"/>
        </w:tblBorders>
        <w:tblCellMar>
          <w:top w:w="28" w:type="dxa"/>
          <w:left w:w="28" w:type="dxa"/>
          <w:bottom w:w="28" w:type="dxa"/>
          <w:right w:w="28" w:type="dxa"/>
        </w:tblCellMar>
        <w:tblLook w:val="00A0"/>
      </w:tblPr>
      <w:tblGrid>
        <w:gridCol w:w="6124"/>
        <w:gridCol w:w="2245"/>
      </w:tblGrid>
      <w:tr w:rsidR="00E2336B" w:rsidRPr="003D5F2B" w:rsidTr="00A62C1C">
        <w:trPr>
          <w:trHeight w:val="300"/>
        </w:trPr>
        <w:tc>
          <w:tcPr>
            <w:tcW w:w="8369" w:type="dxa"/>
            <w:gridSpan w:val="2"/>
            <w:shd w:val="clear" w:color="auto" w:fill="409DAD"/>
            <w:noWrap/>
            <w:vAlign w:val="center"/>
          </w:tcPr>
          <w:p w:rsidR="00E2336B" w:rsidRPr="00A62C1C" w:rsidRDefault="00E2336B" w:rsidP="00A62C1C">
            <w:pPr>
              <w:autoSpaceDE w:val="0"/>
              <w:autoSpaceDN w:val="0"/>
              <w:spacing w:line="360" w:lineRule="auto"/>
              <w:rPr>
                <w:rFonts w:ascii="MinionPro-Regular" w:hAnsi="MinionPro-Regular"/>
                <w:color w:val="FFFFFF"/>
                <w:sz w:val="20"/>
                <w:lang w:val="es-ES_tradnl"/>
              </w:rPr>
            </w:pPr>
            <w:r w:rsidRPr="00A62C1C">
              <w:rPr>
                <w:rFonts w:ascii="MinionPro-Regular" w:hAnsi="MinionPro-Regular"/>
                <w:color w:val="FFFFFF"/>
                <w:sz w:val="20"/>
                <w:lang w:val="es-ES_tradnl"/>
              </w:rPr>
              <w:t>Estimación de las personas con discapacidad en centros especiales de empleo con derecho al subsidio de ayuda de tercera persona</w:t>
            </w:r>
          </w:p>
        </w:tc>
      </w:tr>
      <w:tr w:rsidR="00E2336B" w:rsidRPr="003D5F2B" w:rsidTr="00A62C1C">
        <w:trPr>
          <w:trHeight w:val="300"/>
        </w:trPr>
        <w:tc>
          <w:tcPr>
            <w:tcW w:w="6124" w:type="dxa"/>
            <w:noWrap/>
            <w:vAlign w:val="center"/>
          </w:tcPr>
          <w:p w:rsidR="00E2336B" w:rsidRPr="00A62C1C" w:rsidRDefault="00E2336B" w:rsidP="00A62C1C">
            <w:pPr>
              <w:autoSpaceDE w:val="0"/>
              <w:autoSpaceDN w:val="0"/>
              <w:spacing w:line="360" w:lineRule="auto"/>
              <w:rPr>
                <w:rFonts w:ascii="MinionPro-Regular" w:hAnsi="MinionPro-Regular"/>
                <w:sz w:val="20"/>
                <w:lang w:val="es-ES_tradnl"/>
              </w:rPr>
            </w:pPr>
            <w:r w:rsidRPr="00A62C1C">
              <w:rPr>
                <w:rFonts w:ascii="MinionPro-Regular" w:hAnsi="MinionPro-Regular"/>
                <w:sz w:val="20"/>
                <w:lang w:val="es-ES_tradnl"/>
              </w:rPr>
              <w:t xml:space="preserve">Personas con discapacidad en España obtenida de la MCVL </w:t>
            </w:r>
          </w:p>
        </w:tc>
        <w:tc>
          <w:tcPr>
            <w:tcW w:w="2245" w:type="dxa"/>
            <w:vAlign w:val="center"/>
          </w:tcPr>
          <w:p w:rsidR="00E2336B" w:rsidRPr="00A62C1C" w:rsidRDefault="00E2336B" w:rsidP="00A62C1C">
            <w:pPr>
              <w:autoSpaceDE w:val="0"/>
              <w:autoSpaceDN w:val="0"/>
              <w:spacing w:line="360" w:lineRule="auto"/>
              <w:jc w:val="center"/>
              <w:rPr>
                <w:rFonts w:ascii="MinionPro-Regular" w:hAnsi="MinionPro-Regular"/>
                <w:sz w:val="20"/>
                <w:lang w:val="es-ES_tradnl"/>
              </w:rPr>
            </w:pPr>
            <w:r w:rsidRPr="00A62C1C">
              <w:rPr>
                <w:rFonts w:ascii="MinionPro-Regular" w:hAnsi="MinionPro-Regular"/>
                <w:sz w:val="20"/>
                <w:lang w:val="es-ES_tradnl"/>
              </w:rPr>
              <w:t>6.114</w:t>
            </w:r>
          </w:p>
        </w:tc>
      </w:tr>
      <w:tr w:rsidR="00E2336B" w:rsidRPr="003D5F2B" w:rsidTr="00A62C1C">
        <w:trPr>
          <w:trHeight w:val="109"/>
        </w:trPr>
        <w:tc>
          <w:tcPr>
            <w:tcW w:w="6124" w:type="dxa"/>
            <w:vAlign w:val="center"/>
          </w:tcPr>
          <w:p w:rsidR="00E2336B" w:rsidRPr="00A62C1C" w:rsidRDefault="00E2336B" w:rsidP="00A62C1C">
            <w:pPr>
              <w:autoSpaceDE w:val="0"/>
              <w:autoSpaceDN w:val="0"/>
              <w:spacing w:line="360" w:lineRule="auto"/>
              <w:rPr>
                <w:rFonts w:ascii="MinionPro-Regular" w:hAnsi="MinionPro-Regular"/>
                <w:sz w:val="20"/>
                <w:lang w:val="es-ES_tradnl"/>
              </w:rPr>
            </w:pPr>
            <w:r w:rsidRPr="00A62C1C">
              <w:rPr>
                <w:rFonts w:ascii="MinionPro-Regular" w:hAnsi="MinionPro-Regular"/>
                <w:sz w:val="20"/>
                <w:lang w:val="es-ES_tradnl"/>
              </w:rPr>
              <w:t>Personas con discapacidad en España con derecho al subsidios de ayuda de tercera persona (a partir del 75% de discapacidad) según la MCVL</w:t>
            </w:r>
          </w:p>
        </w:tc>
        <w:tc>
          <w:tcPr>
            <w:tcW w:w="2245" w:type="dxa"/>
            <w:vAlign w:val="center"/>
          </w:tcPr>
          <w:p w:rsidR="00E2336B" w:rsidRPr="00B56E1C" w:rsidRDefault="00E2336B" w:rsidP="00A62C1C">
            <w:pPr>
              <w:autoSpaceDE w:val="0"/>
              <w:autoSpaceDN w:val="0"/>
              <w:spacing w:line="360" w:lineRule="auto"/>
              <w:jc w:val="center"/>
              <w:rPr>
                <w:rFonts w:ascii="MinionPro-Regular" w:hAnsi="MinionPro-Regular"/>
                <w:sz w:val="20"/>
                <w:lang w:val="es-ES_tradnl"/>
              </w:rPr>
            </w:pPr>
            <w:r w:rsidRPr="00B56E1C">
              <w:rPr>
                <w:rFonts w:ascii="MinionPro-Regular" w:hAnsi="MinionPro-Regular"/>
                <w:sz w:val="20"/>
                <w:lang w:val="es-ES_tradnl"/>
              </w:rPr>
              <w:t>24</w:t>
            </w:r>
          </w:p>
        </w:tc>
      </w:tr>
      <w:tr w:rsidR="00E2336B" w:rsidRPr="003D5F2B" w:rsidTr="00A62C1C">
        <w:trPr>
          <w:trHeight w:val="166"/>
        </w:trPr>
        <w:tc>
          <w:tcPr>
            <w:tcW w:w="6124" w:type="dxa"/>
            <w:noWrap/>
            <w:vAlign w:val="center"/>
          </w:tcPr>
          <w:p w:rsidR="00E2336B" w:rsidRPr="00A62C1C" w:rsidRDefault="00E2336B" w:rsidP="00A62C1C">
            <w:pPr>
              <w:autoSpaceDE w:val="0"/>
              <w:autoSpaceDN w:val="0"/>
              <w:spacing w:line="360" w:lineRule="auto"/>
              <w:rPr>
                <w:rFonts w:ascii="MinionPro-Regular" w:hAnsi="MinionPro-Regular"/>
                <w:sz w:val="20"/>
                <w:lang w:val="es-ES_tradnl"/>
              </w:rPr>
            </w:pPr>
            <w:r w:rsidRPr="00A62C1C">
              <w:rPr>
                <w:rFonts w:ascii="MinionPro-Regular" w:hAnsi="MinionPro-Regular"/>
                <w:sz w:val="20"/>
                <w:lang w:val="es-ES_tradnl"/>
              </w:rPr>
              <w:t xml:space="preserve">Población personas con discapacidad estimada que trabaja en centros especiales de empleo </w:t>
            </w:r>
          </w:p>
        </w:tc>
        <w:tc>
          <w:tcPr>
            <w:tcW w:w="2245" w:type="dxa"/>
            <w:vAlign w:val="center"/>
          </w:tcPr>
          <w:p w:rsidR="00E2336B" w:rsidRPr="00B56E1C" w:rsidRDefault="00E2336B" w:rsidP="00A62C1C">
            <w:pPr>
              <w:autoSpaceDE w:val="0"/>
              <w:autoSpaceDN w:val="0"/>
              <w:spacing w:line="360" w:lineRule="auto"/>
              <w:jc w:val="center"/>
              <w:rPr>
                <w:rFonts w:ascii="MinionPro-Regular" w:hAnsi="MinionPro-Regular"/>
                <w:sz w:val="20"/>
                <w:lang w:val="es-ES_tradnl"/>
              </w:rPr>
            </w:pPr>
            <w:r w:rsidRPr="00B56E1C">
              <w:rPr>
                <w:rFonts w:ascii="MinionPro-Regular" w:hAnsi="MinionPro-Regular"/>
                <w:sz w:val="20"/>
                <w:lang w:val="es-ES_tradnl"/>
              </w:rPr>
              <w:t>64.391</w:t>
            </w:r>
          </w:p>
        </w:tc>
      </w:tr>
      <w:tr w:rsidR="00E2336B" w:rsidRPr="003D5F2B" w:rsidTr="00A62C1C">
        <w:trPr>
          <w:trHeight w:val="403"/>
        </w:trPr>
        <w:tc>
          <w:tcPr>
            <w:tcW w:w="6124" w:type="dxa"/>
            <w:tcBorders>
              <w:bottom w:val="single" w:sz="12" w:space="0" w:color="409DAD"/>
            </w:tcBorders>
            <w:vAlign w:val="center"/>
          </w:tcPr>
          <w:p w:rsidR="00E2336B" w:rsidRPr="00A62C1C" w:rsidRDefault="00E2336B" w:rsidP="00A62C1C">
            <w:pPr>
              <w:autoSpaceDE w:val="0"/>
              <w:autoSpaceDN w:val="0"/>
              <w:spacing w:line="360" w:lineRule="auto"/>
              <w:rPr>
                <w:rFonts w:ascii="MinionPro-Regular" w:hAnsi="MinionPro-Regular"/>
                <w:sz w:val="20"/>
                <w:lang w:val="es-ES_tradnl"/>
              </w:rPr>
            </w:pPr>
            <w:r w:rsidRPr="00A62C1C">
              <w:rPr>
                <w:rFonts w:ascii="MinionPro-Regular" w:hAnsi="MinionPro-Regular"/>
                <w:sz w:val="20"/>
                <w:lang w:val="es-ES_tradnl"/>
              </w:rPr>
              <w:t>Personas con discapacidad en centros especiales de empleo con derecho al subsidios  de ayuda de tercera persona (a partir del 75% de discapacidad)</w:t>
            </w:r>
          </w:p>
        </w:tc>
        <w:tc>
          <w:tcPr>
            <w:tcW w:w="2245" w:type="dxa"/>
            <w:tcBorders>
              <w:bottom w:val="single" w:sz="12" w:space="0" w:color="409DAD"/>
            </w:tcBorders>
            <w:vAlign w:val="center"/>
          </w:tcPr>
          <w:p w:rsidR="00E2336B" w:rsidRPr="00B56E1C" w:rsidRDefault="00E2336B" w:rsidP="00A62C1C">
            <w:pPr>
              <w:autoSpaceDE w:val="0"/>
              <w:autoSpaceDN w:val="0"/>
              <w:spacing w:line="360" w:lineRule="auto"/>
              <w:jc w:val="center"/>
              <w:rPr>
                <w:rFonts w:ascii="MinionPro-Regular" w:hAnsi="MinionPro-Regular"/>
                <w:sz w:val="20"/>
                <w:lang w:val="es-ES_tradnl"/>
              </w:rPr>
            </w:pPr>
            <w:r w:rsidRPr="00B56E1C">
              <w:rPr>
                <w:rFonts w:ascii="MinionPro-Regular" w:hAnsi="MinionPro-Regular"/>
                <w:sz w:val="20"/>
                <w:lang w:val="es-ES_tradnl"/>
              </w:rPr>
              <w:t>258</w:t>
            </w:r>
          </w:p>
        </w:tc>
      </w:tr>
    </w:tbl>
    <w:p w:rsidR="00E2336B" w:rsidRDefault="00E2336B">
      <w:pPr>
        <w:pStyle w:val="Textoindependiente"/>
        <w:pBdr>
          <w:bottom w:val="single" w:sz="4" w:space="1" w:color="auto"/>
        </w:pBdr>
        <w:rPr>
          <w:rFonts w:ascii="MinionPro-Regular" w:hAnsi="MinionPro-Regular"/>
          <w:sz w:val="20"/>
          <w:szCs w:val="24"/>
          <w:lang w:val="es-ES_tradnl"/>
        </w:rPr>
      </w:pPr>
      <w:r w:rsidRPr="007949F6">
        <w:rPr>
          <w:rFonts w:ascii="MinionPro-Regular" w:hAnsi="MinionPro-Regular"/>
          <w:sz w:val="20"/>
          <w:szCs w:val="24"/>
          <w:lang w:val="es-ES_tradnl"/>
        </w:rPr>
        <w:t>Elaboración propia a partir de datos de la MCVL, SPEE.</w:t>
      </w:r>
      <w:bookmarkStart w:id="427" w:name="_Toc340340568"/>
    </w:p>
    <w:p w:rsidR="00E2336B" w:rsidRDefault="00E2336B">
      <w:pPr>
        <w:pStyle w:val="Textoindependiente"/>
        <w:rPr>
          <w:rFonts w:ascii="MinionPro-Regular" w:hAnsi="MinionPro-Regular"/>
          <w:sz w:val="20"/>
          <w:szCs w:val="24"/>
          <w:lang w:val="es-ES_tradnl"/>
        </w:rPr>
      </w:pPr>
    </w:p>
    <w:p w:rsidR="00E2336B" w:rsidRDefault="00E2336B" w:rsidP="00035570">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Por último, para la estimación del subsidio de movilidad y compensación para gastos de transporte, no ha sido necesario incluir las consideraciones anteriores puesto que en este caso no ha sido suprimido el derecho a subsidio, y tampoco existe un mínimo de grado de discapacidad para su solicitud. Sin embargo, a diferencia de los dos conceptos anteriores de la LISMI, estimación se ha realizado teniendo en cuenta las prestaciones que hoy en día se dedican al concepto de movilidad estimando, en qué medida, las personas con discapacidad de los centros especiales de empleo podría solicitarlo a la administración, en caso de perder su empleo.</w:t>
      </w:r>
    </w:p>
    <w:p w:rsidR="00E2336B" w:rsidRPr="006062EE" w:rsidRDefault="00E2336B" w:rsidP="00035570">
      <w:pPr>
        <w:pBdr>
          <w:bottom w:val="single" w:sz="4" w:space="1" w:color="auto"/>
        </w:pBdr>
        <w:autoSpaceDE w:val="0"/>
        <w:autoSpaceDN w:val="0"/>
        <w:spacing w:line="360" w:lineRule="auto"/>
        <w:jc w:val="both"/>
        <w:rPr>
          <w:rFonts w:ascii="MinionPro-Regular" w:hAnsi="MinionPro-Regular"/>
          <w:sz w:val="24"/>
          <w:szCs w:val="24"/>
          <w:lang w:val="es-ES_tradnl"/>
        </w:rPr>
      </w:pPr>
    </w:p>
    <w:p w:rsidR="00E2336B" w:rsidRDefault="00E2336B" w:rsidP="00035570"/>
    <w:tbl>
      <w:tblPr>
        <w:tblW w:w="8369" w:type="dxa"/>
        <w:tblBorders>
          <w:bottom w:val="single" w:sz="12" w:space="0" w:color="409DAD"/>
        </w:tblBorders>
        <w:tblCellMar>
          <w:top w:w="28" w:type="dxa"/>
          <w:left w:w="28" w:type="dxa"/>
          <w:bottom w:w="28" w:type="dxa"/>
          <w:right w:w="28" w:type="dxa"/>
        </w:tblCellMar>
        <w:tblLook w:val="00A0"/>
      </w:tblPr>
      <w:tblGrid>
        <w:gridCol w:w="6124"/>
        <w:gridCol w:w="2245"/>
      </w:tblGrid>
      <w:tr w:rsidR="00E2336B" w:rsidRPr="003D5F2B" w:rsidTr="00A62C1C">
        <w:trPr>
          <w:trHeight w:val="300"/>
        </w:trPr>
        <w:tc>
          <w:tcPr>
            <w:tcW w:w="8369" w:type="dxa"/>
            <w:gridSpan w:val="2"/>
            <w:shd w:val="clear" w:color="auto" w:fill="409DAD"/>
            <w:noWrap/>
            <w:vAlign w:val="center"/>
          </w:tcPr>
          <w:p w:rsidR="00E2336B" w:rsidRPr="00A62C1C" w:rsidRDefault="00E2336B" w:rsidP="00A62C1C">
            <w:pPr>
              <w:autoSpaceDE w:val="0"/>
              <w:autoSpaceDN w:val="0"/>
              <w:spacing w:line="360" w:lineRule="auto"/>
              <w:rPr>
                <w:rFonts w:ascii="MinionPro-Regular" w:hAnsi="MinionPro-Regular"/>
                <w:sz w:val="20"/>
                <w:lang w:val="es-ES_tradnl"/>
              </w:rPr>
            </w:pPr>
            <w:r w:rsidRPr="00A62C1C">
              <w:rPr>
                <w:rFonts w:ascii="MinionPro-Regular" w:hAnsi="MinionPro-Regular"/>
                <w:color w:val="FFFFFF"/>
                <w:sz w:val="20"/>
                <w:lang w:val="es-ES_tradnl"/>
              </w:rPr>
              <w:t>Estimación de las personas con discapacidad en centros especiales de empleo con derecho al subsidio de movilidad y compensación para gastos de transporte</w:t>
            </w:r>
          </w:p>
        </w:tc>
      </w:tr>
      <w:tr w:rsidR="00E2336B" w:rsidRPr="003D5F2B" w:rsidTr="00A62C1C">
        <w:trPr>
          <w:trHeight w:val="300"/>
        </w:trPr>
        <w:tc>
          <w:tcPr>
            <w:tcW w:w="6124" w:type="dxa"/>
            <w:noWrap/>
            <w:vAlign w:val="center"/>
          </w:tcPr>
          <w:p w:rsidR="00E2336B" w:rsidRPr="00A62C1C" w:rsidRDefault="00E2336B" w:rsidP="00A62C1C">
            <w:pPr>
              <w:autoSpaceDE w:val="0"/>
              <w:autoSpaceDN w:val="0"/>
              <w:spacing w:line="360" w:lineRule="auto"/>
              <w:rPr>
                <w:rFonts w:ascii="MinionPro-Regular" w:hAnsi="MinionPro-Regular"/>
                <w:sz w:val="20"/>
                <w:lang w:val="es-ES_tradnl"/>
              </w:rPr>
            </w:pPr>
            <w:r w:rsidRPr="00A62C1C">
              <w:rPr>
                <w:rFonts w:ascii="MinionPro-Regular" w:hAnsi="MinionPro-Regular"/>
                <w:sz w:val="20"/>
                <w:lang w:val="es-ES_tradnl"/>
              </w:rPr>
              <w:t>Número de personas que recibieron este tipo de prestaciones según el IMSERSO</w:t>
            </w:r>
          </w:p>
        </w:tc>
        <w:tc>
          <w:tcPr>
            <w:tcW w:w="2245" w:type="dxa"/>
            <w:vAlign w:val="center"/>
          </w:tcPr>
          <w:p w:rsidR="00E2336B" w:rsidRPr="00B56E1C" w:rsidRDefault="00E2336B" w:rsidP="00A62C1C">
            <w:pPr>
              <w:autoSpaceDE w:val="0"/>
              <w:autoSpaceDN w:val="0"/>
              <w:spacing w:line="360" w:lineRule="auto"/>
              <w:jc w:val="center"/>
              <w:rPr>
                <w:rFonts w:ascii="MinionPro-Regular" w:hAnsi="MinionPro-Regular"/>
                <w:sz w:val="20"/>
                <w:lang w:val="es-ES_tradnl"/>
              </w:rPr>
            </w:pPr>
            <w:r w:rsidRPr="00B56E1C">
              <w:rPr>
                <w:rFonts w:ascii="MinionPro-Regular" w:hAnsi="MinionPro-Regular"/>
                <w:sz w:val="20"/>
                <w:lang w:val="es-ES_tradnl"/>
              </w:rPr>
              <w:t>6.377</w:t>
            </w:r>
          </w:p>
        </w:tc>
      </w:tr>
      <w:tr w:rsidR="00E2336B" w:rsidRPr="003D5F2B" w:rsidTr="00A62C1C">
        <w:trPr>
          <w:trHeight w:val="109"/>
        </w:trPr>
        <w:tc>
          <w:tcPr>
            <w:tcW w:w="6124" w:type="dxa"/>
            <w:vAlign w:val="center"/>
          </w:tcPr>
          <w:p w:rsidR="00E2336B" w:rsidRPr="00A62C1C" w:rsidRDefault="00E2336B" w:rsidP="00A62C1C">
            <w:pPr>
              <w:autoSpaceDE w:val="0"/>
              <w:autoSpaceDN w:val="0"/>
              <w:spacing w:line="360" w:lineRule="auto"/>
              <w:rPr>
                <w:rFonts w:ascii="MinionPro-Regular" w:hAnsi="MinionPro-Regular"/>
                <w:sz w:val="20"/>
                <w:lang w:val="es-ES_tradnl"/>
              </w:rPr>
            </w:pPr>
            <w:r w:rsidRPr="00A62C1C">
              <w:rPr>
                <w:rFonts w:ascii="MinionPro-Regular" w:hAnsi="MinionPro-Regular"/>
                <w:sz w:val="20"/>
                <w:lang w:val="es-ES_tradnl"/>
              </w:rPr>
              <w:t xml:space="preserve">Número de PCD que podrían tener acceso a este tipo de ayudas (personas </w:t>
            </w:r>
            <w:r w:rsidRPr="00A62C1C">
              <w:rPr>
                <w:rFonts w:ascii="MinionPro-Regular" w:hAnsi="MinionPro-Regular"/>
                <w:sz w:val="20"/>
                <w:lang w:val="es-ES_tradnl"/>
              </w:rPr>
              <w:lastRenderedPageBreak/>
              <w:t>en edad de trabajar que no tienen trabajo, bien por estar paradas o por ser inactivas)</w:t>
            </w:r>
          </w:p>
        </w:tc>
        <w:tc>
          <w:tcPr>
            <w:tcW w:w="2245" w:type="dxa"/>
            <w:vAlign w:val="center"/>
          </w:tcPr>
          <w:p w:rsidR="00E2336B" w:rsidRPr="00B56E1C" w:rsidRDefault="00E2336B" w:rsidP="00A62C1C">
            <w:pPr>
              <w:autoSpaceDE w:val="0"/>
              <w:autoSpaceDN w:val="0"/>
              <w:spacing w:line="360" w:lineRule="auto"/>
              <w:jc w:val="center"/>
              <w:rPr>
                <w:rFonts w:ascii="MinionPro-Regular" w:hAnsi="MinionPro-Regular"/>
                <w:sz w:val="20"/>
                <w:lang w:val="es-ES_tradnl"/>
              </w:rPr>
            </w:pPr>
            <w:r w:rsidRPr="00B56E1C">
              <w:rPr>
                <w:rFonts w:ascii="MinionPro-Regular" w:hAnsi="MinionPro-Regular"/>
                <w:sz w:val="20"/>
                <w:lang w:val="es-ES_tradnl"/>
              </w:rPr>
              <w:lastRenderedPageBreak/>
              <w:t>1.139.778</w:t>
            </w:r>
          </w:p>
        </w:tc>
      </w:tr>
      <w:tr w:rsidR="00E2336B" w:rsidRPr="003D5F2B" w:rsidTr="00A62C1C">
        <w:trPr>
          <w:trHeight w:val="166"/>
        </w:trPr>
        <w:tc>
          <w:tcPr>
            <w:tcW w:w="6124" w:type="dxa"/>
            <w:noWrap/>
            <w:vAlign w:val="center"/>
          </w:tcPr>
          <w:p w:rsidR="00E2336B" w:rsidRPr="00A62C1C" w:rsidRDefault="00E2336B" w:rsidP="00A62C1C">
            <w:pPr>
              <w:autoSpaceDE w:val="0"/>
              <w:autoSpaceDN w:val="0"/>
              <w:spacing w:line="360" w:lineRule="auto"/>
              <w:rPr>
                <w:rFonts w:ascii="MinionPro-Regular" w:hAnsi="MinionPro-Regular"/>
                <w:sz w:val="20"/>
                <w:lang w:val="es-ES_tradnl"/>
              </w:rPr>
            </w:pPr>
            <w:r w:rsidRPr="00A62C1C">
              <w:rPr>
                <w:rFonts w:ascii="MinionPro-Regular" w:hAnsi="MinionPro-Regular"/>
                <w:sz w:val="20"/>
                <w:lang w:val="es-ES_tradnl"/>
              </w:rPr>
              <w:lastRenderedPageBreak/>
              <w:t>Porcentaje de personas que podrían tener acceso a las ayudas LISMI de movilidad del total de la población con discapacidad que no trabaja</w:t>
            </w:r>
          </w:p>
        </w:tc>
        <w:tc>
          <w:tcPr>
            <w:tcW w:w="2245" w:type="dxa"/>
            <w:vAlign w:val="center"/>
          </w:tcPr>
          <w:p w:rsidR="00E2336B" w:rsidRPr="00B56E1C" w:rsidRDefault="00E2336B" w:rsidP="00A62C1C">
            <w:pPr>
              <w:autoSpaceDE w:val="0"/>
              <w:autoSpaceDN w:val="0"/>
              <w:spacing w:line="360" w:lineRule="auto"/>
              <w:jc w:val="center"/>
              <w:rPr>
                <w:rFonts w:ascii="MinionPro-Regular" w:hAnsi="MinionPro-Regular"/>
                <w:sz w:val="20"/>
                <w:lang w:val="es-ES_tradnl"/>
              </w:rPr>
            </w:pPr>
            <w:r w:rsidRPr="00B56E1C">
              <w:rPr>
                <w:rFonts w:ascii="MinionPro-Regular" w:hAnsi="MinionPro-Regular"/>
                <w:sz w:val="20"/>
                <w:lang w:val="es-ES_tradnl"/>
              </w:rPr>
              <w:t>0,56%</w:t>
            </w:r>
          </w:p>
        </w:tc>
      </w:tr>
      <w:tr w:rsidR="00E2336B" w:rsidRPr="003D5F2B" w:rsidTr="00A62C1C">
        <w:trPr>
          <w:trHeight w:val="166"/>
        </w:trPr>
        <w:tc>
          <w:tcPr>
            <w:tcW w:w="6124" w:type="dxa"/>
            <w:noWrap/>
            <w:vAlign w:val="center"/>
          </w:tcPr>
          <w:p w:rsidR="00E2336B" w:rsidRPr="00A62C1C" w:rsidRDefault="00E2336B" w:rsidP="00A62C1C">
            <w:pPr>
              <w:autoSpaceDE w:val="0"/>
              <w:autoSpaceDN w:val="0"/>
              <w:spacing w:line="360" w:lineRule="auto"/>
              <w:rPr>
                <w:rFonts w:ascii="MinionPro-Regular" w:hAnsi="MinionPro-Regular"/>
                <w:sz w:val="20"/>
                <w:lang w:val="es-ES_tradnl"/>
              </w:rPr>
            </w:pPr>
            <w:r w:rsidRPr="00A62C1C">
              <w:rPr>
                <w:rFonts w:ascii="MinionPro-Regular" w:hAnsi="MinionPro-Regular"/>
                <w:sz w:val="20"/>
                <w:lang w:val="es-ES_tradnl"/>
              </w:rPr>
              <w:t xml:space="preserve">Población personas con discapacidad estimada que trabaja en centros especiales de empleo </w:t>
            </w:r>
          </w:p>
        </w:tc>
        <w:tc>
          <w:tcPr>
            <w:tcW w:w="2245" w:type="dxa"/>
            <w:vAlign w:val="center"/>
          </w:tcPr>
          <w:p w:rsidR="00E2336B" w:rsidRPr="00B56E1C" w:rsidRDefault="00E2336B" w:rsidP="00A62C1C">
            <w:pPr>
              <w:autoSpaceDE w:val="0"/>
              <w:autoSpaceDN w:val="0"/>
              <w:spacing w:line="360" w:lineRule="auto"/>
              <w:jc w:val="center"/>
              <w:rPr>
                <w:rFonts w:ascii="MinionPro-Regular" w:hAnsi="MinionPro-Regular"/>
                <w:sz w:val="20"/>
                <w:lang w:val="es-ES_tradnl"/>
              </w:rPr>
            </w:pPr>
            <w:r w:rsidRPr="00B56E1C">
              <w:rPr>
                <w:rFonts w:ascii="MinionPro-Regular" w:hAnsi="MinionPro-Regular"/>
                <w:sz w:val="20"/>
                <w:lang w:val="es-ES_tradnl"/>
              </w:rPr>
              <w:t>64.391</w:t>
            </w:r>
          </w:p>
        </w:tc>
      </w:tr>
      <w:tr w:rsidR="00E2336B" w:rsidRPr="003D5F2B" w:rsidTr="00A62C1C">
        <w:trPr>
          <w:trHeight w:val="403"/>
        </w:trPr>
        <w:tc>
          <w:tcPr>
            <w:tcW w:w="6124" w:type="dxa"/>
            <w:tcBorders>
              <w:bottom w:val="single" w:sz="12" w:space="0" w:color="409DAD"/>
            </w:tcBorders>
            <w:vAlign w:val="center"/>
          </w:tcPr>
          <w:p w:rsidR="00E2336B" w:rsidRPr="00A62C1C" w:rsidRDefault="00E2336B" w:rsidP="00A62C1C">
            <w:pPr>
              <w:autoSpaceDE w:val="0"/>
              <w:autoSpaceDN w:val="0"/>
              <w:spacing w:line="360" w:lineRule="auto"/>
              <w:rPr>
                <w:rFonts w:ascii="MinionPro-Regular" w:hAnsi="MinionPro-Regular"/>
                <w:sz w:val="20"/>
                <w:lang w:val="es-ES_tradnl"/>
              </w:rPr>
            </w:pPr>
            <w:r w:rsidRPr="00A62C1C">
              <w:rPr>
                <w:rFonts w:ascii="MinionPro-Regular" w:hAnsi="MinionPro-Regular"/>
                <w:sz w:val="20"/>
                <w:lang w:val="es-ES_tradnl"/>
              </w:rPr>
              <w:t>Número de personas que trabajan en CEE y recibirían las ayudas LISMI por movilidad</w:t>
            </w:r>
          </w:p>
        </w:tc>
        <w:tc>
          <w:tcPr>
            <w:tcW w:w="2245" w:type="dxa"/>
            <w:tcBorders>
              <w:bottom w:val="single" w:sz="12" w:space="0" w:color="409DAD"/>
            </w:tcBorders>
            <w:vAlign w:val="center"/>
          </w:tcPr>
          <w:p w:rsidR="00E2336B" w:rsidRPr="00B56E1C" w:rsidRDefault="00E2336B" w:rsidP="00A62C1C">
            <w:pPr>
              <w:autoSpaceDE w:val="0"/>
              <w:autoSpaceDN w:val="0"/>
              <w:spacing w:line="360" w:lineRule="auto"/>
              <w:jc w:val="center"/>
              <w:rPr>
                <w:rFonts w:ascii="MinionPro-Regular" w:hAnsi="MinionPro-Regular"/>
                <w:sz w:val="20"/>
                <w:lang w:val="es-ES_tradnl"/>
              </w:rPr>
            </w:pPr>
            <w:r w:rsidRPr="00B56E1C">
              <w:rPr>
                <w:rFonts w:ascii="MinionPro-Regular" w:hAnsi="MinionPro-Regular"/>
                <w:sz w:val="20"/>
                <w:lang w:val="es-ES_tradnl"/>
              </w:rPr>
              <w:t>360</w:t>
            </w:r>
          </w:p>
        </w:tc>
      </w:tr>
    </w:tbl>
    <w:p w:rsidR="00E2336B" w:rsidRDefault="00E2336B" w:rsidP="00035570">
      <w:pPr>
        <w:pStyle w:val="Textoindependiente"/>
        <w:pBdr>
          <w:bottom w:val="single" w:sz="4" w:space="1" w:color="auto"/>
        </w:pBdr>
        <w:rPr>
          <w:rFonts w:ascii="MinionPro-Regular" w:hAnsi="MinionPro-Regular"/>
          <w:sz w:val="20"/>
          <w:szCs w:val="24"/>
          <w:lang w:val="es-ES_tradnl"/>
        </w:rPr>
      </w:pPr>
      <w:r w:rsidRPr="007949F6">
        <w:rPr>
          <w:rFonts w:ascii="MinionPro-Regular" w:hAnsi="MinionPro-Regular"/>
          <w:sz w:val="20"/>
          <w:szCs w:val="24"/>
          <w:lang w:val="es-ES_tradnl"/>
        </w:rPr>
        <w:t>Elaboración propia a partir de datos de la MCVL, SPEE.</w:t>
      </w:r>
    </w:p>
    <w:p w:rsidR="00E2336B" w:rsidRDefault="00E2336B">
      <w:pPr>
        <w:pStyle w:val="Textoindependiente"/>
        <w:rPr>
          <w:rFonts w:ascii="MinionPro-Regular" w:hAnsi="MinionPro-Regular"/>
          <w:sz w:val="20"/>
          <w:szCs w:val="24"/>
          <w:lang w:val="es-ES_tradnl"/>
        </w:rPr>
      </w:pPr>
    </w:p>
    <w:p w:rsidR="00E2336B" w:rsidRDefault="00E2336B">
      <w:pPr>
        <w:pStyle w:val="Textoindependiente"/>
        <w:rPr>
          <w:rFonts w:ascii="MinionPro-Regular" w:hAnsi="MinionPro-Regular"/>
          <w:sz w:val="20"/>
          <w:szCs w:val="24"/>
          <w:lang w:val="es-ES_tradnl"/>
        </w:rPr>
      </w:pPr>
    </w:p>
    <w:p w:rsidR="00E2336B" w:rsidRDefault="00E2336B">
      <w:pPr>
        <w:pStyle w:val="Textoindependiente"/>
        <w:rPr>
          <w:rFonts w:ascii="MinionPro-Regular" w:hAnsi="MinionPro-Regular"/>
          <w:sz w:val="20"/>
          <w:szCs w:val="24"/>
          <w:lang w:val="es-ES_tradnl"/>
        </w:rPr>
      </w:pPr>
    </w:p>
    <w:p w:rsidR="00E2336B" w:rsidRDefault="00E2336B">
      <w:pPr>
        <w:pStyle w:val="Textoindependiente"/>
        <w:rPr>
          <w:rFonts w:ascii="MinionPro-Regular" w:hAnsi="MinionPro-Regular"/>
          <w:sz w:val="20"/>
          <w:szCs w:val="24"/>
          <w:lang w:val="es-ES_tradnl"/>
        </w:rPr>
      </w:pPr>
    </w:p>
    <w:p w:rsidR="00E2336B" w:rsidRDefault="00E2336B">
      <w:pPr>
        <w:pStyle w:val="Textoindependiente"/>
        <w:rPr>
          <w:rFonts w:ascii="MinionPro-Regular" w:hAnsi="MinionPro-Regular"/>
          <w:sz w:val="20"/>
          <w:szCs w:val="24"/>
          <w:lang w:val="es-ES_tradnl"/>
        </w:rPr>
      </w:pPr>
    </w:p>
    <w:p w:rsidR="00E2336B" w:rsidRDefault="00E2336B">
      <w:pPr>
        <w:pStyle w:val="Textoindependiente"/>
        <w:rPr>
          <w:rFonts w:ascii="MinionPro-Regular" w:hAnsi="MinionPro-Regular"/>
          <w:sz w:val="20"/>
          <w:szCs w:val="24"/>
          <w:lang w:val="es-ES_tradnl"/>
        </w:rPr>
      </w:pPr>
    </w:p>
    <w:p w:rsidR="00E2336B" w:rsidRDefault="00E2336B">
      <w:pPr>
        <w:pStyle w:val="Textoindependiente"/>
        <w:rPr>
          <w:rFonts w:ascii="MinionPro-Regular" w:hAnsi="MinionPro-Regular"/>
          <w:sz w:val="20"/>
          <w:szCs w:val="24"/>
          <w:lang w:val="es-ES_tradnl"/>
        </w:rPr>
      </w:pPr>
    </w:p>
    <w:p w:rsidR="00E2336B" w:rsidRDefault="00E2336B">
      <w:pPr>
        <w:pStyle w:val="Textoindependiente"/>
        <w:rPr>
          <w:rFonts w:ascii="MinionPro-Regular" w:hAnsi="MinionPro-Regular"/>
          <w:sz w:val="20"/>
          <w:szCs w:val="24"/>
          <w:lang w:val="es-ES_tradnl"/>
        </w:rPr>
      </w:pPr>
    </w:p>
    <w:p w:rsidR="00E2336B" w:rsidRDefault="00E2336B">
      <w:pPr>
        <w:pStyle w:val="Textoindependiente"/>
        <w:rPr>
          <w:rFonts w:ascii="MinionPro-Regular" w:hAnsi="MinionPro-Regular"/>
          <w:sz w:val="20"/>
          <w:szCs w:val="24"/>
          <w:lang w:val="es-ES_tradnl"/>
        </w:rPr>
      </w:pPr>
    </w:p>
    <w:p w:rsidR="00E2336B" w:rsidRDefault="00E2336B">
      <w:pPr>
        <w:pStyle w:val="Textoindependiente"/>
        <w:rPr>
          <w:rFonts w:ascii="MinionPro-Regular" w:hAnsi="MinionPro-Regular"/>
          <w:sz w:val="20"/>
          <w:szCs w:val="24"/>
          <w:lang w:val="es-ES_tradnl"/>
        </w:rPr>
      </w:pPr>
    </w:p>
    <w:p w:rsidR="001E0871" w:rsidRDefault="001E0871">
      <w:pPr>
        <w:pStyle w:val="Textoindependiente"/>
        <w:rPr>
          <w:rFonts w:ascii="MinionPro-Regular" w:hAnsi="MinionPro-Regular"/>
          <w:sz w:val="20"/>
          <w:szCs w:val="24"/>
          <w:lang w:val="es-ES_tradnl"/>
        </w:rPr>
      </w:pPr>
    </w:p>
    <w:p w:rsidR="00E2336B" w:rsidRDefault="00E2336B">
      <w:pPr>
        <w:pStyle w:val="Textoindependiente"/>
        <w:rPr>
          <w:rFonts w:ascii="MinionPro-Regular" w:hAnsi="MinionPro-Regular"/>
          <w:sz w:val="20"/>
          <w:szCs w:val="24"/>
          <w:lang w:val="es-ES_tradnl"/>
        </w:rPr>
      </w:pPr>
    </w:p>
    <w:p w:rsidR="00E2336B" w:rsidRDefault="00E2336B">
      <w:pPr>
        <w:pStyle w:val="Textoindependiente"/>
        <w:rPr>
          <w:rFonts w:ascii="MinionPro-Regular" w:hAnsi="MinionPro-Regular"/>
          <w:sz w:val="20"/>
          <w:szCs w:val="24"/>
          <w:lang w:val="es-ES_tradnl"/>
        </w:rPr>
      </w:pPr>
    </w:p>
    <w:p w:rsidR="00E2336B" w:rsidRDefault="00E2336B">
      <w:pPr>
        <w:pBdr>
          <w:top w:val="single" w:sz="4" w:space="2" w:color="auto"/>
        </w:pBdr>
        <w:autoSpaceDE w:val="0"/>
        <w:autoSpaceDN w:val="0"/>
        <w:spacing w:line="360" w:lineRule="auto"/>
        <w:jc w:val="both"/>
        <w:rPr>
          <w:rFonts w:ascii="MinionPro-Regular" w:hAnsi="MinionPro-Regular"/>
          <w:sz w:val="20"/>
        </w:rPr>
      </w:pPr>
      <w:r w:rsidRPr="0081432A">
        <w:rPr>
          <w:rFonts w:ascii="MinionPro-Regular" w:hAnsi="MinionPro-Regular"/>
          <w:sz w:val="20"/>
        </w:rPr>
        <w:t>Estimación las ayudas según los conceptos de la LISM</w:t>
      </w:r>
      <w:r>
        <w:rPr>
          <w:rFonts w:ascii="MinionPro-Regular" w:hAnsi="MinionPro-Regular"/>
          <w:sz w:val="20"/>
        </w:rPr>
        <w:t>I</w:t>
      </w:r>
      <w:r w:rsidRPr="0081432A">
        <w:rPr>
          <w:rFonts w:ascii="MinionPro-Regular" w:hAnsi="MinionPro-Regular"/>
          <w:sz w:val="20"/>
        </w:rPr>
        <w:t xml:space="preserve"> frente a las ayudas que implican una salida de caja</w:t>
      </w:r>
      <w:r>
        <w:rPr>
          <w:rFonts w:ascii="MinionPro-Regular" w:hAnsi="MinionPro-Regular"/>
          <w:sz w:val="20"/>
        </w:rPr>
        <w:t>.</w:t>
      </w:r>
    </w:p>
    <w:p w:rsidR="00E2336B" w:rsidRDefault="00E2336B" w:rsidP="00531E04"/>
    <w:p w:rsidR="00E2336B" w:rsidRDefault="00E1516B" w:rsidP="00531E04">
      <w:r>
        <w:rPr>
          <w:noProof/>
          <w:lang w:eastAsia="es-ES"/>
        </w:rPr>
        <w:lastRenderedPageBreak/>
        <w:drawing>
          <wp:inline distT="0" distB="0" distL="0" distR="0">
            <wp:extent cx="4105910" cy="2475865"/>
            <wp:effectExtent l="0" t="0" r="0" b="0"/>
            <wp:docPr id="98" name="Picture 9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2"/>
              </a:graphicData>
            </a:graphic>
          </wp:inline>
        </w:drawing>
      </w:r>
    </w:p>
    <w:p w:rsidR="00E2336B" w:rsidRDefault="00E2336B" w:rsidP="00531E04"/>
    <w:p w:rsidR="00E2336B" w:rsidRPr="00531E04" w:rsidRDefault="00E2336B" w:rsidP="00531E04"/>
    <w:p w:rsidR="00E2336B" w:rsidRDefault="00E2336B">
      <w:pPr>
        <w:pBdr>
          <w:bottom w:val="single" w:sz="4" w:space="1" w:color="auto"/>
        </w:pBdr>
        <w:autoSpaceDE w:val="0"/>
        <w:autoSpaceDN w:val="0"/>
        <w:spacing w:line="360" w:lineRule="auto"/>
        <w:jc w:val="both"/>
        <w:rPr>
          <w:rFonts w:ascii="MinionPro-Regular" w:hAnsi="MinionPro-Regular"/>
          <w:sz w:val="20"/>
          <w:szCs w:val="24"/>
          <w:lang w:val="es-ES_tradnl"/>
        </w:rPr>
      </w:pPr>
      <w:r w:rsidRPr="00664A5E">
        <w:rPr>
          <w:rFonts w:ascii="MinionPro-Regular" w:hAnsi="MinionPro-Regular"/>
          <w:sz w:val="20"/>
          <w:szCs w:val="24"/>
          <w:lang w:val="es-ES_tradnl"/>
        </w:rPr>
        <w:t>Fuente: Elaboración propi</w:t>
      </w:r>
      <w:r>
        <w:rPr>
          <w:rFonts w:ascii="MinionPro-Regular" w:hAnsi="MinionPro-Regular"/>
          <w:sz w:val="20"/>
          <w:szCs w:val="24"/>
          <w:lang w:val="es-ES_tradnl"/>
        </w:rPr>
        <w:t>a</w:t>
      </w:r>
    </w:p>
    <w:p w:rsidR="00E2336B" w:rsidRDefault="00E2336B">
      <w:pPr>
        <w:pBdr>
          <w:bottom w:val="single" w:sz="4" w:space="1" w:color="auto"/>
        </w:pBdr>
        <w:autoSpaceDE w:val="0"/>
        <w:autoSpaceDN w:val="0"/>
        <w:spacing w:line="360" w:lineRule="auto"/>
        <w:jc w:val="both"/>
        <w:rPr>
          <w:rFonts w:ascii="MinionPro-Regular" w:hAnsi="MinionPro-Regular"/>
          <w:sz w:val="20"/>
          <w:szCs w:val="24"/>
          <w:lang w:val="es-ES_tradnl"/>
        </w:rPr>
      </w:pPr>
    </w:p>
    <w:p w:rsidR="00E2336B" w:rsidRDefault="00E2336B">
      <w:pPr>
        <w:pBdr>
          <w:bottom w:val="single" w:sz="4" w:space="1" w:color="auto"/>
        </w:pBdr>
        <w:autoSpaceDE w:val="0"/>
        <w:autoSpaceDN w:val="0"/>
        <w:spacing w:line="360" w:lineRule="auto"/>
        <w:jc w:val="both"/>
        <w:rPr>
          <w:rFonts w:ascii="MinionPro-Regular" w:hAnsi="MinionPro-Regular"/>
          <w:sz w:val="20"/>
          <w:szCs w:val="24"/>
          <w:lang w:val="es-ES_tradnl"/>
        </w:rPr>
      </w:pPr>
      <w:r>
        <w:rPr>
          <w:rFonts w:ascii="MinionPro-Regular" w:hAnsi="MinionPro-Regular"/>
          <w:sz w:val="20"/>
          <w:szCs w:val="24"/>
          <w:lang w:val="es-ES_tradnl"/>
        </w:rPr>
        <w:t xml:space="preserve">Nota explicativa de la gráfica: Eje vertical, euros. Eje horizontal incluye dos columnas. La primera de ellas incluye el retorno de ayudas LISMI en su totalidad </w:t>
      </w:r>
      <w:r w:rsidR="009D1936">
        <w:rPr>
          <w:rFonts w:ascii="MinionPro-Regular" w:hAnsi="MinionPro-Regular"/>
          <w:sz w:val="20"/>
          <w:szCs w:val="24"/>
          <w:lang w:val="es-ES_tradnl"/>
        </w:rPr>
        <w:t>(1.778.738</w:t>
      </w:r>
      <w:r w:rsidR="00F23441" w:rsidRPr="00B56E1C">
        <w:rPr>
          <w:rFonts w:ascii="MinionPro-Regular" w:hAnsi="MinionPro-Regular"/>
          <w:sz w:val="20"/>
          <w:szCs w:val="24"/>
          <w:lang w:val="es-ES_tradnl"/>
        </w:rPr>
        <w:t xml:space="preserve"> euros</w:t>
      </w:r>
      <w:r w:rsidRPr="00B56E1C">
        <w:rPr>
          <w:rFonts w:ascii="MinionPro-Regular" w:hAnsi="MinionPro-Regular"/>
          <w:sz w:val="20"/>
          <w:szCs w:val="24"/>
          <w:lang w:val="es-ES_tradnl"/>
        </w:rPr>
        <w:t>).</w:t>
      </w:r>
      <w:r>
        <w:rPr>
          <w:rFonts w:ascii="MinionPro-Regular" w:hAnsi="MinionPro-Regular"/>
          <w:sz w:val="20"/>
          <w:szCs w:val="24"/>
          <w:lang w:val="es-ES_tradnl"/>
        </w:rPr>
        <w:t xml:space="preserve"> La segunda columna incluye las ayudas de la administración pública que no implican salida de efectivo (204.815.193 euros).</w:t>
      </w:r>
    </w:p>
    <w:p w:rsidR="002959F0" w:rsidRDefault="002959F0">
      <w:pPr>
        <w:pStyle w:val="Textoindependiente"/>
      </w:pPr>
    </w:p>
    <w:p w:rsidR="00E2336B" w:rsidRPr="00807F12" w:rsidRDefault="00E2336B" w:rsidP="0007541A">
      <w:pPr>
        <w:pStyle w:val="Ttulo3"/>
        <w:numPr>
          <w:ilvl w:val="2"/>
          <w:numId w:val="3"/>
        </w:numPr>
      </w:pPr>
      <w:bookmarkStart w:id="428" w:name="_Toc352773589"/>
      <w:r w:rsidRPr="00807F12">
        <w:t>Pensiones no contributivas</w:t>
      </w:r>
      <w:bookmarkEnd w:id="427"/>
      <w:bookmarkEnd w:id="428"/>
    </w:p>
    <w:p w:rsidR="00E2336B" w:rsidRPr="006062EE" w:rsidRDefault="00E2336B" w:rsidP="00890FE5">
      <w:pPr>
        <w:pStyle w:val="Textoindependiente"/>
      </w:pPr>
    </w:p>
    <w:p w:rsidR="00E2336B" w:rsidRPr="006062EE" w:rsidRDefault="00E2336B" w:rsidP="006858B0">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Según establece la Ley 26/1990, las pensiones no contributivas</w:t>
      </w:r>
      <w:r w:rsidRPr="006062EE">
        <w:rPr>
          <w:rFonts w:ascii="MinionPro-Regular" w:hAnsi="MinionPro-Regular"/>
          <w:sz w:val="24"/>
          <w:szCs w:val="24"/>
          <w:lang w:val="es-ES_tradnl"/>
        </w:rPr>
        <w:t xml:space="preserve"> asegura</w:t>
      </w:r>
      <w:r>
        <w:rPr>
          <w:rFonts w:ascii="MinionPro-Regular" w:hAnsi="MinionPro-Regular"/>
          <w:sz w:val="24"/>
          <w:szCs w:val="24"/>
          <w:lang w:val="es-ES_tradnl"/>
        </w:rPr>
        <w:t>n</w:t>
      </w:r>
      <w:r w:rsidRPr="006062EE">
        <w:rPr>
          <w:rFonts w:ascii="MinionPro-Regular" w:hAnsi="MinionPro-Regular"/>
          <w:sz w:val="24"/>
          <w:szCs w:val="24"/>
          <w:lang w:val="es-ES_tradnl"/>
        </w:rPr>
        <w:t xml:space="preserve"> a todos los ciudadanos</w:t>
      </w:r>
      <w:r>
        <w:rPr>
          <w:rFonts w:ascii="MinionPro-Regular" w:hAnsi="MinionPro-Regular"/>
          <w:sz w:val="24"/>
          <w:szCs w:val="24"/>
          <w:lang w:val="es-ES_tradnl"/>
        </w:rPr>
        <w:t xml:space="preserve"> en tal situación de necesidad,</w:t>
      </w:r>
      <w:r w:rsidRPr="006062EE">
        <w:rPr>
          <w:rFonts w:ascii="MinionPro-Regular" w:hAnsi="MinionPro-Regular"/>
          <w:sz w:val="24"/>
          <w:szCs w:val="24"/>
          <w:lang w:val="es-ES_tradnl"/>
        </w:rPr>
        <w:t xml:space="preserve"> una prestación económica, asistencia médico-farmacéutica gratuita y servicios sociales complementarios, aunque no se haya cotizado o se haya hecho de forma insuficiente para tener derecho a una </w:t>
      </w:r>
      <w:r>
        <w:rPr>
          <w:rFonts w:ascii="MinionPro-Regular" w:hAnsi="MinionPro-Regular"/>
          <w:sz w:val="24"/>
          <w:szCs w:val="24"/>
          <w:lang w:val="es-ES_tradnl"/>
        </w:rPr>
        <w:t>pensión contributiva.</w:t>
      </w:r>
    </w:p>
    <w:p w:rsidR="00E2336B" w:rsidRDefault="00E2336B" w:rsidP="006858B0">
      <w:pPr>
        <w:autoSpaceDE w:val="0"/>
        <w:autoSpaceDN w:val="0"/>
        <w:spacing w:line="360" w:lineRule="auto"/>
        <w:jc w:val="both"/>
        <w:rPr>
          <w:rFonts w:ascii="MinionPro-Regular" w:hAnsi="MinionPro-Regular"/>
          <w:sz w:val="24"/>
          <w:szCs w:val="24"/>
          <w:lang w:val="es-ES_tradnl"/>
        </w:rPr>
      </w:pPr>
    </w:p>
    <w:p w:rsidR="00E2336B" w:rsidRDefault="00E2336B" w:rsidP="00890FE5">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En su concepción inicial la recepción de una pensión no contributiva y la realización de una actividad laboral no eran compatibles. Desde la entrada en vigor de la Ley 8/2005 de 6 de junio, la compatibilización es posible dependiendo de la retribución que se esté percibida.</w:t>
      </w:r>
    </w:p>
    <w:p w:rsidR="00E2336B" w:rsidRDefault="00E2336B" w:rsidP="00890FE5">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lastRenderedPageBreak/>
        <w:t>Los requisitos para ser beneficiario de una pensión no contributiva son los siguientes:</w:t>
      </w:r>
    </w:p>
    <w:p w:rsidR="00E2336B" w:rsidRDefault="00E2336B" w:rsidP="00890FE5">
      <w:pPr>
        <w:autoSpaceDE w:val="0"/>
        <w:autoSpaceDN w:val="0"/>
        <w:spacing w:line="360" w:lineRule="auto"/>
        <w:jc w:val="both"/>
        <w:rPr>
          <w:rFonts w:ascii="MinionPro-Regular" w:hAnsi="MinionPro-Regular"/>
          <w:sz w:val="24"/>
          <w:szCs w:val="24"/>
          <w:lang w:val="es-ES_tradnl"/>
        </w:rPr>
      </w:pPr>
    </w:p>
    <w:p w:rsidR="002959F0" w:rsidRDefault="00E2336B" w:rsidP="0007541A">
      <w:pPr>
        <w:pStyle w:val="Prrafodelista"/>
        <w:numPr>
          <w:ilvl w:val="2"/>
          <w:numId w:val="24"/>
        </w:num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Edad: mayor de 18 y menor de 65 años.</w:t>
      </w:r>
    </w:p>
    <w:p w:rsidR="002959F0" w:rsidRDefault="00E2336B" w:rsidP="0007541A">
      <w:pPr>
        <w:pStyle w:val="Prrafodelista"/>
        <w:numPr>
          <w:ilvl w:val="2"/>
          <w:numId w:val="24"/>
        </w:num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Residencia: residir en territorio español al menos durante un periodo de 5 años, de los cuales dos han de ser consecutivos y anteriores a la fecha de la solicitud</w:t>
      </w:r>
    </w:p>
    <w:p w:rsidR="002959F0" w:rsidRDefault="00E2336B" w:rsidP="0007541A">
      <w:pPr>
        <w:pStyle w:val="Prrafodelista"/>
        <w:numPr>
          <w:ilvl w:val="2"/>
          <w:numId w:val="24"/>
        </w:num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Discapacidad: grado de discapacidad igual o superior al 65%.</w:t>
      </w:r>
    </w:p>
    <w:p w:rsidR="00E2336B" w:rsidRDefault="00E2336B" w:rsidP="00890FE5">
      <w:pPr>
        <w:autoSpaceDE w:val="0"/>
        <w:autoSpaceDN w:val="0"/>
        <w:spacing w:line="360" w:lineRule="auto"/>
        <w:jc w:val="both"/>
        <w:rPr>
          <w:rFonts w:ascii="MinionPro-Regular" w:hAnsi="MinionPro-Regular"/>
          <w:sz w:val="24"/>
          <w:szCs w:val="24"/>
          <w:lang w:val="es-ES_tradnl"/>
        </w:rPr>
      </w:pPr>
    </w:p>
    <w:p w:rsidR="00E2336B" w:rsidRDefault="00E2336B" w:rsidP="00890FE5">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 xml:space="preserve">Entre los requisitos establecidos para ser beneficiario de este tipo de ayuda, se especifica que el salario más la pensión no contributiva, en los primeros cuatro años, </w:t>
      </w:r>
      <w:r w:rsidRPr="006062EE">
        <w:rPr>
          <w:rFonts w:ascii="MinionPro-Regular" w:hAnsi="MinionPro-Regular"/>
          <w:sz w:val="24"/>
          <w:szCs w:val="24"/>
          <w:lang w:val="es-ES_tradnl"/>
        </w:rPr>
        <w:t xml:space="preserve">no supere el Indicador Público de Renta de Efectos Múltiples (IPREM) del año correspondiente. Como excepción, se puede superar hasta unas 1,5 veces el IPREM pero la </w:t>
      </w:r>
      <w:r>
        <w:rPr>
          <w:rFonts w:ascii="MinionPro-Regular" w:hAnsi="MinionPro-Regular"/>
          <w:sz w:val="24"/>
          <w:szCs w:val="24"/>
          <w:lang w:val="es-ES_tradnl"/>
        </w:rPr>
        <w:t>pensión no contributiva</w:t>
      </w:r>
      <w:r w:rsidRPr="006062EE">
        <w:rPr>
          <w:rFonts w:ascii="MinionPro-Regular" w:hAnsi="MinionPro-Regular"/>
          <w:sz w:val="24"/>
          <w:szCs w:val="24"/>
          <w:lang w:val="es-ES_tradnl"/>
        </w:rPr>
        <w:t xml:space="preserve"> se reducirá </w:t>
      </w:r>
      <w:r>
        <w:rPr>
          <w:rFonts w:ascii="MinionPro-Regular" w:hAnsi="MinionPro-Regular"/>
          <w:sz w:val="24"/>
          <w:szCs w:val="24"/>
          <w:lang w:val="es-ES_tradnl"/>
        </w:rPr>
        <w:t xml:space="preserve">en </w:t>
      </w:r>
      <w:r w:rsidRPr="006062EE">
        <w:rPr>
          <w:rFonts w:ascii="MinionPro-Regular" w:hAnsi="MinionPro-Regular"/>
          <w:sz w:val="24"/>
          <w:szCs w:val="24"/>
          <w:lang w:val="es-ES_tradnl"/>
        </w:rPr>
        <w:t xml:space="preserve">un 50%. </w:t>
      </w:r>
    </w:p>
    <w:p w:rsidR="00E2336B" w:rsidRDefault="00E2336B" w:rsidP="00390656">
      <w:pPr>
        <w:pStyle w:val="Textoindependiente"/>
        <w:pBdr>
          <w:bottom w:val="single" w:sz="4" w:space="1" w:color="auto"/>
        </w:pBdr>
      </w:pPr>
    </w:p>
    <w:tbl>
      <w:tblPr>
        <w:tblW w:w="8510" w:type="dxa"/>
        <w:tblBorders>
          <w:bottom w:val="single" w:sz="12" w:space="0" w:color="409DAD"/>
        </w:tblBorders>
        <w:tblCellMar>
          <w:top w:w="28" w:type="dxa"/>
          <w:left w:w="28" w:type="dxa"/>
          <w:bottom w:w="28" w:type="dxa"/>
          <w:right w:w="28" w:type="dxa"/>
        </w:tblCellMar>
        <w:tblLook w:val="00A0"/>
      </w:tblPr>
      <w:tblGrid>
        <w:gridCol w:w="5250"/>
        <w:gridCol w:w="3260"/>
      </w:tblGrid>
      <w:tr w:rsidR="00E2336B" w:rsidRPr="003D5F2B" w:rsidTr="00A62C1C">
        <w:trPr>
          <w:trHeight w:val="300"/>
        </w:trPr>
        <w:tc>
          <w:tcPr>
            <w:tcW w:w="8510" w:type="dxa"/>
            <w:gridSpan w:val="2"/>
            <w:shd w:val="clear" w:color="auto" w:fill="409DAD"/>
            <w:vAlign w:val="center"/>
          </w:tcPr>
          <w:p w:rsidR="00E2336B" w:rsidRPr="00A62C1C" w:rsidRDefault="00E2336B" w:rsidP="00A62C1C">
            <w:pPr>
              <w:autoSpaceDE w:val="0"/>
              <w:autoSpaceDN w:val="0"/>
              <w:spacing w:line="360" w:lineRule="auto"/>
              <w:rPr>
                <w:rFonts w:ascii="MinionPro-Regular" w:hAnsi="MinionPro-Regular"/>
                <w:color w:val="FFFFFF"/>
                <w:sz w:val="20"/>
                <w:lang w:val="es-ES_tradnl"/>
              </w:rPr>
            </w:pPr>
            <w:r w:rsidRPr="00A62C1C">
              <w:rPr>
                <w:rFonts w:ascii="MinionPro-Regular" w:hAnsi="MinionPro-Regular"/>
                <w:color w:val="FFFFFF"/>
                <w:sz w:val="20"/>
                <w:lang w:val="es-ES_tradnl"/>
              </w:rPr>
              <w:t>Información necesaria para la estimación de las pensiones no contributivas</w:t>
            </w:r>
          </w:p>
        </w:tc>
      </w:tr>
      <w:tr w:rsidR="00E2336B" w:rsidRPr="003D5F2B" w:rsidTr="00A62C1C">
        <w:trPr>
          <w:trHeight w:val="300"/>
        </w:trPr>
        <w:tc>
          <w:tcPr>
            <w:tcW w:w="5250" w:type="dxa"/>
            <w:vAlign w:val="center"/>
          </w:tcPr>
          <w:p w:rsidR="00E2336B" w:rsidRPr="00A62C1C" w:rsidRDefault="00E2336B" w:rsidP="00A62C1C">
            <w:pPr>
              <w:autoSpaceDE w:val="0"/>
              <w:autoSpaceDN w:val="0"/>
              <w:spacing w:line="360" w:lineRule="auto"/>
              <w:rPr>
                <w:rFonts w:ascii="MinionPro-Regular" w:hAnsi="MinionPro-Regular"/>
                <w:sz w:val="20"/>
                <w:lang w:val="es-ES_tradnl"/>
              </w:rPr>
            </w:pPr>
            <w:r w:rsidRPr="00A62C1C">
              <w:rPr>
                <w:rFonts w:ascii="MinionPro-Regular" w:hAnsi="MinionPro-Regular"/>
                <w:sz w:val="20"/>
                <w:lang w:val="es-ES_tradnl"/>
              </w:rPr>
              <w:t>IPREM 2011 anual (euros)</w:t>
            </w:r>
          </w:p>
        </w:tc>
        <w:tc>
          <w:tcPr>
            <w:tcW w:w="3260" w:type="dxa"/>
            <w:vAlign w:val="center"/>
          </w:tcPr>
          <w:p w:rsidR="00E2336B" w:rsidRPr="00A62C1C" w:rsidRDefault="00E2336B" w:rsidP="00A62C1C">
            <w:pPr>
              <w:autoSpaceDE w:val="0"/>
              <w:autoSpaceDN w:val="0"/>
              <w:spacing w:line="360" w:lineRule="auto"/>
              <w:jc w:val="center"/>
              <w:rPr>
                <w:rFonts w:ascii="MinionPro-Regular" w:hAnsi="MinionPro-Regular"/>
                <w:sz w:val="20"/>
                <w:lang w:val="es-ES_tradnl"/>
              </w:rPr>
            </w:pPr>
            <w:r w:rsidRPr="00A62C1C">
              <w:rPr>
                <w:rFonts w:ascii="MinionPro-Regular" w:hAnsi="MinionPro-Regular"/>
                <w:sz w:val="20"/>
                <w:lang w:val="es-ES_tradnl"/>
              </w:rPr>
              <w:t>6.390,13</w:t>
            </w:r>
          </w:p>
        </w:tc>
      </w:tr>
      <w:tr w:rsidR="00E2336B" w:rsidRPr="003D5F2B" w:rsidTr="00A62C1C">
        <w:trPr>
          <w:trHeight w:val="300"/>
        </w:trPr>
        <w:tc>
          <w:tcPr>
            <w:tcW w:w="5250" w:type="dxa"/>
            <w:vAlign w:val="center"/>
          </w:tcPr>
          <w:p w:rsidR="00E2336B" w:rsidRPr="00A62C1C" w:rsidRDefault="00E2336B" w:rsidP="00A62C1C">
            <w:pPr>
              <w:autoSpaceDE w:val="0"/>
              <w:autoSpaceDN w:val="0"/>
              <w:spacing w:line="360" w:lineRule="auto"/>
              <w:rPr>
                <w:rFonts w:ascii="MinionPro-Regular" w:hAnsi="MinionPro-Regular"/>
                <w:sz w:val="20"/>
                <w:lang w:val="es-ES_tradnl"/>
              </w:rPr>
            </w:pPr>
            <w:r w:rsidRPr="00A62C1C">
              <w:rPr>
                <w:rFonts w:ascii="MinionPro-Regular" w:hAnsi="MinionPro-Regular"/>
                <w:sz w:val="20"/>
                <w:lang w:val="es-ES_tradnl"/>
              </w:rPr>
              <w:t>1,5 veces el IPREM 2011 anual (euros)</w:t>
            </w:r>
          </w:p>
        </w:tc>
        <w:tc>
          <w:tcPr>
            <w:tcW w:w="3260" w:type="dxa"/>
            <w:vAlign w:val="center"/>
          </w:tcPr>
          <w:p w:rsidR="00E2336B" w:rsidRPr="00A62C1C" w:rsidRDefault="00E2336B" w:rsidP="00A62C1C">
            <w:pPr>
              <w:autoSpaceDE w:val="0"/>
              <w:autoSpaceDN w:val="0"/>
              <w:spacing w:line="360" w:lineRule="auto"/>
              <w:jc w:val="center"/>
              <w:rPr>
                <w:rFonts w:ascii="MinionPro-Regular" w:hAnsi="MinionPro-Regular"/>
                <w:sz w:val="20"/>
                <w:lang w:val="es-ES_tradnl"/>
              </w:rPr>
            </w:pPr>
            <w:r w:rsidRPr="00A62C1C">
              <w:rPr>
                <w:rFonts w:ascii="MinionPro-Regular" w:hAnsi="MinionPro-Regular"/>
                <w:sz w:val="20"/>
                <w:lang w:val="es-ES_tradnl"/>
              </w:rPr>
              <w:t>9.585,20</w:t>
            </w:r>
          </w:p>
        </w:tc>
      </w:tr>
      <w:tr w:rsidR="00E2336B" w:rsidRPr="003D5F2B" w:rsidTr="00A62C1C">
        <w:trPr>
          <w:trHeight w:val="305"/>
        </w:trPr>
        <w:tc>
          <w:tcPr>
            <w:tcW w:w="5250" w:type="dxa"/>
            <w:vAlign w:val="center"/>
          </w:tcPr>
          <w:p w:rsidR="00E2336B" w:rsidRPr="00A62C1C" w:rsidRDefault="00E2336B" w:rsidP="00A62C1C">
            <w:pPr>
              <w:autoSpaceDE w:val="0"/>
              <w:autoSpaceDN w:val="0"/>
              <w:spacing w:line="360" w:lineRule="auto"/>
              <w:rPr>
                <w:rFonts w:ascii="MinionPro-Regular" w:hAnsi="MinionPro-Regular"/>
                <w:sz w:val="20"/>
                <w:lang w:val="es-ES_tradnl"/>
              </w:rPr>
            </w:pPr>
            <w:r w:rsidRPr="00A62C1C">
              <w:rPr>
                <w:rFonts w:ascii="MinionPro-Regular" w:hAnsi="MinionPro-Regular"/>
                <w:sz w:val="20"/>
                <w:lang w:val="es-ES_tradnl"/>
              </w:rPr>
              <w:t>Pensiones no contributivas anuales (euros)</w:t>
            </w:r>
          </w:p>
        </w:tc>
        <w:tc>
          <w:tcPr>
            <w:tcW w:w="3260" w:type="dxa"/>
            <w:vAlign w:val="center"/>
          </w:tcPr>
          <w:p w:rsidR="00E2336B" w:rsidRPr="00A62C1C" w:rsidRDefault="00E2336B" w:rsidP="00A62C1C">
            <w:pPr>
              <w:autoSpaceDE w:val="0"/>
              <w:autoSpaceDN w:val="0"/>
              <w:spacing w:line="360" w:lineRule="auto"/>
              <w:jc w:val="center"/>
              <w:rPr>
                <w:rFonts w:ascii="MinionPro-Regular" w:hAnsi="MinionPro-Regular"/>
                <w:sz w:val="20"/>
                <w:lang w:val="es-ES_tradnl"/>
              </w:rPr>
            </w:pPr>
            <w:r w:rsidRPr="00A62C1C">
              <w:rPr>
                <w:rFonts w:ascii="MinionPro-Regular" w:hAnsi="MinionPro-Regular"/>
                <w:sz w:val="20"/>
                <w:lang w:val="es-ES_tradnl"/>
              </w:rPr>
              <w:t>4.866,40</w:t>
            </w:r>
          </w:p>
        </w:tc>
      </w:tr>
      <w:tr w:rsidR="00E2336B" w:rsidRPr="003D5F2B" w:rsidTr="00A62C1C">
        <w:trPr>
          <w:trHeight w:val="268"/>
        </w:trPr>
        <w:tc>
          <w:tcPr>
            <w:tcW w:w="5250" w:type="dxa"/>
            <w:tcBorders>
              <w:bottom w:val="single" w:sz="12" w:space="0" w:color="409DAD"/>
            </w:tcBorders>
            <w:vAlign w:val="center"/>
          </w:tcPr>
          <w:p w:rsidR="00E2336B" w:rsidRPr="00A62C1C" w:rsidRDefault="00E2336B" w:rsidP="00A62C1C">
            <w:pPr>
              <w:autoSpaceDE w:val="0"/>
              <w:autoSpaceDN w:val="0"/>
              <w:spacing w:line="360" w:lineRule="auto"/>
              <w:rPr>
                <w:rFonts w:ascii="MinionPro-Regular" w:hAnsi="MinionPro-Regular"/>
                <w:sz w:val="20"/>
                <w:lang w:val="es-ES_tradnl"/>
              </w:rPr>
            </w:pPr>
            <w:r w:rsidRPr="00A62C1C">
              <w:rPr>
                <w:rFonts w:ascii="MinionPro-Regular" w:hAnsi="MinionPro-Regular"/>
                <w:sz w:val="20"/>
                <w:lang w:val="es-ES_tradnl"/>
              </w:rPr>
              <w:t>50% Pensiones no contributivas anuales (euros)</w:t>
            </w:r>
          </w:p>
        </w:tc>
        <w:tc>
          <w:tcPr>
            <w:tcW w:w="3260" w:type="dxa"/>
            <w:tcBorders>
              <w:bottom w:val="single" w:sz="12" w:space="0" w:color="409DAD"/>
            </w:tcBorders>
            <w:vAlign w:val="center"/>
          </w:tcPr>
          <w:p w:rsidR="00E2336B" w:rsidRPr="00A62C1C" w:rsidRDefault="00E2336B" w:rsidP="00A62C1C">
            <w:pPr>
              <w:autoSpaceDE w:val="0"/>
              <w:autoSpaceDN w:val="0"/>
              <w:spacing w:line="360" w:lineRule="auto"/>
              <w:jc w:val="center"/>
              <w:rPr>
                <w:rFonts w:ascii="MinionPro-Regular" w:hAnsi="MinionPro-Regular"/>
                <w:sz w:val="20"/>
                <w:lang w:val="es-ES_tradnl"/>
              </w:rPr>
            </w:pPr>
            <w:r w:rsidRPr="00A62C1C">
              <w:rPr>
                <w:rFonts w:ascii="MinionPro-Regular" w:hAnsi="MinionPro-Regular"/>
                <w:sz w:val="20"/>
                <w:lang w:val="es-ES_tradnl"/>
              </w:rPr>
              <w:t>2.433,20</w:t>
            </w:r>
          </w:p>
        </w:tc>
      </w:tr>
    </w:tbl>
    <w:p w:rsidR="00E2336B" w:rsidRPr="003D5F2B" w:rsidRDefault="00E2336B" w:rsidP="00807F12">
      <w:pPr>
        <w:pStyle w:val="Textoindependiente"/>
        <w:pBdr>
          <w:bottom w:val="single" w:sz="4" w:space="0" w:color="auto"/>
        </w:pBdr>
        <w:rPr>
          <w:rFonts w:ascii="MinionPro-Regular" w:hAnsi="MinionPro-Regular"/>
          <w:sz w:val="20"/>
          <w:szCs w:val="24"/>
          <w:lang w:val="es-ES_tradnl"/>
        </w:rPr>
      </w:pPr>
      <w:r w:rsidRPr="007949F6">
        <w:rPr>
          <w:rFonts w:ascii="MinionPro-Regular" w:hAnsi="MinionPro-Regular"/>
          <w:sz w:val="20"/>
          <w:szCs w:val="24"/>
          <w:lang w:val="es-ES_tradnl"/>
        </w:rPr>
        <w:t>Fuente: Presupuestos Generales del Estado para 2011.</w:t>
      </w:r>
    </w:p>
    <w:p w:rsidR="00E2336B" w:rsidRDefault="00E2336B" w:rsidP="00890FE5">
      <w:pPr>
        <w:pStyle w:val="Textoindependiente"/>
      </w:pPr>
    </w:p>
    <w:p w:rsidR="00E2336B" w:rsidRDefault="00E2336B" w:rsidP="00890FE5">
      <w:pPr>
        <w:autoSpaceDE w:val="0"/>
        <w:autoSpaceDN w:val="0"/>
        <w:spacing w:line="360" w:lineRule="auto"/>
        <w:jc w:val="both"/>
        <w:rPr>
          <w:rFonts w:ascii="MinionPro-Regular" w:hAnsi="MinionPro-Regular"/>
          <w:sz w:val="24"/>
          <w:szCs w:val="24"/>
          <w:lang w:val="es-ES_tradnl"/>
        </w:rPr>
      </w:pPr>
      <w:r w:rsidRPr="006062EE">
        <w:rPr>
          <w:rFonts w:ascii="MinionPro-Regular" w:hAnsi="MinionPro-Regular"/>
          <w:sz w:val="24"/>
          <w:szCs w:val="24"/>
          <w:lang w:val="es-ES_tradnl"/>
        </w:rPr>
        <w:t xml:space="preserve">Todas </w:t>
      </w:r>
      <w:r>
        <w:rPr>
          <w:rFonts w:ascii="MinionPro-Regular" w:hAnsi="MinionPro-Regular"/>
          <w:sz w:val="24"/>
          <w:szCs w:val="24"/>
          <w:lang w:val="es-ES_tradnl"/>
        </w:rPr>
        <w:t>aquellas</w:t>
      </w:r>
      <w:r w:rsidRPr="006062EE">
        <w:rPr>
          <w:rFonts w:ascii="MinionPro-Regular" w:hAnsi="MinionPro-Regular"/>
          <w:sz w:val="24"/>
          <w:szCs w:val="24"/>
          <w:lang w:val="es-ES_tradnl"/>
        </w:rPr>
        <w:t xml:space="preserve"> personas que reciban, al sumar su salario y la pensión no contributiva, menos de </w:t>
      </w:r>
      <w:r>
        <w:rPr>
          <w:rFonts w:ascii="MinionPro-Regular" w:hAnsi="MinionPro-Regular"/>
          <w:sz w:val="24"/>
          <w:szCs w:val="24"/>
          <w:lang w:val="es-ES_tradnl"/>
        </w:rPr>
        <w:t xml:space="preserve"> </w:t>
      </w:r>
      <w:r w:rsidRPr="006062EE">
        <w:rPr>
          <w:rFonts w:ascii="MinionPro-Regular" w:hAnsi="MinionPro-Regular"/>
          <w:sz w:val="24"/>
          <w:szCs w:val="24"/>
          <w:lang w:val="es-ES_tradnl"/>
        </w:rPr>
        <w:t xml:space="preserve">6.390,13 euros, recibirán el 100% de las pensiones no contributivas. </w:t>
      </w:r>
      <w:r>
        <w:rPr>
          <w:rFonts w:ascii="MinionPro-Regular" w:hAnsi="MinionPro-Regular"/>
          <w:sz w:val="24"/>
          <w:szCs w:val="24"/>
          <w:lang w:val="es-ES_tradnl"/>
        </w:rPr>
        <w:t>Por otra parte todas aquellas</w:t>
      </w:r>
      <w:r w:rsidRPr="006062EE">
        <w:rPr>
          <w:rFonts w:ascii="MinionPro-Regular" w:hAnsi="MinionPro-Regular"/>
          <w:sz w:val="24"/>
          <w:szCs w:val="24"/>
          <w:lang w:val="es-ES_tradnl"/>
        </w:rPr>
        <w:t xml:space="preserve"> </w:t>
      </w:r>
      <w:r>
        <w:rPr>
          <w:rFonts w:ascii="MinionPro-Regular" w:hAnsi="MinionPro-Regular"/>
          <w:sz w:val="24"/>
          <w:szCs w:val="24"/>
          <w:lang w:val="es-ES_tradnl"/>
        </w:rPr>
        <w:t>personas que perciben</w:t>
      </w:r>
      <w:r w:rsidRPr="006062EE">
        <w:rPr>
          <w:rFonts w:ascii="MinionPro-Regular" w:hAnsi="MinionPro-Regular"/>
          <w:sz w:val="24"/>
          <w:szCs w:val="24"/>
          <w:lang w:val="es-ES_tradnl"/>
        </w:rPr>
        <w:t xml:space="preserve"> entre 6.390,13</w:t>
      </w:r>
      <w:r>
        <w:rPr>
          <w:rFonts w:ascii="MinionPro-Regular" w:hAnsi="MinionPro-Regular"/>
          <w:sz w:val="24"/>
          <w:szCs w:val="24"/>
          <w:lang w:val="es-ES_tradnl"/>
        </w:rPr>
        <w:t xml:space="preserve"> (</w:t>
      </w:r>
      <w:r w:rsidRPr="006062EE">
        <w:rPr>
          <w:rFonts w:ascii="MinionPro-Regular" w:hAnsi="MinionPro-Regular"/>
          <w:sz w:val="24"/>
          <w:szCs w:val="24"/>
          <w:lang w:val="es-ES_tradnl"/>
        </w:rPr>
        <w:t>IPREM</w:t>
      </w:r>
      <w:r>
        <w:rPr>
          <w:rFonts w:ascii="MinionPro-Regular" w:hAnsi="MinionPro-Regular"/>
          <w:sz w:val="24"/>
          <w:szCs w:val="24"/>
          <w:lang w:val="es-ES_tradnl"/>
        </w:rPr>
        <w:t>)</w:t>
      </w:r>
      <w:r w:rsidRPr="006062EE">
        <w:rPr>
          <w:rFonts w:ascii="MinionPro-Regular" w:hAnsi="MinionPro-Regular"/>
          <w:sz w:val="24"/>
          <w:szCs w:val="24"/>
          <w:lang w:val="es-ES_tradnl"/>
        </w:rPr>
        <w:t xml:space="preserve"> y 9.585</w:t>
      </w:r>
      <w:r>
        <w:rPr>
          <w:rFonts w:ascii="MinionPro-Regular" w:hAnsi="MinionPro-Regular"/>
          <w:sz w:val="24"/>
          <w:szCs w:val="24"/>
          <w:lang w:val="es-ES_tradnl"/>
        </w:rPr>
        <w:t xml:space="preserve"> euros (1,5 IPREM)</w:t>
      </w:r>
      <w:r w:rsidRPr="006062EE">
        <w:rPr>
          <w:rFonts w:ascii="MinionPro-Regular" w:hAnsi="MinionPro-Regular"/>
          <w:sz w:val="24"/>
          <w:szCs w:val="24"/>
          <w:lang w:val="es-ES_tradnl"/>
        </w:rPr>
        <w:t xml:space="preserve"> </w:t>
      </w:r>
      <w:r>
        <w:rPr>
          <w:rFonts w:ascii="MinionPro-Regular" w:hAnsi="MinionPro-Regular"/>
          <w:sz w:val="24"/>
          <w:szCs w:val="24"/>
          <w:lang w:val="es-ES_tradnl"/>
        </w:rPr>
        <w:t>reciben</w:t>
      </w:r>
      <w:r w:rsidRPr="006062EE">
        <w:rPr>
          <w:rFonts w:ascii="MinionPro-Regular" w:hAnsi="MinionPro-Regular"/>
          <w:sz w:val="24"/>
          <w:szCs w:val="24"/>
          <w:lang w:val="es-ES_tradnl"/>
        </w:rPr>
        <w:t xml:space="preserve"> el 50% de la </w:t>
      </w:r>
      <w:r>
        <w:rPr>
          <w:rFonts w:ascii="MinionPro-Regular" w:hAnsi="MinionPro-Regular"/>
          <w:sz w:val="24"/>
          <w:szCs w:val="24"/>
          <w:lang w:val="es-ES_tradnl"/>
        </w:rPr>
        <w:t>pensión no contributiva</w:t>
      </w:r>
      <w:r w:rsidRPr="006062EE">
        <w:rPr>
          <w:rFonts w:ascii="MinionPro-Regular" w:hAnsi="MinionPro-Regular"/>
          <w:sz w:val="24"/>
          <w:szCs w:val="24"/>
          <w:lang w:val="es-ES_tradnl"/>
        </w:rPr>
        <w:t xml:space="preserve">. </w:t>
      </w:r>
    </w:p>
    <w:p w:rsidR="00E2336B" w:rsidRDefault="00E2336B" w:rsidP="00890FE5">
      <w:pPr>
        <w:autoSpaceDE w:val="0"/>
        <w:autoSpaceDN w:val="0"/>
        <w:spacing w:line="360" w:lineRule="auto"/>
        <w:jc w:val="both"/>
        <w:rPr>
          <w:rFonts w:ascii="MinionPro-Regular" w:hAnsi="MinionPro-Regular"/>
          <w:sz w:val="24"/>
          <w:szCs w:val="24"/>
          <w:lang w:val="es-ES_tradnl"/>
        </w:rPr>
      </w:pPr>
    </w:p>
    <w:p w:rsidR="00E2336B" w:rsidRDefault="00E2336B" w:rsidP="00890FE5">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lastRenderedPageBreak/>
        <w:t>En este caso, la estimación del retorno de los centros especiales de empleo se calcula de manera indirecta. Por una parte, se deben calcular las pensiones no contributivas que reciben las personas que están trabajando en los centros especiales de empleo, bajo las condiciones de salario-IPREM anteriormente</w:t>
      </w:r>
      <w:r w:rsidRPr="006749F0">
        <w:rPr>
          <w:rFonts w:ascii="MinionPro-Regular" w:hAnsi="MinionPro-Regular"/>
          <w:sz w:val="24"/>
          <w:szCs w:val="24"/>
          <w:lang w:val="es-ES_tradnl"/>
        </w:rPr>
        <w:t xml:space="preserve"> </w:t>
      </w:r>
      <w:r>
        <w:rPr>
          <w:rFonts w:ascii="MinionPro-Regular" w:hAnsi="MinionPro-Regular"/>
          <w:sz w:val="24"/>
          <w:szCs w:val="24"/>
          <w:lang w:val="es-ES_tradnl"/>
        </w:rPr>
        <w:t>citadas. Por otra parte, se estiman las ayudas que el Estado debería proporcionar en caso de que todas las personas en centros especiales de empleo dejasen de realizar actividad laboral en los mismos.</w:t>
      </w:r>
    </w:p>
    <w:p w:rsidR="00E2336B" w:rsidRDefault="00E2336B" w:rsidP="00890FE5">
      <w:pPr>
        <w:autoSpaceDE w:val="0"/>
        <w:autoSpaceDN w:val="0"/>
        <w:spacing w:line="360" w:lineRule="auto"/>
        <w:jc w:val="both"/>
        <w:rPr>
          <w:rFonts w:ascii="MinionPro-Regular" w:hAnsi="MinionPro-Regular"/>
          <w:sz w:val="24"/>
          <w:szCs w:val="24"/>
          <w:lang w:val="es-ES_tradnl"/>
        </w:rPr>
      </w:pPr>
    </w:p>
    <w:p w:rsidR="00E2336B" w:rsidRDefault="00E2336B" w:rsidP="00890FE5">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En las tablas a continuación, se muestran las cifras en relación a los recursos económicos destinados en pensiones no contributivas:</w:t>
      </w:r>
    </w:p>
    <w:p w:rsidR="00E2336B" w:rsidRPr="00390656" w:rsidRDefault="00E2336B" w:rsidP="00890FE5">
      <w:pPr>
        <w:autoSpaceDE w:val="0"/>
        <w:autoSpaceDN w:val="0"/>
        <w:spacing w:line="360" w:lineRule="auto"/>
        <w:jc w:val="both"/>
        <w:rPr>
          <w:rFonts w:ascii="MinionPro-Regular" w:hAnsi="MinionPro-Regular"/>
          <w:sz w:val="24"/>
          <w:szCs w:val="24"/>
          <w:lang w:val="es-ES_tradnl"/>
        </w:rPr>
      </w:pPr>
    </w:p>
    <w:p w:rsidR="00E2336B" w:rsidRPr="007B2199" w:rsidRDefault="00E2336B" w:rsidP="007B2199">
      <w:pPr>
        <w:pBdr>
          <w:top w:val="single" w:sz="4" w:space="1" w:color="auto"/>
        </w:pBdr>
        <w:autoSpaceDE w:val="0"/>
        <w:autoSpaceDN w:val="0"/>
        <w:spacing w:line="360" w:lineRule="auto"/>
        <w:jc w:val="both"/>
        <w:rPr>
          <w:rFonts w:ascii="MinionPro-Regular" w:hAnsi="MinionPro-Regular"/>
          <w:sz w:val="20"/>
          <w:szCs w:val="24"/>
          <w:lang w:val="es-ES_tradnl"/>
        </w:rPr>
      </w:pPr>
      <w:r w:rsidRPr="007B2199">
        <w:rPr>
          <w:rFonts w:ascii="MinionPro-Regular" w:hAnsi="MinionPro-Regular"/>
          <w:sz w:val="20"/>
          <w:szCs w:val="24"/>
          <w:lang w:val="es-ES_tradnl"/>
        </w:rPr>
        <w:t>Estimación de las cuantías pagadas en pensiones no contributivas a las personas que trabajan en centros especiales de empleo.</w:t>
      </w:r>
      <w:r>
        <w:rPr>
          <w:rFonts w:ascii="MinionPro-Regular" w:hAnsi="MinionPro-Regular"/>
          <w:sz w:val="20"/>
          <w:szCs w:val="24"/>
          <w:lang w:val="es-ES_tradnl"/>
        </w:rPr>
        <w:t xml:space="preserve"> Actualidad.</w:t>
      </w:r>
    </w:p>
    <w:tbl>
      <w:tblPr>
        <w:tblW w:w="8505" w:type="dxa"/>
        <w:tblBorders>
          <w:bottom w:val="single" w:sz="12" w:space="0" w:color="409DAD"/>
        </w:tblBorders>
        <w:tblCellMar>
          <w:top w:w="28" w:type="dxa"/>
          <w:left w:w="28" w:type="dxa"/>
          <w:bottom w:w="28" w:type="dxa"/>
          <w:right w:w="28" w:type="dxa"/>
        </w:tblCellMar>
        <w:tblLook w:val="00A0"/>
      </w:tblPr>
      <w:tblGrid>
        <w:gridCol w:w="5245"/>
        <w:gridCol w:w="3260"/>
      </w:tblGrid>
      <w:tr w:rsidR="00E2336B" w:rsidRPr="00AE4575" w:rsidTr="00A62C1C">
        <w:trPr>
          <w:trHeight w:val="300"/>
        </w:trPr>
        <w:tc>
          <w:tcPr>
            <w:tcW w:w="8505" w:type="dxa"/>
            <w:gridSpan w:val="2"/>
            <w:shd w:val="clear" w:color="auto" w:fill="409DAD"/>
            <w:noWrap/>
            <w:vAlign w:val="center"/>
          </w:tcPr>
          <w:p w:rsidR="00E2336B" w:rsidRPr="00A62C1C" w:rsidRDefault="00E2336B" w:rsidP="00A62C1C">
            <w:pPr>
              <w:spacing w:line="180" w:lineRule="atLeast"/>
              <w:rPr>
                <w:color w:val="000000"/>
                <w:sz w:val="20"/>
                <w:lang w:val="es-ES_tradnl"/>
              </w:rPr>
            </w:pPr>
            <w:r w:rsidRPr="00A62C1C">
              <w:rPr>
                <w:rFonts w:ascii="MinionPro-Regular" w:hAnsi="MinionPro-Regular"/>
                <w:color w:val="FFFFFF"/>
                <w:sz w:val="20"/>
                <w:lang w:val="es-ES_tradnl"/>
              </w:rPr>
              <w:t>Estimación de pagos de pensiones no contributivas que se realizan en la actualidad a personas con discapacidad que trabajan en centros especiales de empleo</w:t>
            </w:r>
          </w:p>
        </w:tc>
      </w:tr>
      <w:tr w:rsidR="00E2336B" w:rsidRPr="00AE4575" w:rsidTr="00A62C1C">
        <w:trPr>
          <w:trHeight w:val="258"/>
        </w:trPr>
        <w:tc>
          <w:tcPr>
            <w:tcW w:w="5245" w:type="dxa"/>
            <w:vAlign w:val="center"/>
          </w:tcPr>
          <w:p w:rsidR="00E2336B" w:rsidRPr="00A62C1C" w:rsidRDefault="00E2336B" w:rsidP="00A62C1C">
            <w:pPr>
              <w:autoSpaceDE w:val="0"/>
              <w:autoSpaceDN w:val="0"/>
              <w:spacing w:line="360" w:lineRule="auto"/>
              <w:rPr>
                <w:rFonts w:ascii="MinionPro-Regular" w:hAnsi="MinionPro-Regular"/>
                <w:sz w:val="20"/>
                <w:lang w:val="es-ES_tradnl"/>
              </w:rPr>
            </w:pPr>
            <w:r w:rsidRPr="00A62C1C">
              <w:rPr>
                <w:rFonts w:ascii="MinionPro-Regular" w:hAnsi="MinionPro-Regular"/>
                <w:sz w:val="20"/>
                <w:lang w:val="es-ES_tradnl"/>
              </w:rPr>
              <w:t>Suma de las pensiones no contributivas pagadas a los 6.114 empleados con discapacidad según la MCVL 2011 (son 541 los que tienen una discapacidad superior al 65%).</w:t>
            </w:r>
          </w:p>
        </w:tc>
        <w:tc>
          <w:tcPr>
            <w:tcW w:w="3260" w:type="dxa"/>
            <w:vAlign w:val="center"/>
          </w:tcPr>
          <w:p w:rsidR="00E2336B" w:rsidRPr="00A62C1C" w:rsidRDefault="00E2336B" w:rsidP="00A62C1C">
            <w:pPr>
              <w:autoSpaceDE w:val="0"/>
              <w:autoSpaceDN w:val="0"/>
              <w:spacing w:line="360" w:lineRule="auto"/>
              <w:jc w:val="center"/>
              <w:rPr>
                <w:rFonts w:ascii="MinionPro-Regular" w:hAnsi="MinionPro-Regular"/>
                <w:sz w:val="20"/>
                <w:lang w:val="es-ES_tradnl"/>
              </w:rPr>
            </w:pPr>
            <w:r w:rsidRPr="00A62C1C">
              <w:rPr>
                <w:rFonts w:ascii="MinionPro-Regular" w:hAnsi="MinionPro-Regular"/>
                <w:sz w:val="20"/>
                <w:lang w:val="es-ES_tradnl"/>
              </w:rPr>
              <w:t>474.474</w:t>
            </w:r>
          </w:p>
        </w:tc>
      </w:tr>
      <w:tr w:rsidR="00E2336B" w:rsidRPr="00AE4575" w:rsidTr="00A62C1C">
        <w:trPr>
          <w:trHeight w:val="553"/>
        </w:trPr>
        <w:tc>
          <w:tcPr>
            <w:tcW w:w="5245" w:type="dxa"/>
            <w:tcBorders>
              <w:bottom w:val="single" w:sz="12" w:space="0" w:color="409DAD"/>
            </w:tcBorders>
            <w:vAlign w:val="center"/>
          </w:tcPr>
          <w:p w:rsidR="00E2336B" w:rsidRPr="00A62C1C" w:rsidRDefault="00E2336B" w:rsidP="00A62C1C">
            <w:pPr>
              <w:autoSpaceDE w:val="0"/>
              <w:autoSpaceDN w:val="0"/>
              <w:spacing w:line="360" w:lineRule="auto"/>
              <w:rPr>
                <w:rFonts w:ascii="MinionPro-Regular" w:hAnsi="MinionPro-Regular"/>
                <w:sz w:val="20"/>
                <w:lang w:val="es-ES_tradnl"/>
              </w:rPr>
            </w:pPr>
            <w:r w:rsidRPr="00A62C1C">
              <w:rPr>
                <w:rFonts w:ascii="MinionPro-Regular" w:hAnsi="MinionPro-Regular"/>
                <w:sz w:val="20"/>
                <w:lang w:val="es-ES_tradnl"/>
              </w:rPr>
              <w:t>Aplicación a los 64.391 empleados en centros especiales de empleo (considerando una proporción similar de personas con mayores discapacidades).</w:t>
            </w:r>
          </w:p>
        </w:tc>
        <w:tc>
          <w:tcPr>
            <w:tcW w:w="3260" w:type="dxa"/>
            <w:tcBorders>
              <w:bottom w:val="single" w:sz="12" w:space="0" w:color="409DAD"/>
            </w:tcBorders>
            <w:vAlign w:val="center"/>
          </w:tcPr>
          <w:p w:rsidR="00E2336B" w:rsidRPr="00A62C1C" w:rsidRDefault="00E2336B" w:rsidP="00A62C1C">
            <w:pPr>
              <w:autoSpaceDE w:val="0"/>
              <w:autoSpaceDN w:val="0"/>
              <w:spacing w:line="360" w:lineRule="auto"/>
              <w:jc w:val="center"/>
              <w:rPr>
                <w:rFonts w:ascii="MinionPro-Regular" w:hAnsi="MinionPro-Regular"/>
                <w:sz w:val="20"/>
                <w:lang w:val="es-ES_tradnl"/>
              </w:rPr>
            </w:pPr>
            <w:r w:rsidRPr="00A62C1C">
              <w:rPr>
                <w:rFonts w:ascii="MinionPro-Regular" w:hAnsi="MinionPro-Regular"/>
                <w:sz w:val="20"/>
                <w:lang w:val="es-ES_tradnl"/>
              </w:rPr>
              <w:t>4.997.032</w:t>
            </w:r>
          </w:p>
        </w:tc>
      </w:tr>
    </w:tbl>
    <w:p w:rsidR="00E2336B" w:rsidRDefault="00E2336B">
      <w:pPr>
        <w:pStyle w:val="Textoindependiente"/>
        <w:pBdr>
          <w:bottom w:val="single" w:sz="4" w:space="1" w:color="auto"/>
        </w:pBdr>
        <w:rPr>
          <w:lang w:val="es-ES_tradnl"/>
        </w:rPr>
      </w:pPr>
      <w:r w:rsidRPr="007B2199">
        <w:rPr>
          <w:sz w:val="20"/>
        </w:rPr>
        <w:t>Fuente: Elaboración propia a partir de la MCVL</w:t>
      </w:r>
    </w:p>
    <w:p w:rsidR="00E2336B" w:rsidRDefault="00E2336B" w:rsidP="00891BAF">
      <w:pPr>
        <w:autoSpaceDE w:val="0"/>
        <w:autoSpaceDN w:val="0"/>
        <w:spacing w:line="360" w:lineRule="auto"/>
        <w:jc w:val="both"/>
        <w:rPr>
          <w:rFonts w:ascii="MinionPro-Regular" w:hAnsi="MinionPro-Regular"/>
          <w:sz w:val="20"/>
          <w:szCs w:val="24"/>
          <w:lang w:val="es-ES_tradnl"/>
        </w:rPr>
      </w:pPr>
    </w:p>
    <w:p w:rsidR="00E2336B" w:rsidRPr="007B2199" w:rsidRDefault="00E2336B" w:rsidP="00891BAF">
      <w:pPr>
        <w:pBdr>
          <w:top w:val="single" w:sz="4" w:space="1" w:color="auto"/>
        </w:pBdr>
        <w:autoSpaceDE w:val="0"/>
        <w:autoSpaceDN w:val="0"/>
        <w:spacing w:line="360" w:lineRule="auto"/>
        <w:jc w:val="both"/>
        <w:rPr>
          <w:rFonts w:ascii="MinionPro-Regular" w:hAnsi="MinionPro-Regular"/>
          <w:sz w:val="20"/>
          <w:szCs w:val="24"/>
          <w:lang w:val="es-ES_tradnl"/>
        </w:rPr>
      </w:pPr>
      <w:r w:rsidRPr="007B2199">
        <w:rPr>
          <w:rFonts w:ascii="MinionPro-Regular" w:hAnsi="MinionPro-Regular"/>
          <w:sz w:val="20"/>
          <w:szCs w:val="24"/>
          <w:lang w:val="es-ES_tradnl"/>
        </w:rPr>
        <w:t xml:space="preserve">Estimación de los pagos en pensiones no contributivas si las personas con discapacidad que trabajan en centros especiales de empleo no </w:t>
      </w:r>
      <w:r>
        <w:rPr>
          <w:rFonts w:ascii="MinionPro-Regular" w:hAnsi="MinionPro-Regular"/>
          <w:sz w:val="20"/>
          <w:szCs w:val="24"/>
          <w:lang w:val="es-ES_tradnl"/>
        </w:rPr>
        <w:t>estuvieran empleadas</w:t>
      </w:r>
    </w:p>
    <w:tbl>
      <w:tblPr>
        <w:tblW w:w="8505" w:type="dxa"/>
        <w:tblBorders>
          <w:bottom w:val="single" w:sz="12" w:space="0" w:color="409DAD"/>
        </w:tblBorders>
        <w:tblCellMar>
          <w:top w:w="28" w:type="dxa"/>
          <w:left w:w="28" w:type="dxa"/>
          <w:bottom w:w="28" w:type="dxa"/>
          <w:right w:w="28" w:type="dxa"/>
        </w:tblCellMar>
        <w:tblLook w:val="00A0"/>
      </w:tblPr>
      <w:tblGrid>
        <w:gridCol w:w="5245"/>
        <w:gridCol w:w="3260"/>
      </w:tblGrid>
      <w:tr w:rsidR="00E2336B" w:rsidRPr="00AE4575" w:rsidTr="00A62C1C">
        <w:trPr>
          <w:trHeight w:val="300"/>
        </w:trPr>
        <w:tc>
          <w:tcPr>
            <w:tcW w:w="8505" w:type="dxa"/>
            <w:gridSpan w:val="2"/>
            <w:shd w:val="clear" w:color="auto" w:fill="409DAD"/>
            <w:noWrap/>
            <w:vAlign w:val="center"/>
          </w:tcPr>
          <w:p w:rsidR="00E2336B" w:rsidRPr="00A62C1C" w:rsidRDefault="00E2336B" w:rsidP="00A62C1C">
            <w:pPr>
              <w:spacing w:line="180" w:lineRule="atLeast"/>
              <w:rPr>
                <w:color w:val="000000"/>
                <w:sz w:val="20"/>
                <w:lang w:val="es-ES_tradnl"/>
              </w:rPr>
            </w:pPr>
            <w:r w:rsidRPr="00A62C1C">
              <w:rPr>
                <w:rFonts w:ascii="MinionPro-Regular" w:hAnsi="MinionPro-Regular"/>
                <w:color w:val="FFFFFF"/>
                <w:sz w:val="20"/>
                <w:lang w:val="es-ES_tradnl"/>
              </w:rPr>
              <w:t>Estimación de pagos de pensiones no contributivas que se realizarían en el caso que las personas con discapacidad no trabajaran en los centros especiales de empleo</w:t>
            </w:r>
          </w:p>
        </w:tc>
      </w:tr>
      <w:tr w:rsidR="00E2336B" w:rsidRPr="00AE4575" w:rsidTr="00A62C1C">
        <w:trPr>
          <w:trHeight w:val="413"/>
        </w:trPr>
        <w:tc>
          <w:tcPr>
            <w:tcW w:w="5245" w:type="dxa"/>
            <w:vAlign w:val="center"/>
          </w:tcPr>
          <w:p w:rsidR="00E2336B" w:rsidRPr="00A62C1C" w:rsidRDefault="00E2336B" w:rsidP="00A62C1C">
            <w:pPr>
              <w:autoSpaceDE w:val="0"/>
              <w:autoSpaceDN w:val="0"/>
              <w:spacing w:line="360" w:lineRule="auto"/>
              <w:rPr>
                <w:rFonts w:ascii="MinionPro-Regular" w:hAnsi="MinionPro-Regular"/>
                <w:sz w:val="20"/>
                <w:lang w:val="es-ES_tradnl"/>
              </w:rPr>
            </w:pPr>
            <w:r w:rsidRPr="00A62C1C">
              <w:rPr>
                <w:rFonts w:ascii="MinionPro-Regular" w:hAnsi="MinionPro-Regular"/>
                <w:sz w:val="20"/>
                <w:lang w:val="es-ES_tradnl"/>
              </w:rPr>
              <w:t xml:space="preserve">Estimación de las pensiones no contributivas que habría que pagar a los 541 empleados con discapacidad mayor del 65% de la </w:t>
            </w:r>
            <w:r w:rsidRPr="00A62C1C">
              <w:rPr>
                <w:rFonts w:ascii="MinionPro-Regular" w:hAnsi="MinionPro-Regular"/>
                <w:sz w:val="20"/>
                <w:lang w:val="es-ES_tradnl"/>
              </w:rPr>
              <w:lastRenderedPageBreak/>
              <w:t>MCVL.</w:t>
            </w:r>
          </w:p>
        </w:tc>
        <w:tc>
          <w:tcPr>
            <w:tcW w:w="3260" w:type="dxa"/>
            <w:vAlign w:val="center"/>
          </w:tcPr>
          <w:p w:rsidR="00E2336B" w:rsidRPr="00A62C1C" w:rsidRDefault="00E2336B" w:rsidP="00A62C1C">
            <w:pPr>
              <w:autoSpaceDE w:val="0"/>
              <w:autoSpaceDN w:val="0"/>
              <w:spacing w:line="360" w:lineRule="auto"/>
              <w:jc w:val="center"/>
              <w:rPr>
                <w:rFonts w:ascii="MinionPro-Regular" w:hAnsi="MinionPro-Regular"/>
                <w:sz w:val="20"/>
                <w:lang w:val="es-ES_tradnl"/>
              </w:rPr>
            </w:pPr>
            <w:r w:rsidRPr="00A62C1C">
              <w:rPr>
                <w:rFonts w:ascii="MinionPro-Regular" w:hAnsi="MinionPro-Regular"/>
                <w:sz w:val="20"/>
                <w:lang w:val="es-ES_tradnl"/>
              </w:rPr>
              <w:lastRenderedPageBreak/>
              <w:t>2.632.722</w:t>
            </w:r>
          </w:p>
        </w:tc>
      </w:tr>
      <w:tr w:rsidR="00E2336B" w:rsidRPr="00AE4575" w:rsidTr="00A62C1C">
        <w:trPr>
          <w:trHeight w:val="419"/>
        </w:trPr>
        <w:tc>
          <w:tcPr>
            <w:tcW w:w="5245" w:type="dxa"/>
            <w:vAlign w:val="center"/>
          </w:tcPr>
          <w:p w:rsidR="00E2336B" w:rsidRPr="00A62C1C" w:rsidRDefault="00E2336B" w:rsidP="00A62C1C">
            <w:pPr>
              <w:autoSpaceDE w:val="0"/>
              <w:autoSpaceDN w:val="0"/>
              <w:spacing w:line="360" w:lineRule="auto"/>
              <w:rPr>
                <w:rFonts w:ascii="MinionPro-Regular" w:hAnsi="MinionPro-Regular"/>
                <w:sz w:val="20"/>
                <w:lang w:val="es-ES_tradnl"/>
              </w:rPr>
            </w:pPr>
            <w:r w:rsidRPr="00A62C1C">
              <w:rPr>
                <w:rFonts w:ascii="MinionPro-Regular" w:hAnsi="MinionPro-Regular"/>
                <w:sz w:val="20"/>
                <w:lang w:val="es-ES_tradnl"/>
              </w:rPr>
              <w:lastRenderedPageBreak/>
              <w:t>Estimación de los pagos de pensiones no contributivas al total de empleados en centros especiales de empleo (considerando una proporción similar de personas con mayores discapacidades).</w:t>
            </w:r>
          </w:p>
        </w:tc>
        <w:tc>
          <w:tcPr>
            <w:tcW w:w="3260" w:type="dxa"/>
            <w:vAlign w:val="center"/>
          </w:tcPr>
          <w:p w:rsidR="00E2336B" w:rsidRPr="00A62C1C" w:rsidRDefault="00E2336B" w:rsidP="00A62C1C">
            <w:pPr>
              <w:autoSpaceDE w:val="0"/>
              <w:autoSpaceDN w:val="0"/>
              <w:spacing w:line="360" w:lineRule="auto"/>
              <w:jc w:val="center"/>
              <w:rPr>
                <w:rFonts w:ascii="MinionPro-Regular" w:hAnsi="MinionPro-Regular"/>
                <w:sz w:val="20"/>
                <w:lang w:val="es-ES_tradnl"/>
              </w:rPr>
            </w:pPr>
            <w:r w:rsidRPr="00A62C1C">
              <w:rPr>
                <w:rFonts w:ascii="MinionPro-Regular" w:hAnsi="MinionPro-Regular"/>
                <w:sz w:val="20"/>
                <w:lang w:val="es-ES_tradnl"/>
              </w:rPr>
              <w:t>27.727.123</w:t>
            </w:r>
          </w:p>
        </w:tc>
      </w:tr>
      <w:tr w:rsidR="00E2336B" w:rsidRPr="00AE4575" w:rsidTr="00A62C1C">
        <w:trPr>
          <w:trHeight w:val="419"/>
        </w:trPr>
        <w:tc>
          <w:tcPr>
            <w:tcW w:w="5245" w:type="dxa"/>
            <w:vAlign w:val="center"/>
          </w:tcPr>
          <w:p w:rsidR="00E2336B" w:rsidRPr="00A62C1C" w:rsidRDefault="00E2336B" w:rsidP="00A62C1C">
            <w:pPr>
              <w:autoSpaceDE w:val="0"/>
              <w:autoSpaceDN w:val="0"/>
              <w:spacing w:line="360" w:lineRule="auto"/>
              <w:rPr>
                <w:rFonts w:ascii="MinionPro-Regular" w:hAnsi="MinionPro-Regular"/>
                <w:sz w:val="20"/>
                <w:lang w:val="es-ES_tradnl"/>
              </w:rPr>
            </w:pPr>
            <w:r w:rsidRPr="00A62C1C">
              <w:rPr>
                <w:rFonts w:ascii="MinionPro-Regular" w:hAnsi="MinionPro-Regular"/>
                <w:sz w:val="20"/>
                <w:lang w:val="es-ES_tradnl"/>
              </w:rPr>
              <w:t>Aplicación a los 64.391 empleados en CEE (considerando una proporción similar de personas con mayores discapacidades)</w:t>
            </w:r>
          </w:p>
        </w:tc>
        <w:tc>
          <w:tcPr>
            <w:tcW w:w="3260" w:type="dxa"/>
            <w:vAlign w:val="center"/>
          </w:tcPr>
          <w:p w:rsidR="00E2336B" w:rsidRPr="00A62C1C" w:rsidRDefault="00E2336B" w:rsidP="00A62C1C">
            <w:pPr>
              <w:autoSpaceDE w:val="0"/>
              <w:autoSpaceDN w:val="0"/>
              <w:spacing w:line="360" w:lineRule="auto"/>
              <w:jc w:val="center"/>
              <w:rPr>
                <w:rFonts w:ascii="MinionPro-Regular" w:hAnsi="MinionPro-Regular"/>
                <w:sz w:val="20"/>
                <w:lang w:val="es-ES_tradnl"/>
              </w:rPr>
            </w:pPr>
            <w:r w:rsidRPr="00A62C1C">
              <w:rPr>
                <w:rFonts w:ascii="MinionPro-Regular" w:hAnsi="MinionPro-Regular"/>
                <w:sz w:val="20"/>
                <w:lang w:val="es-ES_tradnl"/>
              </w:rPr>
              <w:t>4.997.032,28</w:t>
            </w:r>
          </w:p>
        </w:tc>
      </w:tr>
      <w:tr w:rsidR="00E2336B" w:rsidRPr="00AE4575" w:rsidTr="00A62C1C">
        <w:trPr>
          <w:trHeight w:val="419"/>
        </w:trPr>
        <w:tc>
          <w:tcPr>
            <w:tcW w:w="5245" w:type="dxa"/>
            <w:tcBorders>
              <w:bottom w:val="single" w:sz="12" w:space="0" w:color="409DAD"/>
            </w:tcBorders>
            <w:vAlign w:val="center"/>
          </w:tcPr>
          <w:p w:rsidR="00E2336B" w:rsidRPr="00A62C1C" w:rsidRDefault="00E2336B" w:rsidP="00A62C1C">
            <w:pPr>
              <w:autoSpaceDE w:val="0"/>
              <w:autoSpaceDN w:val="0"/>
              <w:spacing w:line="360" w:lineRule="auto"/>
              <w:rPr>
                <w:rFonts w:ascii="MinionPro-Regular" w:hAnsi="MinionPro-Regular"/>
                <w:sz w:val="20"/>
                <w:lang w:val="es-ES_tradnl"/>
              </w:rPr>
            </w:pPr>
            <w:r w:rsidRPr="00A62C1C">
              <w:rPr>
                <w:rFonts w:ascii="MinionPro-Regular" w:hAnsi="MinionPro-Regular"/>
                <w:sz w:val="20"/>
                <w:lang w:val="es-ES_tradnl"/>
              </w:rPr>
              <w:t>Total</w:t>
            </w:r>
          </w:p>
        </w:tc>
        <w:tc>
          <w:tcPr>
            <w:tcW w:w="3260" w:type="dxa"/>
            <w:tcBorders>
              <w:bottom w:val="single" w:sz="12" w:space="0" w:color="409DAD"/>
            </w:tcBorders>
            <w:vAlign w:val="center"/>
          </w:tcPr>
          <w:p w:rsidR="00E2336B" w:rsidRPr="00A62C1C" w:rsidRDefault="00E2336B" w:rsidP="00A62C1C">
            <w:pPr>
              <w:autoSpaceDE w:val="0"/>
              <w:autoSpaceDN w:val="0"/>
              <w:spacing w:line="360" w:lineRule="auto"/>
              <w:jc w:val="center"/>
              <w:rPr>
                <w:rFonts w:ascii="MinionPro-Regular" w:hAnsi="MinionPro-Regular"/>
                <w:sz w:val="20"/>
                <w:lang w:val="es-ES_tradnl"/>
              </w:rPr>
            </w:pPr>
            <w:r w:rsidRPr="00A62C1C">
              <w:rPr>
                <w:rFonts w:ascii="MinionPro-Regular" w:hAnsi="MinionPro-Regular"/>
                <w:sz w:val="20"/>
                <w:lang w:val="es-ES_tradnl"/>
              </w:rPr>
              <w:t>22.730.090</w:t>
            </w:r>
          </w:p>
        </w:tc>
      </w:tr>
    </w:tbl>
    <w:p w:rsidR="00E2336B" w:rsidRPr="007B2199" w:rsidRDefault="00E2336B" w:rsidP="007B2199">
      <w:pPr>
        <w:pStyle w:val="Textoindependiente"/>
        <w:pBdr>
          <w:bottom w:val="single" w:sz="4" w:space="1" w:color="auto"/>
        </w:pBdr>
        <w:rPr>
          <w:sz w:val="20"/>
        </w:rPr>
      </w:pPr>
      <w:r w:rsidRPr="007B2199">
        <w:rPr>
          <w:sz w:val="20"/>
        </w:rPr>
        <w:t>Fuente: Elaboración propia a partir de la MCVL</w:t>
      </w:r>
    </w:p>
    <w:p w:rsidR="00E2336B" w:rsidRDefault="00E2336B" w:rsidP="00890FE5">
      <w:pPr>
        <w:pStyle w:val="Textoindependiente"/>
      </w:pPr>
    </w:p>
    <w:p w:rsidR="00E2336B" w:rsidRDefault="00E2336B" w:rsidP="00835047">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 xml:space="preserve">Por lo tanto, tomando la diferencia entre lo que actualmente se está destinando a este tipo de ayudas y lo que se considera que se podría destinar en el caso de las personas con discapacidad no estuvieran trabajado en los centros especiales de empleo en España, se estima que el ahorro en pensiones no contributivas se situaría alrededor de los </w:t>
      </w:r>
      <w:r>
        <w:rPr>
          <w:rFonts w:ascii="MinionPro-Regular" w:hAnsi="MinionPro-Regular"/>
          <w:sz w:val="24"/>
          <w:lang w:val="es-ES_tradnl"/>
        </w:rPr>
        <w:t xml:space="preserve">22,7 millones de </w:t>
      </w:r>
      <w:r>
        <w:rPr>
          <w:rFonts w:ascii="MinionPro-Regular" w:hAnsi="MinionPro-Regular"/>
          <w:sz w:val="24"/>
          <w:szCs w:val="24"/>
          <w:lang w:val="es-ES_tradnl"/>
        </w:rPr>
        <w:t xml:space="preserve">euros. Según datos del INE 12.200 personas con discapacidad recibieron en 2011 prestación en la modalidad no contributiva. En cuanto a lo que se refiere a centros especiales de empleo, se ha estimado en 1.026 trabajadores con discapacidad. </w:t>
      </w:r>
    </w:p>
    <w:p w:rsidR="00E2336B" w:rsidRPr="00835047" w:rsidRDefault="00E2336B" w:rsidP="00835047">
      <w:pPr>
        <w:autoSpaceDE w:val="0"/>
        <w:autoSpaceDN w:val="0"/>
        <w:spacing w:line="360" w:lineRule="auto"/>
        <w:jc w:val="both"/>
        <w:rPr>
          <w:rFonts w:ascii="MinionPro-Regular" w:hAnsi="MinionPro-Regular"/>
          <w:sz w:val="24"/>
          <w:szCs w:val="24"/>
          <w:lang w:val="es-ES_tradnl"/>
        </w:rPr>
      </w:pPr>
    </w:p>
    <w:p w:rsidR="00E2336B" w:rsidRDefault="00E2336B" w:rsidP="00531E04">
      <w:pPr>
        <w:pBdr>
          <w:top w:val="single" w:sz="4" w:space="2" w:color="auto"/>
        </w:pBdr>
        <w:autoSpaceDE w:val="0"/>
        <w:autoSpaceDN w:val="0"/>
        <w:spacing w:line="360" w:lineRule="auto"/>
        <w:jc w:val="both"/>
        <w:rPr>
          <w:rFonts w:ascii="MinionPro-Regular" w:hAnsi="MinionPro-Regular"/>
          <w:color w:val="FF0000"/>
          <w:sz w:val="20"/>
        </w:rPr>
      </w:pPr>
      <w:bookmarkStart w:id="429" w:name="_Toc340340569"/>
      <w:r w:rsidRPr="00B660D3">
        <w:rPr>
          <w:rFonts w:ascii="MinionPro-Regular" w:hAnsi="MinionPro-Regular"/>
          <w:sz w:val="20"/>
        </w:rPr>
        <w:t xml:space="preserve">Estimación </w:t>
      </w:r>
      <w:r>
        <w:rPr>
          <w:rFonts w:ascii="MinionPro-Regular" w:hAnsi="MinionPro-Regular"/>
          <w:sz w:val="20"/>
        </w:rPr>
        <w:t>los retornos de las</w:t>
      </w:r>
      <w:r w:rsidRPr="00B660D3">
        <w:rPr>
          <w:rFonts w:ascii="MinionPro-Regular" w:hAnsi="MinionPro-Regular"/>
          <w:sz w:val="20"/>
        </w:rPr>
        <w:t xml:space="preserve"> ayudas según los conceptos de la LISM</w:t>
      </w:r>
      <w:r>
        <w:rPr>
          <w:rFonts w:ascii="MinionPro-Regular" w:hAnsi="MinionPro-Regular"/>
          <w:sz w:val="20"/>
        </w:rPr>
        <w:t xml:space="preserve">I y de las pensiones no contributivas </w:t>
      </w:r>
      <w:r w:rsidRPr="00B660D3">
        <w:rPr>
          <w:rFonts w:ascii="MinionPro-Regular" w:hAnsi="MinionPro-Regular"/>
          <w:sz w:val="20"/>
        </w:rPr>
        <w:t>frente a las ayudas que</w:t>
      </w:r>
      <w:r>
        <w:rPr>
          <w:rFonts w:ascii="MinionPro-Regular" w:hAnsi="MinionPro-Regular"/>
          <w:sz w:val="20"/>
        </w:rPr>
        <w:t xml:space="preserve"> no</w:t>
      </w:r>
      <w:r w:rsidRPr="00B660D3">
        <w:rPr>
          <w:rFonts w:ascii="MinionPro-Regular" w:hAnsi="MinionPro-Regular"/>
          <w:sz w:val="20"/>
        </w:rPr>
        <w:t xml:space="preserve"> implican una salida de caja</w:t>
      </w:r>
      <w:r>
        <w:rPr>
          <w:rFonts w:ascii="MinionPro-Regular" w:hAnsi="MinionPro-Regular"/>
          <w:sz w:val="20"/>
        </w:rPr>
        <w:t>.</w:t>
      </w:r>
    </w:p>
    <w:p w:rsidR="00E2336B" w:rsidRDefault="00E2336B" w:rsidP="00531E04">
      <w:pPr>
        <w:pBdr>
          <w:top w:val="single" w:sz="4" w:space="2" w:color="auto"/>
        </w:pBdr>
        <w:autoSpaceDE w:val="0"/>
        <w:autoSpaceDN w:val="0"/>
        <w:spacing w:line="360" w:lineRule="auto"/>
        <w:jc w:val="both"/>
        <w:rPr>
          <w:rFonts w:ascii="MinionPro-Regular" w:hAnsi="MinionPro-Regular"/>
          <w:color w:val="FF0000"/>
          <w:sz w:val="20"/>
        </w:rPr>
      </w:pPr>
    </w:p>
    <w:p w:rsidR="00E2336B" w:rsidRDefault="00E1516B" w:rsidP="00531E04">
      <w:pPr>
        <w:pBdr>
          <w:top w:val="single" w:sz="4" w:space="2" w:color="auto"/>
        </w:pBdr>
        <w:autoSpaceDE w:val="0"/>
        <w:autoSpaceDN w:val="0"/>
        <w:spacing w:line="360" w:lineRule="auto"/>
        <w:jc w:val="both"/>
        <w:rPr>
          <w:rFonts w:ascii="MinionPro-Regular" w:hAnsi="MinionPro-Regular"/>
          <w:sz w:val="20"/>
        </w:rPr>
      </w:pPr>
      <w:r>
        <w:rPr>
          <w:rFonts w:ascii="MinionPro-Regular" w:hAnsi="MinionPro-Regular"/>
          <w:noProof/>
          <w:sz w:val="20"/>
          <w:lang w:eastAsia="es-ES"/>
        </w:rPr>
        <w:lastRenderedPageBreak/>
        <w:drawing>
          <wp:inline distT="0" distB="0" distL="0" distR="0">
            <wp:extent cx="4131945" cy="2967355"/>
            <wp:effectExtent l="0" t="0" r="0" b="0"/>
            <wp:docPr id="99" name="Picture 9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3"/>
              </a:graphicData>
            </a:graphic>
          </wp:inline>
        </w:drawing>
      </w:r>
    </w:p>
    <w:p w:rsidR="00E2336B" w:rsidRPr="00531E04" w:rsidRDefault="00E2336B" w:rsidP="00531E04">
      <w:pPr>
        <w:pBdr>
          <w:top w:val="single" w:sz="4" w:space="2" w:color="auto"/>
        </w:pBdr>
        <w:autoSpaceDE w:val="0"/>
        <w:autoSpaceDN w:val="0"/>
        <w:spacing w:line="360" w:lineRule="auto"/>
        <w:jc w:val="both"/>
        <w:rPr>
          <w:rFonts w:ascii="MinionPro-Regular" w:hAnsi="MinionPro-Regular"/>
          <w:sz w:val="20"/>
        </w:rPr>
      </w:pPr>
    </w:p>
    <w:p w:rsidR="00E2336B" w:rsidRDefault="00E2336B" w:rsidP="00B90D6D">
      <w:pPr>
        <w:pBdr>
          <w:bottom w:val="single" w:sz="4" w:space="1" w:color="auto"/>
        </w:pBdr>
        <w:autoSpaceDE w:val="0"/>
        <w:autoSpaceDN w:val="0"/>
        <w:spacing w:line="360" w:lineRule="auto"/>
        <w:jc w:val="both"/>
        <w:rPr>
          <w:rFonts w:ascii="MinionPro-Regular" w:hAnsi="MinionPro-Regular"/>
          <w:sz w:val="20"/>
          <w:szCs w:val="24"/>
          <w:lang w:val="es-ES_tradnl"/>
        </w:rPr>
      </w:pPr>
      <w:r w:rsidRPr="00664A5E">
        <w:rPr>
          <w:rFonts w:ascii="MinionPro-Regular" w:hAnsi="MinionPro-Regular"/>
          <w:sz w:val="20"/>
          <w:szCs w:val="24"/>
          <w:lang w:val="es-ES_tradnl"/>
        </w:rPr>
        <w:t>Fuente: Elaboración propi</w:t>
      </w:r>
      <w:r>
        <w:rPr>
          <w:rFonts w:ascii="MinionPro-Regular" w:hAnsi="MinionPro-Regular"/>
          <w:sz w:val="20"/>
          <w:szCs w:val="24"/>
          <w:lang w:val="es-ES_tradnl"/>
        </w:rPr>
        <w:t>a</w:t>
      </w:r>
    </w:p>
    <w:p w:rsidR="00E2336B" w:rsidRPr="00B90D6D" w:rsidRDefault="00E2336B" w:rsidP="00B90D6D">
      <w:pPr>
        <w:pBdr>
          <w:bottom w:val="single" w:sz="4" w:space="1" w:color="auto"/>
        </w:pBdr>
        <w:autoSpaceDE w:val="0"/>
        <w:autoSpaceDN w:val="0"/>
        <w:spacing w:line="360" w:lineRule="auto"/>
        <w:jc w:val="both"/>
        <w:rPr>
          <w:rFonts w:ascii="MinionPro-Regular" w:hAnsi="MinionPro-Regular"/>
          <w:sz w:val="20"/>
          <w:szCs w:val="24"/>
          <w:lang w:val="es-ES_tradnl"/>
        </w:rPr>
      </w:pPr>
      <w:r>
        <w:rPr>
          <w:rFonts w:ascii="MinionPro-Regular" w:hAnsi="MinionPro-Regular"/>
          <w:sz w:val="20"/>
          <w:szCs w:val="24"/>
          <w:lang w:val="es-ES_tradnl"/>
        </w:rPr>
        <w:t xml:space="preserve">Nota explicativa de la gráfica: Eje vertical, euros. Eje horizontal incluye tres columnas. La primera de ellas incluye el retorno de ayudas LISMI en su </w:t>
      </w:r>
      <w:r w:rsidR="009D1936">
        <w:rPr>
          <w:rFonts w:ascii="MinionPro-Regular" w:hAnsi="MinionPro-Regular"/>
          <w:sz w:val="20"/>
          <w:szCs w:val="24"/>
          <w:lang w:val="es-ES_tradnl"/>
        </w:rPr>
        <w:t>totalidad (1.778.738</w:t>
      </w:r>
      <w:r w:rsidRPr="00B56E1C">
        <w:rPr>
          <w:rFonts w:ascii="MinionPro-Regular" w:hAnsi="MinionPro-Regular"/>
          <w:sz w:val="20"/>
          <w:szCs w:val="24"/>
          <w:lang w:val="es-ES_tradnl"/>
        </w:rPr>
        <w:t xml:space="preserve"> euros).</w:t>
      </w:r>
      <w:r>
        <w:rPr>
          <w:rFonts w:ascii="MinionPro-Regular" w:hAnsi="MinionPro-Regular"/>
          <w:sz w:val="20"/>
          <w:szCs w:val="24"/>
          <w:lang w:val="es-ES_tradnl"/>
        </w:rPr>
        <w:t xml:space="preserve"> La segunda columna representa el retorno de las pensiones no contributivas  (22.730.090 euros).  La tercera columna incluye las ayudas de la administración pública que no implican salida de efectivo (204.815.193 euros).</w:t>
      </w:r>
    </w:p>
    <w:p w:rsidR="00E2336B" w:rsidRPr="00807F12" w:rsidRDefault="00E2336B" w:rsidP="0007541A">
      <w:pPr>
        <w:pStyle w:val="Ttulo3"/>
        <w:numPr>
          <w:ilvl w:val="2"/>
          <w:numId w:val="3"/>
        </w:numPr>
        <w:rPr>
          <w:rFonts w:ascii="MinionPro-Regular" w:hAnsi="MinionPro-Regular"/>
        </w:rPr>
      </w:pPr>
      <w:bookmarkStart w:id="430" w:name="_Toc352773590"/>
      <w:r w:rsidRPr="00807F12">
        <w:rPr>
          <w:rFonts w:ascii="MinionPro-Regular" w:hAnsi="MinionPro-Regular"/>
        </w:rPr>
        <w:t>Pensiones contributivas</w:t>
      </w:r>
      <w:bookmarkEnd w:id="429"/>
      <w:bookmarkEnd w:id="430"/>
    </w:p>
    <w:p w:rsidR="00E2336B" w:rsidRDefault="00E2336B" w:rsidP="00890FE5">
      <w:pPr>
        <w:pStyle w:val="Textoindependiente"/>
      </w:pPr>
    </w:p>
    <w:p w:rsidR="00E2336B" w:rsidRDefault="00E2336B" w:rsidP="00890FE5">
      <w:pPr>
        <w:autoSpaceDE w:val="0"/>
        <w:autoSpaceDN w:val="0"/>
        <w:spacing w:line="360" w:lineRule="auto"/>
        <w:jc w:val="both"/>
        <w:rPr>
          <w:rFonts w:ascii="MinionPro-Regular" w:hAnsi="MinionPro-Regular"/>
          <w:sz w:val="24"/>
          <w:szCs w:val="24"/>
          <w:lang w:val="es-ES_tradnl"/>
        </w:rPr>
      </w:pPr>
      <w:r w:rsidRPr="00F31F59">
        <w:rPr>
          <w:rFonts w:ascii="MinionPro-Regular" w:hAnsi="MinionPro-Regular"/>
          <w:sz w:val="24"/>
          <w:szCs w:val="24"/>
          <w:lang w:val="es-ES_tradnl"/>
        </w:rPr>
        <w:t xml:space="preserve">Las pensiones contributivas por incapacidad permanente son </w:t>
      </w:r>
      <w:r>
        <w:rPr>
          <w:rFonts w:ascii="MinionPro-Regular" w:hAnsi="MinionPro-Regular"/>
          <w:sz w:val="24"/>
          <w:szCs w:val="24"/>
          <w:lang w:val="es-ES_tradnl"/>
        </w:rPr>
        <w:t>percibidas por</w:t>
      </w:r>
      <w:r w:rsidRPr="00F31F59">
        <w:rPr>
          <w:rFonts w:ascii="MinionPro-Regular" w:hAnsi="MinionPro-Regular"/>
          <w:sz w:val="24"/>
          <w:szCs w:val="24"/>
          <w:lang w:val="es-ES_tradnl"/>
        </w:rPr>
        <w:t xml:space="preserve"> aquellas personas que han trabajado y cotizado </w:t>
      </w:r>
      <w:r>
        <w:rPr>
          <w:rFonts w:ascii="MinionPro-Regular" w:hAnsi="MinionPro-Regular"/>
          <w:sz w:val="24"/>
          <w:szCs w:val="24"/>
          <w:lang w:val="es-ES_tradnl"/>
        </w:rPr>
        <w:t>en</w:t>
      </w:r>
      <w:r w:rsidRPr="00F31F59">
        <w:rPr>
          <w:rFonts w:ascii="MinionPro-Regular" w:hAnsi="MinionPro-Regular"/>
          <w:sz w:val="24"/>
          <w:szCs w:val="24"/>
          <w:lang w:val="es-ES_tradnl"/>
        </w:rPr>
        <w:t xml:space="preserve"> la </w:t>
      </w:r>
      <w:r>
        <w:rPr>
          <w:rFonts w:ascii="MinionPro-Regular" w:hAnsi="MinionPro-Regular"/>
          <w:sz w:val="24"/>
          <w:szCs w:val="24"/>
          <w:lang w:val="es-ES_tradnl"/>
        </w:rPr>
        <w:t>s</w:t>
      </w:r>
      <w:r w:rsidRPr="00F31F59">
        <w:rPr>
          <w:rFonts w:ascii="MinionPro-Regular" w:hAnsi="MinionPro-Regular"/>
          <w:sz w:val="24"/>
          <w:szCs w:val="24"/>
          <w:lang w:val="es-ES_tradnl"/>
        </w:rPr>
        <w:t>egu</w:t>
      </w:r>
      <w:r>
        <w:rPr>
          <w:rFonts w:ascii="MinionPro-Regular" w:hAnsi="MinionPro-Regular"/>
          <w:sz w:val="24"/>
          <w:szCs w:val="24"/>
          <w:lang w:val="es-ES_tradnl"/>
        </w:rPr>
        <w:t>ridad s</w:t>
      </w:r>
      <w:r w:rsidRPr="00F31F59">
        <w:rPr>
          <w:rFonts w:ascii="MinionPro-Regular" w:hAnsi="MinionPro-Regular"/>
          <w:sz w:val="24"/>
          <w:szCs w:val="24"/>
          <w:lang w:val="es-ES_tradnl"/>
        </w:rPr>
        <w:t xml:space="preserve">ocial </w:t>
      </w:r>
      <w:r>
        <w:rPr>
          <w:rFonts w:ascii="MinionPro-Regular" w:hAnsi="MinionPro-Regular"/>
          <w:sz w:val="24"/>
          <w:szCs w:val="24"/>
          <w:lang w:val="es-ES_tradnl"/>
        </w:rPr>
        <w:t xml:space="preserve">y </w:t>
      </w:r>
      <w:r w:rsidRPr="00F31F59">
        <w:rPr>
          <w:rFonts w:ascii="MinionPro-Regular" w:hAnsi="MinionPro-Regular"/>
          <w:sz w:val="24"/>
          <w:szCs w:val="24"/>
          <w:lang w:val="es-ES_tradnl"/>
        </w:rPr>
        <w:t xml:space="preserve">que presentan reducciones anatómicas o funcionales graves, susceptibles de determinación objetiva y previsiblemente definitiva, que disminuyen o anulan </w:t>
      </w:r>
      <w:r>
        <w:rPr>
          <w:rFonts w:ascii="MinionPro-Regular" w:hAnsi="MinionPro-Regular"/>
          <w:sz w:val="24"/>
          <w:szCs w:val="24"/>
          <w:lang w:val="es-ES_tradnl"/>
        </w:rPr>
        <w:t>una</w:t>
      </w:r>
      <w:r w:rsidRPr="00F31F59">
        <w:rPr>
          <w:rFonts w:ascii="MinionPro-Regular" w:hAnsi="MinionPro-Regular"/>
          <w:sz w:val="24"/>
          <w:szCs w:val="24"/>
          <w:lang w:val="es-ES_tradnl"/>
        </w:rPr>
        <w:t xml:space="preserve"> capacidad laboral. </w:t>
      </w:r>
    </w:p>
    <w:p w:rsidR="00E2336B" w:rsidRDefault="00E2336B" w:rsidP="00890FE5">
      <w:pPr>
        <w:autoSpaceDE w:val="0"/>
        <w:autoSpaceDN w:val="0"/>
        <w:spacing w:line="360" w:lineRule="auto"/>
        <w:jc w:val="both"/>
        <w:rPr>
          <w:rFonts w:ascii="MinionPro-Regular" w:hAnsi="MinionPro-Regular"/>
          <w:sz w:val="24"/>
          <w:szCs w:val="24"/>
          <w:lang w:val="es-ES_tradnl"/>
        </w:rPr>
      </w:pPr>
    </w:p>
    <w:p w:rsidR="00E2336B" w:rsidRDefault="00E2336B" w:rsidP="00890FE5">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 xml:space="preserve">Dentro de la tipología que presenta la invalidez permanente, la absoluta y la de gran invalidez son aquellas que se reconocen cuando la persona queda limitada para ejercer </w:t>
      </w:r>
      <w:r>
        <w:rPr>
          <w:rFonts w:ascii="MinionPro-Regular" w:hAnsi="MinionPro-Regular"/>
          <w:sz w:val="24"/>
          <w:szCs w:val="24"/>
          <w:lang w:val="es-ES_tradnl"/>
        </w:rPr>
        <w:lastRenderedPageBreak/>
        <w:t>cualquier profesión u oficio por completo. No obstante, la ley permite la compatibilidad con otras actividades compatibles con el estado de la persona con discapacidad.</w:t>
      </w:r>
    </w:p>
    <w:p w:rsidR="00E2336B" w:rsidRDefault="00E2336B" w:rsidP="00890FE5">
      <w:pPr>
        <w:autoSpaceDE w:val="0"/>
        <w:autoSpaceDN w:val="0"/>
        <w:spacing w:line="360" w:lineRule="auto"/>
        <w:jc w:val="both"/>
        <w:rPr>
          <w:rFonts w:ascii="MinionPro-Regular" w:hAnsi="MinionPro-Regular"/>
          <w:sz w:val="24"/>
          <w:szCs w:val="24"/>
          <w:lang w:val="es-ES_tradnl"/>
        </w:rPr>
      </w:pPr>
    </w:p>
    <w:p w:rsidR="00E2336B" w:rsidRDefault="00E2336B" w:rsidP="00890FE5">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En el caso de la gran invalidez, ésta supone un complemento del 50% a la absoluta en concepto de ayuda de tercera persona. Se trata del caso más extremo de invalidez que posiblemente no sea significativo en la actividad de los centros especiales de empleo.</w:t>
      </w:r>
    </w:p>
    <w:p w:rsidR="00E2336B" w:rsidRDefault="00E2336B" w:rsidP="00890FE5">
      <w:pPr>
        <w:autoSpaceDE w:val="0"/>
        <w:autoSpaceDN w:val="0"/>
        <w:spacing w:line="360" w:lineRule="auto"/>
        <w:jc w:val="both"/>
        <w:rPr>
          <w:rFonts w:ascii="MinionPro-Regular" w:hAnsi="MinionPro-Regular"/>
          <w:sz w:val="24"/>
          <w:szCs w:val="24"/>
          <w:lang w:val="es-ES_tradnl"/>
        </w:rPr>
      </w:pPr>
    </w:p>
    <w:p w:rsidR="00E2336B" w:rsidRDefault="00E2336B" w:rsidP="00890FE5">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Para</w:t>
      </w:r>
      <w:r w:rsidRPr="00F31F59">
        <w:rPr>
          <w:rFonts w:ascii="MinionPro-Regular" w:hAnsi="MinionPro-Regular"/>
          <w:sz w:val="24"/>
          <w:szCs w:val="24"/>
          <w:lang w:val="es-ES_tradnl"/>
        </w:rPr>
        <w:t xml:space="preserve"> la presente estimación, se </w:t>
      </w:r>
      <w:r>
        <w:rPr>
          <w:rFonts w:ascii="MinionPro-Regular" w:hAnsi="MinionPro-Regular"/>
          <w:sz w:val="24"/>
          <w:szCs w:val="24"/>
          <w:lang w:val="es-ES_tradnl"/>
        </w:rPr>
        <w:t>va a considerar únicamente la pensión de incapacidad permanente absoluta.</w:t>
      </w:r>
    </w:p>
    <w:p w:rsidR="00E2336B" w:rsidRPr="00F31F59" w:rsidRDefault="00E2336B" w:rsidP="00890FE5">
      <w:pPr>
        <w:autoSpaceDE w:val="0"/>
        <w:autoSpaceDN w:val="0"/>
        <w:spacing w:line="360" w:lineRule="auto"/>
        <w:jc w:val="both"/>
        <w:rPr>
          <w:rFonts w:ascii="MinionPro-Regular" w:hAnsi="MinionPro-Regular"/>
          <w:sz w:val="24"/>
          <w:szCs w:val="24"/>
          <w:lang w:val="es-ES_tradnl"/>
        </w:rPr>
      </w:pPr>
    </w:p>
    <w:p w:rsidR="00E2336B" w:rsidRDefault="00E2336B" w:rsidP="00890FE5">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En aras de la prudencia,</w:t>
      </w:r>
      <w:r w:rsidRPr="00F31F59">
        <w:rPr>
          <w:rFonts w:ascii="MinionPro-Regular" w:hAnsi="MinionPro-Regular"/>
          <w:sz w:val="24"/>
          <w:szCs w:val="24"/>
          <w:lang w:val="es-ES_tradnl"/>
        </w:rPr>
        <w:t xml:space="preserve"> en la estimación</w:t>
      </w:r>
      <w:r>
        <w:rPr>
          <w:rFonts w:ascii="MinionPro-Regular" w:hAnsi="MinionPro-Regular"/>
          <w:sz w:val="24"/>
          <w:szCs w:val="24"/>
          <w:lang w:val="es-ES_tradnl"/>
        </w:rPr>
        <w:t xml:space="preserve"> de las pensiones contributivas</w:t>
      </w:r>
      <w:r w:rsidRPr="00F31F59">
        <w:rPr>
          <w:rFonts w:ascii="MinionPro-Regular" w:hAnsi="MinionPro-Regular"/>
          <w:sz w:val="24"/>
          <w:szCs w:val="24"/>
          <w:lang w:val="es-ES_tradnl"/>
        </w:rPr>
        <w:t xml:space="preserve"> </w:t>
      </w:r>
      <w:r>
        <w:rPr>
          <w:rFonts w:ascii="MinionPro-Regular" w:hAnsi="MinionPro-Regular"/>
          <w:sz w:val="24"/>
          <w:szCs w:val="24"/>
          <w:lang w:val="es-ES_tradnl"/>
        </w:rPr>
        <w:t>se ha considerado</w:t>
      </w:r>
      <w:r w:rsidRPr="00F31F59">
        <w:rPr>
          <w:rFonts w:ascii="MinionPro-Regular" w:hAnsi="MinionPro-Regular"/>
          <w:sz w:val="24"/>
          <w:szCs w:val="24"/>
          <w:lang w:val="es-ES_tradnl"/>
        </w:rPr>
        <w:t xml:space="preserve"> que las personas con discapacidad representan una unidad económica unipersonal</w:t>
      </w:r>
      <w:r>
        <w:rPr>
          <w:rFonts w:ascii="MinionPro-Regular" w:hAnsi="MinionPro-Regular"/>
          <w:sz w:val="24"/>
          <w:szCs w:val="24"/>
          <w:lang w:val="es-ES_tradnl"/>
        </w:rPr>
        <w:t>. Tal y como se expone en una sentencia del Tribunal Supremo y otras de Tribunales Superiores de Justicia, es posible la compatibilidad de la pensión de invalidez absoluta con el cobro de rendimientos del trabajo. De hecho, un estudio de Malo, Cueto y Rodríguez Álvarez (2011), concluye que hay aproximadamente un 10% de personas con discapacidad que compatibilizan la pensión de incapacidad permanente absoluta y la percepción de un salario</w:t>
      </w:r>
      <w:r>
        <w:rPr>
          <w:rStyle w:val="Refdenotaalpie"/>
          <w:rFonts w:ascii="MinionPro-Regular" w:hAnsi="MinionPro-Regular"/>
          <w:sz w:val="24"/>
          <w:szCs w:val="24"/>
          <w:lang w:val="es-ES_tradnl"/>
        </w:rPr>
        <w:footnoteReference w:id="55"/>
      </w:r>
      <w:r>
        <w:rPr>
          <w:rFonts w:ascii="MinionPro-Regular" w:hAnsi="MinionPro-Regular"/>
          <w:sz w:val="24"/>
          <w:szCs w:val="24"/>
          <w:lang w:val="es-ES_tradnl"/>
        </w:rPr>
        <w:t>.</w:t>
      </w:r>
    </w:p>
    <w:p w:rsidR="00E2336B" w:rsidRDefault="00E2336B" w:rsidP="00890FE5">
      <w:pPr>
        <w:autoSpaceDE w:val="0"/>
        <w:autoSpaceDN w:val="0"/>
        <w:spacing w:line="360" w:lineRule="auto"/>
        <w:jc w:val="both"/>
        <w:rPr>
          <w:rFonts w:ascii="MinionPro-Regular" w:hAnsi="MinionPro-Regular"/>
          <w:sz w:val="24"/>
          <w:szCs w:val="24"/>
          <w:lang w:val="es-ES_tradnl"/>
        </w:rPr>
      </w:pPr>
    </w:p>
    <w:p w:rsidR="00E2336B" w:rsidRDefault="00E2336B" w:rsidP="00890FE5">
      <w:pPr>
        <w:autoSpaceDE w:val="0"/>
        <w:autoSpaceDN w:val="0"/>
        <w:spacing w:line="360" w:lineRule="auto"/>
        <w:jc w:val="both"/>
        <w:rPr>
          <w:rFonts w:ascii="MinionPro-Regular" w:hAnsi="MinionPro-Regular"/>
          <w:sz w:val="24"/>
          <w:szCs w:val="24"/>
          <w:lang w:val="es-ES_tradnl"/>
        </w:rPr>
      </w:pPr>
      <w:r w:rsidRPr="00F31F59">
        <w:rPr>
          <w:rFonts w:ascii="MinionPro-Regular" w:hAnsi="MinionPro-Regular"/>
          <w:sz w:val="24"/>
          <w:szCs w:val="24"/>
          <w:lang w:val="es-ES_tradnl"/>
        </w:rPr>
        <w:t xml:space="preserve">En primer lugar, se </w:t>
      </w:r>
      <w:r>
        <w:rPr>
          <w:rFonts w:ascii="MinionPro-Regular" w:hAnsi="MinionPro-Regular"/>
          <w:sz w:val="24"/>
          <w:szCs w:val="24"/>
          <w:lang w:val="es-ES_tradnl"/>
        </w:rPr>
        <w:t>toman los</w:t>
      </w:r>
      <w:r w:rsidRPr="00F31F59">
        <w:rPr>
          <w:rFonts w:ascii="MinionPro-Regular" w:hAnsi="MinionPro-Regular"/>
          <w:sz w:val="24"/>
          <w:szCs w:val="24"/>
          <w:lang w:val="es-ES_tradnl"/>
        </w:rPr>
        <w:t xml:space="preserve"> datos de las personas </w:t>
      </w:r>
      <w:r>
        <w:rPr>
          <w:rFonts w:ascii="MinionPro-Regular" w:hAnsi="MinionPro-Regular"/>
          <w:sz w:val="24"/>
          <w:szCs w:val="24"/>
          <w:lang w:val="es-ES_tradnl"/>
        </w:rPr>
        <w:t>que</w:t>
      </w:r>
      <w:r w:rsidRPr="00F31F59">
        <w:rPr>
          <w:rFonts w:ascii="MinionPro-Regular" w:hAnsi="MinionPro-Regular"/>
          <w:sz w:val="24"/>
          <w:szCs w:val="24"/>
          <w:lang w:val="es-ES_tradnl"/>
        </w:rPr>
        <w:t xml:space="preserve"> en 2011 están dadas de alta en la </w:t>
      </w:r>
      <w:r>
        <w:rPr>
          <w:rFonts w:ascii="MinionPro-Regular" w:hAnsi="MinionPro-Regular"/>
          <w:sz w:val="24"/>
          <w:szCs w:val="24"/>
          <w:lang w:val="es-ES_tradnl"/>
        </w:rPr>
        <w:t>seguridad social</w:t>
      </w:r>
      <w:r w:rsidRPr="00F31F59">
        <w:rPr>
          <w:rFonts w:ascii="MinionPro-Regular" w:hAnsi="MinionPro-Regular"/>
          <w:sz w:val="24"/>
          <w:szCs w:val="24"/>
          <w:lang w:val="es-ES_tradnl"/>
        </w:rPr>
        <w:t xml:space="preserve"> y que llevan al menos </w:t>
      </w:r>
      <w:r>
        <w:rPr>
          <w:rFonts w:ascii="MinionPro-Regular" w:hAnsi="MinionPro-Regular"/>
          <w:sz w:val="24"/>
          <w:szCs w:val="24"/>
          <w:lang w:val="es-ES_tradnl"/>
        </w:rPr>
        <w:t>diez</w:t>
      </w:r>
      <w:r w:rsidRPr="00F31F59">
        <w:rPr>
          <w:rFonts w:ascii="MinionPro-Regular" w:hAnsi="MinionPro-Regular"/>
          <w:sz w:val="24"/>
          <w:szCs w:val="24"/>
          <w:lang w:val="es-ES_tradnl"/>
        </w:rPr>
        <w:t xml:space="preserve"> años cotizando. </w:t>
      </w:r>
    </w:p>
    <w:p w:rsidR="00E2336B" w:rsidRDefault="00E2336B" w:rsidP="0017372E">
      <w:pPr>
        <w:pBdr>
          <w:bottom w:val="single" w:sz="4" w:space="1" w:color="auto"/>
        </w:pBdr>
        <w:autoSpaceDE w:val="0"/>
        <w:autoSpaceDN w:val="0"/>
        <w:spacing w:line="360" w:lineRule="auto"/>
        <w:jc w:val="both"/>
        <w:rPr>
          <w:rFonts w:ascii="MinionPro-Regular" w:hAnsi="MinionPro-Regular"/>
          <w:sz w:val="24"/>
          <w:szCs w:val="24"/>
          <w:lang w:val="es-ES_tradnl"/>
        </w:rPr>
      </w:pPr>
    </w:p>
    <w:p w:rsidR="00E2336B" w:rsidRPr="00F31F59" w:rsidRDefault="00E2336B" w:rsidP="0017372E">
      <w:pPr>
        <w:autoSpaceDE w:val="0"/>
        <w:autoSpaceDN w:val="0"/>
        <w:spacing w:line="360" w:lineRule="auto"/>
        <w:jc w:val="both"/>
        <w:rPr>
          <w:rFonts w:ascii="MinionPro-Regular" w:hAnsi="MinionPro-Regular"/>
          <w:sz w:val="24"/>
          <w:szCs w:val="24"/>
          <w:lang w:val="es-ES_tradnl"/>
        </w:rPr>
      </w:pPr>
    </w:p>
    <w:tbl>
      <w:tblPr>
        <w:tblW w:w="0" w:type="auto"/>
        <w:tblBorders>
          <w:bottom w:val="single" w:sz="12" w:space="0" w:color="409DAD"/>
        </w:tblBorders>
        <w:tblCellMar>
          <w:top w:w="28" w:type="dxa"/>
          <w:left w:w="28" w:type="dxa"/>
          <w:bottom w:w="28" w:type="dxa"/>
          <w:right w:w="28" w:type="dxa"/>
        </w:tblCellMar>
        <w:tblLook w:val="00A0"/>
      </w:tblPr>
      <w:tblGrid>
        <w:gridCol w:w="5179"/>
        <w:gridCol w:w="3382"/>
      </w:tblGrid>
      <w:tr w:rsidR="00E2336B" w:rsidRPr="00E03578" w:rsidTr="00A62C1C">
        <w:tc>
          <w:tcPr>
            <w:tcW w:w="8561" w:type="dxa"/>
            <w:gridSpan w:val="2"/>
            <w:shd w:val="clear" w:color="auto" w:fill="409DAD"/>
            <w:vAlign w:val="center"/>
          </w:tcPr>
          <w:p w:rsidR="00E2336B" w:rsidRPr="00A62C1C" w:rsidRDefault="00E2336B" w:rsidP="00A62C1C">
            <w:pPr>
              <w:autoSpaceDE w:val="0"/>
              <w:autoSpaceDN w:val="0"/>
              <w:spacing w:line="360" w:lineRule="auto"/>
              <w:rPr>
                <w:rFonts w:ascii="MinionPro-Regular" w:hAnsi="MinionPro-Regular"/>
                <w:color w:val="FFFFFF"/>
                <w:sz w:val="20"/>
                <w:lang w:val="es-ES_tradnl"/>
              </w:rPr>
            </w:pPr>
            <w:r w:rsidRPr="00A62C1C">
              <w:rPr>
                <w:rFonts w:ascii="MinionPro-Regular" w:hAnsi="MinionPro-Regular"/>
                <w:color w:val="FFFFFF"/>
                <w:sz w:val="20"/>
                <w:lang w:val="es-ES_tradnl"/>
              </w:rPr>
              <w:t>Personas con discapacidad de grado igual o superior al 65% en la muestra continua de vida laboral</w:t>
            </w:r>
          </w:p>
        </w:tc>
      </w:tr>
      <w:tr w:rsidR="00E2336B" w:rsidRPr="00E03578" w:rsidTr="00A62C1C">
        <w:tc>
          <w:tcPr>
            <w:tcW w:w="5179" w:type="dxa"/>
            <w:tcBorders>
              <w:bottom w:val="single" w:sz="12" w:space="0" w:color="409DAD"/>
            </w:tcBorders>
            <w:vAlign w:val="center"/>
          </w:tcPr>
          <w:p w:rsidR="00E2336B" w:rsidRPr="00A62C1C" w:rsidRDefault="00E2336B" w:rsidP="00A62C1C">
            <w:pPr>
              <w:autoSpaceDE w:val="0"/>
              <w:autoSpaceDN w:val="0"/>
              <w:spacing w:line="360" w:lineRule="auto"/>
              <w:rPr>
                <w:rFonts w:ascii="MinionPro-Regular" w:hAnsi="MinionPro-Regular"/>
                <w:sz w:val="20"/>
                <w:lang w:val="es-ES_tradnl"/>
              </w:rPr>
            </w:pPr>
            <w:r w:rsidRPr="00A62C1C">
              <w:rPr>
                <w:rFonts w:ascii="MinionPro-Regular" w:hAnsi="MinionPro-Regular"/>
                <w:sz w:val="20"/>
                <w:lang w:val="es-ES_tradnl"/>
              </w:rPr>
              <w:lastRenderedPageBreak/>
              <w:t>PCD&gt; 65% de la MCVL</w:t>
            </w:r>
          </w:p>
        </w:tc>
        <w:tc>
          <w:tcPr>
            <w:tcW w:w="3382" w:type="dxa"/>
            <w:tcBorders>
              <w:bottom w:val="single" w:sz="12" w:space="0" w:color="409DAD"/>
            </w:tcBorders>
            <w:vAlign w:val="center"/>
          </w:tcPr>
          <w:p w:rsidR="00E2336B" w:rsidRPr="00A62C1C" w:rsidRDefault="00E2336B" w:rsidP="00A62C1C">
            <w:pPr>
              <w:autoSpaceDE w:val="0"/>
              <w:autoSpaceDN w:val="0"/>
              <w:spacing w:line="360" w:lineRule="auto"/>
              <w:jc w:val="center"/>
              <w:rPr>
                <w:rFonts w:ascii="MinionPro-Regular" w:hAnsi="MinionPro-Regular"/>
                <w:sz w:val="20"/>
                <w:lang w:val="es-ES_tradnl"/>
              </w:rPr>
            </w:pPr>
            <w:r w:rsidRPr="00A62C1C">
              <w:rPr>
                <w:rFonts w:ascii="MinionPro-Regular" w:hAnsi="MinionPro-Regular"/>
                <w:sz w:val="20"/>
                <w:lang w:val="es-ES_tradnl"/>
              </w:rPr>
              <w:t>541</w:t>
            </w:r>
          </w:p>
        </w:tc>
      </w:tr>
    </w:tbl>
    <w:p w:rsidR="00E2336B" w:rsidRPr="00835047" w:rsidRDefault="00E2336B" w:rsidP="00C24DF3">
      <w:pPr>
        <w:pStyle w:val="Textoindependiente"/>
        <w:rPr>
          <w:rFonts w:ascii="MinionPro-Regular" w:hAnsi="MinionPro-Regular"/>
          <w:sz w:val="20"/>
          <w:szCs w:val="24"/>
          <w:lang w:val="es-ES_tradnl"/>
        </w:rPr>
      </w:pPr>
      <w:r w:rsidRPr="007949F6">
        <w:rPr>
          <w:rFonts w:ascii="MinionPro-Regular" w:hAnsi="MinionPro-Regular"/>
          <w:sz w:val="20"/>
          <w:szCs w:val="24"/>
          <w:lang w:val="es-ES_tradnl"/>
        </w:rPr>
        <w:t>Fuente: MCVL e Instituto de Mayores y Servicios Sociales (IMSERSO) Cuantías de las prestaciones mínimas para 2011</w:t>
      </w:r>
    </w:p>
    <w:p w:rsidR="00E2336B" w:rsidRPr="000C6B44" w:rsidRDefault="00E2336B" w:rsidP="0017372E">
      <w:pPr>
        <w:pBdr>
          <w:bottom w:val="single" w:sz="4" w:space="1" w:color="auto"/>
        </w:pBdr>
        <w:rPr>
          <w:i/>
          <w:sz w:val="16"/>
        </w:rPr>
      </w:pPr>
    </w:p>
    <w:p w:rsidR="002959F0" w:rsidRDefault="002959F0">
      <w:pPr>
        <w:pStyle w:val="Prrafodelista"/>
        <w:pBdr>
          <w:bottom w:val="single" w:sz="4" w:space="1" w:color="auto"/>
        </w:pBdr>
        <w:ind w:left="0"/>
      </w:pPr>
    </w:p>
    <w:p w:rsidR="00E2336B" w:rsidRDefault="00E2336B" w:rsidP="00890FE5">
      <w:pPr>
        <w:pStyle w:val="Prrafodelista"/>
      </w:pPr>
    </w:p>
    <w:tbl>
      <w:tblPr>
        <w:tblW w:w="0" w:type="auto"/>
        <w:tblBorders>
          <w:bottom w:val="single" w:sz="12" w:space="0" w:color="409DAD"/>
        </w:tblBorders>
        <w:tblCellMar>
          <w:top w:w="28" w:type="dxa"/>
          <w:left w:w="28" w:type="dxa"/>
          <w:bottom w:w="28" w:type="dxa"/>
          <w:right w:w="28" w:type="dxa"/>
        </w:tblCellMar>
        <w:tblLook w:val="00A0"/>
      </w:tblPr>
      <w:tblGrid>
        <w:gridCol w:w="5179"/>
        <w:gridCol w:w="3382"/>
      </w:tblGrid>
      <w:tr w:rsidR="00E2336B" w:rsidRPr="00E03578" w:rsidTr="00A62C1C">
        <w:tc>
          <w:tcPr>
            <w:tcW w:w="8613" w:type="dxa"/>
            <w:gridSpan w:val="2"/>
            <w:shd w:val="clear" w:color="auto" w:fill="409DAD"/>
            <w:vAlign w:val="center"/>
          </w:tcPr>
          <w:p w:rsidR="00E2336B" w:rsidRPr="00A62C1C" w:rsidRDefault="00E2336B" w:rsidP="00A62C1C">
            <w:pPr>
              <w:autoSpaceDE w:val="0"/>
              <w:autoSpaceDN w:val="0"/>
              <w:spacing w:line="360" w:lineRule="auto"/>
              <w:rPr>
                <w:rFonts w:ascii="MinionPro-Regular" w:hAnsi="MinionPro-Regular"/>
                <w:sz w:val="20"/>
                <w:szCs w:val="16"/>
                <w:lang w:val="es-ES_tradnl"/>
              </w:rPr>
            </w:pPr>
            <w:r w:rsidRPr="00A62C1C">
              <w:rPr>
                <w:rFonts w:ascii="MinionPro-Regular" w:hAnsi="MinionPro-Regular"/>
                <w:color w:val="FFFFFF"/>
                <w:sz w:val="20"/>
                <w:szCs w:val="24"/>
              </w:rPr>
              <w:t>Estimación del gasto en pensiones contributivas a</w:t>
            </w:r>
            <w:r w:rsidRPr="00A62C1C">
              <w:rPr>
                <w:rFonts w:ascii="MinionPro-Regular" w:hAnsi="MinionPro-Regular"/>
                <w:color w:val="FFFFFF"/>
                <w:sz w:val="20"/>
                <w:szCs w:val="24"/>
                <w:lang w:val="es-ES_tradnl"/>
              </w:rPr>
              <w:t xml:space="preserve"> las personas con discapacidad  igual o superior al 65% que trabajan en centros especiales de empleo. Actualidad.</w:t>
            </w:r>
          </w:p>
        </w:tc>
      </w:tr>
      <w:tr w:rsidR="00E2336B" w:rsidRPr="00E03578" w:rsidTr="00A62C1C">
        <w:tc>
          <w:tcPr>
            <w:tcW w:w="5211" w:type="dxa"/>
            <w:vAlign w:val="center"/>
          </w:tcPr>
          <w:p w:rsidR="00E2336B" w:rsidRPr="00A62C1C" w:rsidRDefault="00E2336B" w:rsidP="00A62C1C">
            <w:pPr>
              <w:autoSpaceDE w:val="0"/>
              <w:autoSpaceDN w:val="0"/>
              <w:spacing w:line="360" w:lineRule="auto"/>
              <w:rPr>
                <w:rFonts w:ascii="MinionPro-Regular" w:hAnsi="MinionPro-Regular"/>
                <w:sz w:val="20"/>
                <w:szCs w:val="24"/>
                <w:lang w:val="es-ES_tradnl"/>
              </w:rPr>
            </w:pPr>
            <w:r w:rsidRPr="00A62C1C">
              <w:rPr>
                <w:rFonts w:ascii="MinionPro-Regular" w:hAnsi="MinionPro-Regular"/>
                <w:sz w:val="20"/>
                <w:szCs w:val="24"/>
                <w:lang w:val="es-ES_tradnl"/>
              </w:rPr>
              <w:t>PCD&gt; 65% de centros especiales de empleo</w:t>
            </w:r>
          </w:p>
        </w:tc>
        <w:tc>
          <w:tcPr>
            <w:tcW w:w="3402" w:type="dxa"/>
            <w:vAlign w:val="center"/>
          </w:tcPr>
          <w:p w:rsidR="00E2336B" w:rsidRPr="00A62C1C" w:rsidRDefault="00E2336B" w:rsidP="00A62C1C">
            <w:pPr>
              <w:autoSpaceDE w:val="0"/>
              <w:autoSpaceDN w:val="0"/>
              <w:spacing w:line="360" w:lineRule="auto"/>
              <w:jc w:val="center"/>
              <w:rPr>
                <w:rFonts w:ascii="MinionPro-Regular" w:hAnsi="MinionPro-Regular"/>
                <w:sz w:val="20"/>
                <w:szCs w:val="16"/>
                <w:lang w:val="es-ES_tradnl"/>
              </w:rPr>
            </w:pPr>
            <w:r w:rsidRPr="00A62C1C">
              <w:rPr>
                <w:rFonts w:ascii="MinionPro-Regular" w:hAnsi="MinionPro-Regular"/>
                <w:sz w:val="20"/>
                <w:szCs w:val="16"/>
                <w:lang w:val="es-ES_tradnl"/>
              </w:rPr>
              <w:t>5.698</w:t>
            </w:r>
          </w:p>
        </w:tc>
      </w:tr>
      <w:tr w:rsidR="00E2336B" w:rsidRPr="00E03578" w:rsidTr="00A62C1C">
        <w:tc>
          <w:tcPr>
            <w:tcW w:w="5211" w:type="dxa"/>
            <w:vAlign w:val="center"/>
          </w:tcPr>
          <w:p w:rsidR="00E2336B" w:rsidRPr="00A62C1C" w:rsidRDefault="00E2336B" w:rsidP="00A62C1C">
            <w:pPr>
              <w:autoSpaceDE w:val="0"/>
              <w:autoSpaceDN w:val="0"/>
              <w:spacing w:line="360" w:lineRule="auto"/>
              <w:rPr>
                <w:rFonts w:ascii="MinionPro-Regular" w:hAnsi="MinionPro-Regular"/>
                <w:sz w:val="20"/>
                <w:lang w:val="es-ES_tradnl"/>
              </w:rPr>
            </w:pPr>
            <w:r w:rsidRPr="00A62C1C">
              <w:rPr>
                <w:rFonts w:ascii="MinionPro-Regular" w:hAnsi="MinionPro-Regular"/>
                <w:sz w:val="20"/>
                <w:lang w:val="es-ES_tradnl"/>
              </w:rPr>
              <w:t>Personas que  con discapacidad en CEE que reciben prestación contributiva</w:t>
            </w:r>
          </w:p>
        </w:tc>
        <w:tc>
          <w:tcPr>
            <w:tcW w:w="3402" w:type="dxa"/>
            <w:vAlign w:val="center"/>
          </w:tcPr>
          <w:p w:rsidR="00E2336B" w:rsidRPr="00A62C1C" w:rsidDel="00CA353A" w:rsidRDefault="00E2336B" w:rsidP="00A62C1C">
            <w:pPr>
              <w:autoSpaceDE w:val="0"/>
              <w:autoSpaceDN w:val="0"/>
              <w:spacing w:line="360" w:lineRule="auto"/>
              <w:jc w:val="center"/>
              <w:rPr>
                <w:rFonts w:ascii="MinionPro-Regular" w:hAnsi="MinionPro-Regular"/>
                <w:sz w:val="20"/>
                <w:szCs w:val="16"/>
                <w:lang w:val="es-ES_tradnl"/>
              </w:rPr>
            </w:pPr>
            <w:r w:rsidRPr="00A62C1C">
              <w:rPr>
                <w:rFonts w:ascii="MinionPro-Regular" w:hAnsi="MinionPro-Regular"/>
                <w:sz w:val="20"/>
                <w:szCs w:val="16"/>
                <w:lang w:val="es-ES_tradnl"/>
              </w:rPr>
              <w:t>10%</w:t>
            </w:r>
          </w:p>
        </w:tc>
      </w:tr>
      <w:tr w:rsidR="00E2336B" w:rsidRPr="00E03578" w:rsidTr="00A62C1C">
        <w:tc>
          <w:tcPr>
            <w:tcW w:w="5211" w:type="dxa"/>
            <w:vAlign w:val="center"/>
          </w:tcPr>
          <w:p w:rsidR="00E2336B" w:rsidRPr="00A62C1C" w:rsidRDefault="00E2336B" w:rsidP="00A62C1C">
            <w:pPr>
              <w:autoSpaceDE w:val="0"/>
              <w:autoSpaceDN w:val="0"/>
              <w:spacing w:line="360" w:lineRule="auto"/>
              <w:rPr>
                <w:rFonts w:ascii="MinionPro-Regular" w:hAnsi="MinionPro-Regular"/>
                <w:sz w:val="20"/>
                <w:lang w:val="es-ES_tradnl"/>
              </w:rPr>
            </w:pPr>
            <w:r w:rsidRPr="00A62C1C">
              <w:rPr>
                <w:rFonts w:ascii="MinionPro-Regular" w:hAnsi="MinionPro-Regular"/>
                <w:sz w:val="20"/>
                <w:szCs w:val="24"/>
                <w:lang w:val="es-ES_tradnl"/>
              </w:rPr>
              <w:t>PCD&gt; 65% de centros especiales de empleo que reciben prestación contributiva</w:t>
            </w:r>
          </w:p>
        </w:tc>
        <w:tc>
          <w:tcPr>
            <w:tcW w:w="3402" w:type="dxa"/>
            <w:vAlign w:val="center"/>
          </w:tcPr>
          <w:p w:rsidR="00E2336B" w:rsidRPr="00A62C1C" w:rsidDel="00CA353A" w:rsidRDefault="00E2336B" w:rsidP="00A62C1C">
            <w:pPr>
              <w:autoSpaceDE w:val="0"/>
              <w:autoSpaceDN w:val="0"/>
              <w:spacing w:line="360" w:lineRule="auto"/>
              <w:jc w:val="center"/>
              <w:rPr>
                <w:rFonts w:ascii="MinionPro-Regular" w:hAnsi="MinionPro-Regular"/>
                <w:sz w:val="20"/>
                <w:szCs w:val="16"/>
                <w:lang w:val="es-ES_tradnl"/>
              </w:rPr>
            </w:pPr>
            <w:r w:rsidRPr="00A62C1C">
              <w:rPr>
                <w:rFonts w:ascii="MinionPro-Regular" w:hAnsi="MinionPro-Regular"/>
                <w:sz w:val="20"/>
                <w:szCs w:val="16"/>
                <w:lang w:val="es-ES_tradnl"/>
              </w:rPr>
              <w:t>570</w:t>
            </w:r>
          </w:p>
        </w:tc>
      </w:tr>
      <w:tr w:rsidR="00E2336B" w:rsidRPr="00E03578" w:rsidTr="00A62C1C">
        <w:tc>
          <w:tcPr>
            <w:tcW w:w="5211" w:type="dxa"/>
            <w:vAlign w:val="center"/>
          </w:tcPr>
          <w:p w:rsidR="00E2336B" w:rsidRPr="00A62C1C" w:rsidRDefault="00E2336B" w:rsidP="00A62C1C">
            <w:pPr>
              <w:autoSpaceDE w:val="0"/>
              <w:autoSpaceDN w:val="0"/>
              <w:spacing w:line="360" w:lineRule="auto"/>
              <w:rPr>
                <w:rFonts w:ascii="MinionPro-Regular" w:hAnsi="MinionPro-Regular"/>
                <w:sz w:val="20"/>
                <w:szCs w:val="24"/>
                <w:lang w:val="es-ES_tradnl"/>
              </w:rPr>
            </w:pPr>
            <w:r w:rsidRPr="00A62C1C">
              <w:rPr>
                <w:rFonts w:ascii="MinionPro-Regular" w:hAnsi="MinionPro-Regular"/>
                <w:sz w:val="20"/>
                <w:lang w:val="es-ES_tradnl"/>
              </w:rPr>
              <w:t>Cuantía de la PC de Invalidez Permanente Absoluta (Euros/año)</w:t>
            </w:r>
          </w:p>
        </w:tc>
        <w:tc>
          <w:tcPr>
            <w:tcW w:w="3402" w:type="dxa"/>
            <w:vAlign w:val="center"/>
          </w:tcPr>
          <w:p w:rsidR="00E2336B" w:rsidRPr="00A62C1C" w:rsidRDefault="00E2336B" w:rsidP="00A62C1C">
            <w:pPr>
              <w:autoSpaceDE w:val="0"/>
              <w:autoSpaceDN w:val="0"/>
              <w:spacing w:line="360" w:lineRule="auto"/>
              <w:jc w:val="center"/>
              <w:rPr>
                <w:rFonts w:ascii="MinionPro-Regular" w:hAnsi="MinionPro-Regular"/>
                <w:sz w:val="20"/>
                <w:szCs w:val="16"/>
                <w:lang w:val="es-ES_tradnl"/>
              </w:rPr>
            </w:pPr>
            <w:r w:rsidRPr="00A62C1C">
              <w:rPr>
                <w:rFonts w:ascii="MinionPro-Regular" w:hAnsi="MinionPro-Regular"/>
                <w:sz w:val="20"/>
                <w:szCs w:val="16"/>
                <w:lang w:val="es-ES_tradnl"/>
              </w:rPr>
              <w:t>8.420</w:t>
            </w:r>
          </w:p>
        </w:tc>
      </w:tr>
      <w:tr w:rsidR="00E2336B" w:rsidRPr="00E03578" w:rsidTr="00A62C1C">
        <w:tc>
          <w:tcPr>
            <w:tcW w:w="5211" w:type="dxa"/>
            <w:tcBorders>
              <w:bottom w:val="single" w:sz="12" w:space="0" w:color="409DAD"/>
            </w:tcBorders>
            <w:vAlign w:val="center"/>
          </w:tcPr>
          <w:p w:rsidR="00E2336B" w:rsidRPr="00A62C1C" w:rsidRDefault="00E2336B" w:rsidP="00A62C1C">
            <w:pPr>
              <w:autoSpaceDE w:val="0"/>
              <w:autoSpaceDN w:val="0"/>
              <w:spacing w:line="360" w:lineRule="auto"/>
              <w:rPr>
                <w:rFonts w:ascii="MinionPro-Regular" w:hAnsi="MinionPro-Regular"/>
                <w:i/>
                <w:sz w:val="20"/>
                <w:szCs w:val="24"/>
                <w:lang w:val="es-ES_tradnl"/>
              </w:rPr>
            </w:pPr>
            <w:r w:rsidRPr="00A62C1C">
              <w:rPr>
                <w:rFonts w:ascii="MinionPro-Regular" w:hAnsi="MinionPro-Regular"/>
                <w:sz w:val="20"/>
                <w:szCs w:val="24"/>
                <w:lang w:val="es-ES_tradnl"/>
              </w:rPr>
              <w:t>Total (Euros/año)</w:t>
            </w:r>
          </w:p>
        </w:tc>
        <w:tc>
          <w:tcPr>
            <w:tcW w:w="3402" w:type="dxa"/>
            <w:tcBorders>
              <w:bottom w:val="single" w:sz="12" w:space="0" w:color="409DAD"/>
            </w:tcBorders>
            <w:vAlign w:val="center"/>
          </w:tcPr>
          <w:p w:rsidR="00E2336B" w:rsidRPr="00A62C1C" w:rsidRDefault="00E2336B" w:rsidP="00A62C1C">
            <w:pPr>
              <w:autoSpaceDE w:val="0"/>
              <w:autoSpaceDN w:val="0"/>
              <w:spacing w:line="360" w:lineRule="auto"/>
              <w:jc w:val="center"/>
              <w:rPr>
                <w:rFonts w:ascii="MinionPro-Regular" w:hAnsi="MinionPro-Regular"/>
                <w:i/>
                <w:sz w:val="20"/>
                <w:szCs w:val="24"/>
                <w:lang w:val="es-ES_tradnl"/>
              </w:rPr>
            </w:pPr>
            <w:r w:rsidRPr="00A62C1C">
              <w:rPr>
                <w:rFonts w:ascii="MinionPro-Regular" w:hAnsi="MinionPro-Regular"/>
                <w:sz w:val="20"/>
                <w:szCs w:val="16"/>
                <w:lang w:val="es-ES_tradnl"/>
              </w:rPr>
              <w:t>4.799.400</w:t>
            </w:r>
          </w:p>
        </w:tc>
      </w:tr>
    </w:tbl>
    <w:p w:rsidR="00E2336B" w:rsidRDefault="00E2336B">
      <w:pPr>
        <w:pStyle w:val="Textoindependiente"/>
        <w:pBdr>
          <w:bottom w:val="single" w:sz="4" w:space="1" w:color="auto"/>
        </w:pBdr>
        <w:rPr>
          <w:rFonts w:ascii="MinionPro-Regular" w:hAnsi="MinionPro-Regular"/>
          <w:sz w:val="20"/>
          <w:szCs w:val="24"/>
          <w:lang w:val="es-ES_tradnl"/>
        </w:rPr>
      </w:pPr>
      <w:r w:rsidRPr="007949F6">
        <w:rPr>
          <w:rFonts w:ascii="MinionPro-Regular" w:hAnsi="MinionPro-Regular"/>
          <w:sz w:val="20"/>
          <w:szCs w:val="24"/>
          <w:lang w:val="es-ES_tradnl"/>
        </w:rPr>
        <w:t>Fuente: Elaboración propia</w:t>
      </w:r>
      <w:r>
        <w:rPr>
          <w:rFonts w:ascii="MinionPro-Regular" w:hAnsi="MinionPro-Regular"/>
          <w:sz w:val="20"/>
          <w:szCs w:val="24"/>
          <w:lang w:val="es-ES_tradnl"/>
        </w:rPr>
        <w:t xml:space="preserve"> a partir de daros del </w:t>
      </w:r>
      <w:r w:rsidRPr="007949F6">
        <w:rPr>
          <w:rFonts w:ascii="MinionPro-Regular" w:hAnsi="MinionPro-Regular"/>
          <w:sz w:val="20"/>
          <w:szCs w:val="24"/>
          <w:lang w:val="es-ES_tradnl"/>
        </w:rPr>
        <w:t>Instituto de Mayores y Servicios Sociales (IMSERSO) Cuantías de las prestaciones mínimas para 2011</w:t>
      </w:r>
    </w:p>
    <w:p w:rsidR="00E2336B" w:rsidRDefault="00E2336B" w:rsidP="00890FE5">
      <w:pPr>
        <w:autoSpaceDE w:val="0"/>
        <w:autoSpaceDN w:val="0"/>
        <w:spacing w:line="360" w:lineRule="auto"/>
        <w:rPr>
          <w:rFonts w:ascii="MinionPro-Regular" w:hAnsi="MinionPro-Regular"/>
          <w:i/>
          <w:sz w:val="16"/>
          <w:szCs w:val="16"/>
          <w:lang w:val="es-ES_tradnl"/>
        </w:rPr>
      </w:pPr>
    </w:p>
    <w:p w:rsidR="00E2336B" w:rsidRDefault="00E2336B" w:rsidP="00890FE5">
      <w:pPr>
        <w:autoSpaceDE w:val="0"/>
        <w:autoSpaceDN w:val="0"/>
        <w:spacing w:line="360" w:lineRule="auto"/>
        <w:rPr>
          <w:rFonts w:ascii="MinionPro-Regular" w:hAnsi="MinionPro-Regular"/>
          <w:i/>
          <w:sz w:val="16"/>
          <w:szCs w:val="16"/>
          <w:lang w:val="es-ES_tradnl"/>
        </w:rPr>
      </w:pPr>
    </w:p>
    <w:tbl>
      <w:tblPr>
        <w:tblW w:w="0" w:type="auto"/>
        <w:tblLook w:val="00A0"/>
      </w:tblPr>
      <w:tblGrid>
        <w:gridCol w:w="5179"/>
        <w:gridCol w:w="3382"/>
      </w:tblGrid>
      <w:tr w:rsidR="00E2336B" w:rsidRPr="00E03578" w:rsidTr="00C9481F">
        <w:tc>
          <w:tcPr>
            <w:tcW w:w="8561" w:type="dxa"/>
            <w:gridSpan w:val="2"/>
          </w:tcPr>
          <w:p w:rsidR="00E2336B" w:rsidRPr="00A62C1C" w:rsidRDefault="00E2336B" w:rsidP="00A62C1C">
            <w:pPr>
              <w:autoSpaceDE w:val="0"/>
              <w:autoSpaceDN w:val="0"/>
              <w:spacing w:line="360" w:lineRule="auto"/>
              <w:rPr>
                <w:rFonts w:ascii="MinionPro-Regular" w:hAnsi="MinionPro-Regular"/>
                <w:color w:val="FFFFFF"/>
                <w:sz w:val="20"/>
                <w:szCs w:val="16"/>
                <w:lang w:val="es-ES_tradnl"/>
              </w:rPr>
            </w:pPr>
            <w:r w:rsidRPr="00A62C1C">
              <w:rPr>
                <w:rFonts w:ascii="MinionPro-Regular" w:hAnsi="MinionPro-Regular"/>
                <w:color w:val="FFFFFF"/>
                <w:sz w:val="20"/>
                <w:szCs w:val="24"/>
              </w:rPr>
              <w:t>Estimación del gasto en pensiones contributivas a</w:t>
            </w:r>
            <w:r w:rsidRPr="00A62C1C">
              <w:rPr>
                <w:rFonts w:ascii="MinionPro-Regular" w:hAnsi="MinionPro-Regular"/>
                <w:color w:val="FFFFFF"/>
                <w:sz w:val="20"/>
                <w:szCs w:val="24"/>
                <w:lang w:val="es-ES_tradnl"/>
              </w:rPr>
              <w:t xml:space="preserve"> las personas con discapacidad  igual o superior al 65% que trabajan en centros especiales de empleo.</w:t>
            </w:r>
          </w:p>
        </w:tc>
      </w:tr>
      <w:tr w:rsidR="00E2336B" w:rsidRPr="00E03578" w:rsidTr="00C9481F">
        <w:tc>
          <w:tcPr>
            <w:tcW w:w="5179" w:type="dxa"/>
          </w:tcPr>
          <w:p w:rsidR="00E2336B" w:rsidRPr="00A62C1C" w:rsidRDefault="00E2336B" w:rsidP="00A62C1C">
            <w:pPr>
              <w:autoSpaceDE w:val="0"/>
              <w:autoSpaceDN w:val="0"/>
              <w:spacing w:line="360" w:lineRule="auto"/>
              <w:rPr>
                <w:rFonts w:ascii="MinionPro-Regular" w:hAnsi="MinionPro-Regular"/>
                <w:sz w:val="20"/>
                <w:szCs w:val="24"/>
                <w:lang w:val="es-ES_tradnl"/>
              </w:rPr>
            </w:pPr>
            <w:r w:rsidRPr="00A62C1C">
              <w:rPr>
                <w:rFonts w:ascii="MinionPro-Regular" w:hAnsi="MinionPro-Regular"/>
                <w:sz w:val="20"/>
                <w:szCs w:val="24"/>
                <w:lang w:val="es-ES_tradnl"/>
              </w:rPr>
              <w:t>PCD&gt; 65% de centros especiales de empleo</w:t>
            </w:r>
          </w:p>
        </w:tc>
        <w:tc>
          <w:tcPr>
            <w:tcW w:w="3382" w:type="dxa"/>
          </w:tcPr>
          <w:p w:rsidR="00E2336B" w:rsidRPr="00A62C1C" w:rsidRDefault="00E2336B" w:rsidP="00A62C1C">
            <w:pPr>
              <w:autoSpaceDE w:val="0"/>
              <w:autoSpaceDN w:val="0"/>
              <w:spacing w:line="360" w:lineRule="auto"/>
              <w:jc w:val="center"/>
              <w:rPr>
                <w:rFonts w:ascii="MinionPro-Regular" w:hAnsi="MinionPro-Regular"/>
                <w:sz w:val="20"/>
                <w:szCs w:val="16"/>
                <w:lang w:val="es-ES_tradnl"/>
              </w:rPr>
            </w:pPr>
            <w:r w:rsidRPr="00A62C1C">
              <w:rPr>
                <w:rFonts w:ascii="MinionPro-Regular" w:hAnsi="MinionPro-Regular"/>
                <w:sz w:val="20"/>
                <w:szCs w:val="16"/>
                <w:lang w:val="es-ES_tradnl"/>
              </w:rPr>
              <w:t>5.698</w:t>
            </w:r>
          </w:p>
        </w:tc>
      </w:tr>
      <w:tr w:rsidR="00E2336B" w:rsidRPr="00E03578" w:rsidTr="00C9481F">
        <w:tc>
          <w:tcPr>
            <w:tcW w:w="5179" w:type="dxa"/>
          </w:tcPr>
          <w:p w:rsidR="00E2336B" w:rsidRPr="00A62C1C" w:rsidRDefault="00E2336B" w:rsidP="00A62C1C">
            <w:pPr>
              <w:autoSpaceDE w:val="0"/>
              <w:autoSpaceDN w:val="0"/>
              <w:spacing w:line="360" w:lineRule="auto"/>
              <w:rPr>
                <w:rFonts w:ascii="MinionPro-Regular" w:hAnsi="MinionPro-Regular"/>
                <w:sz w:val="20"/>
                <w:szCs w:val="24"/>
                <w:lang w:val="es-ES_tradnl"/>
              </w:rPr>
            </w:pPr>
            <w:r w:rsidRPr="00A62C1C">
              <w:rPr>
                <w:rFonts w:ascii="MinionPro-Regular" w:hAnsi="MinionPro-Regular"/>
                <w:sz w:val="20"/>
                <w:lang w:val="es-ES_tradnl"/>
              </w:rPr>
              <w:t>Cuantía de la PC de Invalidez Permanente Absoluta (Euros/año)</w:t>
            </w:r>
          </w:p>
        </w:tc>
        <w:tc>
          <w:tcPr>
            <w:tcW w:w="3382" w:type="dxa"/>
          </w:tcPr>
          <w:p w:rsidR="00E2336B" w:rsidRPr="00A62C1C" w:rsidRDefault="00E2336B" w:rsidP="00A62C1C">
            <w:pPr>
              <w:autoSpaceDE w:val="0"/>
              <w:autoSpaceDN w:val="0"/>
              <w:spacing w:line="360" w:lineRule="auto"/>
              <w:jc w:val="center"/>
              <w:rPr>
                <w:rFonts w:ascii="MinionPro-Regular" w:hAnsi="MinionPro-Regular"/>
                <w:sz w:val="20"/>
                <w:szCs w:val="16"/>
                <w:lang w:val="es-ES_tradnl"/>
              </w:rPr>
            </w:pPr>
            <w:r w:rsidRPr="00A62C1C">
              <w:rPr>
                <w:rFonts w:ascii="MinionPro-Regular" w:hAnsi="MinionPro-Regular"/>
                <w:sz w:val="20"/>
                <w:szCs w:val="16"/>
                <w:lang w:val="es-ES_tradnl"/>
              </w:rPr>
              <w:t>8.420</w:t>
            </w:r>
          </w:p>
        </w:tc>
      </w:tr>
      <w:tr w:rsidR="00E2336B" w:rsidRPr="00E03578" w:rsidTr="00C9481F">
        <w:tc>
          <w:tcPr>
            <w:tcW w:w="5179" w:type="dxa"/>
          </w:tcPr>
          <w:p w:rsidR="00E2336B" w:rsidRPr="00A62C1C" w:rsidRDefault="00E2336B" w:rsidP="00A62C1C">
            <w:pPr>
              <w:autoSpaceDE w:val="0"/>
              <w:autoSpaceDN w:val="0"/>
              <w:spacing w:line="360" w:lineRule="auto"/>
              <w:rPr>
                <w:rFonts w:ascii="MinionPro-Regular" w:hAnsi="MinionPro-Regular"/>
                <w:i/>
                <w:sz w:val="20"/>
                <w:szCs w:val="24"/>
                <w:lang w:val="es-ES_tradnl"/>
              </w:rPr>
            </w:pPr>
            <w:r w:rsidRPr="00A62C1C">
              <w:rPr>
                <w:rFonts w:ascii="MinionPro-Regular" w:hAnsi="MinionPro-Regular"/>
                <w:sz w:val="20"/>
                <w:szCs w:val="24"/>
                <w:lang w:val="es-ES_tradnl"/>
              </w:rPr>
              <w:t>Total (Euros/año)</w:t>
            </w:r>
          </w:p>
        </w:tc>
        <w:tc>
          <w:tcPr>
            <w:tcW w:w="3382" w:type="dxa"/>
          </w:tcPr>
          <w:p w:rsidR="00E2336B" w:rsidRPr="00A62C1C" w:rsidRDefault="00E2336B" w:rsidP="00A62C1C">
            <w:pPr>
              <w:autoSpaceDE w:val="0"/>
              <w:autoSpaceDN w:val="0"/>
              <w:spacing w:line="360" w:lineRule="auto"/>
              <w:jc w:val="center"/>
              <w:rPr>
                <w:rFonts w:ascii="MinionPro-Regular" w:hAnsi="MinionPro-Regular"/>
                <w:i/>
                <w:sz w:val="20"/>
                <w:szCs w:val="24"/>
                <w:lang w:val="es-ES_tradnl"/>
              </w:rPr>
            </w:pPr>
            <w:r w:rsidRPr="00A62C1C">
              <w:rPr>
                <w:rFonts w:ascii="MinionPro-Regular" w:hAnsi="MinionPro-Regular"/>
                <w:sz w:val="20"/>
                <w:szCs w:val="16"/>
                <w:lang w:val="es-ES_tradnl"/>
              </w:rPr>
              <w:t>47.977.160</w:t>
            </w:r>
          </w:p>
        </w:tc>
      </w:tr>
    </w:tbl>
    <w:p w:rsidR="002959F0" w:rsidRDefault="00E2336B">
      <w:pPr>
        <w:pStyle w:val="Textoindependiente"/>
        <w:pBdr>
          <w:bottom w:val="single" w:sz="4" w:space="1" w:color="auto"/>
        </w:pBdr>
        <w:rPr>
          <w:rFonts w:ascii="MinionPro-Regular" w:hAnsi="MinionPro-Regular"/>
          <w:sz w:val="20"/>
          <w:szCs w:val="24"/>
          <w:lang w:val="es-ES_tradnl"/>
        </w:rPr>
      </w:pPr>
      <w:r w:rsidRPr="007949F6">
        <w:rPr>
          <w:rFonts w:ascii="MinionPro-Regular" w:hAnsi="MinionPro-Regular"/>
          <w:sz w:val="20"/>
          <w:szCs w:val="24"/>
          <w:lang w:val="es-ES_tradnl"/>
        </w:rPr>
        <w:t>Fuente: Elaboración propia</w:t>
      </w:r>
      <w:r>
        <w:rPr>
          <w:rFonts w:ascii="MinionPro-Regular" w:hAnsi="MinionPro-Regular"/>
          <w:sz w:val="20"/>
          <w:szCs w:val="24"/>
          <w:lang w:val="es-ES_tradnl"/>
        </w:rPr>
        <w:t xml:space="preserve"> a partir de daros del </w:t>
      </w:r>
      <w:r w:rsidRPr="007949F6">
        <w:rPr>
          <w:rFonts w:ascii="MinionPro-Regular" w:hAnsi="MinionPro-Regular"/>
          <w:sz w:val="20"/>
          <w:szCs w:val="24"/>
          <w:lang w:val="es-ES_tradnl"/>
        </w:rPr>
        <w:t>Instituto de Mayores y Servicios Sociales (IMSERSO) Cuantías de las prestaciones mínimas para 2011</w:t>
      </w:r>
    </w:p>
    <w:p w:rsidR="00E2336B" w:rsidRDefault="00E2336B" w:rsidP="00890FE5">
      <w:pPr>
        <w:autoSpaceDE w:val="0"/>
        <w:autoSpaceDN w:val="0"/>
        <w:spacing w:line="360" w:lineRule="auto"/>
        <w:rPr>
          <w:rFonts w:ascii="MinionPro-Regular" w:hAnsi="MinionPro-Regular"/>
          <w:sz w:val="16"/>
          <w:szCs w:val="16"/>
          <w:lang w:val="es-ES_tradnl"/>
        </w:rPr>
      </w:pPr>
    </w:p>
    <w:p w:rsidR="00E2336B" w:rsidRDefault="00E2336B">
      <w:pPr>
        <w:pBdr>
          <w:top w:val="single" w:sz="4" w:space="1" w:color="auto"/>
        </w:pBdr>
        <w:autoSpaceDE w:val="0"/>
        <w:autoSpaceDN w:val="0"/>
        <w:spacing w:line="360" w:lineRule="auto"/>
        <w:rPr>
          <w:rFonts w:ascii="MinionPro-Regular" w:hAnsi="MinionPro-Regular"/>
          <w:sz w:val="16"/>
          <w:szCs w:val="16"/>
          <w:lang w:val="es-ES_tradnl"/>
        </w:rPr>
      </w:pPr>
    </w:p>
    <w:tbl>
      <w:tblPr>
        <w:tblW w:w="0" w:type="auto"/>
        <w:tblLook w:val="00A0"/>
      </w:tblPr>
      <w:tblGrid>
        <w:gridCol w:w="5179"/>
        <w:gridCol w:w="3382"/>
      </w:tblGrid>
      <w:tr w:rsidR="00E2336B" w:rsidRPr="00E03578" w:rsidTr="00C9481F">
        <w:tc>
          <w:tcPr>
            <w:tcW w:w="8561" w:type="dxa"/>
            <w:gridSpan w:val="2"/>
          </w:tcPr>
          <w:p w:rsidR="00E2336B" w:rsidRPr="00A62C1C" w:rsidRDefault="00E2336B" w:rsidP="00A62C1C">
            <w:pPr>
              <w:autoSpaceDE w:val="0"/>
              <w:autoSpaceDN w:val="0"/>
              <w:spacing w:line="360" w:lineRule="auto"/>
              <w:rPr>
                <w:rFonts w:ascii="MinionPro-Regular" w:hAnsi="MinionPro-Regular"/>
                <w:color w:val="FFFFFF"/>
                <w:sz w:val="20"/>
                <w:szCs w:val="16"/>
                <w:lang w:val="es-ES_tradnl"/>
              </w:rPr>
            </w:pPr>
            <w:r w:rsidRPr="00A62C1C">
              <w:rPr>
                <w:rFonts w:ascii="MinionPro-Regular" w:hAnsi="MinionPro-Regular"/>
                <w:color w:val="FFFFFF"/>
                <w:sz w:val="20"/>
                <w:szCs w:val="24"/>
              </w:rPr>
              <w:t xml:space="preserve">Estimación del ahorro real en pensiones contributivas en caso de que todas las personas con </w:t>
            </w:r>
            <w:r w:rsidRPr="00A62C1C">
              <w:rPr>
                <w:rFonts w:ascii="MinionPro-Regular" w:hAnsi="MinionPro-Regular"/>
                <w:color w:val="FFFFFF"/>
                <w:sz w:val="20"/>
                <w:szCs w:val="24"/>
              </w:rPr>
              <w:lastRenderedPageBreak/>
              <w:t>discapacidad &gt;65% no estuvieran trabajando en el centro especial de empleo.</w:t>
            </w:r>
          </w:p>
        </w:tc>
      </w:tr>
      <w:tr w:rsidR="00E2336B" w:rsidRPr="00E03578" w:rsidTr="00C9481F">
        <w:tc>
          <w:tcPr>
            <w:tcW w:w="5179" w:type="dxa"/>
          </w:tcPr>
          <w:p w:rsidR="00E2336B" w:rsidRPr="00A62C1C" w:rsidRDefault="00E2336B" w:rsidP="00A62C1C">
            <w:pPr>
              <w:autoSpaceDE w:val="0"/>
              <w:autoSpaceDN w:val="0"/>
              <w:spacing w:line="360" w:lineRule="auto"/>
              <w:rPr>
                <w:rFonts w:ascii="MinionPro-Regular" w:hAnsi="MinionPro-Regular"/>
                <w:sz w:val="20"/>
                <w:szCs w:val="24"/>
                <w:lang w:val="es-ES_tradnl"/>
              </w:rPr>
            </w:pPr>
            <w:r w:rsidRPr="00A62C1C">
              <w:rPr>
                <w:rFonts w:ascii="MinionPro-Regular" w:hAnsi="MinionPro-Regular"/>
                <w:sz w:val="20"/>
                <w:lang w:val="es-ES_tradnl"/>
              </w:rPr>
              <w:lastRenderedPageBreak/>
              <w:t>Cuantía de la PC de Invalidez Permanente Absoluta que se pagarían en el supuesto de que las personas no realizan actividad laboral en el centro especial de empleo (Euros/año)</w:t>
            </w:r>
          </w:p>
        </w:tc>
        <w:tc>
          <w:tcPr>
            <w:tcW w:w="3382" w:type="dxa"/>
          </w:tcPr>
          <w:p w:rsidR="00E2336B" w:rsidRPr="00A62C1C" w:rsidRDefault="00E2336B" w:rsidP="00A62C1C">
            <w:pPr>
              <w:autoSpaceDE w:val="0"/>
              <w:autoSpaceDN w:val="0"/>
              <w:spacing w:line="360" w:lineRule="auto"/>
              <w:jc w:val="center"/>
              <w:rPr>
                <w:rFonts w:ascii="MinionPro-Regular" w:hAnsi="MinionPro-Regular"/>
                <w:sz w:val="20"/>
                <w:szCs w:val="16"/>
                <w:lang w:val="es-ES_tradnl"/>
              </w:rPr>
            </w:pPr>
            <w:r w:rsidRPr="00A62C1C">
              <w:rPr>
                <w:rFonts w:ascii="MinionPro-Regular" w:hAnsi="MinionPro-Regular"/>
                <w:sz w:val="20"/>
                <w:szCs w:val="16"/>
                <w:lang w:val="es-ES_tradnl"/>
              </w:rPr>
              <w:t>47.977.160</w:t>
            </w:r>
          </w:p>
        </w:tc>
      </w:tr>
      <w:tr w:rsidR="00E2336B" w:rsidRPr="00E03578" w:rsidTr="00C9481F">
        <w:tc>
          <w:tcPr>
            <w:tcW w:w="5179" w:type="dxa"/>
          </w:tcPr>
          <w:p w:rsidR="00E2336B" w:rsidRPr="00A62C1C" w:rsidRDefault="00E2336B" w:rsidP="00A62C1C">
            <w:pPr>
              <w:autoSpaceDE w:val="0"/>
              <w:autoSpaceDN w:val="0"/>
              <w:spacing w:line="360" w:lineRule="auto"/>
              <w:rPr>
                <w:rFonts w:ascii="MinionPro-Regular" w:hAnsi="MinionPro-Regular"/>
                <w:sz w:val="20"/>
                <w:szCs w:val="24"/>
                <w:lang w:val="es-ES_tradnl"/>
              </w:rPr>
            </w:pPr>
            <w:r w:rsidRPr="00A62C1C">
              <w:rPr>
                <w:rFonts w:ascii="MinionPro-Regular" w:hAnsi="MinionPro-Regular"/>
                <w:sz w:val="20"/>
                <w:lang w:val="es-ES_tradnl"/>
              </w:rPr>
              <w:t>Cuantía de la PC de Invalidez Permanente Absoluta que se pagan en la actualidad (Euros/año)</w:t>
            </w:r>
          </w:p>
        </w:tc>
        <w:tc>
          <w:tcPr>
            <w:tcW w:w="3382" w:type="dxa"/>
          </w:tcPr>
          <w:p w:rsidR="00E2336B" w:rsidRPr="00A62C1C" w:rsidRDefault="00E2336B" w:rsidP="00A62C1C">
            <w:pPr>
              <w:autoSpaceDE w:val="0"/>
              <w:autoSpaceDN w:val="0"/>
              <w:spacing w:line="360" w:lineRule="auto"/>
              <w:jc w:val="center"/>
              <w:rPr>
                <w:rFonts w:ascii="MinionPro-Regular" w:hAnsi="MinionPro-Regular"/>
                <w:sz w:val="20"/>
                <w:szCs w:val="16"/>
                <w:lang w:val="es-ES_tradnl"/>
              </w:rPr>
            </w:pPr>
            <w:r w:rsidRPr="00A62C1C">
              <w:rPr>
                <w:rFonts w:ascii="MinionPro-Regular" w:hAnsi="MinionPro-Regular"/>
                <w:sz w:val="20"/>
                <w:szCs w:val="16"/>
                <w:lang w:val="es-ES_tradnl"/>
              </w:rPr>
              <w:t>4.799.400</w:t>
            </w:r>
          </w:p>
        </w:tc>
      </w:tr>
      <w:tr w:rsidR="00E2336B" w:rsidRPr="00E03578" w:rsidTr="00A62C1C">
        <w:tblPrEx>
          <w:tblBorders>
            <w:bottom w:val="single" w:sz="12" w:space="0" w:color="409DAD"/>
          </w:tblBorders>
          <w:tblCellMar>
            <w:top w:w="28" w:type="dxa"/>
            <w:left w:w="28" w:type="dxa"/>
            <w:bottom w:w="28" w:type="dxa"/>
            <w:right w:w="28" w:type="dxa"/>
          </w:tblCellMar>
        </w:tblPrEx>
        <w:tc>
          <w:tcPr>
            <w:tcW w:w="5179" w:type="dxa"/>
            <w:tcBorders>
              <w:bottom w:val="single" w:sz="12" w:space="0" w:color="409DAD"/>
            </w:tcBorders>
            <w:vAlign w:val="center"/>
          </w:tcPr>
          <w:p w:rsidR="00E2336B" w:rsidRPr="00A62C1C" w:rsidRDefault="00E2336B" w:rsidP="00A62C1C">
            <w:pPr>
              <w:autoSpaceDE w:val="0"/>
              <w:autoSpaceDN w:val="0"/>
              <w:spacing w:line="360" w:lineRule="auto"/>
              <w:rPr>
                <w:rFonts w:ascii="MinionPro-Regular" w:hAnsi="MinionPro-Regular"/>
                <w:i/>
                <w:sz w:val="20"/>
                <w:szCs w:val="24"/>
                <w:lang w:val="es-ES_tradnl"/>
              </w:rPr>
            </w:pPr>
            <w:r w:rsidRPr="00A62C1C">
              <w:rPr>
                <w:rFonts w:ascii="MinionPro-Regular" w:hAnsi="MinionPro-Regular"/>
                <w:sz w:val="20"/>
                <w:szCs w:val="24"/>
                <w:lang w:val="es-ES_tradnl"/>
              </w:rPr>
              <w:t>Estimación del ahorro real (Euros/año)</w:t>
            </w:r>
          </w:p>
        </w:tc>
        <w:tc>
          <w:tcPr>
            <w:tcW w:w="3382" w:type="dxa"/>
            <w:tcBorders>
              <w:bottom w:val="single" w:sz="12" w:space="0" w:color="409DAD"/>
            </w:tcBorders>
            <w:vAlign w:val="center"/>
          </w:tcPr>
          <w:p w:rsidR="00E2336B" w:rsidRPr="00A62C1C" w:rsidRDefault="00BE2ECC" w:rsidP="00BE2ECC">
            <w:pPr>
              <w:autoSpaceDE w:val="0"/>
              <w:autoSpaceDN w:val="0"/>
              <w:spacing w:line="360" w:lineRule="auto"/>
              <w:jc w:val="center"/>
              <w:rPr>
                <w:rFonts w:ascii="MinionPro-Regular" w:hAnsi="MinionPro-Regular"/>
                <w:i/>
                <w:sz w:val="20"/>
                <w:szCs w:val="24"/>
                <w:lang w:val="es-ES_tradnl"/>
              </w:rPr>
            </w:pPr>
            <w:r>
              <w:rPr>
                <w:rFonts w:ascii="MinionPro-Regular" w:hAnsi="MinionPro-Regular"/>
                <w:sz w:val="20"/>
                <w:szCs w:val="16"/>
                <w:lang w:val="es-ES_tradnl"/>
              </w:rPr>
              <w:t>43.417.067</w:t>
            </w:r>
          </w:p>
        </w:tc>
      </w:tr>
    </w:tbl>
    <w:p w:rsidR="002959F0" w:rsidRDefault="00E2336B">
      <w:pPr>
        <w:pStyle w:val="Textoindependiente"/>
        <w:pBdr>
          <w:bottom w:val="single" w:sz="4" w:space="1" w:color="auto"/>
        </w:pBdr>
        <w:rPr>
          <w:rFonts w:ascii="MinionPro-Regular" w:hAnsi="MinionPro-Regular"/>
          <w:sz w:val="20"/>
          <w:szCs w:val="24"/>
          <w:lang w:val="es-ES_tradnl"/>
        </w:rPr>
      </w:pPr>
      <w:r w:rsidRPr="007949F6">
        <w:rPr>
          <w:rFonts w:ascii="MinionPro-Regular" w:hAnsi="MinionPro-Regular"/>
          <w:sz w:val="20"/>
          <w:szCs w:val="24"/>
          <w:lang w:val="es-ES_tradnl"/>
        </w:rPr>
        <w:t>Fuente: Elaboración propia</w:t>
      </w:r>
      <w:r>
        <w:rPr>
          <w:rFonts w:ascii="MinionPro-Regular" w:hAnsi="MinionPro-Regular"/>
          <w:sz w:val="20"/>
          <w:szCs w:val="24"/>
          <w:lang w:val="es-ES_tradnl"/>
        </w:rPr>
        <w:t xml:space="preserve"> a partir de daros del </w:t>
      </w:r>
      <w:r w:rsidRPr="007949F6">
        <w:rPr>
          <w:rFonts w:ascii="MinionPro-Regular" w:hAnsi="MinionPro-Regular"/>
          <w:sz w:val="20"/>
          <w:szCs w:val="24"/>
          <w:lang w:val="es-ES_tradnl"/>
        </w:rPr>
        <w:t>Instituto de Mayores y Servicios Sociales (IMSERSO) Cuantías de las prestaciones mínimas para 2011</w:t>
      </w:r>
      <w:r>
        <w:rPr>
          <w:rFonts w:ascii="MinionPro-Regular" w:hAnsi="MinionPro-Regular"/>
          <w:sz w:val="20"/>
          <w:szCs w:val="24"/>
          <w:lang w:val="es-ES_tradnl"/>
        </w:rPr>
        <w:t>.</w:t>
      </w:r>
    </w:p>
    <w:p w:rsidR="00E2336B" w:rsidRDefault="00E2336B" w:rsidP="00CA353A">
      <w:pPr>
        <w:autoSpaceDE w:val="0"/>
        <w:autoSpaceDN w:val="0"/>
        <w:spacing w:line="360" w:lineRule="auto"/>
        <w:jc w:val="both"/>
        <w:rPr>
          <w:rFonts w:ascii="MinionPro-Regular" w:hAnsi="MinionPro-Regular"/>
          <w:sz w:val="24"/>
          <w:szCs w:val="24"/>
          <w:lang w:val="es-ES_tradnl"/>
        </w:rPr>
      </w:pPr>
    </w:p>
    <w:p w:rsidR="00E2336B" w:rsidRDefault="00E2336B" w:rsidP="00CA353A">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Se estima que el ahorro en pensiones contributivas como consecuencia del empleo de personas con discapacidad en los centros especiales de empleo asciende a 43,1 millones de euros.</w:t>
      </w:r>
    </w:p>
    <w:p w:rsidR="00E2336B" w:rsidRPr="00FF4A09" w:rsidRDefault="00E2336B" w:rsidP="00FF4A09">
      <w:pPr>
        <w:autoSpaceDE w:val="0"/>
        <w:autoSpaceDN w:val="0"/>
        <w:spacing w:line="360" w:lineRule="auto"/>
        <w:jc w:val="both"/>
        <w:rPr>
          <w:rFonts w:ascii="MinionPro-Regular" w:hAnsi="MinionPro-Regular"/>
          <w:sz w:val="24"/>
          <w:szCs w:val="24"/>
          <w:lang w:val="es-ES_tradnl"/>
        </w:rPr>
      </w:pPr>
    </w:p>
    <w:p w:rsidR="00E2336B" w:rsidRPr="00C24DF3" w:rsidRDefault="00E2336B" w:rsidP="00C24DF3">
      <w:pPr>
        <w:pBdr>
          <w:top w:val="single" w:sz="4" w:space="2" w:color="auto"/>
        </w:pBdr>
        <w:autoSpaceDE w:val="0"/>
        <w:autoSpaceDN w:val="0"/>
        <w:spacing w:line="360" w:lineRule="auto"/>
        <w:jc w:val="both"/>
        <w:rPr>
          <w:rFonts w:ascii="MinionPro-Regular" w:hAnsi="MinionPro-Regular"/>
          <w:sz w:val="20"/>
        </w:rPr>
      </w:pPr>
      <w:bookmarkStart w:id="431" w:name="_Toc340340570"/>
      <w:r w:rsidRPr="00B660D3">
        <w:rPr>
          <w:rFonts w:ascii="MinionPro-Regular" w:hAnsi="MinionPro-Regular"/>
          <w:sz w:val="20"/>
        </w:rPr>
        <w:t xml:space="preserve">Estimación </w:t>
      </w:r>
      <w:r>
        <w:rPr>
          <w:rFonts w:ascii="MinionPro-Regular" w:hAnsi="MinionPro-Regular"/>
          <w:sz w:val="20"/>
        </w:rPr>
        <w:t>los retornos de las</w:t>
      </w:r>
      <w:r w:rsidRPr="00B660D3">
        <w:rPr>
          <w:rFonts w:ascii="MinionPro-Regular" w:hAnsi="MinionPro-Regular"/>
          <w:sz w:val="20"/>
        </w:rPr>
        <w:t xml:space="preserve"> ayudas según los conceptos de la LISM</w:t>
      </w:r>
      <w:r>
        <w:rPr>
          <w:rFonts w:ascii="MinionPro-Regular" w:hAnsi="MinionPro-Regular"/>
          <w:sz w:val="20"/>
        </w:rPr>
        <w:t xml:space="preserve">I, de las pensiones no contributivas y de las pensiones contributivas </w:t>
      </w:r>
      <w:r w:rsidRPr="00B660D3">
        <w:rPr>
          <w:rFonts w:ascii="MinionPro-Regular" w:hAnsi="MinionPro-Regular"/>
          <w:sz w:val="20"/>
        </w:rPr>
        <w:t xml:space="preserve">frente a las ayudas que </w:t>
      </w:r>
      <w:r>
        <w:rPr>
          <w:rFonts w:ascii="MinionPro-Regular" w:hAnsi="MinionPro-Regular"/>
          <w:sz w:val="20"/>
        </w:rPr>
        <w:t xml:space="preserve">no </w:t>
      </w:r>
      <w:r w:rsidRPr="00B660D3">
        <w:rPr>
          <w:rFonts w:ascii="MinionPro-Regular" w:hAnsi="MinionPro-Regular"/>
          <w:sz w:val="20"/>
        </w:rPr>
        <w:t>implican una salida de caja</w:t>
      </w:r>
      <w:r>
        <w:rPr>
          <w:rFonts w:ascii="MinionPro-Regular" w:hAnsi="MinionPro-Regular"/>
          <w:sz w:val="20"/>
        </w:rPr>
        <w:t>.</w:t>
      </w:r>
    </w:p>
    <w:p w:rsidR="00E2336B" w:rsidRPr="00531E04" w:rsidRDefault="00E1516B" w:rsidP="00531E04">
      <w:pPr>
        <w:pStyle w:val="Textoindependiente"/>
      </w:pPr>
      <w:r>
        <w:rPr>
          <w:noProof/>
          <w:lang w:eastAsia="es-ES"/>
        </w:rPr>
        <w:drawing>
          <wp:inline distT="0" distB="0" distL="0" distR="0">
            <wp:extent cx="4873625" cy="3243580"/>
            <wp:effectExtent l="0" t="0" r="0" b="0"/>
            <wp:docPr id="100" name="Picture 10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4"/>
              </a:graphicData>
            </a:graphic>
          </wp:inline>
        </w:drawing>
      </w:r>
    </w:p>
    <w:p w:rsidR="00E2336B" w:rsidRDefault="00E2336B" w:rsidP="00531E04">
      <w:pPr>
        <w:pBdr>
          <w:bottom w:val="single" w:sz="4" w:space="1" w:color="auto"/>
        </w:pBdr>
        <w:autoSpaceDE w:val="0"/>
        <w:autoSpaceDN w:val="0"/>
        <w:spacing w:line="360" w:lineRule="auto"/>
        <w:jc w:val="both"/>
        <w:rPr>
          <w:rFonts w:ascii="MinionPro-Regular" w:hAnsi="MinionPro-Regular"/>
          <w:sz w:val="20"/>
          <w:szCs w:val="24"/>
          <w:lang w:val="es-ES_tradnl"/>
        </w:rPr>
      </w:pPr>
      <w:r w:rsidRPr="00664A5E">
        <w:rPr>
          <w:rFonts w:ascii="MinionPro-Regular" w:hAnsi="MinionPro-Regular"/>
          <w:sz w:val="20"/>
          <w:szCs w:val="24"/>
          <w:lang w:val="es-ES_tradnl"/>
        </w:rPr>
        <w:lastRenderedPageBreak/>
        <w:t>Fuente: Elaboración propi</w:t>
      </w:r>
      <w:r>
        <w:rPr>
          <w:rFonts w:ascii="MinionPro-Regular" w:hAnsi="MinionPro-Regular"/>
          <w:sz w:val="20"/>
          <w:szCs w:val="24"/>
          <w:lang w:val="es-ES_tradnl"/>
        </w:rPr>
        <w:t>a</w:t>
      </w:r>
    </w:p>
    <w:p w:rsidR="00E2336B" w:rsidRDefault="00E2336B" w:rsidP="00531E04">
      <w:pPr>
        <w:pBdr>
          <w:bottom w:val="single" w:sz="4" w:space="1" w:color="auto"/>
        </w:pBdr>
        <w:autoSpaceDE w:val="0"/>
        <w:autoSpaceDN w:val="0"/>
        <w:spacing w:line="360" w:lineRule="auto"/>
        <w:jc w:val="both"/>
        <w:rPr>
          <w:rFonts w:ascii="MinionPro-Regular" w:hAnsi="MinionPro-Regular"/>
          <w:sz w:val="20"/>
          <w:szCs w:val="24"/>
          <w:lang w:val="es-ES_tradnl"/>
        </w:rPr>
      </w:pPr>
    </w:p>
    <w:p w:rsidR="00E2336B" w:rsidRPr="00390656" w:rsidRDefault="00E2336B" w:rsidP="00531E04">
      <w:pPr>
        <w:pBdr>
          <w:bottom w:val="single" w:sz="4" w:space="1" w:color="auto"/>
        </w:pBdr>
        <w:autoSpaceDE w:val="0"/>
        <w:autoSpaceDN w:val="0"/>
        <w:spacing w:line="360" w:lineRule="auto"/>
        <w:jc w:val="both"/>
        <w:rPr>
          <w:rFonts w:ascii="MinionPro-Regular" w:hAnsi="MinionPro-Regular"/>
          <w:sz w:val="20"/>
          <w:szCs w:val="24"/>
          <w:lang w:val="es-ES_tradnl"/>
        </w:rPr>
      </w:pPr>
      <w:r>
        <w:rPr>
          <w:rFonts w:ascii="MinionPro-Regular" w:hAnsi="MinionPro-Regular"/>
          <w:sz w:val="20"/>
          <w:szCs w:val="24"/>
          <w:lang w:val="es-ES_tradnl"/>
        </w:rPr>
        <w:t xml:space="preserve">Nota explicativa de la gráfica: Eje vertical, euros. Eje horizontal incluye cuatro columnas. La primera de ellas incluye el retorno de ayudas LISMI en su </w:t>
      </w:r>
      <w:r w:rsidRPr="00B56E1C">
        <w:rPr>
          <w:rFonts w:ascii="MinionPro-Regular" w:hAnsi="MinionPro-Regular"/>
          <w:sz w:val="20"/>
          <w:szCs w:val="24"/>
          <w:lang w:val="es-ES_tradnl"/>
        </w:rPr>
        <w:t>totalidad (</w:t>
      </w:r>
      <w:r w:rsidR="009D1936">
        <w:rPr>
          <w:rFonts w:ascii="MinionPro-Regular" w:hAnsi="MinionPro-Regular"/>
          <w:sz w:val="20"/>
          <w:szCs w:val="24"/>
          <w:lang w:val="es-ES_tradnl"/>
        </w:rPr>
        <w:t>1.778.738</w:t>
      </w:r>
      <w:r w:rsidRPr="00B56E1C">
        <w:rPr>
          <w:rFonts w:ascii="MinionPro-Regular" w:hAnsi="MinionPro-Regular"/>
          <w:sz w:val="20"/>
          <w:szCs w:val="24"/>
          <w:lang w:val="es-ES_tradnl"/>
        </w:rPr>
        <w:t xml:space="preserve"> euros). La segunda columna representa el retorno de las pensiones no contributivas (22.730.090 euros).  La tercera columna incluye el retorno derivados de las pensiones contributivas (</w:t>
      </w:r>
      <w:r w:rsidR="00F23441" w:rsidRPr="00B56E1C">
        <w:rPr>
          <w:rFonts w:ascii="MinionPro-Regular" w:hAnsi="MinionPro-Regular"/>
          <w:sz w:val="20"/>
          <w:szCs w:val="24"/>
          <w:lang w:val="es-ES_tradnl"/>
        </w:rPr>
        <w:t>43.417.067</w:t>
      </w:r>
      <w:r w:rsidRPr="00B56E1C">
        <w:rPr>
          <w:rFonts w:ascii="MinionPro-Regular" w:hAnsi="MinionPro-Regular"/>
          <w:sz w:val="20"/>
          <w:szCs w:val="24"/>
          <w:lang w:val="es-ES_tradnl"/>
        </w:rPr>
        <w:t xml:space="preserve"> euros) y por último, en la columna cuarta, las ayudas de la administración pública que no implican salida de efectivo</w:t>
      </w:r>
      <w:r>
        <w:rPr>
          <w:rFonts w:ascii="MinionPro-Regular" w:hAnsi="MinionPro-Regular"/>
          <w:sz w:val="20"/>
          <w:szCs w:val="24"/>
          <w:lang w:val="es-ES_tradnl"/>
        </w:rPr>
        <w:t xml:space="preserve"> (204.815.193 euros).</w:t>
      </w:r>
    </w:p>
    <w:p w:rsidR="003B689D" w:rsidRDefault="003B689D" w:rsidP="00531E04">
      <w:pPr>
        <w:pStyle w:val="Textoindependiente"/>
      </w:pPr>
    </w:p>
    <w:p w:rsidR="00E2336B" w:rsidRDefault="001F77AB" w:rsidP="0007541A">
      <w:pPr>
        <w:pStyle w:val="Ttulo3"/>
        <w:numPr>
          <w:ilvl w:val="2"/>
          <w:numId w:val="3"/>
        </w:numPr>
        <w:rPr>
          <w:rFonts w:ascii="MinionPro-Regular" w:hAnsi="MinionPro-Regular"/>
        </w:rPr>
      </w:pPr>
      <w:bookmarkStart w:id="432" w:name="_Toc352773591"/>
      <w:r>
        <w:rPr>
          <w:rFonts w:ascii="MinionPro-Regular" w:hAnsi="MinionPro-Regular"/>
        </w:rPr>
        <w:t>A</w:t>
      </w:r>
      <w:r w:rsidR="00E2336B" w:rsidRPr="00807F12">
        <w:rPr>
          <w:rFonts w:ascii="MinionPro-Regular" w:hAnsi="MinionPro-Regular"/>
        </w:rPr>
        <w:t>horro en gasto sanitario.</w:t>
      </w:r>
      <w:bookmarkEnd w:id="431"/>
      <w:bookmarkEnd w:id="432"/>
    </w:p>
    <w:p w:rsidR="00E2336B" w:rsidRPr="00F31F59" w:rsidRDefault="00E2336B" w:rsidP="00890FE5">
      <w:pPr>
        <w:pStyle w:val="Textoindependiente"/>
      </w:pPr>
    </w:p>
    <w:p w:rsidR="00E2336B" w:rsidRDefault="00E2336B" w:rsidP="00890FE5">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La literatura académica</w:t>
      </w:r>
      <w:r w:rsidRPr="00F31F59">
        <w:rPr>
          <w:rFonts w:ascii="MinionPro-Regular" w:hAnsi="MinionPro-Regular"/>
          <w:sz w:val="24"/>
          <w:szCs w:val="24"/>
          <w:lang w:val="es-ES_tradnl"/>
        </w:rPr>
        <w:t xml:space="preserve"> apoya la tesis de que las personas con enfermedad mental experimentan mejoría </w:t>
      </w:r>
      <w:r>
        <w:rPr>
          <w:rFonts w:ascii="MinionPro-Regular" w:hAnsi="MinionPro-Regular"/>
          <w:sz w:val="24"/>
          <w:szCs w:val="24"/>
          <w:lang w:val="es-ES_tradnl"/>
        </w:rPr>
        <w:t>cuando tienen un empleo, de manera que</w:t>
      </w:r>
      <w:r w:rsidRPr="00F31F59">
        <w:rPr>
          <w:rFonts w:ascii="MinionPro-Regular" w:hAnsi="MinionPro-Regular"/>
          <w:sz w:val="24"/>
          <w:szCs w:val="24"/>
          <w:lang w:val="es-ES_tradnl"/>
        </w:rPr>
        <w:t xml:space="preserve"> su gasto sanitario se reduce considerablemente.</w:t>
      </w:r>
      <w:r>
        <w:rPr>
          <w:rFonts w:ascii="MinionPro-Regular" w:hAnsi="MinionPro-Regular"/>
          <w:sz w:val="24"/>
          <w:szCs w:val="24"/>
          <w:lang w:val="es-ES_tradnl"/>
        </w:rPr>
        <w:t xml:space="preserve"> Aunque resulta </w:t>
      </w:r>
      <w:r w:rsidRPr="00F31F59">
        <w:rPr>
          <w:rFonts w:ascii="MinionPro-Regular" w:hAnsi="MinionPro-Regular"/>
          <w:sz w:val="24"/>
          <w:szCs w:val="24"/>
          <w:lang w:val="es-ES_tradnl"/>
        </w:rPr>
        <w:t xml:space="preserve">difícil cuantificar el ahorro, </w:t>
      </w:r>
      <w:r>
        <w:rPr>
          <w:rFonts w:ascii="MinionPro-Regular" w:hAnsi="MinionPro-Regular"/>
          <w:sz w:val="24"/>
          <w:szCs w:val="24"/>
          <w:lang w:val="es-ES_tradnl"/>
        </w:rPr>
        <w:t>las autoridades sanitarias escocesas elaboraron un informe</w:t>
      </w:r>
      <w:r>
        <w:rPr>
          <w:rStyle w:val="Refdenotaalpie"/>
          <w:rFonts w:ascii="MinionPro-Regular" w:hAnsi="MinionPro-Regular"/>
          <w:sz w:val="24"/>
          <w:szCs w:val="24"/>
          <w:lang w:val="es-ES_tradnl"/>
        </w:rPr>
        <w:footnoteReference w:id="56"/>
      </w:r>
      <w:r>
        <w:rPr>
          <w:rFonts w:ascii="MinionPro-Regular" w:hAnsi="MinionPro-Regular"/>
          <w:sz w:val="24"/>
          <w:szCs w:val="24"/>
          <w:lang w:val="es-ES_tradnl"/>
        </w:rPr>
        <w:t xml:space="preserve"> que lo estimaba en 12.000 euros anuales por trabajador con enfermedad mental. Ponderando en función de los diferentes niveles de gasto sanitario entre el Reino Unido y España, y extrapolando a los centros especiales de empleo se estima que el ahorro a las arcas públicas como consecuencia del empleo de las personas con discapacidad mental en los centros especiales de empleo podría situarse</w:t>
      </w:r>
      <w:r w:rsidRPr="007949F6">
        <w:rPr>
          <w:rFonts w:ascii="MinionPro-Regular" w:hAnsi="MinionPro-Regular"/>
          <w:sz w:val="24"/>
          <w:szCs w:val="24"/>
          <w:lang w:val="es-ES_tradnl"/>
        </w:rPr>
        <w:t xml:space="preserve">  </w:t>
      </w:r>
      <w:r>
        <w:rPr>
          <w:rFonts w:ascii="MinionPro-Regular" w:hAnsi="MinionPro-Regular"/>
          <w:sz w:val="24"/>
          <w:szCs w:val="24"/>
          <w:lang w:val="es-ES_tradnl"/>
        </w:rPr>
        <w:t>alrededor de los 97,2 millones de</w:t>
      </w:r>
      <w:r w:rsidRPr="007949F6">
        <w:rPr>
          <w:rFonts w:ascii="MinionPro-Regular" w:hAnsi="MinionPro-Regular"/>
          <w:sz w:val="24"/>
          <w:szCs w:val="24"/>
          <w:lang w:val="es-ES_tradnl"/>
        </w:rPr>
        <w:t xml:space="preserve"> euros</w:t>
      </w:r>
      <w:r w:rsidRPr="007949F6">
        <w:rPr>
          <w:rStyle w:val="Refdenotaalpie"/>
          <w:rFonts w:ascii="MinionPro-Regular" w:hAnsi="MinionPro-Regular"/>
          <w:sz w:val="24"/>
          <w:szCs w:val="24"/>
          <w:lang w:val="es-ES_tradnl"/>
        </w:rPr>
        <w:footnoteReference w:id="57"/>
      </w:r>
      <w:r w:rsidRPr="007949F6">
        <w:rPr>
          <w:rFonts w:ascii="MinionPro-Regular" w:hAnsi="MinionPro-Regular"/>
          <w:sz w:val="24"/>
          <w:szCs w:val="24"/>
          <w:lang w:val="es-ES_tradnl"/>
        </w:rPr>
        <w:t>.</w:t>
      </w:r>
    </w:p>
    <w:p w:rsidR="00E2336B" w:rsidRDefault="00E2336B" w:rsidP="00890FE5">
      <w:pPr>
        <w:autoSpaceDE w:val="0"/>
        <w:autoSpaceDN w:val="0"/>
        <w:spacing w:line="360" w:lineRule="auto"/>
        <w:jc w:val="both"/>
        <w:rPr>
          <w:rFonts w:ascii="MinionPro-Regular" w:hAnsi="MinionPro-Regular"/>
          <w:sz w:val="24"/>
          <w:szCs w:val="24"/>
          <w:lang w:val="es-ES_tradnl"/>
        </w:rPr>
      </w:pPr>
    </w:p>
    <w:p w:rsidR="00E2336B" w:rsidRDefault="00E2336B" w:rsidP="00890FE5">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 xml:space="preserve">Todo ello sin contar el impacto beneficioso que, de acuerdo a distintos autores, el empleo de las personas con discapacidad tiene sobre el bienestar de sus familias. </w:t>
      </w:r>
    </w:p>
    <w:p w:rsidR="00E2336B" w:rsidRDefault="00E2336B" w:rsidP="00890FE5">
      <w:pPr>
        <w:autoSpaceDE w:val="0"/>
        <w:autoSpaceDN w:val="0"/>
        <w:spacing w:line="360" w:lineRule="auto"/>
        <w:jc w:val="both"/>
        <w:rPr>
          <w:rFonts w:ascii="MinionPro-Regular" w:hAnsi="MinionPro-Regular"/>
          <w:sz w:val="24"/>
          <w:szCs w:val="24"/>
          <w:lang w:val="es-ES_tradnl"/>
        </w:rPr>
      </w:pPr>
    </w:p>
    <w:p w:rsidR="002959F0" w:rsidRDefault="00F23441">
      <w:pPr>
        <w:pStyle w:val="Textoindependiente"/>
        <w:pBdr>
          <w:top w:val="single" w:sz="4" w:space="1" w:color="auto"/>
        </w:pBdr>
        <w:rPr>
          <w:rFonts w:ascii="MinionPro-Regular" w:hAnsi="MinionPro-Regular"/>
          <w:sz w:val="20"/>
        </w:rPr>
      </w:pPr>
      <w:r w:rsidRPr="00F23441">
        <w:rPr>
          <w:rFonts w:ascii="MinionPro-Regular" w:hAnsi="MinionPro-Regular"/>
          <w:sz w:val="20"/>
        </w:rPr>
        <w:t>Tabla para la estimación del ratio de gasto sanitario empleado en Reino Unido y en España</w:t>
      </w:r>
    </w:p>
    <w:tbl>
      <w:tblPr>
        <w:tblW w:w="8510" w:type="dxa"/>
        <w:tblBorders>
          <w:bottom w:val="single" w:sz="12" w:space="0" w:color="409DAD"/>
        </w:tblBorders>
        <w:tblCellMar>
          <w:top w:w="28" w:type="dxa"/>
          <w:left w:w="28" w:type="dxa"/>
          <w:bottom w:w="28" w:type="dxa"/>
          <w:right w:w="28" w:type="dxa"/>
        </w:tblCellMar>
        <w:tblLook w:val="00A0"/>
      </w:tblPr>
      <w:tblGrid>
        <w:gridCol w:w="1547"/>
        <w:gridCol w:w="1437"/>
        <w:gridCol w:w="1784"/>
        <w:gridCol w:w="1926"/>
        <w:gridCol w:w="1816"/>
      </w:tblGrid>
      <w:tr w:rsidR="00E2336B" w:rsidRPr="00E55DA4" w:rsidTr="00A62C1C">
        <w:trPr>
          <w:trHeight w:val="609"/>
        </w:trPr>
        <w:tc>
          <w:tcPr>
            <w:tcW w:w="1547" w:type="dxa"/>
            <w:shd w:val="clear" w:color="auto" w:fill="409DAD"/>
            <w:vAlign w:val="center"/>
          </w:tcPr>
          <w:p w:rsidR="00E2336B" w:rsidRPr="00A62C1C" w:rsidRDefault="00E2336B" w:rsidP="00A62C1C">
            <w:pPr>
              <w:jc w:val="center"/>
              <w:rPr>
                <w:rFonts w:ascii="MinionPro-Regular" w:hAnsi="MinionPro-Regular" w:cs="Calibri"/>
                <w:color w:val="FFFFFF"/>
                <w:sz w:val="20"/>
                <w:lang w:val="en-US"/>
              </w:rPr>
            </w:pPr>
            <w:r w:rsidRPr="00A62C1C">
              <w:rPr>
                <w:rFonts w:ascii="MinionPro-Regular" w:hAnsi="MinionPro-Regular" w:cs="Calibri"/>
                <w:color w:val="FFFFFF"/>
                <w:sz w:val="20"/>
                <w:lang w:val="en-US"/>
              </w:rPr>
              <w:lastRenderedPageBreak/>
              <w:t>País</w:t>
            </w:r>
          </w:p>
        </w:tc>
        <w:tc>
          <w:tcPr>
            <w:tcW w:w="1437" w:type="dxa"/>
            <w:shd w:val="clear" w:color="auto" w:fill="409DAD"/>
            <w:vAlign w:val="center"/>
          </w:tcPr>
          <w:p w:rsidR="00E2336B" w:rsidRPr="00A62C1C" w:rsidRDefault="00E2336B" w:rsidP="00A62C1C">
            <w:pPr>
              <w:jc w:val="center"/>
              <w:rPr>
                <w:rFonts w:ascii="MinionPro-Regular" w:hAnsi="MinionPro-Regular" w:cs="Calibri"/>
                <w:color w:val="FFFFFF"/>
                <w:sz w:val="20"/>
                <w:lang w:val="en-US"/>
              </w:rPr>
            </w:pPr>
            <w:r w:rsidRPr="00A62C1C">
              <w:rPr>
                <w:rFonts w:ascii="MinionPro-Regular" w:hAnsi="MinionPro-Regular" w:cs="Calibri"/>
                <w:color w:val="FFFFFF"/>
                <w:sz w:val="20"/>
                <w:lang w:val="en-US"/>
              </w:rPr>
              <w:t>% PIB (2009)</w:t>
            </w:r>
          </w:p>
        </w:tc>
        <w:tc>
          <w:tcPr>
            <w:tcW w:w="1784" w:type="dxa"/>
            <w:shd w:val="clear" w:color="auto" w:fill="409DAD"/>
            <w:vAlign w:val="center"/>
          </w:tcPr>
          <w:p w:rsidR="00E2336B" w:rsidRPr="00A62C1C" w:rsidRDefault="00E2336B" w:rsidP="00A62C1C">
            <w:pPr>
              <w:jc w:val="center"/>
              <w:rPr>
                <w:rFonts w:ascii="MinionPro-Regular" w:hAnsi="MinionPro-Regular" w:cs="Calibri"/>
                <w:color w:val="FFFFFF"/>
                <w:sz w:val="20"/>
                <w:lang w:val="en-US"/>
              </w:rPr>
            </w:pPr>
            <w:r w:rsidRPr="00A62C1C">
              <w:rPr>
                <w:rFonts w:ascii="MinionPro-Regular" w:hAnsi="MinionPro-Regular" w:cs="Calibri"/>
                <w:color w:val="FFFFFF"/>
                <w:sz w:val="20"/>
                <w:lang w:val="en-US"/>
              </w:rPr>
              <w:t>PIB total (2009) - Mill.€</w:t>
            </w:r>
          </w:p>
        </w:tc>
        <w:tc>
          <w:tcPr>
            <w:tcW w:w="1926" w:type="dxa"/>
            <w:shd w:val="clear" w:color="auto" w:fill="409DAD"/>
            <w:vAlign w:val="center"/>
          </w:tcPr>
          <w:p w:rsidR="00E2336B" w:rsidRPr="00A62C1C" w:rsidRDefault="00F23441" w:rsidP="00A62C1C">
            <w:pPr>
              <w:jc w:val="center"/>
              <w:rPr>
                <w:rFonts w:ascii="MinionPro-Regular" w:hAnsi="MinionPro-Regular" w:cs="Calibri"/>
                <w:color w:val="FFFFFF"/>
                <w:sz w:val="20"/>
                <w:lang w:val="es-ES_tradnl"/>
              </w:rPr>
            </w:pPr>
            <w:r>
              <w:rPr>
                <w:rFonts w:ascii="MinionPro-Regular" w:hAnsi="MinionPro-Regular" w:cs="Calibri"/>
                <w:color w:val="FFFFFF"/>
                <w:sz w:val="20"/>
                <w:lang w:val="es-ES_tradnl"/>
              </w:rPr>
              <w:t>PIB dedicado a gastos sanitarios</w:t>
            </w:r>
            <w:r w:rsidR="00E2336B" w:rsidRPr="00A62C1C">
              <w:rPr>
                <w:rFonts w:ascii="MinionPro-Regular" w:hAnsi="MinionPro-Regular" w:cs="Calibri"/>
                <w:color w:val="FFFFFF"/>
                <w:sz w:val="20"/>
                <w:lang w:val="es-ES_tradnl"/>
              </w:rPr>
              <w:t xml:space="preserve"> (euros)</w:t>
            </w:r>
          </w:p>
        </w:tc>
        <w:tc>
          <w:tcPr>
            <w:tcW w:w="1816" w:type="dxa"/>
            <w:shd w:val="clear" w:color="auto" w:fill="409DAD"/>
            <w:vAlign w:val="center"/>
          </w:tcPr>
          <w:p w:rsidR="00E2336B" w:rsidRPr="00A62C1C" w:rsidRDefault="00E2336B" w:rsidP="00A62C1C">
            <w:pPr>
              <w:jc w:val="center"/>
              <w:rPr>
                <w:rFonts w:ascii="MinionPro-Regular" w:hAnsi="MinionPro-Regular" w:cs="Calibri"/>
                <w:color w:val="FFFFFF"/>
                <w:sz w:val="20"/>
                <w:lang w:val="en-US"/>
              </w:rPr>
            </w:pPr>
            <w:r w:rsidRPr="00A62C1C">
              <w:rPr>
                <w:rFonts w:ascii="MinionPro-Regular" w:hAnsi="MinionPro-Regular" w:cs="Calibri"/>
                <w:color w:val="FFFFFF"/>
                <w:sz w:val="20"/>
                <w:lang w:val="en-US"/>
              </w:rPr>
              <w:t>Ratio España/UK</w:t>
            </w:r>
          </w:p>
        </w:tc>
      </w:tr>
      <w:tr w:rsidR="00E2336B" w:rsidRPr="00E55DA4" w:rsidTr="001624DD">
        <w:tblPrEx>
          <w:tblBorders>
            <w:bottom w:val="none" w:sz="0" w:space="0" w:color="auto"/>
          </w:tblBorders>
          <w:tblCellMar>
            <w:top w:w="0" w:type="dxa"/>
            <w:left w:w="108" w:type="dxa"/>
            <w:bottom w:w="0" w:type="dxa"/>
            <w:right w:w="108" w:type="dxa"/>
          </w:tblCellMar>
        </w:tblPrEx>
        <w:trPr>
          <w:trHeight w:val="304"/>
        </w:trPr>
        <w:tc>
          <w:tcPr>
            <w:tcW w:w="1547" w:type="dxa"/>
            <w:vAlign w:val="center"/>
          </w:tcPr>
          <w:p w:rsidR="00E2336B" w:rsidRPr="00A62C1C" w:rsidRDefault="00E2336B" w:rsidP="001624DD">
            <w:pPr>
              <w:spacing w:line="180" w:lineRule="atLeast"/>
              <w:jc w:val="center"/>
              <w:rPr>
                <w:rFonts w:ascii="MinionPro-Regular" w:hAnsi="MinionPro-Regular" w:cs="Calibri"/>
                <w:color w:val="000000"/>
                <w:sz w:val="20"/>
                <w:lang w:val="en-US"/>
              </w:rPr>
            </w:pPr>
            <w:r w:rsidRPr="00A62C1C">
              <w:rPr>
                <w:rFonts w:ascii="MinionPro-Regular" w:hAnsi="MinionPro-Regular" w:cs="Calibri"/>
                <w:color w:val="000000"/>
                <w:sz w:val="20"/>
                <w:lang w:val="en-US"/>
              </w:rPr>
              <w:t>España</w:t>
            </w:r>
          </w:p>
        </w:tc>
        <w:tc>
          <w:tcPr>
            <w:tcW w:w="1437" w:type="dxa"/>
            <w:vAlign w:val="center"/>
          </w:tcPr>
          <w:p w:rsidR="00E2336B" w:rsidRPr="00A62C1C" w:rsidRDefault="00E2336B" w:rsidP="001624DD">
            <w:pPr>
              <w:spacing w:line="180" w:lineRule="atLeast"/>
              <w:jc w:val="center"/>
              <w:rPr>
                <w:rFonts w:ascii="MinionPro-Regular" w:hAnsi="MinionPro-Regular" w:cs="Calibri"/>
                <w:color w:val="000000"/>
                <w:sz w:val="20"/>
                <w:lang w:val="en-US"/>
              </w:rPr>
            </w:pPr>
            <w:r w:rsidRPr="00A62C1C">
              <w:rPr>
                <w:rFonts w:ascii="MinionPro-Regular" w:hAnsi="MinionPro-Regular" w:cs="Calibri"/>
                <w:color w:val="000000"/>
                <w:sz w:val="20"/>
                <w:lang w:val="en-US"/>
              </w:rPr>
              <w:t>6,1</w:t>
            </w:r>
          </w:p>
        </w:tc>
        <w:tc>
          <w:tcPr>
            <w:tcW w:w="1784" w:type="dxa"/>
            <w:vAlign w:val="center"/>
          </w:tcPr>
          <w:p w:rsidR="00E2336B" w:rsidRPr="00A62C1C" w:rsidRDefault="00E2336B" w:rsidP="001624DD">
            <w:pPr>
              <w:spacing w:line="180" w:lineRule="atLeast"/>
              <w:jc w:val="center"/>
              <w:rPr>
                <w:rFonts w:ascii="MinionPro-Regular" w:hAnsi="MinionPro-Regular" w:cs="Calibri"/>
                <w:color w:val="000000"/>
                <w:sz w:val="20"/>
                <w:lang w:val="en-US"/>
              </w:rPr>
            </w:pPr>
            <w:r w:rsidRPr="00A62C1C">
              <w:rPr>
                <w:rFonts w:ascii="MinionPro-Regular" w:hAnsi="MinionPro-Regular" w:cs="Calibri"/>
                <w:color w:val="000000"/>
                <w:sz w:val="20"/>
                <w:lang w:val="en-US"/>
              </w:rPr>
              <w:t>1.048.060</w:t>
            </w:r>
          </w:p>
        </w:tc>
        <w:tc>
          <w:tcPr>
            <w:tcW w:w="1926" w:type="dxa"/>
            <w:noWrap/>
            <w:vAlign w:val="center"/>
          </w:tcPr>
          <w:p w:rsidR="00E2336B" w:rsidRPr="00A62C1C" w:rsidRDefault="00F23441" w:rsidP="001624DD">
            <w:pPr>
              <w:spacing w:line="180" w:lineRule="atLeast"/>
              <w:jc w:val="center"/>
              <w:rPr>
                <w:rFonts w:ascii="MinionPro-Regular" w:hAnsi="MinionPro-Regular" w:cs="Calibri"/>
                <w:color w:val="000000"/>
                <w:sz w:val="20"/>
                <w:lang w:val="en-US"/>
              </w:rPr>
            </w:pPr>
            <w:r>
              <w:rPr>
                <w:rFonts w:ascii="MinionPro-Regular" w:hAnsi="MinionPro-Regular" w:cs="Calibri"/>
                <w:color w:val="000000"/>
                <w:sz w:val="20"/>
                <w:lang w:val="en-US"/>
              </w:rPr>
              <w:t>63.932</w:t>
            </w:r>
          </w:p>
        </w:tc>
        <w:tc>
          <w:tcPr>
            <w:tcW w:w="1816" w:type="dxa"/>
            <w:vAlign w:val="center"/>
          </w:tcPr>
          <w:p w:rsidR="00E2336B" w:rsidRPr="00A62C1C" w:rsidRDefault="00F23441" w:rsidP="001624DD">
            <w:pPr>
              <w:spacing w:line="180" w:lineRule="atLeast"/>
              <w:jc w:val="center"/>
              <w:rPr>
                <w:rFonts w:ascii="MinionPro-Regular" w:hAnsi="MinionPro-Regular" w:cs="Calibri"/>
                <w:color w:val="000000"/>
                <w:sz w:val="20"/>
                <w:lang w:val="en-US"/>
              </w:rPr>
            </w:pPr>
            <w:r>
              <w:rPr>
                <w:rFonts w:ascii="MinionPro-Regular" w:hAnsi="MinionPro-Regular" w:cs="Calibri"/>
                <w:color w:val="000000"/>
                <w:sz w:val="20"/>
                <w:lang w:val="en-US"/>
              </w:rPr>
              <w:t>0,588856573</w:t>
            </w:r>
          </w:p>
        </w:tc>
      </w:tr>
      <w:tr w:rsidR="00E2336B" w:rsidRPr="00E55DA4" w:rsidTr="001624DD">
        <w:tblPrEx>
          <w:tblBorders>
            <w:bottom w:val="none" w:sz="0" w:space="0" w:color="auto"/>
          </w:tblBorders>
          <w:tblCellMar>
            <w:top w:w="0" w:type="dxa"/>
            <w:left w:w="108" w:type="dxa"/>
            <w:bottom w:w="0" w:type="dxa"/>
            <w:right w:w="108" w:type="dxa"/>
          </w:tblCellMar>
        </w:tblPrEx>
        <w:trPr>
          <w:trHeight w:val="304"/>
        </w:trPr>
        <w:tc>
          <w:tcPr>
            <w:tcW w:w="1547" w:type="dxa"/>
            <w:vAlign w:val="center"/>
          </w:tcPr>
          <w:p w:rsidR="00E2336B" w:rsidRPr="00A62C1C" w:rsidRDefault="00E2336B" w:rsidP="001624DD">
            <w:pPr>
              <w:spacing w:line="180" w:lineRule="atLeast"/>
              <w:jc w:val="center"/>
              <w:rPr>
                <w:rFonts w:ascii="MinionPro-Regular" w:hAnsi="MinionPro-Regular" w:cs="Calibri"/>
                <w:color w:val="000000"/>
                <w:sz w:val="20"/>
                <w:lang w:val="en-US"/>
              </w:rPr>
            </w:pPr>
            <w:r w:rsidRPr="00A62C1C">
              <w:rPr>
                <w:rFonts w:ascii="MinionPro-Regular" w:hAnsi="MinionPro-Regular" w:cs="Calibri"/>
                <w:color w:val="000000"/>
                <w:sz w:val="20"/>
                <w:lang w:val="en-US"/>
              </w:rPr>
              <w:t>UK</w:t>
            </w:r>
          </w:p>
        </w:tc>
        <w:tc>
          <w:tcPr>
            <w:tcW w:w="1437" w:type="dxa"/>
            <w:vAlign w:val="center"/>
          </w:tcPr>
          <w:p w:rsidR="00E2336B" w:rsidRPr="00A62C1C" w:rsidRDefault="00E2336B" w:rsidP="001624DD">
            <w:pPr>
              <w:spacing w:line="180" w:lineRule="atLeast"/>
              <w:jc w:val="center"/>
              <w:rPr>
                <w:rFonts w:ascii="MinionPro-Regular" w:hAnsi="MinionPro-Regular" w:cs="Calibri"/>
                <w:color w:val="000000"/>
                <w:sz w:val="20"/>
                <w:lang w:val="en-US"/>
              </w:rPr>
            </w:pPr>
            <w:r w:rsidRPr="00A62C1C">
              <w:rPr>
                <w:rFonts w:ascii="MinionPro-Regular" w:hAnsi="MinionPro-Regular" w:cs="Calibri"/>
                <w:color w:val="000000"/>
                <w:sz w:val="20"/>
                <w:lang w:val="en-US"/>
              </w:rPr>
              <w:t>6,9</w:t>
            </w:r>
          </w:p>
        </w:tc>
        <w:tc>
          <w:tcPr>
            <w:tcW w:w="1784" w:type="dxa"/>
            <w:vAlign w:val="center"/>
          </w:tcPr>
          <w:p w:rsidR="00E2336B" w:rsidRPr="00A62C1C" w:rsidRDefault="00E2336B" w:rsidP="001624DD">
            <w:pPr>
              <w:spacing w:line="180" w:lineRule="atLeast"/>
              <w:jc w:val="center"/>
              <w:rPr>
                <w:rFonts w:ascii="MinionPro-Regular" w:hAnsi="MinionPro-Regular" w:cs="Calibri"/>
                <w:color w:val="000000"/>
                <w:sz w:val="20"/>
                <w:lang w:val="en-US"/>
              </w:rPr>
            </w:pPr>
            <w:r w:rsidRPr="00A62C1C">
              <w:rPr>
                <w:rFonts w:ascii="MinionPro-Regular" w:hAnsi="MinionPro-Regular" w:cs="Calibri"/>
                <w:color w:val="000000"/>
                <w:sz w:val="20"/>
                <w:lang w:val="en-US"/>
              </w:rPr>
              <w:t>1.573.466</w:t>
            </w:r>
          </w:p>
        </w:tc>
        <w:tc>
          <w:tcPr>
            <w:tcW w:w="1926" w:type="dxa"/>
            <w:noWrap/>
            <w:vAlign w:val="center"/>
          </w:tcPr>
          <w:p w:rsidR="00E2336B" w:rsidRPr="00A62C1C" w:rsidRDefault="00F23441" w:rsidP="001624DD">
            <w:pPr>
              <w:spacing w:line="180" w:lineRule="atLeast"/>
              <w:jc w:val="center"/>
              <w:rPr>
                <w:rFonts w:ascii="MinionPro-Regular" w:hAnsi="MinionPro-Regular" w:cs="Calibri"/>
                <w:color w:val="000000"/>
                <w:sz w:val="20"/>
                <w:lang w:val="en-US"/>
              </w:rPr>
            </w:pPr>
            <w:r>
              <w:rPr>
                <w:rFonts w:ascii="MinionPro-Regular" w:hAnsi="MinionPro-Regular" w:cs="Calibri"/>
                <w:color w:val="000000"/>
                <w:sz w:val="20"/>
                <w:lang w:val="en-US"/>
              </w:rPr>
              <w:t>108.569</w:t>
            </w:r>
          </w:p>
        </w:tc>
        <w:tc>
          <w:tcPr>
            <w:tcW w:w="1816" w:type="dxa"/>
            <w:vAlign w:val="center"/>
          </w:tcPr>
          <w:p w:rsidR="00E2336B" w:rsidRPr="00A62C1C" w:rsidRDefault="00E2336B" w:rsidP="001624DD">
            <w:pPr>
              <w:jc w:val="center"/>
              <w:rPr>
                <w:rFonts w:ascii="MinionPro-Regular" w:hAnsi="MinionPro-Regular" w:cs="Calibri"/>
                <w:color w:val="000000"/>
                <w:sz w:val="20"/>
                <w:lang w:val="en-US"/>
              </w:rPr>
            </w:pPr>
          </w:p>
        </w:tc>
      </w:tr>
    </w:tbl>
    <w:p w:rsidR="00E2336B" w:rsidRPr="001678A4" w:rsidRDefault="00E2336B">
      <w:pPr>
        <w:pBdr>
          <w:bottom w:val="single" w:sz="4" w:space="1" w:color="auto"/>
        </w:pBdr>
        <w:autoSpaceDE w:val="0"/>
        <w:autoSpaceDN w:val="0"/>
        <w:spacing w:line="360" w:lineRule="auto"/>
        <w:jc w:val="both"/>
        <w:rPr>
          <w:rFonts w:ascii="MinionPro-Regular" w:hAnsi="MinionPro-Regular"/>
          <w:sz w:val="24"/>
          <w:szCs w:val="24"/>
        </w:rPr>
      </w:pPr>
      <w:r w:rsidRPr="00E55DA4">
        <w:rPr>
          <w:rFonts w:ascii="MinionPro-Regular" w:hAnsi="MinionPro-Regular" w:cs="Calibri"/>
          <w:color w:val="000000"/>
          <w:sz w:val="20"/>
          <w:lang w:val="en-US"/>
        </w:rPr>
        <w:t xml:space="preserve">Fuente: United Nations Development Programme. </w:t>
      </w:r>
      <w:r w:rsidR="00F23441" w:rsidRPr="001678A4">
        <w:rPr>
          <w:rFonts w:ascii="MinionPro-Regular" w:hAnsi="MinionPro-Regular" w:cs="Calibri"/>
          <w:color w:val="000000"/>
          <w:sz w:val="20"/>
        </w:rPr>
        <w:t>International Human Development Indicators</w:t>
      </w:r>
    </w:p>
    <w:p w:rsidR="002959F0" w:rsidRPr="001678A4" w:rsidRDefault="002959F0">
      <w:pPr>
        <w:autoSpaceDE w:val="0"/>
        <w:autoSpaceDN w:val="0"/>
        <w:spacing w:line="360" w:lineRule="auto"/>
        <w:jc w:val="both"/>
        <w:rPr>
          <w:rFonts w:ascii="MinionPro-Regular" w:hAnsi="MinionPro-Regular"/>
          <w:sz w:val="24"/>
          <w:szCs w:val="24"/>
        </w:rPr>
      </w:pPr>
    </w:p>
    <w:p w:rsidR="002959F0" w:rsidRDefault="00E2336B">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Teniendo en cuenta el ratio de España/Reino Unido en lo que a gasto sanitario se refiere, los cálculos realizados se muestran a continuación:</w:t>
      </w:r>
    </w:p>
    <w:p w:rsidR="002959F0" w:rsidRDefault="002959F0">
      <w:pPr>
        <w:autoSpaceDE w:val="0"/>
        <w:autoSpaceDN w:val="0"/>
        <w:spacing w:line="360" w:lineRule="auto"/>
        <w:jc w:val="both"/>
        <w:rPr>
          <w:rFonts w:ascii="MinionPro-Regular" w:hAnsi="MinionPro-Regular"/>
          <w:sz w:val="24"/>
          <w:szCs w:val="24"/>
          <w:lang w:val="es-ES_tradnl"/>
        </w:rPr>
      </w:pPr>
    </w:p>
    <w:p w:rsidR="00E2336B" w:rsidRPr="00E2336B" w:rsidRDefault="00E2336B">
      <w:pPr>
        <w:pStyle w:val="Textoindependiente"/>
        <w:pBdr>
          <w:top w:val="single" w:sz="4" w:space="1" w:color="auto"/>
        </w:pBdr>
        <w:rPr>
          <w:rFonts w:ascii="MinionPro-Regular" w:hAnsi="MinionPro-Regular"/>
          <w:sz w:val="20"/>
        </w:rPr>
      </w:pPr>
      <w:r w:rsidRPr="00F042F1">
        <w:rPr>
          <w:rFonts w:ascii="MinionPro-Regular" w:hAnsi="MinionPro-Regular"/>
          <w:sz w:val="20"/>
        </w:rPr>
        <w:t xml:space="preserve">Tabla </w:t>
      </w:r>
      <w:r>
        <w:rPr>
          <w:rFonts w:ascii="MinionPro-Regular" w:hAnsi="MinionPro-Regular"/>
          <w:sz w:val="20"/>
        </w:rPr>
        <w:t>con la estimación del ahorro en gasto sanitario</w:t>
      </w:r>
    </w:p>
    <w:tbl>
      <w:tblPr>
        <w:tblW w:w="8613" w:type="dxa"/>
        <w:tblBorders>
          <w:bottom w:val="single" w:sz="12" w:space="0" w:color="409DAD"/>
        </w:tblBorders>
        <w:tblCellMar>
          <w:top w:w="28" w:type="dxa"/>
          <w:left w:w="28" w:type="dxa"/>
          <w:bottom w:w="28" w:type="dxa"/>
          <w:right w:w="28" w:type="dxa"/>
        </w:tblCellMar>
        <w:tblLook w:val="00A0"/>
      </w:tblPr>
      <w:tblGrid>
        <w:gridCol w:w="1560"/>
        <w:gridCol w:w="1129"/>
        <w:gridCol w:w="1573"/>
        <w:gridCol w:w="1684"/>
        <w:gridCol w:w="1462"/>
        <w:gridCol w:w="1205"/>
      </w:tblGrid>
      <w:tr w:rsidR="00E2336B" w:rsidRPr="00E03578" w:rsidTr="00A62C1C">
        <w:trPr>
          <w:trHeight w:val="480"/>
        </w:trPr>
        <w:tc>
          <w:tcPr>
            <w:tcW w:w="1560" w:type="dxa"/>
            <w:shd w:val="clear" w:color="auto" w:fill="409DAD"/>
            <w:noWrap/>
            <w:vAlign w:val="center"/>
          </w:tcPr>
          <w:p w:rsidR="00E2336B" w:rsidRPr="00A62C1C" w:rsidRDefault="00E2336B" w:rsidP="00A62C1C">
            <w:pPr>
              <w:spacing w:line="180" w:lineRule="atLeast"/>
              <w:rPr>
                <w:rFonts w:ascii="MinionPro-Regular" w:hAnsi="MinionPro-Regular" w:cs="Calibri"/>
                <w:color w:val="000000"/>
                <w:sz w:val="20"/>
                <w:lang w:val="es-ES_tradnl"/>
              </w:rPr>
            </w:pPr>
            <w:r w:rsidRPr="00A62C1C">
              <w:rPr>
                <w:rFonts w:ascii="MinionPro-Regular" w:hAnsi="MinionPro-Regular" w:cs="Calibri"/>
                <w:color w:val="000000"/>
                <w:sz w:val="20"/>
                <w:lang w:val="es-ES_tradnl"/>
              </w:rPr>
              <w:t> </w:t>
            </w:r>
          </w:p>
        </w:tc>
        <w:tc>
          <w:tcPr>
            <w:tcW w:w="1129" w:type="dxa"/>
            <w:shd w:val="clear" w:color="auto" w:fill="409DAD"/>
            <w:vAlign w:val="center"/>
          </w:tcPr>
          <w:p w:rsidR="00E2336B" w:rsidRPr="00A62C1C" w:rsidRDefault="00E2336B" w:rsidP="00A62C1C">
            <w:pPr>
              <w:jc w:val="center"/>
              <w:rPr>
                <w:rFonts w:ascii="MinionPro-Regular" w:hAnsi="MinionPro-Regular" w:cs="Calibri"/>
                <w:color w:val="FFFFFF"/>
                <w:sz w:val="20"/>
                <w:lang w:val="es-ES_tradnl"/>
              </w:rPr>
            </w:pPr>
            <w:r w:rsidRPr="00A62C1C">
              <w:rPr>
                <w:rFonts w:ascii="MinionPro-Regular" w:hAnsi="MinionPro-Regular" w:cs="Calibri"/>
                <w:color w:val="FFFFFF"/>
                <w:sz w:val="20"/>
                <w:lang w:val="es-ES_tradnl"/>
              </w:rPr>
              <w:t>Trabajadores con discapacidad psíquica en CEE (nº)</w:t>
            </w:r>
          </w:p>
        </w:tc>
        <w:tc>
          <w:tcPr>
            <w:tcW w:w="1585" w:type="dxa"/>
            <w:shd w:val="clear" w:color="auto" w:fill="409DAD"/>
            <w:vAlign w:val="center"/>
          </w:tcPr>
          <w:p w:rsidR="00E2336B" w:rsidRPr="00A62C1C" w:rsidRDefault="00E2336B" w:rsidP="00A62C1C">
            <w:pPr>
              <w:jc w:val="center"/>
              <w:rPr>
                <w:rFonts w:ascii="MinionPro-Regular" w:hAnsi="MinionPro-Regular" w:cs="Calibri"/>
                <w:color w:val="FFFFFF"/>
                <w:sz w:val="20"/>
                <w:lang w:val="es-ES_tradnl"/>
              </w:rPr>
            </w:pPr>
            <w:r w:rsidRPr="00A62C1C">
              <w:rPr>
                <w:rFonts w:ascii="MinionPro-Regular" w:hAnsi="MinionPro-Regular" w:cs="Calibri"/>
                <w:color w:val="FFFFFF"/>
                <w:sz w:val="20"/>
                <w:lang w:val="es-ES_tradnl"/>
              </w:rPr>
              <w:t>Personas con enfermedad mental*</w:t>
            </w:r>
            <w:r w:rsidR="00F23441">
              <w:rPr>
                <w:rFonts w:ascii="MinionPro-Regular" w:hAnsi="MinionPro-Regular" w:cs="Calibri"/>
                <w:color w:val="FFFFFF"/>
                <w:sz w:val="20"/>
                <w:lang w:val="es-ES_tradnl"/>
              </w:rPr>
              <w:t xml:space="preserve"> (nº)</w:t>
            </w:r>
          </w:p>
        </w:tc>
        <w:tc>
          <w:tcPr>
            <w:tcW w:w="1689" w:type="dxa"/>
            <w:shd w:val="clear" w:color="auto" w:fill="409DAD"/>
            <w:vAlign w:val="center"/>
          </w:tcPr>
          <w:p w:rsidR="00E2336B" w:rsidRPr="00A62C1C" w:rsidRDefault="00E2336B" w:rsidP="00A62C1C">
            <w:pPr>
              <w:jc w:val="center"/>
              <w:rPr>
                <w:rFonts w:ascii="MinionPro-Regular" w:hAnsi="MinionPro-Regular" w:cs="Calibri"/>
                <w:color w:val="FFFFFF"/>
                <w:sz w:val="20"/>
                <w:lang w:val="es-ES_tradnl"/>
              </w:rPr>
            </w:pPr>
            <w:r w:rsidRPr="00A62C1C">
              <w:rPr>
                <w:rFonts w:ascii="MinionPro-Regular" w:hAnsi="MinionPro-Regular" w:cs="Calibri"/>
                <w:color w:val="FFFFFF"/>
                <w:sz w:val="20"/>
                <w:lang w:val="es-ES_tradnl"/>
              </w:rPr>
              <w:t>Ahorro sanitario/persona (€/año )</w:t>
            </w:r>
          </w:p>
        </w:tc>
        <w:tc>
          <w:tcPr>
            <w:tcW w:w="1443" w:type="dxa"/>
            <w:shd w:val="clear" w:color="auto" w:fill="409DAD"/>
            <w:vAlign w:val="center"/>
          </w:tcPr>
          <w:p w:rsidR="00E2336B" w:rsidRPr="00A62C1C" w:rsidRDefault="00E2336B" w:rsidP="00A62C1C">
            <w:pPr>
              <w:jc w:val="center"/>
              <w:rPr>
                <w:rFonts w:ascii="MinionPro-Regular" w:hAnsi="MinionPro-Regular" w:cs="Calibri"/>
                <w:color w:val="FFFFFF"/>
                <w:sz w:val="20"/>
                <w:lang w:val="es-ES_tradnl"/>
              </w:rPr>
            </w:pPr>
            <w:r w:rsidRPr="00A62C1C">
              <w:rPr>
                <w:rFonts w:ascii="MinionPro-Regular" w:hAnsi="MinionPro-Regular" w:cs="Calibri"/>
                <w:color w:val="FFFFFF"/>
                <w:sz w:val="20"/>
                <w:lang w:val="es-ES_tradnl"/>
              </w:rPr>
              <w:t>Ahorro sanitario/persona (€/año ) aplicando el ratio de gasto sanitario</w:t>
            </w:r>
          </w:p>
        </w:tc>
        <w:tc>
          <w:tcPr>
            <w:tcW w:w="1207" w:type="dxa"/>
            <w:shd w:val="clear" w:color="auto" w:fill="409DAD"/>
            <w:vAlign w:val="center"/>
          </w:tcPr>
          <w:p w:rsidR="00E2336B" w:rsidRPr="001624DD" w:rsidRDefault="00E2336B" w:rsidP="00A62C1C">
            <w:pPr>
              <w:spacing w:line="180" w:lineRule="atLeast"/>
              <w:jc w:val="center"/>
              <w:rPr>
                <w:rFonts w:ascii="MinionPro-Regular" w:hAnsi="MinionPro-Regular" w:cs="Calibri"/>
                <w:b/>
                <w:color w:val="FFFFFF"/>
                <w:sz w:val="20"/>
                <w:lang w:val="en-US"/>
              </w:rPr>
            </w:pPr>
            <w:r w:rsidRPr="001624DD">
              <w:rPr>
                <w:rFonts w:ascii="MinionPro-Regular" w:hAnsi="MinionPro-Regular" w:cs="Calibri"/>
                <w:b/>
                <w:color w:val="FFFFFF"/>
                <w:sz w:val="20"/>
                <w:lang w:val="en-US"/>
              </w:rPr>
              <w:t>Total (Euros/año)</w:t>
            </w:r>
          </w:p>
        </w:tc>
      </w:tr>
      <w:tr w:rsidR="00E2336B" w:rsidRPr="00E03578" w:rsidTr="00A62C1C">
        <w:trPr>
          <w:trHeight w:val="480"/>
        </w:trPr>
        <w:tc>
          <w:tcPr>
            <w:tcW w:w="1560" w:type="dxa"/>
            <w:tcBorders>
              <w:bottom w:val="single" w:sz="12" w:space="0" w:color="409DAD"/>
            </w:tcBorders>
            <w:vAlign w:val="center"/>
          </w:tcPr>
          <w:p w:rsidR="00E2336B" w:rsidRPr="00A62C1C" w:rsidRDefault="00E2336B" w:rsidP="00A62C1C">
            <w:pPr>
              <w:spacing w:line="180" w:lineRule="atLeast"/>
              <w:rPr>
                <w:rFonts w:ascii="MinionPro-Regular" w:hAnsi="MinionPro-Regular" w:cs="Calibri"/>
                <w:sz w:val="20"/>
                <w:lang w:val="es-ES_tradnl"/>
              </w:rPr>
            </w:pPr>
            <w:r w:rsidRPr="00A62C1C">
              <w:rPr>
                <w:rFonts w:ascii="MinionPro-Regular" w:hAnsi="MinionPro-Regular" w:cs="Calibri"/>
                <w:sz w:val="20"/>
                <w:lang w:val="es-ES_tradnl"/>
              </w:rPr>
              <w:t>Estimación del gasto sanitario</w:t>
            </w:r>
          </w:p>
        </w:tc>
        <w:tc>
          <w:tcPr>
            <w:tcW w:w="1129" w:type="dxa"/>
            <w:tcBorders>
              <w:bottom w:val="single" w:sz="12" w:space="0" w:color="409DAD"/>
            </w:tcBorders>
            <w:vAlign w:val="center"/>
          </w:tcPr>
          <w:p w:rsidR="00E2336B" w:rsidRPr="00A62C1C" w:rsidRDefault="00E2336B" w:rsidP="00A62C1C">
            <w:pPr>
              <w:spacing w:line="180" w:lineRule="atLeast"/>
              <w:jc w:val="center"/>
              <w:rPr>
                <w:rFonts w:ascii="MinionPro-Regular" w:hAnsi="MinionPro-Regular" w:cs="Calibri"/>
                <w:color w:val="000000"/>
                <w:sz w:val="20"/>
                <w:lang w:val="en-US"/>
              </w:rPr>
            </w:pPr>
            <w:r w:rsidRPr="00A62C1C">
              <w:rPr>
                <w:rFonts w:ascii="MinionPro-Regular" w:hAnsi="MinionPro-Regular" w:cs="Calibri"/>
                <w:color w:val="000000"/>
                <w:sz w:val="20"/>
                <w:lang w:val="en-US"/>
              </w:rPr>
              <w:t>27.268</w:t>
            </w:r>
          </w:p>
        </w:tc>
        <w:tc>
          <w:tcPr>
            <w:tcW w:w="1585" w:type="dxa"/>
            <w:tcBorders>
              <w:bottom w:val="single" w:sz="12" w:space="0" w:color="409DAD"/>
            </w:tcBorders>
            <w:vAlign w:val="center"/>
          </w:tcPr>
          <w:p w:rsidR="00E2336B" w:rsidRPr="00A62C1C" w:rsidRDefault="00E2336B" w:rsidP="00A62C1C">
            <w:pPr>
              <w:spacing w:line="180" w:lineRule="atLeast"/>
              <w:jc w:val="center"/>
              <w:rPr>
                <w:rFonts w:ascii="MinionPro-Regular" w:hAnsi="MinionPro-Regular" w:cs="Calibri"/>
                <w:color w:val="000000"/>
                <w:sz w:val="20"/>
                <w:lang w:val="en-US"/>
              </w:rPr>
            </w:pPr>
            <w:r w:rsidRPr="00A62C1C">
              <w:rPr>
                <w:rFonts w:ascii="MinionPro-Regular" w:hAnsi="MinionPro-Regular" w:cs="Calibri"/>
                <w:color w:val="000000"/>
                <w:sz w:val="20"/>
                <w:lang w:val="en-US"/>
              </w:rPr>
              <w:t>13.759</w:t>
            </w:r>
          </w:p>
        </w:tc>
        <w:tc>
          <w:tcPr>
            <w:tcW w:w="1689" w:type="dxa"/>
            <w:tcBorders>
              <w:bottom w:val="single" w:sz="12" w:space="0" w:color="409DAD"/>
            </w:tcBorders>
            <w:vAlign w:val="center"/>
          </w:tcPr>
          <w:p w:rsidR="00E2336B" w:rsidRPr="00A62C1C" w:rsidRDefault="00E2336B" w:rsidP="00A62C1C">
            <w:pPr>
              <w:spacing w:line="180" w:lineRule="atLeast"/>
              <w:jc w:val="center"/>
              <w:rPr>
                <w:rFonts w:ascii="MinionPro-Regular" w:hAnsi="MinionPro-Regular" w:cs="Calibri"/>
                <w:color w:val="000000"/>
                <w:sz w:val="20"/>
                <w:lang w:val="en-US"/>
              </w:rPr>
            </w:pPr>
            <w:r w:rsidRPr="00A62C1C">
              <w:rPr>
                <w:rFonts w:ascii="MinionPro-Regular" w:hAnsi="MinionPro-Regular" w:cs="Calibri"/>
                <w:color w:val="000000"/>
                <w:sz w:val="20"/>
                <w:lang w:val="en-US"/>
              </w:rPr>
              <w:t>12.000</w:t>
            </w:r>
          </w:p>
        </w:tc>
        <w:tc>
          <w:tcPr>
            <w:tcW w:w="1443" w:type="dxa"/>
            <w:tcBorders>
              <w:bottom w:val="single" w:sz="12" w:space="0" w:color="409DAD"/>
            </w:tcBorders>
            <w:vAlign w:val="center"/>
          </w:tcPr>
          <w:p w:rsidR="00E2336B" w:rsidRPr="00A62C1C" w:rsidRDefault="00E2336B" w:rsidP="00A62C1C">
            <w:pPr>
              <w:spacing w:line="180" w:lineRule="atLeast"/>
              <w:jc w:val="center"/>
              <w:rPr>
                <w:rFonts w:ascii="MinionPro-Regular" w:hAnsi="MinionPro-Regular" w:cs="Calibri"/>
                <w:color w:val="000000"/>
                <w:sz w:val="20"/>
                <w:lang w:val="en-US"/>
              </w:rPr>
            </w:pPr>
            <w:r w:rsidRPr="00A62C1C">
              <w:rPr>
                <w:rFonts w:ascii="MinionPro-Regular" w:hAnsi="MinionPro-Regular" w:cs="Calibri"/>
                <w:color w:val="000000"/>
                <w:sz w:val="20"/>
                <w:lang w:val="en-US"/>
              </w:rPr>
              <w:t>7.066</w:t>
            </w:r>
          </w:p>
        </w:tc>
        <w:tc>
          <w:tcPr>
            <w:tcW w:w="1207" w:type="dxa"/>
            <w:tcBorders>
              <w:bottom w:val="single" w:sz="12" w:space="0" w:color="409DAD"/>
            </w:tcBorders>
            <w:vAlign w:val="center"/>
          </w:tcPr>
          <w:p w:rsidR="00E2336B" w:rsidRPr="001624DD" w:rsidRDefault="00E2336B" w:rsidP="00A62C1C">
            <w:pPr>
              <w:spacing w:line="180" w:lineRule="atLeast"/>
              <w:jc w:val="center"/>
              <w:rPr>
                <w:rFonts w:ascii="MinionPro-Regular" w:hAnsi="MinionPro-Regular" w:cs="Calibri"/>
                <w:b/>
                <w:color w:val="000000"/>
                <w:sz w:val="20"/>
                <w:lang w:val="en-US"/>
              </w:rPr>
            </w:pPr>
            <w:r w:rsidRPr="001624DD">
              <w:rPr>
                <w:rFonts w:ascii="MinionPro-Regular" w:hAnsi="MinionPro-Regular" w:cs="Calibri"/>
                <w:b/>
                <w:color w:val="000000"/>
                <w:sz w:val="20"/>
                <w:lang w:val="en-US"/>
              </w:rPr>
              <w:t>97.227.989</w:t>
            </w:r>
          </w:p>
        </w:tc>
      </w:tr>
    </w:tbl>
    <w:p w:rsidR="00E2336B" w:rsidRPr="00761DAC" w:rsidRDefault="00E2336B" w:rsidP="00B2691D">
      <w:pPr>
        <w:pBdr>
          <w:bottom w:val="single" w:sz="4" w:space="1" w:color="auto"/>
        </w:pBdr>
        <w:autoSpaceDE w:val="0"/>
        <w:autoSpaceDN w:val="0"/>
        <w:spacing w:line="360" w:lineRule="auto"/>
        <w:jc w:val="both"/>
        <w:rPr>
          <w:rFonts w:ascii="MinionPro-Regular" w:hAnsi="MinionPro-Regular"/>
          <w:sz w:val="20"/>
          <w:szCs w:val="24"/>
          <w:lang w:val="es-ES_tradnl"/>
        </w:rPr>
      </w:pPr>
      <w:r w:rsidRPr="00761DAC">
        <w:rPr>
          <w:rFonts w:ascii="MinionPro-Regular" w:hAnsi="MinionPro-Regular"/>
          <w:sz w:val="20"/>
          <w:szCs w:val="24"/>
          <w:lang w:val="es-ES_tradnl"/>
        </w:rPr>
        <w:t>Fuente: Elaboración propia</w:t>
      </w:r>
    </w:p>
    <w:p w:rsidR="00E2336B" w:rsidRDefault="00E2336B" w:rsidP="00890FE5">
      <w:pPr>
        <w:autoSpaceDE w:val="0"/>
        <w:autoSpaceDN w:val="0"/>
        <w:spacing w:line="360" w:lineRule="auto"/>
        <w:jc w:val="both"/>
        <w:rPr>
          <w:rFonts w:ascii="MinionPro-Regular" w:hAnsi="MinionPro-Regular"/>
          <w:sz w:val="24"/>
          <w:szCs w:val="24"/>
          <w:lang w:val="es-ES_tradnl"/>
        </w:rPr>
      </w:pPr>
    </w:p>
    <w:p w:rsidR="00E2336B" w:rsidRDefault="00E2336B" w:rsidP="00890FE5">
      <w:pPr>
        <w:autoSpaceDE w:val="0"/>
        <w:autoSpaceDN w:val="0"/>
        <w:spacing w:line="360" w:lineRule="auto"/>
        <w:jc w:val="both"/>
        <w:rPr>
          <w:rFonts w:ascii="MinionPro-Regular" w:hAnsi="MinionPro-Regular"/>
          <w:sz w:val="24"/>
          <w:szCs w:val="24"/>
          <w:lang w:val="es-ES_tradnl"/>
        </w:rPr>
      </w:pPr>
    </w:p>
    <w:p w:rsidR="002959F0" w:rsidRDefault="00F23441">
      <w:pPr>
        <w:autoSpaceDE w:val="0"/>
        <w:autoSpaceDN w:val="0"/>
        <w:spacing w:line="360" w:lineRule="auto"/>
        <w:jc w:val="both"/>
        <w:rPr>
          <w:rFonts w:ascii="MinionPro-Regular" w:hAnsi="MinionPro-Regular"/>
          <w:sz w:val="24"/>
          <w:szCs w:val="24"/>
          <w:lang w:val="es-ES_tradnl"/>
        </w:rPr>
      </w:pPr>
      <w:bookmarkStart w:id="433" w:name="_Toc340340571"/>
      <w:r w:rsidRPr="00F23441">
        <w:rPr>
          <w:rFonts w:ascii="MinionPro-Regular" w:hAnsi="MinionPro-Regular"/>
          <w:sz w:val="24"/>
          <w:szCs w:val="24"/>
          <w:lang w:val="es-ES_tradnl"/>
        </w:rPr>
        <w:t xml:space="preserve">A modo de resumen, podría decirse que el retorno </w:t>
      </w:r>
      <w:r w:rsidR="00E2336B">
        <w:rPr>
          <w:rFonts w:ascii="MinionPro-Regular" w:hAnsi="MinionPro-Regular"/>
          <w:sz w:val="24"/>
          <w:szCs w:val="24"/>
          <w:lang w:val="es-ES_tradnl"/>
        </w:rPr>
        <w:t>sin</w:t>
      </w:r>
      <w:r w:rsidRPr="00F23441">
        <w:rPr>
          <w:rFonts w:ascii="MinionPro-Regular" w:hAnsi="MinionPro-Regular"/>
          <w:sz w:val="24"/>
          <w:szCs w:val="24"/>
          <w:lang w:val="es-ES_tradnl"/>
        </w:rPr>
        <w:t xml:space="preserve"> salida de caja</w:t>
      </w:r>
      <w:r w:rsidR="00E2336B">
        <w:rPr>
          <w:rFonts w:ascii="MinionPro-Regular" w:hAnsi="MinionPro-Regular"/>
          <w:sz w:val="24"/>
          <w:szCs w:val="24"/>
          <w:lang w:val="es-ES_tradnl"/>
        </w:rPr>
        <w:t xml:space="preserve"> refleja la importancia de mantener e incrementar el empleo para las personas con discapacidad</w:t>
      </w:r>
      <w:r w:rsidRPr="00F23441">
        <w:rPr>
          <w:rFonts w:ascii="MinionPro-Regular" w:hAnsi="MinionPro-Regular"/>
          <w:sz w:val="24"/>
          <w:szCs w:val="24"/>
          <w:lang w:val="es-ES_tradnl"/>
        </w:rPr>
        <w:t xml:space="preserve"> </w:t>
      </w:r>
      <w:r w:rsidR="00E2336B">
        <w:rPr>
          <w:rFonts w:ascii="MinionPro-Regular" w:hAnsi="MinionPro-Regular"/>
          <w:sz w:val="24"/>
          <w:szCs w:val="24"/>
          <w:lang w:val="es-ES_tradnl"/>
        </w:rPr>
        <w:t>en los centros especiales de empleo. A continuación se exponen las estimaciones totales que no implican salida de efectivo:</w:t>
      </w:r>
    </w:p>
    <w:p w:rsidR="002959F0" w:rsidRDefault="002959F0">
      <w:pPr>
        <w:autoSpaceDE w:val="0"/>
        <w:autoSpaceDN w:val="0"/>
        <w:spacing w:line="360" w:lineRule="auto"/>
        <w:jc w:val="both"/>
        <w:rPr>
          <w:rFonts w:ascii="MinionPro-Regular" w:hAnsi="MinionPro-Regular"/>
          <w:sz w:val="24"/>
          <w:szCs w:val="24"/>
          <w:lang w:val="es-ES_tradnl"/>
        </w:rPr>
      </w:pPr>
    </w:p>
    <w:p w:rsidR="00E2336B" w:rsidRPr="005537A9" w:rsidRDefault="00E2336B" w:rsidP="00355E6D">
      <w:pPr>
        <w:pStyle w:val="Textoindependiente"/>
        <w:pBdr>
          <w:top w:val="single" w:sz="4" w:space="1" w:color="auto"/>
        </w:pBdr>
        <w:rPr>
          <w:rFonts w:ascii="MinionPro-Regular" w:hAnsi="MinionPro-Regular"/>
          <w:sz w:val="20"/>
        </w:rPr>
      </w:pPr>
      <w:r w:rsidRPr="005537A9">
        <w:rPr>
          <w:rFonts w:ascii="MinionPro-Regular" w:hAnsi="MinionPro-Regular"/>
          <w:sz w:val="20"/>
        </w:rPr>
        <w:t>Tabla resumen del retorno de los centros especiales de empleo que no implica una salida de efectivo de los mismos hacia las arcas públicas</w:t>
      </w:r>
    </w:p>
    <w:tbl>
      <w:tblPr>
        <w:tblStyle w:val="KPMGtable"/>
        <w:tblW w:w="8613" w:type="dxa"/>
        <w:tblLayout w:type="fixed"/>
        <w:tblLook w:val="00A0"/>
      </w:tblPr>
      <w:tblGrid>
        <w:gridCol w:w="1588"/>
        <w:gridCol w:w="1134"/>
        <w:gridCol w:w="1559"/>
        <w:gridCol w:w="1701"/>
        <w:gridCol w:w="1417"/>
        <w:gridCol w:w="1214"/>
      </w:tblGrid>
      <w:tr w:rsidR="00324F8D" w:rsidRPr="00E03578" w:rsidTr="00324F8D">
        <w:trPr>
          <w:cnfStyle w:val="100000000000"/>
          <w:trHeight w:val="480"/>
        </w:trPr>
        <w:tc>
          <w:tcPr>
            <w:tcW w:w="1588" w:type="dxa"/>
            <w:vMerge w:val="restart"/>
            <w:noWrap/>
            <w:vAlign w:val="center"/>
          </w:tcPr>
          <w:p w:rsidR="00324F8D" w:rsidRPr="00B56E1C" w:rsidRDefault="00324F8D" w:rsidP="00324F8D">
            <w:pPr>
              <w:rPr>
                <w:rFonts w:ascii="MinionPro-Regular" w:hAnsi="MinionPro-Regular" w:cs="Calibri"/>
                <w:sz w:val="20"/>
                <w:lang w:val="es-ES_tradnl"/>
              </w:rPr>
            </w:pPr>
            <w:r w:rsidRPr="00B56E1C">
              <w:rPr>
                <w:rFonts w:ascii="MinionPro-Regular" w:hAnsi="MinionPro-Regular" w:cs="Calibri"/>
                <w:sz w:val="20"/>
                <w:lang w:val="es-ES_tradnl"/>
              </w:rPr>
              <w:t> </w:t>
            </w:r>
          </w:p>
          <w:p w:rsidR="00324F8D" w:rsidRPr="00B56E1C" w:rsidRDefault="00324F8D" w:rsidP="00324F8D">
            <w:pPr>
              <w:rPr>
                <w:rFonts w:ascii="MinionPro-Regular" w:hAnsi="MinionPro-Regular" w:cs="Calibri"/>
                <w:sz w:val="20"/>
                <w:lang w:val="es-ES_tradnl"/>
              </w:rPr>
            </w:pPr>
            <w:r w:rsidRPr="00A62C1C">
              <w:rPr>
                <w:rFonts w:ascii="MinionPro-Regular" w:hAnsi="MinionPro-Regular" w:cs="Calibri"/>
                <w:sz w:val="20"/>
                <w:lang w:val="es-ES_tradnl"/>
              </w:rPr>
              <w:t xml:space="preserve">Retorno que no implica salida de </w:t>
            </w:r>
            <w:r w:rsidRPr="00A62C1C">
              <w:rPr>
                <w:rFonts w:ascii="MinionPro-Regular" w:hAnsi="MinionPro-Regular" w:cs="Calibri"/>
                <w:sz w:val="20"/>
                <w:lang w:val="es-ES_tradnl"/>
              </w:rPr>
              <w:lastRenderedPageBreak/>
              <w:t>efectivo</w:t>
            </w:r>
          </w:p>
        </w:tc>
        <w:tc>
          <w:tcPr>
            <w:tcW w:w="1134" w:type="dxa"/>
            <w:vAlign w:val="center"/>
          </w:tcPr>
          <w:p w:rsidR="00324F8D" w:rsidRPr="00B56E1C" w:rsidRDefault="00324F8D" w:rsidP="001624DD">
            <w:pPr>
              <w:jc w:val="center"/>
              <w:rPr>
                <w:rFonts w:ascii="MinionPro-Regular" w:hAnsi="MinionPro-Regular" w:cs="Calibri"/>
                <w:sz w:val="20"/>
                <w:lang w:val="en-US"/>
              </w:rPr>
            </w:pPr>
            <w:r w:rsidRPr="00B56E1C">
              <w:rPr>
                <w:rFonts w:ascii="MinionPro-Regular" w:hAnsi="MinionPro-Regular" w:cs="Calibri"/>
                <w:sz w:val="20"/>
                <w:lang w:val="en-US"/>
              </w:rPr>
              <w:lastRenderedPageBreak/>
              <w:t>LISMI (euros)</w:t>
            </w:r>
          </w:p>
        </w:tc>
        <w:tc>
          <w:tcPr>
            <w:tcW w:w="1559" w:type="dxa"/>
            <w:vAlign w:val="center"/>
          </w:tcPr>
          <w:p w:rsidR="00324F8D" w:rsidRPr="00B56E1C" w:rsidRDefault="00324F8D" w:rsidP="001624DD">
            <w:pPr>
              <w:jc w:val="center"/>
              <w:rPr>
                <w:rFonts w:ascii="MinionPro-Regular" w:hAnsi="MinionPro-Regular" w:cs="Calibri"/>
                <w:sz w:val="20"/>
                <w:lang w:val="en-US"/>
              </w:rPr>
            </w:pPr>
            <w:r w:rsidRPr="00B56E1C">
              <w:rPr>
                <w:rFonts w:ascii="MinionPro-Regular" w:hAnsi="MinionPro-Regular" w:cs="Calibri"/>
                <w:sz w:val="20"/>
                <w:lang w:val="en-US"/>
              </w:rPr>
              <w:t>Pensiones no contributivas (euros)</w:t>
            </w:r>
          </w:p>
        </w:tc>
        <w:tc>
          <w:tcPr>
            <w:tcW w:w="1701" w:type="dxa"/>
            <w:vAlign w:val="center"/>
          </w:tcPr>
          <w:p w:rsidR="00324F8D" w:rsidRPr="00B56E1C" w:rsidRDefault="00324F8D" w:rsidP="001624DD">
            <w:pPr>
              <w:jc w:val="center"/>
              <w:rPr>
                <w:rFonts w:ascii="MinionPro-Regular" w:hAnsi="MinionPro-Regular" w:cs="Calibri"/>
                <w:sz w:val="20"/>
                <w:lang w:val="en-US"/>
              </w:rPr>
            </w:pPr>
            <w:r w:rsidRPr="00B56E1C">
              <w:rPr>
                <w:rFonts w:ascii="MinionPro-Regular" w:hAnsi="MinionPro-Regular" w:cs="Calibri"/>
                <w:sz w:val="20"/>
                <w:lang w:val="en-US"/>
              </w:rPr>
              <w:t>Pensiones contributivas  (euros)</w:t>
            </w:r>
          </w:p>
        </w:tc>
        <w:tc>
          <w:tcPr>
            <w:tcW w:w="1417" w:type="dxa"/>
            <w:vAlign w:val="center"/>
          </w:tcPr>
          <w:p w:rsidR="00324F8D" w:rsidRPr="00B56E1C" w:rsidRDefault="00324F8D" w:rsidP="001624DD">
            <w:pPr>
              <w:jc w:val="center"/>
              <w:rPr>
                <w:rFonts w:ascii="MinionPro-Regular" w:hAnsi="MinionPro-Regular" w:cs="Calibri"/>
                <w:sz w:val="20"/>
                <w:lang w:val="en-US"/>
              </w:rPr>
            </w:pPr>
            <w:r w:rsidRPr="00B56E1C">
              <w:rPr>
                <w:rFonts w:ascii="MinionPro-Regular" w:hAnsi="MinionPro-Regular" w:cs="Calibri"/>
                <w:sz w:val="20"/>
                <w:lang w:val="en-US"/>
              </w:rPr>
              <w:t>Gasto sanitario (euros)</w:t>
            </w:r>
          </w:p>
        </w:tc>
        <w:tc>
          <w:tcPr>
            <w:tcW w:w="1214" w:type="dxa"/>
            <w:vAlign w:val="center"/>
          </w:tcPr>
          <w:p w:rsidR="00324F8D" w:rsidRPr="001624DD" w:rsidRDefault="00324F8D" w:rsidP="001624DD">
            <w:pPr>
              <w:jc w:val="center"/>
              <w:rPr>
                <w:rFonts w:ascii="MinionPro-Regular" w:hAnsi="MinionPro-Regular" w:cs="Calibri"/>
                <w:b/>
                <w:sz w:val="20"/>
                <w:lang w:val="en-US"/>
              </w:rPr>
            </w:pPr>
            <w:r w:rsidRPr="001624DD">
              <w:rPr>
                <w:rFonts w:ascii="MinionPro-Regular" w:hAnsi="MinionPro-Regular" w:cs="Calibri"/>
                <w:b/>
                <w:sz w:val="20"/>
                <w:lang w:val="en-US"/>
              </w:rPr>
              <w:t>Total (euros)</w:t>
            </w:r>
          </w:p>
        </w:tc>
      </w:tr>
      <w:tr w:rsidR="00324F8D" w:rsidRPr="00E03578" w:rsidTr="00324F8D">
        <w:trPr>
          <w:trHeight w:val="927"/>
        </w:trPr>
        <w:tc>
          <w:tcPr>
            <w:tcW w:w="1588" w:type="dxa"/>
            <w:vMerge/>
          </w:tcPr>
          <w:p w:rsidR="00324F8D" w:rsidRPr="00A62C1C" w:rsidRDefault="00324F8D" w:rsidP="00A62C1C">
            <w:pPr>
              <w:rPr>
                <w:rFonts w:ascii="MinionPro-Regular" w:hAnsi="MinionPro-Regular" w:cs="Calibri"/>
                <w:sz w:val="20"/>
                <w:lang w:val="es-ES_tradnl"/>
              </w:rPr>
            </w:pPr>
          </w:p>
        </w:tc>
        <w:tc>
          <w:tcPr>
            <w:tcW w:w="1134" w:type="dxa"/>
            <w:vAlign w:val="center"/>
          </w:tcPr>
          <w:p w:rsidR="00324F8D" w:rsidRPr="00B56E1C" w:rsidRDefault="00324F8D" w:rsidP="00324F8D">
            <w:pPr>
              <w:jc w:val="center"/>
              <w:rPr>
                <w:rFonts w:ascii="MinionPro-Regular" w:hAnsi="MinionPro-Regular" w:cs="Calibri"/>
                <w:sz w:val="20"/>
                <w:lang w:val="en-US"/>
              </w:rPr>
            </w:pPr>
            <w:r w:rsidRPr="00B56E1C">
              <w:rPr>
                <w:rFonts w:ascii="MinionPro-Regular" w:hAnsi="MinionPro-Regular" w:cs="Calibri"/>
                <w:sz w:val="20"/>
                <w:lang w:val="en-US"/>
              </w:rPr>
              <w:t>1.778.737</w:t>
            </w:r>
          </w:p>
        </w:tc>
        <w:tc>
          <w:tcPr>
            <w:tcW w:w="1559" w:type="dxa"/>
            <w:vAlign w:val="center"/>
          </w:tcPr>
          <w:p w:rsidR="00324F8D" w:rsidRPr="00B56E1C" w:rsidRDefault="00324F8D" w:rsidP="00324F8D">
            <w:pPr>
              <w:jc w:val="center"/>
              <w:rPr>
                <w:rFonts w:ascii="MinionPro-Regular" w:hAnsi="MinionPro-Regular" w:cs="Calibri"/>
                <w:sz w:val="20"/>
                <w:lang w:val="en-US"/>
              </w:rPr>
            </w:pPr>
            <w:r w:rsidRPr="00B56E1C">
              <w:rPr>
                <w:rFonts w:ascii="MinionPro-Regular" w:hAnsi="MinionPro-Regular" w:cs="Calibri"/>
                <w:sz w:val="20"/>
                <w:lang w:val="en-US"/>
              </w:rPr>
              <w:t>22.730.090</w:t>
            </w:r>
          </w:p>
        </w:tc>
        <w:tc>
          <w:tcPr>
            <w:tcW w:w="1701" w:type="dxa"/>
            <w:vAlign w:val="center"/>
          </w:tcPr>
          <w:p w:rsidR="00324F8D" w:rsidRPr="00B56E1C" w:rsidRDefault="00324F8D" w:rsidP="00324F8D">
            <w:pPr>
              <w:jc w:val="center"/>
              <w:rPr>
                <w:rFonts w:ascii="MinionPro-Regular" w:hAnsi="MinionPro-Regular" w:cs="Calibri"/>
                <w:sz w:val="20"/>
                <w:lang w:val="en-US"/>
              </w:rPr>
            </w:pPr>
            <w:r>
              <w:rPr>
                <w:rFonts w:ascii="MinionPro-Regular" w:hAnsi="MinionPro-Regular" w:cs="Calibri"/>
                <w:sz w:val="20"/>
                <w:lang w:val="en-US"/>
              </w:rPr>
              <w:t>43.417.067</w:t>
            </w:r>
          </w:p>
        </w:tc>
        <w:tc>
          <w:tcPr>
            <w:tcW w:w="1417" w:type="dxa"/>
            <w:vAlign w:val="center"/>
          </w:tcPr>
          <w:p w:rsidR="00324F8D" w:rsidRPr="00B56E1C" w:rsidRDefault="00324F8D" w:rsidP="00324F8D">
            <w:pPr>
              <w:jc w:val="center"/>
              <w:rPr>
                <w:rFonts w:ascii="MinionPro-Regular" w:hAnsi="MinionPro-Regular" w:cs="Calibri"/>
                <w:sz w:val="20"/>
                <w:lang w:val="en-US"/>
              </w:rPr>
            </w:pPr>
            <w:r w:rsidRPr="00B56E1C">
              <w:rPr>
                <w:rFonts w:ascii="MinionPro-Regular" w:hAnsi="MinionPro-Regular" w:cs="Calibri"/>
                <w:sz w:val="20"/>
                <w:lang w:val="en-US"/>
              </w:rPr>
              <w:t>97.227.989</w:t>
            </w:r>
          </w:p>
        </w:tc>
        <w:tc>
          <w:tcPr>
            <w:tcW w:w="1214" w:type="dxa"/>
            <w:vAlign w:val="center"/>
          </w:tcPr>
          <w:p w:rsidR="00324F8D" w:rsidRPr="00BE2ECC" w:rsidRDefault="00BE2ECC" w:rsidP="00324F8D">
            <w:pPr>
              <w:jc w:val="center"/>
              <w:rPr>
                <w:rFonts w:ascii="MinionPro-Regular" w:hAnsi="MinionPro-Regular" w:cs="Calibri"/>
                <w:b/>
                <w:sz w:val="20"/>
                <w:lang w:val="es-ES_tradnl"/>
              </w:rPr>
            </w:pPr>
            <w:r w:rsidRPr="00BE2ECC">
              <w:rPr>
                <w:rFonts w:ascii="MinionPro-Regular" w:hAnsi="MinionPro-Regular" w:cs="Calibri"/>
                <w:b/>
                <w:sz w:val="20"/>
                <w:lang w:val="es-ES_tradnl"/>
              </w:rPr>
              <w:t>165.</w:t>
            </w:r>
            <w:r>
              <w:rPr>
                <w:rFonts w:ascii="MinionPro-Regular" w:hAnsi="MinionPro-Regular" w:cs="Calibri"/>
                <w:b/>
                <w:sz w:val="20"/>
                <w:lang w:val="es-ES_tradnl"/>
              </w:rPr>
              <w:t>153.884</w:t>
            </w:r>
          </w:p>
        </w:tc>
      </w:tr>
    </w:tbl>
    <w:p w:rsidR="00E2336B" w:rsidRPr="00761DAC" w:rsidRDefault="00E2336B" w:rsidP="00355E6D">
      <w:pPr>
        <w:pBdr>
          <w:bottom w:val="single" w:sz="4" w:space="1" w:color="auto"/>
        </w:pBdr>
        <w:autoSpaceDE w:val="0"/>
        <w:autoSpaceDN w:val="0"/>
        <w:spacing w:line="360" w:lineRule="auto"/>
        <w:jc w:val="both"/>
        <w:rPr>
          <w:rFonts w:ascii="MinionPro-Regular" w:hAnsi="MinionPro-Regular"/>
          <w:sz w:val="20"/>
          <w:szCs w:val="24"/>
          <w:lang w:val="es-ES_tradnl"/>
        </w:rPr>
      </w:pPr>
      <w:r w:rsidRPr="00761DAC">
        <w:rPr>
          <w:rFonts w:ascii="MinionPro-Regular" w:hAnsi="MinionPro-Regular"/>
          <w:sz w:val="20"/>
          <w:szCs w:val="24"/>
          <w:lang w:val="es-ES_tradnl"/>
        </w:rPr>
        <w:lastRenderedPageBreak/>
        <w:t>Fuente: Elaboración propia</w:t>
      </w:r>
    </w:p>
    <w:p w:rsidR="00E2336B" w:rsidRDefault="00E2336B" w:rsidP="00531E04">
      <w:pPr>
        <w:pStyle w:val="Textoindependiente"/>
      </w:pPr>
    </w:p>
    <w:p w:rsidR="001D16F5" w:rsidRDefault="001D16F5" w:rsidP="00531E04">
      <w:pPr>
        <w:pStyle w:val="Textoindependiente"/>
      </w:pPr>
    </w:p>
    <w:p w:rsidR="001D16F5" w:rsidRDefault="001D16F5" w:rsidP="00531E04">
      <w:pPr>
        <w:pStyle w:val="Textoindependiente"/>
      </w:pPr>
    </w:p>
    <w:p w:rsidR="001D16F5" w:rsidRDefault="001D16F5" w:rsidP="00531E04">
      <w:pPr>
        <w:pStyle w:val="Textoindependiente"/>
      </w:pPr>
    </w:p>
    <w:p w:rsidR="001D16F5" w:rsidRDefault="001D16F5" w:rsidP="00531E04">
      <w:pPr>
        <w:pStyle w:val="Textoindependiente"/>
      </w:pPr>
    </w:p>
    <w:p w:rsidR="001D16F5" w:rsidRDefault="001D16F5" w:rsidP="001D16F5">
      <w:pPr>
        <w:pBdr>
          <w:top w:val="single" w:sz="4" w:space="2" w:color="auto"/>
        </w:pBdr>
        <w:autoSpaceDE w:val="0"/>
        <w:autoSpaceDN w:val="0"/>
        <w:spacing w:line="360" w:lineRule="auto"/>
        <w:jc w:val="both"/>
        <w:rPr>
          <w:rFonts w:ascii="MinionPro-Regular" w:hAnsi="MinionPro-Regular"/>
          <w:sz w:val="20"/>
        </w:rPr>
      </w:pPr>
      <w:r w:rsidRPr="00B660D3">
        <w:rPr>
          <w:rFonts w:ascii="MinionPro-Regular" w:hAnsi="MinionPro-Regular"/>
          <w:sz w:val="20"/>
        </w:rPr>
        <w:t xml:space="preserve">Estimación </w:t>
      </w:r>
      <w:r>
        <w:rPr>
          <w:rFonts w:ascii="MinionPro-Regular" w:hAnsi="MinionPro-Regular"/>
          <w:sz w:val="20"/>
        </w:rPr>
        <w:t>los retornos de las</w:t>
      </w:r>
      <w:r w:rsidRPr="00B660D3">
        <w:rPr>
          <w:rFonts w:ascii="MinionPro-Regular" w:hAnsi="MinionPro-Regular"/>
          <w:sz w:val="20"/>
        </w:rPr>
        <w:t xml:space="preserve"> ayudas según los conceptos de la LISM</w:t>
      </w:r>
      <w:r>
        <w:rPr>
          <w:rFonts w:ascii="MinionPro-Regular" w:hAnsi="MinionPro-Regular"/>
          <w:sz w:val="20"/>
        </w:rPr>
        <w:t xml:space="preserve">I, de las pensiones no contributivas, de las pensiones contributivas y del ahorro sanitario, </w:t>
      </w:r>
      <w:r w:rsidRPr="00B660D3">
        <w:rPr>
          <w:rFonts w:ascii="MinionPro-Regular" w:hAnsi="MinionPro-Regular"/>
          <w:sz w:val="20"/>
        </w:rPr>
        <w:t xml:space="preserve">frente a las ayudas que </w:t>
      </w:r>
      <w:r>
        <w:rPr>
          <w:rFonts w:ascii="MinionPro-Regular" w:hAnsi="MinionPro-Regular"/>
          <w:sz w:val="20"/>
        </w:rPr>
        <w:t xml:space="preserve">no </w:t>
      </w:r>
      <w:r w:rsidRPr="00B660D3">
        <w:rPr>
          <w:rFonts w:ascii="MinionPro-Regular" w:hAnsi="MinionPro-Regular"/>
          <w:sz w:val="20"/>
        </w:rPr>
        <w:t>implican una salida de caja</w:t>
      </w:r>
      <w:r>
        <w:rPr>
          <w:rFonts w:ascii="MinionPro-Regular" w:hAnsi="MinionPro-Regular"/>
          <w:sz w:val="20"/>
        </w:rPr>
        <w:t>.</w:t>
      </w:r>
    </w:p>
    <w:p w:rsidR="00E2336B" w:rsidRPr="00EF1703" w:rsidRDefault="00B07A21" w:rsidP="00EF1703">
      <w:pPr>
        <w:pBdr>
          <w:top w:val="single" w:sz="4" w:space="2" w:color="auto"/>
        </w:pBdr>
        <w:autoSpaceDE w:val="0"/>
        <w:autoSpaceDN w:val="0"/>
        <w:spacing w:line="360" w:lineRule="auto"/>
        <w:jc w:val="both"/>
        <w:rPr>
          <w:rFonts w:ascii="MinionPro-Regular" w:hAnsi="MinionPro-Regular"/>
          <w:sz w:val="20"/>
        </w:rPr>
      </w:pPr>
      <w:r w:rsidRPr="00B07A21">
        <w:rPr>
          <w:noProof/>
          <w:lang w:eastAsia="es-ES"/>
        </w:rPr>
        <w:drawing>
          <wp:inline distT="0" distB="0" distL="0" distR="0">
            <wp:extent cx="3786996" cy="2598344"/>
            <wp:effectExtent l="0" t="0" r="0" b="0"/>
            <wp:docPr id="10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5"/>
                    <a:srcRect/>
                    <a:stretch>
                      <a:fillRect/>
                    </a:stretch>
                  </pic:blipFill>
                  <pic:spPr bwMode="auto">
                    <a:xfrm>
                      <a:off x="0" y="0"/>
                      <a:ext cx="3787555" cy="2598727"/>
                    </a:xfrm>
                    <a:prstGeom prst="rect">
                      <a:avLst/>
                    </a:prstGeom>
                    <a:noFill/>
                    <a:ln w="9525">
                      <a:noFill/>
                      <a:miter lim="800000"/>
                      <a:headEnd/>
                      <a:tailEnd/>
                    </a:ln>
                  </pic:spPr>
                </pic:pic>
              </a:graphicData>
            </a:graphic>
          </wp:inline>
        </w:drawing>
      </w:r>
    </w:p>
    <w:p w:rsidR="001D16F5" w:rsidRDefault="001D16F5" w:rsidP="001D16F5">
      <w:pPr>
        <w:pBdr>
          <w:bottom w:val="single" w:sz="4" w:space="1" w:color="auto"/>
        </w:pBdr>
        <w:autoSpaceDE w:val="0"/>
        <w:autoSpaceDN w:val="0"/>
        <w:spacing w:line="360" w:lineRule="auto"/>
        <w:jc w:val="both"/>
        <w:rPr>
          <w:rFonts w:ascii="MinionPro-Regular" w:hAnsi="MinionPro-Regular"/>
          <w:sz w:val="20"/>
          <w:szCs w:val="24"/>
          <w:lang w:val="es-ES_tradnl"/>
        </w:rPr>
      </w:pPr>
      <w:r w:rsidRPr="00761DAC">
        <w:rPr>
          <w:rFonts w:ascii="MinionPro-Regular" w:hAnsi="MinionPro-Regular"/>
          <w:sz w:val="20"/>
          <w:szCs w:val="24"/>
          <w:lang w:val="es-ES_tradnl"/>
        </w:rPr>
        <w:t>Fuente: Elaboración propia</w:t>
      </w:r>
    </w:p>
    <w:p w:rsidR="001D16F5" w:rsidRPr="00761DAC" w:rsidRDefault="001D16F5" w:rsidP="001D16F5">
      <w:pPr>
        <w:pBdr>
          <w:bottom w:val="single" w:sz="4" w:space="1" w:color="auto"/>
        </w:pBdr>
        <w:autoSpaceDE w:val="0"/>
        <w:autoSpaceDN w:val="0"/>
        <w:spacing w:line="360" w:lineRule="auto"/>
        <w:jc w:val="both"/>
        <w:rPr>
          <w:rFonts w:ascii="MinionPro-Regular" w:hAnsi="MinionPro-Regular"/>
          <w:sz w:val="20"/>
          <w:szCs w:val="24"/>
          <w:lang w:val="es-ES_tradnl"/>
        </w:rPr>
      </w:pPr>
      <w:r>
        <w:rPr>
          <w:rFonts w:ascii="MinionPro-Regular" w:hAnsi="MinionPro-Regular"/>
          <w:sz w:val="20"/>
          <w:szCs w:val="24"/>
          <w:lang w:val="es-ES_tradnl"/>
        </w:rPr>
        <w:t xml:space="preserve">Nota explicativa de la gráfica: Eje vertical, euros. Eje horizontal incluye cinco columnas. La primera de ellas incluye el retorno de ayudas LISMI en su </w:t>
      </w:r>
      <w:r w:rsidRPr="00B56E1C">
        <w:rPr>
          <w:rFonts w:ascii="MinionPro-Regular" w:hAnsi="MinionPro-Regular"/>
          <w:sz w:val="20"/>
          <w:szCs w:val="24"/>
          <w:lang w:val="es-ES_tradnl"/>
        </w:rPr>
        <w:t>totalidad (</w:t>
      </w:r>
      <w:r>
        <w:rPr>
          <w:rFonts w:ascii="MinionPro-Regular" w:hAnsi="MinionPro-Regular"/>
          <w:sz w:val="20"/>
          <w:szCs w:val="24"/>
          <w:lang w:val="es-ES_tradnl"/>
        </w:rPr>
        <w:t>1.778.738</w:t>
      </w:r>
      <w:r w:rsidRPr="00B56E1C">
        <w:rPr>
          <w:rFonts w:ascii="MinionPro-Regular" w:hAnsi="MinionPro-Regular"/>
          <w:sz w:val="20"/>
          <w:szCs w:val="24"/>
          <w:lang w:val="es-ES_tradnl"/>
        </w:rPr>
        <w:t xml:space="preserve"> euros). La segunda columna representa el retorno de las pensiones no contributivas (22.730.090 euros).  La tercera columna incluye el retorno derivados de las pensiones contributivas (43.417.067</w:t>
      </w:r>
      <w:r>
        <w:rPr>
          <w:rFonts w:ascii="MinionPro-Regular" w:hAnsi="MinionPro-Regular"/>
          <w:sz w:val="20"/>
          <w:szCs w:val="24"/>
          <w:lang w:val="es-ES_tradnl"/>
        </w:rPr>
        <w:t xml:space="preserve"> euros). La cuarta columna contiene el ahorro sanitario (97.227.989 euros) y, por último, la quinta columna representa</w:t>
      </w:r>
      <w:r w:rsidRPr="00B56E1C">
        <w:rPr>
          <w:rFonts w:ascii="MinionPro-Regular" w:hAnsi="MinionPro-Regular"/>
          <w:sz w:val="20"/>
          <w:szCs w:val="24"/>
          <w:lang w:val="es-ES_tradnl"/>
        </w:rPr>
        <w:t xml:space="preserve"> las ayudas de la administración pública que no implican salida de efectivo</w:t>
      </w:r>
      <w:r>
        <w:rPr>
          <w:rFonts w:ascii="MinionPro-Regular" w:hAnsi="MinionPro-Regular"/>
          <w:sz w:val="20"/>
          <w:szCs w:val="24"/>
          <w:lang w:val="es-ES_tradnl"/>
        </w:rPr>
        <w:t xml:space="preserve"> (204.815.193 euros).</w:t>
      </w:r>
    </w:p>
    <w:p w:rsidR="001D16F5" w:rsidRDefault="001D16F5" w:rsidP="001D16F5">
      <w:pPr>
        <w:pStyle w:val="Textoindependiente"/>
      </w:pPr>
    </w:p>
    <w:p w:rsidR="00E2336B" w:rsidRDefault="00E2336B" w:rsidP="00531E04">
      <w:pPr>
        <w:pStyle w:val="Textoindependiente"/>
      </w:pPr>
    </w:p>
    <w:p w:rsidR="00900F7C" w:rsidRDefault="00900F7C" w:rsidP="0007541A">
      <w:pPr>
        <w:pStyle w:val="Ttulo3"/>
        <w:numPr>
          <w:ilvl w:val="2"/>
          <w:numId w:val="3"/>
        </w:numPr>
        <w:rPr>
          <w:rFonts w:ascii="MinionPro-Regular" w:hAnsi="MinionPro-Regular"/>
        </w:rPr>
      </w:pPr>
      <w:bookmarkStart w:id="434" w:name="_Toc352773592"/>
      <w:r>
        <w:rPr>
          <w:rFonts w:ascii="MinionPro-Regular" w:hAnsi="MinionPro-Regular"/>
        </w:rPr>
        <w:t>A</w:t>
      </w:r>
      <w:r w:rsidRPr="00807F12">
        <w:rPr>
          <w:rFonts w:ascii="MinionPro-Regular" w:hAnsi="MinionPro-Regular"/>
        </w:rPr>
        <w:t xml:space="preserve">horro en </w:t>
      </w:r>
      <w:r>
        <w:rPr>
          <w:rFonts w:ascii="MinionPro-Regular" w:hAnsi="MinionPro-Regular"/>
        </w:rPr>
        <w:t>plazas ocupacionales</w:t>
      </w:r>
      <w:bookmarkEnd w:id="434"/>
    </w:p>
    <w:p w:rsidR="000149AA" w:rsidRPr="000149AA" w:rsidRDefault="000149AA" w:rsidP="000149AA">
      <w:pPr>
        <w:autoSpaceDE w:val="0"/>
        <w:autoSpaceDN w:val="0"/>
        <w:spacing w:line="360" w:lineRule="auto"/>
        <w:jc w:val="both"/>
        <w:rPr>
          <w:rFonts w:ascii="MinionPro-Regular" w:hAnsi="MinionPro-Regular"/>
          <w:color w:val="4F81BD" w:themeColor="accent1"/>
          <w:sz w:val="24"/>
          <w:szCs w:val="24"/>
          <w:lang w:val="es-ES_tradnl"/>
        </w:rPr>
      </w:pPr>
    </w:p>
    <w:p w:rsidR="000149AA" w:rsidRPr="009B79F2" w:rsidRDefault="000149AA" w:rsidP="000149AA">
      <w:pPr>
        <w:autoSpaceDE w:val="0"/>
        <w:autoSpaceDN w:val="0"/>
        <w:spacing w:line="360" w:lineRule="auto"/>
        <w:jc w:val="both"/>
        <w:rPr>
          <w:rFonts w:ascii="MinionPro-Regular" w:hAnsi="MinionPro-Regular"/>
          <w:sz w:val="24"/>
          <w:szCs w:val="24"/>
          <w:lang w:val="es-ES_tradnl"/>
        </w:rPr>
      </w:pPr>
      <w:r w:rsidRPr="009B79F2">
        <w:rPr>
          <w:rFonts w:ascii="MinionPro-Regular" w:hAnsi="MinionPro-Regular"/>
          <w:sz w:val="24"/>
          <w:szCs w:val="24"/>
          <w:lang w:val="es-ES_tradnl"/>
        </w:rPr>
        <w:t>Los centros ocupacionales, según su definición en el art. 2º del Real Decreto 2274/1985 de 4 de diciembre que los reg</w:t>
      </w:r>
      <w:r w:rsidR="00EF1703" w:rsidRPr="009B79F2">
        <w:rPr>
          <w:rFonts w:ascii="MinionPro-Regular" w:hAnsi="MinionPro-Regular"/>
          <w:sz w:val="24"/>
          <w:szCs w:val="24"/>
          <w:lang w:val="es-ES_tradnl"/>
        </w:rPr>
        <w:t>ula, “</w:t>
      </w:r>
      <w:r w:rsidRPr="009B79F2">
        <w:rPr>
          <w:rFonts w:ascii="MinionPro-Regular" w:hAnsi="MinionPro-Regular"/>
          <w:sz w:val="24"/>
          <w:szCs w:val="24"/>
          <w:lang w:val="es-ES_tradnl"/>
        </w:rPr>
        <w:t>constituyen un servicio social para el desarrollo personal de los minusválidos em orden a lograr, dentro de las posibilidades de cada uno, la superación de los obstáculos que la minusvalía les supone, para la integración social. Tendrán la consideración de centros ocupacionales aquellos establecimientos que tengan como finalidad asegurar los servicios de terapia ocupacional y de ajuste personal y social a los minusválidos, cuando por el grado de su minusvalía no puedan integrarse en una empresa o en un centro especial de empleo”.</w:t>
      </w:r>
    </w:p>
    <w:p w:rsidR="000149AA" w:rsidRPr="009B79F2" w:rsidRDefault="000149AA" w:rsidP="000149AA">
      <w:pPr>
        <w:autoSpaceDE w:val="0"/>
        <w:autoSpaceDN w:val="0"/>
        <w:spacing w:line="360" w:lineRule="auto"/>
        <w:jc w:val="both"/>
        <w:rPr>
          <w:rFonts w:ascii="MinionPro-Regular" w:hAnsi="MinionPro-Regular"/>
          <w:sz w:val="24"/>
          <w:szCs w:val="24"/>
          <w:lang w:val="es-ES_tradnl"/>
        </w:rPr>
      </w:pPr>
    </w:p>
    <w:p w:rsidR="00EF1703" w:rsidRPr="009B79F2" w:rsidRDefault="000149AA" w:rsidP="000149AA">
      <w:pPr>
        <w:autoSpaceDE w:val="0"/>
        <w:autoSpaceDN w:val="0"/>
        <w:spacing w:line="360" w:lineRule="auto"/>
        <w:jc w:val="both"/>
        <w:rPr>
          <w:rFonts w:ascii="MinionPro-Regular" w:hAnsi="MinionPro-Regular"/>
          <w:sz w:val="24"/>
          <w:szCs w:val="24"/>
          <w:lang w:val="es-ES_tradnl"/>
        </w:rPr>
      </w:pPr>
      <w:r w:rsidRPr="009B79F2">
        <w:rPr>
          <w:rFonts w:ascii="MinionPro-Regular" w:hAnsi="MinionPro-Regular"/>
          <w:sz w:val="24"/>
          <w:szCs w:val="24"/>
          <w:lang w:val="es-ES_tradnl"/>
        </w:rPr>
        <w:t>Por lo tanto, los centros ocupacionales no son considerados como centros de trabajo.</w:t>
      </w:r>
      <w:r w:rsidR="00181F44" w:rsidRPr="009B79F2">
        <w:rPr>
          <w:rFonts w:ascii="MinionPro-Regular" w:hAnsi="MinionPro-Regular"/>
          <w:sz w:val="24"/>
          <w:szCs w:val="24"/>
          <w:lang w:val="es-ES_tradnl"/>
        </w:rPr>
        <w:t xml:space="preserve"> </w:t>
      </w:r>
      <w:r w:rsidR="00EF1703" w:rsidRPr="009B79F2">
        <w:rPr>
          <w:rFonts w:ascii="MinionPro-Regular" w:hAnsi="MinionPro-Regular"/>
          <w:sz w:val="24"/>
          <w:szCs w:val="24"/>
          <w:lang w:val="es-ES_tradnl"/>
        </w:rPr>
        <w:t xml:space="preserve">La estimación de impacto está en relación a las plazas de estos talleres ocupacionales tendrían que incrementar para absorber a una parte de las personas con discapacidad empleadas en centros especiales de empleo, en el supuesto de que </w:t>
      </w:r>
      <w:r w:rsidR="009B79F2">
        <w:rPr>
          <w:rFonts w:ascii="MinionPro-Regular" w:hAnsi="MinionPro-Regular"/>
          <w:sz w:val="24"/>
          <w:szCs w:val="24"/>
          <w:lang w:val="es-ES_tradnl"/>
        </w:rPr>
        <w:t>su actividad cesara.</w:t>
      </w:r>
    </w:p>
    <w:p w:rsidR="00EF1703" w:rsidRPr="000149AA" w:rsidRDefault="00EF1703" w:rsidP="000149AA">
      <w:pPr>
        <w:autoSpaceDE w:val="0"/>
        <w:autoSpaceDN w:val="0"/>
        <w:spacing w:line="360" w:lineRule="auto"/>
        <w:jc w:val="both"/>
        <w:rPr>
          <w:rFonts w:ascii="MinionPro-Regular" w:hAnsi="MinionPro-Regular"/>
          <w:color w:val="4F81BD" w:themeColor="accent1"/>
          <w:sz w:val="24"/>
          <w:szCs w:val="24"/>
          <w:lang w:val="es-ES_tradnl"/>
        </w:rPr>
      </w:pPr>
      <w:r>
        <w:rPr>
          <w:rFonts w:ascii="MinionPro-Regular" w:hAnsi="MinionPro-Regular"/>
          <w:color w:val="4F81BD" w:themeColor="accent1"/>
          <w:sz w:val="24"/>
          <w:szCs w:val="24"/>
          <w:lang w:val="es-ES_tradnl"/>
        </w:rPr>
        <w:t xml:space="preserve">  </w:t>
      </w:r>
    </w:p>
    <w:p w:rsidR="00EF1703" w:rsidRPr="009B79F2" w:rsidRDefault="009B79F2" w:rsidP="000149AA">
      <w:pPr>
        <w:autoSpaceDE w:val="0"/>
        <w:autoSpaceDN w:val="0"/>
        <w:spacing w:line="360" w:lineRule="auto"/>
        <w:jc w:val="both"/>
        <w:rPr>
          <w:rFonts w:ascii="MinionPro-Regular" w:hAnsi="MinionPro-Regular"/>
          <w:sz w:val="24"/>
          <w:szCs w:val="24"/>
          <w:lang w:val="es-ES_tradnl"/>
        </w:rPr>
      </w:pPr>
      <w:r w:rsidRPr="009B79F2">
        <w:rPr>
          <w:rFonts w:ascii="MinionPro-Regular" w:hAnsi="MinionPro-Regular"/>
          <w:sz w:val="24"/>
          <w:szCs w:val="24"/>
          <w:lang w:val="es-ES_tradnl"/>
        </w:rPr>
        <w:t>L</w:t>
      </w:r>
      <w:r w:rsidR="00EF1703" w:rsidRPr="009B79F2">
        <w:rPr>
          <w:rFonts w:ascii="MinionPro-Regular" w:hAnsi="MinionPro-Regular"/>
          <w:sz w:val="24"/>
          <w:szCs w:val="24"/>
          <w:lang w:val="es-ES_tradnl"/>
        </w:rPr>
        <w:t xml:space="preserve">a recopilación de documentación acerca de convenios de centros ocupacionales en España, en las distintas Comunidades Autónomas, </w:t>
      </w:r>
      <w:r w:rsidRPr="009B79F2">
        <w:rPr>
          <w:rFonts w:ascii="MinionPro-Regular" w:hAnsi="MinionPro-Regular"/>
          <w:sz w:val="24"/>
          <w:szCs w:val="24"/>
          <w:lang w:val="es-ES_tradnl"/>
        </w:rPr>
        <w:t>permite estimar</w:t>
      </w:r>
      <w:r w:rsidR="00EF1703" w:rsidRPr="009B79F2">
        <w:rPr>
          <w:rFonts w:ascii="MinionPro-Regular" w:hAnsi="MinionPro-Regular"/>
          <w:sz w:val="24"/>
          <w:szCs w:val="24"/>
          <w:lang w:val="es-ES_tradnl"/>
        </w:rPr>
        <w:t xml:space="preserve"> que el coste de </w:t>
      </w:r>
      <w:r w:rsidRPr="009B79F2">
        <w:rPr>
          <w:rFonts w:ascii="MinionPro-Regular" w:hAnsi="MinionPro-Regular"/>
          <w:sz w:val="24"/>
          <w:szCs w:val="24"/>
          <w:lang w:val="es-ES_tradnl"/>
        </w:rPr>
        <w:t xml:space="preserve">cada </w:t>
      </w:r>
      <w:r w:rsidR="00EF1703" w:rsidRPr="009B79F2">
        <w:rPr>
          <w:rFonts w:ascii="MinionPro-Regular" w:hAnsi="MinionPro-Regular"/>
          <w:sz w:val="24"/>
          <w:szCs w:val="24"/>
          <w:lang w:val="es-ES_tradnl"/>
        </w:rPr>
        <w:t>plaza</w:t>
      </w:r>
      <w:r w:rsidRPr="009B79F2">
        <w:rPr>
          <w:rFonts w:ascii="MinionPro-Regular" w:hAnsi="MinionPro-Regular"/>
          <w:sz w:val="24"/>
          <w:szCs w:val="24"/>
          <w:lang w:val="es-ES_tradnl"/>
        </w:rPr>
        <w:t xml:space="preserve"> de centro ocupacional </w:t>
      </w:r>
      <w:r w:rsidR="00EF1703" w:rsidRPr="009B79F2">
        <w:rPr>
          <w:rFonts w:ascii="MinionPro-Regular" w:hAnsi="MinionPro-Regular"/>
          <w:sz w:val="24"/>
          <w:szCs w:val="24"/>
          <w:lang w:val="es-ES_tradnl"/>
        </w:rPr>
        <w:t>asciende a</w:t>
      </w:r>
      <w:r w:rsidR="00181F44" w:rsidRPr="009B79F2">
        <w:rPr>
          <w:rFonts w:ascii="MinionPro-Regular" w:hAnsi="MinionPro-Regular"/>
          <w:sz w:val="24"/>
          <w:szCs w:val="24"/>
          <w:lang w:val="es-ES_tradnl"/>
        </w:rPr>
        <w:t xml:space="preserve"> 6.969</w:t>
      </w:r>
      <w:r w:rsidR="00EF1703" w:rsidRPr="009B79F2">
        <w:rPr>
          <w:rFonts w:ascii="MinionPro-Regular" w:hAnsi="MinionPro-Regular"/>
          <w:sz w:val="24"/>
          <w:szCs w:val="24"/>
          <w:lang w:val="es-ES_tradnl"/>
        </w:rPr>
        <w:t xml:space="preserve"> euros.</w:t>
      </w:r>
      <w:r w:rsidR="00181F44" w:rsidRPr="009B79F2">
        <w:rPr>
          <w:rFonts w:ascii="MinionPro-Regular" w:hAnsi="MinionPro-Regular"/>
          <w:sz w:val="24"/>
          <w:szCs w:val="24"/>
          <w:lang w:val="es-ES_tradnl"/>
        </w:rPr>
        <w:t xml:space="preserve"> </w:t>
      </w:r>
      <w:r w:rsidR="00EF1703" w:rsidRPr="009B79F2">
        <w:rPr>
          <w:rFonts w:ascii="MinionPro-Regular" w:hAnsi="MinionPro-Regular"/>
          <w:sz w:val="24"/>
          <w:szCs w:val="24"/>
          <w:lang w:val="es-ES_tradnl"/>
        </w:rPr>
        <w:t xml:space="preserve">Ponderando según las personas con discapacidad que </w:t>
      </w:r>
      <w:r w:rsidR="00B970E8" w:rsidRPr="009B79F2">
        <w:rPr>
          <w:rFonts w:ascii="MinionPro-Regular" w:hAnsi="MinionPro-Regular"/>
          <w:sz w:val="24"/>
          <w:szCs w:val="24"/>
          <w:lang w:val="es-ES_tradnl"/>
        </w:rPr>
        <w:t>hubo</w:t>
      </w:r>
      <w:r w:rsidR="00EF1703" w:rsidRPr="009B79F2">
        <w:rPr>
          <w:rFonts w:ascii="MinionPro-Regular" w:hAnsi="MinionPro-Regular"/>
          <w:sz w:val="24"/>
          <w:szCs w:val="24"/>
          <w:lang w:val="es-ES_tradnl"/>
        </w:rPr>
        <w:t xml:space="preserve"> en centros especiales de empleo por Comunidad Autónoma en 2011, y </w:t>
      </w:r>
      <w:r w:rsidR="00181F44" w:rsidRPr="009B79F2">
        <w:rPr>
          <w:rFonts w:ascii="MinionPro-Regular" w:hAnsi="MinionPro-Regular"/>
          <w:sz w:val="24"/>
          <w:szCs w:val="24"/>
          <w:lang w:val="es-ES_tradnl"/>
        </w:rPr>
        <w:t xml:space="preserve">considerando que aproximadamente el </w:t>
      </w:r>
      <w:r w:rsidR="00EF1703" w:rsidRPr="009B79F2">
        <w:rPr>
          <w:rFonts w:ascii="MinionPro-Regular" w:hAnsi="MinionPro-Regular"/>
          <w:sz w:val="24"/>
          <w:szCs w:val="24"/>
          <w:lang w:val="es-ES_tradnl"/>
        </w:rPr>
        <w:t xml:space="preserve">30% </w:t>
      </w:r>
      <w:r w:rsidR="00B970E8" w:rsidRPr="009B79F2">
        <w:rPr>
          <w:rFonts w:ascii="MinionPro-Regular" w:hAnsi="MinionPro-Regular"/>
          <w:sz w:val="24"/>
          <w:szCs w:val="24"/>
          <w:lang w:val="es-ES_tradnl"/>
        </w:rPr>
        <w:t>de los trabajadores de CEE llevarían a cabo la</w:t>
      </w:r>
      <w:r w:rsidR="00EF1703" w:rsidRPr="009B79F2">
        <w:rPr>
          <w:rFonts w:ascii="MinionPro-Regular" w:hAnsi="MinionPro-Regular"/>
          <w:sz w:val="24"/>
          <w:szCs w:val="24"/>
          <w:lang w:val="es-ES_tradnl"/>
        </w:rPr>
        <w:t xml:space="preserve"> transición </w:t>
      </w:r>
      <w:r w:rsidR="00B970E8" w:rsidRPr="009B79F2">
        <w:rPr>
          <w:rFonts w:ascii="MinionPro-Regular" w:hAnsi="MinionPro-Regular"/>
          <w:sz w:val="24"/>
          <w:szCs w:val="24"/>
          <w:lang w:val="es-ES_tradnl"/>
        </w:rPr>
        <w:t xml:space="preserve">al </w:t>
      </w:r>
      <w:r w:rsidR="00EF1703" w:rsidRPr="009B79F2">
        <w:rPr>
          <w:rFonts w:ascii="MinionPro-Regular" w:hAnsi="MinionPro-Regular"/>
          <w:sz w:val="24"/>
          <w:szCs w:val="24"/>
          <w:lang w:val="es-ES_tradnl"/>
        </w:rPr>
        <w:t>centro ocupacional, se obtiene una</w:t>
      </w:r>
      <w:r w:rsidR="00807944">
        <w:rPr>
          <w:rFonts w:ascii="MinionPro-Regular" w:hAnsi="MinionPro-Regular"/>
          <w:sz w:val="24"/>
          <w:szCs w:val="24"/>
          <w:lang w:val="es-ES_tradnl"/>
        </w:rPr>
        <w:t xml:space="preserve"> cantidad total de 135.389.131 e</w:t>
      </w:r>
      <w:r w:rsidR="00EF1703" w:rsidRPr="009B79F2">
        <w:rPr>
          <w:rFonts w:ascii="MinionPro-Regular" w:hAnsi="MinionPro-Regular"/>
          <w:sz w:val="24"/>
          <w:szCs w:val="24"/>
          <w:lang w:val="es-ES_tradnl"/>
        </w:rPr>
        <w:t>uros.</w:t>
      </w:r>
    </w:p>
    <w:p w:rsidR="00900F7C" w:rsidRDefault="00900F7C" w:rsidP="00900F7C">
      <w:pPr>
        <w:pStyle w:val="Textoindependiente"/>
        <w:rPr>
          <w:rFonts w:ascii="MinionPro-Regular" w:hAnsi="MinionPro-Regular"/>
          <w:sz w:val="24"/>
          <w:szCs w:val="24"/>
          <w:lang w:val="es-ES_tradnl"/>
        </w:rPr>
      </w:pPr>
    </w:p>
    <w:p w:rsidR="00324A5D" w:rsidRDefault="00324A5D" w:rsidP="00900F7C">
      <w:pPr>
        <w:pStyle w:val="Textoindependiente"/>
        <w:rPr>
          <w:rFonts w:ascii="MinionPro-Regular" w:hAnsi="MinionPro-Regular"/>
          <w:sz w:val="24"/>
          <w:szCs w:val="24"/>
          <w:lang w:val="es-ES_tradnl"/>
        </w:rPr>
      </w:pPr>
    </w:p>
    <w:p w:rsidR="009B79F2" w:rsidRDefault="009B79F2" w:rsidP="00900F7C">
      <w:pPr>
        <w:pStyle w:val="Textoindependiente"/>
        <w:rPr>
          <w:rFonts w:ascii="MinionPro-Regular" w:hAnsi="MinionPro-Regular"/>
          <w:sz w:val="24"/>
          <w:szCs w:val="24"/>
          <w:lang w:val="es-ES_tradnl"/>
        </w:rPr>
      </w:pPr>
    </w:p>
    <w:p w:rsidR="009B79F2" w:rsidRDefault="009B79F2" w:rsidP="00900F7C">
      <w:pPr>
        <w:pStyle w:val="Textoindependiente"/>
        <w:rPr>
          <w:rFonts w:ascii="MinionPro-Regular" w:hAnsi="MinionPro-Regular"/>
          <w:sz w:val="24"/>
          <w:szCs w:val="24"/>
          <w:lang w:val="es-ES_tradnl"/>
        </w:rPr>
      </w:pPr>
    </w:p>
    <w:p w:rsidR="00324A5D" w:rsidRDefault="00324A5D" w:rsidP="00900F7C">
      <w:pPr>
        <w:pStyle w:val="Textoindependiente"/>
        <w:rPr>
          <w:rFonts w:ascii="MinionPro-Regular" w:hAnsi="MinionPro-Regular"/>
          <w:sz w:val="24"/>
          <w:szCs w:val="24"/>
          <w:lang w:val="es-ES_tradnl"/>
        </w:rPr>
      </w:pPr>
    </w:p>
    <w:p w:rsidR="00324A5D" w:rsidRDefault="00324A5D" w:rsidP="00900F7C">
      <w:pPr>
        <w:pStyle w:val="Textoindependiente"/>
        <w:rPr>
          <w:rFonts w:ascii="MinionPro-Regular" w:hAnsi="MinionPro-Regular"/>
          <w:sz w:val="24"/>
          <w:szCs w:val="24"/>
          <w:lang w:val="es-ES_tradnl"/>
        </w:rPr>
      </w:pPr>
    </w:p>
    <w:p w:rsidR="00324A5D" w:rsidRDefault="00324A5D" w:rsidP="00900F7C">
      <w:pPr>
        <w:pStyle w:val="Textoindependiente"/>
        <w:rPr>
          <w:rFonts w:ascii="MinionPro-Regular" w:hAnsi="MinionPro-Regular"/>
          <w:sz w:val="24"/>
          <w:szCs w:val="24"/>
          <w:lang w:val="es-ES_tradnl"/>
        </w:rPr>
      </w:pPr>
    </w:p>
    <w:p w:rsidR="00324A5D" w:rsidRDefault="00324A5D" w:rsidP="00900F7C">
      <w:pPr>
        <w:pStyle w:val="Textoindependiente"/>
        <w:rPr>
          <w:rFonts w:ascii="MinionPro-Regular" w:hAnsi="MinionPro-Regular"/>
          <w:sz w:val="24"/>
          <w:szCs w:val="24"/>
          <w:lang w:val="es-ES_tradnl"/>
        </w:rPr>
      </w:pPr>
    </w:p>
    <w:p w:rsidR="00324A5D" w:rsidRPr="000149AA" w:rsidRDefault="00324A5D" w:rsidP="00900F7C">
      <w:pPr>
        <w:pStyle w:val="Textoindependiente"/>
        <w:rPr>
          <w:lang w:val="es-ES_tradnl"/>
        </w:rPr>
      </w:pPr>
    </w:p>
    <w:p w:rsidR="00900F7C" w:rsidRPr="00900F7C" w:rsidRDefault="00900F7C" w:rsidP="00900F7C">
      <w:pPr>
        <w:pStyle w:val="Textoindependiente"/>
      </w:pPr>
    </w:p>
    <w:p w:rsidR="00E2336B" w:rsidRDefault="00E2336B" w:rsidP="00531E04">
      <w:pPr>
        <w:pStyle w:val="Textoindependiente"/>
      </w:pPr>
    </w:p>
    <w:p w:rsidR="00E2336B" w:rsidRDefault="00E2336B" w:rsidP="00531E04">
      <w:pPr>
        <w:pStyle w:val="Textoindependiente"/>
      </w:pPr>
    </w:p>
    <w:p w:rsidR="000149AA" w:rsidRDefault="000149AA" w:rsidP="00531E04">
      <w:pPr>
        <w:pStyle w:val="Textoindependiente"/>
      </w:pPr>
    </w:p>
    <w:p w:rsidR="001D16F5" w:rsidRDefault="00E2336B" w:rsidP="005C118C">
      <w:pPr>
        <w:pBdr>
          <w:top w:val="single" w:sz="4" w:space="1" w:color="auto"/>
        </w:pBdr>
        <w:autoSpaceDE w:val="0"/>
        <w:autoSpaceDN w:val="0"/>
        <w:spacing w:line="360" w:lineRule="auto"/>
        <w:jc w:val="both"/>
        <w:rPr>
          <w:rFonts w:ascii="MinionPro-Regular" w:hAnsi="MinionPro-Regular"/>
          <w:color w:val="FF0000"/>
          <w:sz w:val="20"/>
        </w:rPr>
      </w:pPr>
      <w:r w:rsidRPr="00B660D3">
        <w:rPr>
          <w:rFonts w:ascii="MinionPro-Regular" w:hAnsi="MinionPro-Regular"/>
          <w:sz w:val="20"/>
        </w:rPr>
        <w:t xml:space="preserve">Estimación </w:t>
      </w:r>
      <w:r>
        <w:rPr>
          <w:rFonts w:ascii="MinionPro-Regular" w:hAnsi="MinionPro-Regular"/>
          <w:sz w:val="20"/>
        </w:rPr>
        <w:t>los retornos de las</w:t>
      </w:r>
      <w:r w:rsidRPr="00B660D3">
        <w:rPr>
          <w:rFonts w:ascii="MinionPro-Regular" w:hAnsi="MinionPro-Regular"/>
          <w:sz w:val="20"/>
        </w:rPr>
        <w:t xml:space="preserve"> ayudas según los conceptos de la LISM</w:t>
      </w:r>
      <w:r>
        <w:rPr>
          <w:rFonts w:ascii="MinionPro-Regular" w:hAnsi="MinionPro-Regular"/>
          <w:sz w:val="20"/>
        </w:rPr>
        <w:t>I, de las pensiones no contributivas, de las pensiones contributivas</w:t>
      </w:r>
      <w:r w:rsidR="00324A5D">
        <w:rPr>
          <w:rFonts w:ascii="MinionPro-Regular" w:hAnsi="MinionPro-Regular"/>
          <w:sz w:val="20"/>
        </w:rPr>
        <w:t>, ahorro en plazas ocupacionales</w:t>
      </w:r>
      <w:r>
        <w:rPr>
          <w:rFonts w:ascii="MinionPro-Regular" w:hAnsi="MinionPro-Regular"/>
          <w:sz w:val="20"/>
        </w:rPr>
        <w:t xml:space="preserve">, y de los ahorros sanitarios </w:t>
      </w:r>
      <w:r w:rsidRPr="00B660D3">
        <w:rPr>
          <w:rFonts w:ascii="MinionPro-Regular" w:hAnsi="MinionPro-Regular"/>
          <w:sz w:val="20"/>
        </w:rPr>
        <w:t>frente a las ayudas que</w:t>
      </w:r>
      <w:r>
        <w:rPr>
          <w:rFonts w:ascii="MinionPro-Regular" w:hAnsi="MinionPro-Regular"/>
          <w:sz w:val="20"/>
        </w:rPr>
        <w:t xml:space="preserve"> no</w:t>
      </w:r>
      <w:r w:rsidRPr="00B660D3">
        <w:rPr>
          <w:rFonts w:ascii="MinionPro-Regular" w:hAnsi="MinionPro-Regular"/>
          <w:sz w:val="20"/>
        </w:rPr>
        <w:t xml:space="preserve"> implican una salida de caj</w:t>
      </w:r>
      <w:r w:rsidRPr="0055211B">
        <w:rPr>
          <w:rFonts w:ascii="MinionPro-Regular" w:hAnsi="MinionPro-Regular"/>
          <w:sz w:val="20"/>
        </w:rPr>
        <w:t>a</w:t>
      </w:r>
      <w:r w:rsidR="0055211B" w:rsidRPr="0055211B">
        <w:rPr>
          <w:rFonts w:ascii="MinionPro-Regular" w:hAnsi="MinionPro-Regular"/>
          <w:sz w:val="20"/>
        </w:rPr>
        <w:t>.</w:t>
      </w:r>
    </w:p>
    <w:p w:rsidR="0055211B" w:rsidRPr="001D16F5" w:rsidRDefault="001D16F5" w:rsidP="009D1936">
      <w:pPr>
        <w:pBdr>
          <w:top w:val="single" w:sz="4" w:space="1" w:color="auto"/>
        </w:pBdr>
        <w:autoSpaceDE w:val="0"/>
        <w:autoSpaceDN w:val="0"/>
        <w:spacing w:line="360" w:lineRule="auto"/>
        <w:jc w:val="both"/>
        <w:rPr>
          <w:rFonts w:ascii="MinionPro-Regular" w:hAnsi="MinionPro-Regular"/>
          <w:sz w:val="20"/>
        </w:rPr>
      </w:pPr>
      <w:r w:rsidRPr="001D16F5">
        <w:rPr>
          <w:noProof/>
          <w:lang w:eastAsia="es-ES"/>
        </w:rPr>
        <w:drawing>
          <wp:inline distT="0" distB="0" distL="0" distR="0">
            <wp:extent cx="5400675" cy="246044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6"/>
                    <a:srcRect/>
                    <a:stretch>
                      <a:fillRect/>
                    </a:stretch>
                  </pic:blipFill>
                  <pic:spPr bwMode="auto">
                    <a:xfrm>
                      <a:off x="0" y="0"/>
                      <a:ext cx="5400675" cy="2460441"/>
                    </a:xfrm>
                    <a:prstGeom prst="rect">
                      <a:avLst/>
                    </a:prstGeom>
                    <a:noFill/>
                    <a:ln w="9525">
                      <a:noFill/>
                      <a:miter lim="800000"/>
                      <a:headEnd/>
                      <a:tailEnd/>
                    </a:ln>
                  </pic:spPr>
                </pic:pic>
              </a:graphicData>
            </a:graphic>
          </wp:inline>
        </w:drawing>
      </w:r>
    </w:p>
    <w:p w:rsidR="00E2336B" w:rsidRDefault="00E2336B" w:rsidP="005C118C">
      <w:pPr>
        <w:pBdr>
          <w:bottom w:val="single" w:sz="4" w:space="1" w:color="auto"/>
        </w:pBdr>
        <w:autoSpaceDE w:val="0"/>
        <w:autoSpaceDN w:val="0"/>
        <w:spacing w:line="360" w:lineRule="auto"/>
        <w:jc w:val="both"/>
        <w:rPr>
          <w:rFonts w:ascii="MinionPro-Regular" w:hAnsi="MinionPro-Regular"/>
          <w:sz w:val="20"/>
          <w:szCs w:val="24"/>
          <w:lang w:val="es-ES_tradnl"/>
        </w:rPr>
      </w:pPr>
      <w:r w:rsidRPr="00664A5E">
        <w:rPr>
          <w:rFonts w:ascii="MinionPro-Regular" w:hAnsi="MinionPro-Regular"/>
          <w:sz w:val="20"/>
          <w:szCs w:val="24"/>
          <w:lang w:val="es-ES_tradnl"/>
        </w:rPr>
        <w:t>Fuente: Elaboración propi</w:t>
      </w:r>
      <w:r>
        <w:rPr>
          <w:rFonts w:ascii="MinionPro-Regular" w:hAnsi="MinionPro-Regular"/>
          <w:sz w:val="20"/>
          <w:szCs w:val="24"/>
          <w:lang w:val="es-ES_tradnl"/>
        </w:rPr>
        <w:t>a</w:t>
      </w:r>
    </w:p>
    <w:p w:rsidR="00E2336B" w:rsidRPr="00390656" w:rsidRDefault="00E2336B" w:rsidP="005C118C">
      <w:pPr>
        <w:pBdr>
          <w:bottom w:val="single" w:sz="4" w:space="1" w:color="auto"/>
        </w:pBdr>
        <w:autoSpaceDE w:val="0"/>
        <w:autoSpaceDN w:val="0"/>
        <w:spacing w:line="360" w:lineRule="auto"/>
        <w:jc w:val="both"/>
        <w:rPr>
          <w:rFonts w:ascii="MinionPro-Regular" w:hAnsi="MinionPro-Regular"/>
          <w:sz w:val="20"/>
          <w:szCs w:val="24"/>
          <w:lang w:val="es-ES_tradnl"/>
        </w:rPr>
      </w:pPr>
      <w:r>
        <w:rPr>
          <w:rFonts w:ascii="MinionPro-Regular" w:hAnsi="MinionPro-Regular"/>
          <w:sz w:val="20"/>
          <w:szCs w:val="24"/>
          <w:lang w:val="es-ES_tradnl"/>
        </w:rPr>
        <w:t>Nota explicativa de la gráfica: Eje vertical, euros. Eje horizontal incluye seis columnas.</w:t>
      </w:r>
      <w:r w:rsidR="00324A5D">
        <w:rPr>
          <w:rFonts w:ascii="MinionPro-Regular" w:hAnsi="MinionPro-Regular"/>
          <w:sz w:val="20"/>
          <w:szCs w:val="24"/>
          <w:lang w:val="es-ES_tradnl"/>
        </w:rPr>
        <w:t xml:space="preserve"> La primera columna</w:t>
      </w:r>
      <w:r w:rsidRPr="00B56E1C">
        <w:rPr>
          <w:rFonts w:ascii="MinionPro-Regular" w:hAnsi="MinionPro-Regular"/>
          <w:sz w:val="20"/>
          <w:szCs w:val="24"/>
          <w:lang w:val="es-ES_tradnl"/>
        </w:rPr>
        <w:t xml:space="preserve"> representa el retorno de las pensiones no contribu</w:t>
      </w:r>
      <w:r w:rsidR="00324A5D">
        <w:rPr>
          <w:rFonts w:ascii="MinionPro-Regular" w:hAnsi="MinionPro-Regular"/>
          <w:sz w:val="20"/>
          <w:szCs w:val="24"/>
          <w:lang w:val="es-ES_tradnl"/>
        </w:rPr>
        <w:t>tivas (22.730.090 euros).  La segund</w:t>
      </w:r>
      <w:r w:rsidRPr="00B56E1C">
        <w:rPr>
          <w:rFonts w:ascii="MinionPro-Regular" w:hAnsi="MinionPro-Regular"/>
          <w:sz w:val="20"/>
          <w:szCs w:val="24"/>
          <w:lang w:val="es-ES_tradnl"/>
        </w:rPr>
        <w:t>a columna incluye el retorno derivados de las pensiones contributivas (</w:t>
      </w:r>
      <w:r w:rsidR="00F23441" w:rsidRPr="00B56E1C">
        <w:rPr>
          <w:rFonts w:ascii="MinionPro-Regular" w:hAnsi="MinionPro-Regular"/>
          <w:sz w:val="20"/>
          <w:szCs w:val="24"/>
          <w:lang w:val="es-ES_tradnl"/>
        </w:rPr>
        <w:t>43.417.067</w:t>
      </w:r>
      <w:r w:rsidRPr="00B56E1C">
        <w:rPr>
          <w:rFonts w:ascii="MinionPro-Regular" w:hAnsi="MinionPro-Regular"/>
          <w:sz w:val="20"/>
          <w:szCs w:val="24"/>
          <w:lang w:val="es-ES_tradnl"/>
        </w:rPr>
        <w:t xml:space="preserve"> euros); la </w:t>
      </w:r>
      <w:r w:rsidR="00324A5D">
        <w:rPr>
          <w:rFonts w:ascii="MinionPro-Regular" w:hAnsi="MinionPro-Regular"/>
          <w:sz w:val="20"/>
          <w:szCs w:val="24"/>
          <w:lang w:val="es-ES_tradnl"/>
        </w:rPr>
        <w:t>tercera</w:t>
      </w:r>
      <w:r>
        <w:rPr>
          <w:rFonts w:ascii="MinionPro-Regular" w:hAnsi="MinionPro-Regular"/>
          <w:sz w:val="20"/>
          <w:szCs w:val="24"/>
          <w:lang w:val="es-ES_tradnl"/>
        </w:rPr>
        <w:t xml:space="preserve"> columna, </w:t>
      </w:r>
      <w:r w:rsidR="00324A5D">
        <w:rPr>
          <w:rFonts w:ascii="MinionPro-Regular" w:hAnsi="MinionPro-Regular"/>
          <w:sz w:val="20"/>
          <w:szCs w:val="24"/>
          <w:lang w:val="es-ES_tradnl"/>
        </w:rPr>
        <w:t xml:space="preserve">el ahorro derivado de las plazas ocupacionales (135.389.131 euros), la cuarta columna, </w:t>
      </w:r>
      <w:r>
        <w:rPr>
          <w:rFonts w:ascii="MinionPro-Regular" w:hAnsi="MinionPro-Regular"/>
          <w:sz w:val="20"/>
          <w:szCs w:val="24"/>
          <w:lang w:val="es-ES_tradnl"/>
        </w:rPr>
        <w:t xml:space="preserve">el retorno derivado </w:t>
      </w:r>
      <w:r>
        <w:rPr>
          <w:rFonts w:ascii="MinionPro-Regular" w:hAnsi="MinionPro-Regular"/>
          <w:sz w:val="20"/>
          <w:szCs w:val="24"/>
          <w:lang w:val="es-ES_tradnl"/>
        </w:rPr>
        <w:lastRenderedPageBreak/>
        <w:t>del ahorro sanitario (97.227.989 euros);</w:t>
      </w:r>
      <w:r w:rsidR="00324A5D">
        <w:rPr>
          <w:rFonts w:ascii="MinionPro-Regular" w:hAnsi="MinionPro-Regular"/>
          <w:sz w:val="20"/>
          <w:szCs w:val="24"/>
          <w:lang w:val="es-ES_tradnl"/>
        </w:rPr>
        <w:t xml:space="preserve"> la quinta columna, </w:t>
      </w:r>
      <w:r>
        <w:rPr>
          <w:rFonts w:ascii="MinionPro-Regular" w:hAnsi="MinionPro-Regular"/>
          <w:sz w:val="20"/>
          <w:szCs w:val="24"/>
          <w:lang w:val="es-ES_tradnl"/>
        </w:rPr>
        <w:t xml:space="preserve"> </w:t>
      </w:r>
      <w:r w:rsidR="00324A5D">
        <w:rPr>
          <w:rFonts w:ascii="MinionPro-Regular" w:hAnsi="MinionPro-Regular"/>
          <w:sz w:val="20"/>
          <w:szCs w:val="24"/>
          <w:lang w:val="es-ES_tradnl"/>
        </w:rPr>
        <w:t xml:space="preserve">incluye el retorno de ayudas </w:t>
      </w:r>
      <w:r w:rsidR="00324A5D" w:rsidRPr="00B56E1C">
        <w:rPr>
          <w:rFonts w:ascii="MinionPro-Regular" w:hAnsi="MinionPro-Regular"/>
          <w:sz w:val="20"/>
          <w:szCs w:val="24"/>
          <w:lang w:val="es-ES_tradnl"/>
        </w:rPr>
        <w:t>LISMI en su totalidad (</w:t>
      </w:r>
      <w:r w:rsidR="00324A5D">
        <w:rPr>
          <w:rFonts w:ascii="MinionPro-Regular" w:hAnsi="MinionPro-Regular"/>
          <w:sz w:val="20"/>
          <w:szCs w:val="24"/>
          <w:lang w:val="es-ES_tradnl"/>
        </w:rPr>
        <w:t>1.778.738</w:t>
      </w:r>
      <w:r w:rsidR="00324A5D" w:rsidRPr="00B56E1C">
        <w:rPr>
          <w:rFonts w:ascii="MinionPro-Regular" w:hAnsi="MinionPro-Regular"/>
          <w:sz w:val="20"/>
          <w:szCs w:val="24"/>
          <w:lang w:val="es-ES_tradnl"/>
        </w:rPr>
        <w:t xml:space="preserve"> euros)</w:t>
      </w:r>
      <w:r w:rsidR="00324A5D">
        <w:rPr>
          <w:rFonts w:ascii="MinionPro-Regular" w:hAnsi="MinionPro-Regular"/>
          <w:sz w:val="20"/>
          <w:szCs w:val="24"/>
          <w:lang w:val="es-ES_tradnl"/>
        </w:rPr>
        <w:t xml:space="preserve">, </w:t>
      </w:r>
      <w:r>
        <w:rPr>
          <w:rFonts w:ascii="MinionPro-Regular" w:hAnsi="MinionPro-Regular"/>
          <w:sz w:val="20"/>
          <w:szCs w:val="24"/>
          <w:lang w:val="es-ES_tradnl"/>
        </w:rPr>
        <w:t>a continuación una columna con el total de los conceptos mencionados anteriormente (</w:t>
      </w:r>
      <w:r w:rsidR="00324A5D">
        <w:rPr>
          <w:rFonts w:ascii="MinionPro-Regular" w:hAnsi="MinionPro-Regular"/>
          <w:sz w:val="20"/>
          <w:szCs w:val="24"/>
          <w:lang w:val="es-ES_tradnl"/>
        </w:rPr>
        <w:t>300.543.015</w:t>
      </w:r>
      <w:r w:rsidRPr="00603CED">
        <w:rPr>
          <w:rFonts w:ascii="MinionPro-Regular" w:hAnsi="MinionPro-Regular"/>
          <w:sz w:val="20"/>
          <w:szCs w:val="24"/>
          <w:lang w:val="es-ES_tradnl"/>
        </w:rPr>
        <w:t xml:space="preserve"> euros</w:t>
      </w:r>
      <w:r>
        <w:rPr>
          <w:rFonts w:ascii="MinionPro-Regular" w:hAnsi="MinionPro-Regular"/>
          <w:sz w:val="20"/>
          <w:szCs w:val="24"/>
          <w:lang w:val="es-ES_tradnl"/>
        </w:rPr>
        <w:t>), y por último, una columna con las ayudas de la administración pública que no implican salida de efectivo (204.815.193 euros).</w:t>
      </w:r>
    </w:p>
    <w:p w:rsidR="00E2336B" w:rsidRDefault="00E2336B" w:rsidP="00531E04">
      <w:pPr>
        <w:pStyle w:val="Textoindependiente"/>
      </w:pPr>
    </w:p>
    <w:p w:rsidR="00E2336B" w:rsidRDefault="00E2336B" w:rsidP="00531E04">
      <w:pPr>
        <w:pStyle w:val="Textoindependiente"/>
      </w:pPr>
    </w:p>
    <w:p w:rsidR="00E2336B" w:rsidRPr="00AD59F1" w:rsidRDefault="00E2336B" w:rsidP="0007541A">
      <w:pPr>
        <w:pStyle w:val="Ttulo2"/>
        <w:numPr>
          <w:ilvl w:val="1"/>
          <w:numId w:val="3"/>
        </w:numPr>
        <w:ind w:left="0"/>
        <w:rPr>
          <w:rFonts w:ascii="MinionPro-Regular" w:hAnsi="MinionPro-Regular"/>
        </w:rPr>
      </w:pPr>
      <w:bookmarkStart w:id="435" w:name="_Toc340745378"/>
      <w:bookmarkStart w:id="436" w:name="_Toc340745539"/>
      <w:bookmarkStart w:id="437" w:name="_Toc340340573"/>
      <w:bookmarkStart w:id="438" w:name="_Toc352773593"/>
      <w:bookmarkEnd w:id="433"/>
      <w:bookmarkEnd w:id="435"/>
      <w:bookmarkEnd w:id="436"/>
      <w:r w:rsidRPr="00AD59F1">
        <w:rPr>
          <w:rFonts w:ascii="MinionPro-Regular" w:hAnsi="MinionPro-Regular"/>
        </w:rPr>
        <w:t>Conclusiones de la estimación del impacto</w:t>
      </w:r>
      <w:bookmarkEnd w:id="437"/>
      <w:bookmarkEnd w:id="438"/>
    </w:p>
    <w:p w:rsidR="00E2336B" w:rsidRPr="007949F6" w:rsidRDefault="00E2336B" w:rsidP="00890FE5">
      <w:pPr>
        <w:pStyle w:val="Textoindependiente"/>
      </w:pPr>
    </w:p>
    <w:p w:rsidR="00E2336B" w:rsidRDefault="00E2336B" w:rsidP="00890FE5">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 xml:space="preserve">El análisis de los datos disponibles permite estimar diferentes cifras del retorno para las arcas públicas como consecuencia de la actividad de los centros especiales de empleo. </w:t>
      </w:r>
    </w:p>
    <w:p w:rsidR="00E2336B" w:rsidRDefault="00E2336B" w:rsidP="00890FE5">
      <w:pPr>
        <w:autoSpaceDE w:val="0"/>
        <w:autoSpaceDN w:val="0"/>
        <w:spacing w:line="360" w:lineRule="auto"/>
        <w:jc w:val="both"/>
        <w:rPr>
          <w:rFonts w:ascii="MinionPro-Regular" w:hAnsi="MinionPro-Regular"/>
          <w:sz w:val="24"/>
          <w:szCs w:val="24"/>
          <w:lang w:val="es-ES_tradnl"/>
        </w:rPr>
      </w:pPr>
    </w:p>
    <w:p w:rsidR="00E2336B" w:rsidRPr="007949F6" w:rsidRDefault="00E2336B" w:rsidP="00890FE5">
      <w:pPr>
        <w:autoSpaceDE w:val="0"/>
        <w:autoSpaceDN w:val="0"/>
        <w:spacing w:line="360" w:lineRule="auto"/>
        <w:jc w:val="both"/>
        <w:rPr>
          <w:rFonts w:ascii="MinionPro-Regular" w:hAnsi="MinionPro-Regular"/>
          <w:sz w:val="24"/>
          <w:szCs w:val="24"/>
          <w:lang w:val="es-ES_tradnl"/>
        </w:rPr>
      </w:pPr>
      <w:r w:rsidRPr="007949F6">
        <w:rPr>
          <w:rFonts w:ascii="MinionPro-Regular" w:hAnsi="MinionPro-Regular"/>
          <w:sz w:val="24"/>
          <w:szCs w:val="24"/>
          <w:lang w:val="es-ES_tradnl"/>
        </w:rPr>
        <w:t xml:space="preserve">Dentro de este proceso se han considerado las ayudas que otorga la </w:t>
      </w:r>
      <w:r>
        <w:rPr>
          <w:rFonts w:ascii="MinionPro-Regular" w:hAnsi="MinionPro-Regular"/>
          <w:sz w:val="24"/>
          <w:szCs w:val="24"/>
          <w:lang w:val="es-ES_tradnl"/>
        </w:rPr>
        <w:t>a</w:t>
      </w:r>
      <w:r w:rsidRPr="007949F6">
        <w:rPr>
          <w:rFonts w:ascii="MinionPro-Regular" w:hAnsi="MinionPro-Regular"/>
          <w:sz w:val="24"/>
          <w:szCs w:val="24"/>
          <w:lang w:val="es-ES_tradnl"/>
        </w:rPr>
        <w:t>dministración y se ha diferenciado en dos conceptos, las que implican una salida efectiva de caja (compromiso de gasto) y las que no la implican (bonificaciones a la seguridad social).</w:t>
      </w:r>
    </w:p>
    <w:p w:rsidR="00E2336B" w:rsidRPr="007949F6" w:rsidRDefault="00E2336B" w:rsidP="00890FE5">
      <w:pPr>
        <w:autoSpaceDE w:val="0"/>
        <w:autoSpaceDN w:val="0"/>
        <w:spacing w:line="360" w:lineRule="auto"/>
        <w:jc w:val="both"/>
        <w:rPr>
          <w:rFonts w:ascii="MinionPro-Regular" w:hAnsi="MinionPro-Regular"/>
          <w:sz w:val="24"/>
          <w:szCs w:val="24"/>
          <w:lang w:val="es-ES_tradnl"/>
        </w:rPr>
      </w:pPr>
    </w:p>
    <w:p w:rsidR="00E2336B" w:rsidRDefault="00E2336B" w:rsidP="0048152A">
      <w:pPr>
        <w:autoSpaceDE w:val="0"/>
        <w:autoSpaceDN w:val="0"/>
        <w:spacing w:line="360" w:lineRule="auto"/>
        <w:jc w:val="both"/>
        <w:rPr>
          <w:rFonts w:ascii="MinionPro-Regular" w:hAnsi="MinionPro-Regular"/>
          <w:sz w:val="24"/>
          <w:szCs w:val="24"/>
          <w:lang w:val="es-ES_tradnl"/>
        </w:rPr>
      </w:pPr>
      <w:r w:rsidRPr="007949F6">
        <w:rPr>
          <w:rFonts w:ascii="MinionPro-Regular" w:hAnsi="MinionPro-Regular"/>
          <w:sz w:val="24"/>
          <w:szCs w:val="24"/>
          <w:lang w:val="es-ES_tradnl"/>
        </w:rPr>
        <w:t xml:space="preserve">Por parte de los centros especiales de empleo se ha tenido en cuenta un retorno </w:t>
      </w:r>
      <w:r>
        <w:rPr>
          <w:rFonts w:ascii="MinionPro-Regular" w:hAnsi="MinionPro-Regular"/>
          <w:sz w:val="24"/>
          <w:szCs w:val="24"/>
          <w:lang w:val="es-ES_tradnl"/>
        </w:rPr>
        <w:t>que implica una salida efectiva de caja</w:t>
      </w:r>
      <w:r w:rsidRPr="007949F6">
        <w:rPr>
          <w:rFonts w:ascii="MinionPro-Regular" w:hAnsi="MinionPro-Regular"/>
          <w:sz w:val="24"/>
          <w:szCs w:val="24"/>
          <w:lang w:val="es-ES_tradnl"/>
        </w:rPr>
        <w:t xml:space="preserve"> </w:t>
      </w:r>
      <w:r>
        <w:rPr>
          <w:rFonts w:ascii="MinionPro-Regular" w:hAnsi="MinionPro-Regular"/>
          <w:sz w:val="24"/>
          <w:szCs w:val="24"/>
          <w:lang w:val="es-ES_tradnl"/>
        </w:rPr>
        <w:t xml:space="preserve">(Seguridad Social, IRPF, </w:t>
      </w:r>
      <w:r w:rsidRPr="007949F6">
        <w:rPr>
          <w:rFonts w:ascii="MinionPro-Regular" w:hAnsi="MinionPro-Regular"/>
          <w:sz w:val="24"/>
          <w:szCs w:val="24"/>
          <w:lang w:val="es-ES_tradnl"/>
        </w:rPr>
        <w:t>impuestos sobre sociedades</w:t>
      </w:r>
      <w:r>
        <w:rPr>
          <w:rFonts w:ascii="MinionPro-Regular" w:hAnsi="MinionPro-Regular"/>
          <w:sz w:val="24"/>
          <w:szCs w:val="24"/>
          <w:lang w:val="es-ES_tradnl"/>
        </w:rPr>
        <w:t xml:space="preserve"> e IVA</w:t>
      </w:r>
      <w:r w:rsidRPr="007949F6">
        <w:rPr>
          <w:rFonts w:ascii="MinionPro-Regular" w:hAnsi="MinionPro-Regular"/>
          <w:sz w:val="24"/>
          <w:szCs w:val="24"/>
          <w:lang w:val="es-ES_tradnl"/>
        </w:rPr>
        <w:t>)</w:t>
      </w:r>
      <w:r>
        <w:rPr>
          <w:rFonts w:ascii="MinionPro-Regular" w:hAnsi="MinionPro-Regular"/>
          <w:sz w:val="24"/>
          <w:szCs w:val="24"/>
          <w:lang w:val="es-ES_tradnl"/>
        </w:rPr>
        <w:t>. Comparando las cifras que implican salida de caja en una y otra dirección, los centros especiales de empleo</w:t>
      </w:r>
      <w:r w:rsidR="008D2A85">
        <w:rPr>
          <w:rFonts w:ascii="MinionPro-Regular" w:hAnsi="MinionPro-Regular"/>
          <w:sz w:val="24"/>
          <w:szCs w:val="24"/>
          <w:lang w:val="es-ES_tradnl"/>
        </w:rPr>
        <w:t xml:space="preserve"> retornan (sobre datos de 2011) </w:t>
      </w:r>
      <w:r w:rsidRPr="008D2A85">
        <w:rPr>
          <w:rFonts w:ascii="MinionPro-Regular" w:hAnsi="MinionPro-Regular"/>
          <w:sz w:val="24"/>
          <w:szCs w:val="24"/>
          <w:lang w:val="es-ES_tradnl"/>
        </w:rPr>
        <w:t>1,4</w:t>
      </w:r>
      <w:r w:rsidR="00F23441" w:rsidRPr="008D2A85">
        <w:rPr>
          <w:rFonts w:ascii="MinionPro-Regular" w:hAnsi="MinionPro-Regular"/>
          <w:sz w:val="24"/>
          <w:szCs w:val="24"/>
          <w:lang w:val="es-ES_tradnl"/>
        </w:rPr>
        <w:t>2</w:t>
      </w:r>
      <w:r w:rsidRPr="008D2A85">
        <w:rPr>
          <w:rFonts w:ascii="MinionPro-Regular" w:hAnsi="MinionPro-Regular"/>
          <w:sz w:val="24"/>
          <w:szCs w:val="24"/>
          <w:lang w:val="es-ES_tradnl"/>
        </w:rPr>
        <w:t xml:space="preserve"> euros</w:t>
      </w:r>
      <w:r>
        <w:rPr>
          <w:rFonts w:ascii="MinionPro-Regular" w:hAnsi="MinionPro-Regular"/>
          <w:sz w:val="24"/>
          <w:szCs w:val="24"/>
          <w:lang w:val="es-ES_tradnl"/>
        </w:rPr>
        <w:t xml:space="preserve"> por cada euro que reciben de la administración pública. Si se tiene en cuenta el retorno de las partidas que no suponen salida de efectivo ni en una ni en otra dirección, el retorno sería de </w:t>
      </w:r>
      <w:r w:rsidR="00B970E8">
        <w:rPr>
          <w:rFonts w:ascii="MinionPro-Regular" w:hAnsi="MinionPro-Regular"/>
          <w:color w:val="4F81BD" w:themeColor="accent1"/>
          <w:sz w:val="24"/>
          <w:szCs w:val="24"/>
          <w:lang w:val="es-ES_tradnl"/>
        </w:rPr>
        <w:t>1,47</w:t>
      </w:r>
      <w:r>
        <w:rPr>
          <w:rFonts w:ascii="MinionPro-Regular" w:hAnsi="MinionPro-Regular"/>
          <w:sz w:val="24"/>
          <w:szCs w:val="24"/>
          <w:lang w:val="es-ES_tradnl"/>
        </w:rPr>
        <w:t xml:space="preserve"> euros. </w:t>
      </w:r>
      <w:r w:rsidRPr="007949F6">
        <w:rPr>
          <w:rFonts w:ascii="MinionPro-Regular" w:hAnsi="MinionPro-Regular"/>
          <w:sz w:val="24"/>
          <w:szCs w:val="24"/>
          <w:lang w:val="es-ES_tradnl"/>
        </w:rPr>
        <w:t xml:space="preserve"> </w:t>
      </w:r>
      <w:r>
        <w:rPr>
          <w:rFonts w:ascii="MinionPro-Regular" w:hAnsi="MinionPro-Regular"/>
          <w:sz w:val="24"/>
          <w:szCs w:val="24"/>
          <w:lang w:val="es-ES_tradnl"/>
        </w:rPr>
        <w:t xml:space="preserve">Por último, si se tiene en cuenta el impacto en términos globales incluyendo todas las variables analizadas, el retorno económico sobre cada euro asciende a </w:t>
      </w:r>
      <w:r w:rsidR="00CD0211" w:rsidRPr="00CD0211">
        <w:rPr>
          <w:rFonts w:ascii="MinionPro-Regular" w:hAnsi="MinionPro-Regular"/>
          <w:color w:val="4F81BD" w:themeColor="accent1"/>
          <w:sz w:val="24"/>
          <w:szCs w:val="24"/>
          <w:lang w:val="es-ES_tradnl"/>
        </w:rPr>
        <w:t>1,</w:t>
      </w:r>
      <w:r w:rsidR="00B970E8">
        <w:rPr>
          <w:rFonts w:ascii="MinionPro-Regular" w:hAnsi="MinionPro-Regular"/>
          <w:color w:val="4F81BD" w:themeColor="accent1"/>
          <w:sz w:val="24"/>
          <w:szCs w:val="24"/>
          <w:lang w:val="es-ES_tradnl"/>
        </w:rPr>
        <w:t>44</w:t>
      </w:r>
      <w:r>
        <w:rPr>
          <w:rFonts w:ascii="MinionPro-Regular" w:hAnsi="MinionPro-Regular"/>
          <w:color w:val="FF0000"/>
          <w:sz w:val="24"/>
          <w:szCs w:val="24"/>
          <w:lang w:val="es-ES_tradnl"/>
        </w:rPr>
        <w:t xml:space="preserve"> </w:t>
      </w:r>
      <w:r w:rsidRPr="00CD0211">
        <w:rPr>
          <w:rFonts w:ascii="MinionPro-Regular" w:hAnsi="MinionPro-Regular"/>
          <w:sz w:val="24"/>
          <w:szCs w:val="24"/>
          <w:lang w:val="es-ES_tradnl"/>
        </w:rPr>
        <w:t>euros.</w:t>
      </w:r>
    </w:p>
    <w:p w:rsidR="00E2336B" w:rsidRDefault="00E2336B" w:rsidP="0048152A">
      <w:pPr>
        <w:autoSpaceDE w:val="0"/>
        <w:autoSpaceDN w:val="0"/>
        <w:spacing w:line="360" w:lineRule="auto"/>
        <w:jc w:val="both"/>
        <w:rPr>
          <w:rFonts w:ascii="MinionPro-Regular" w:hAnsi="MinionPro-Regular"/>
          <w:sz w:val="24"/>
          <w:szCs w:val="24"/>
          <w:lang w:val="es-ES_tradnl"/>
        </w:rPr>
      </w:pPr>
    </w:p>
    <w:p w:rsidR="00E2336B" w:rsidRDefault="00E2336B" w:rsidP="00CD1C57">
      <w:pPr>
        <w:pBdr>
          <w:bottom w:val="single" w:sz="4" w:space="1" w:color="auto"/>
        </w:pBd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lastRenderedPageBreak/>
        <w:t>Cuadro resumen del análisis de las ayudas de la administración pública y los retornos de los centros especiales de empleo según los distintos conceptos</w:t>
      </w:r>
    </w:p>
    <w:p w:rsidR="00E2336B" w:rsidRDefault="00E2336B" w:rsidP="0048152A">
      <w:pPr>
        <w:autoSpaceDE w:val="0"/>
        <w:autoSpaceDN w:val="0"/>
        <w:spacing w:line="360" w:lineRule="auto"/>
        <w:jc w:val="both"/>
        <w:rPr>
          <w:rFonts w:ascii="MinionPro-Regular" w:hAnsi="MinionPro-Regular"/>
          <w:sz w:val="24"/>
          <w:szCs w:val="24"/>
          <w:lang w:val="es-ES_tradnl"/>
        </w:rPr>
      </w:pPr>
    </w:p>
    <w:tbl>
      <w:tblPr>
        <w:tblW w:w="0" w:type="auto"/>
        <w:tblBorders>
          <w:bottom w:val="single" w:sz="12" w:space="0" w:color="409DAD"/>
        </w:tblBorders>
        <w:tblCellMar>
          <w:top w:w="28" w:type="dxa"/>
          <w:left w:w="28" w:type="dxa"/>
          <w:bottom w:w="28" w:type="dxa"/>
          <w:right w:w="28" w:type="dxa"/>
        </w:tblCellMar>
        <w:tblLook w:val="00A0"/>
      </w:tblPr>
      <w:tblGrid>
        <w:gridCol w:w="2561"/>
        <w:gridCol w:w="2085"/>
        <w:gridCol w:w="1946"/>
        <w:gridCol w:w="1969"/>
      </w:tblGrid>
      <w:tr w:rsidR="00E2336B" w:rsidRPr="005158FF" w:rsidTr="00D2049F">
        <w:trPr>
          <w:trHeight w:val="597"/>
        </w:trPr>
        <w:tc>
          <w:tcPr>
            <w:tcW w:w="2561" w:type="dxa"/>
            <w:tcBorders>
              <w:bottom w:val="nil"/>
            </w:tcBorders>
            <w:shd w:val="clear" w:color="auto" w:fill="409DAD"/>
            <w:vAlign w:val="center"/>
          </w:tcPr>
          <w:p w:rsidR="00E2336B" w:rsidRPr="00A62C1C" w:rsidRDefault="00E2336B" w:rsidP="00A62C1C">
            <w:pPr>
              <w:spacing w:line="180" w:lineRule="atLeast"/>
              <w:rPr>
                <w:rFonts w:ascii="MinionPro-Regular" w:hAnsi="MinionPro-Regular"/>
                <w:b/>
                <w:color w:val="FFFFFF"/>
                <w:lang w:val="es-ES_tradnl"/>
              </w:rPr>
            </w:pPr>
            <w:r w:rsidRPr="00A62C1C">
              <w:rPr>
                <w:rFonts w:ascii="MinionPro-Regular" w:hAnsi="MinionPro-Regular"/>
                <w:b/>
                <w:color w:val="FFFFFF"/>
                <w:lang w:val="es-ES_tradnl"/>
              </w:rPr>
              <w:t>Ayudas de la administración pública</w:t>
            </w:r>
          </w:p>
        </w:tc>
        <w:tc>
          <w:tcPr>
            <w:tcW w:w="2085" w:type="dxa"/>
            <w:tcBorders>
              <w:bottom w:val="nil"/>
            </w:tcBorders>
            <w:shd w:val="clear" w:color="auto" w:fill="409DAD"/>
            <w:vAlign w:val="center"/>
          </w:tcPr>
          <w:p w:rsidR="00E2336B" w:rsidRPr="00A62C1C" w:rsidRDefault="00E2336B" w:rsidP="00A62C1C">
            <w:pPr>
              <w:spacing w:line="180" w:lineRule="atLeast"/>
              <w:rPr>
                <w:rFonts w:ascii="MinionPro-Regular" w:hAnsi="MinionPro-Regular"/>
                <w:b/>
                <w:color w:val="FFFFFF"/>
                <w:lang w:val="es-ES_tradnl"/>
              </w:rPr>
            </w:pPr>
            <w:r w:rsidRPr="00A62C1C">
              <w:rPr>
                <w:rFonts w:ascii="MinionPro-Regular" w:hAnsi="MinionPro-Regular"/>
                <w:b/>
                <w:color w:val="FFFFFF"/>
                <w:lang w:val="es-ES_tradnl"/>
              </w:rPr>
              <w:t xml:space="preserve">Cantidades </w:t>
            </w:r>
          </w:p>
          <w:p w:rsidR="00E2336B" w:rsidRPr="00A62C1C" w:rsidRDefault="00E2336B" w:rsidP="00A62C1C">
            <w:pPr>
              <w:spacing w:line="180" w:lineRule="atLeast"/>
              <w:rPr>
                <w:rFonts w:ascii="MinionPro-Regular" w:hAnsi="MinionPro-Regular"/>
                <w:b/>
                <w:color w:val="FFFFFF"/>
                <w:lang w:val="es-ES_tradnl"/>
              </w:rPr>
            </w:pPr>
            <w:r w:rsidRPr="00A62C1C">
              <w:rPr>
                <w:rFonts w:ascii="MinionPro-Regular" w:hAnsi="MinionPro-Regular"/>
                <w:b/>
                <w:color w:val="FFFFFF"/>
                <w:lang w:val="es-ES_tradnl"/>
              </w:rPr>
              <w:t>totales (euros)</w:t>
            </w:r>
          </w:p>
        </w:tc>
        <w:tc>
          <w:tcPr>
            <w:tcW w:w="1946" w:type="dxa"/>
            <w:tcBorders>
              <w:bottom w:val="nil"/>
            </w:tcBorders>
            <w:shd w:val="clear" w:color="auto" w:fill="409DAD"/>
            <w:vAlign w:val="center"/>
          </w:tcPr>
          <w:p w:rsidR="00E2336B" w:rsidRPr="00A62C1C" w:rsidRDefault="00E2336B" w:rsidP="00A62C1C">
            <w:pPr>
              <w:spacing w:line="180" w:lineRule="atLeast"/>
              <w:rPr>
                <w:rFonts w:ascii="MinionPro-Regular" w:hAnsi="MinionPro-Regular"/>
                <w:b/>
                <w:color w:val="FFFFFF"/>
                <w:lang w:val="es-ES_tradnl"/>
              </w:rPr>
            </w:pPr>
            <w:r w:rsidRPr="00A62C1C">
              <w:rPr>
                <w:rFonts w:ascii="MinionPro-Regular" w:hAnsi="MinionPro-Regular"/>
                <w:b/>
                <w:color w:val="FFFFFF"/>
                <w:lang w:val="es-ES_tradnl"/>
              </w:rPr>
              <w:t>Retorno de los centros especiales de empleo</w:t>
            </w:r>
          </w:p>
        </w:tc>
        <w:tc>
          <w:tcPr>
            <w:tcW w:w="1969" w:type="dxa"/>
            <w:tcBorders>
              <w:bottom w:val="nil"/>
            </w:tcBorders>
            <w:shd w:val="clear" w:color="auto" w:fill="409DAD"/>
            <w:vAlign w:val="center"/>
          </w:tcPr>
          <w:p w:rsidR="00E2336B" w:rsidRPr="00A62C1C" w:rsidRDefault="00E2336B" w:rsidP="00A62C1C">
            <w:pPr>
              <w:spacing w:line="180" w:lineRule="atLeast"/>
              <w:rPr>
                <w:rFonts w:ascii="MinionPro-Regular" w:hAnsi="MinionPro-Regular"/>
                <w:b/>
                <w:color w:val="FFFFFF"/>
                <w:lang w:val="es-ES_tradnl"/>
              </w:rPr>
            </w:pPr>
            <w:r w:rsidRPr="00A62C1C">
              <w:rPr>
                <w:rFonts w:ascii="MinionPro-Regular" w:hAnsi="MinionPro-Regular"/>
                <w:b/>
                <w:color w:val="FFFFFF"/>
                <w:lang w:val="es-ES_tradnl"/>
              </w:rPr>
              <w:t xml:space="preserve">Cantidades </w:t>
            </w:r>
          </w:p>
          <w:p w:rsidR="00E2336B" w:rsidRPr="00A62C1C" w:rsidRDefault="00E2336B" w:rsidP="00A62C1C">
            <w:pPr>
              <w:spacing w:line="180" w:lineRule="atLeast"/>
              <w:rPr>
                <w:rFonts w:ascii="MinionPro-Regular" w:hAnsi="MinionPro-Regular"/>
                <w:color w:val="FFFFFF"/>
                <w:lang w:val="es-ES_tradnl"/>
              </w:rPr>
            </w:pPr>
            <w:r w:rsidRPr="00A62C1C">
              <w:rPr>
                <w:rFonts w:ascii="MinionPro-Regular" w:hAnsi="MinionPro-Regular"/>
                <w:b/>
                <w:color w:val="FFFFFF"/>
                <w:lang w:val="es-ES_tradnl"/>
              </w:rPr>
              <w:t>totales estimadas (euros)</w:t>
            </w:r>
          </w:p>
        </w:tc>
      </w:tr>
      <w:tr w:rsidR="00E2336B" w:rsidRPr="005158FF" w:rsidTr="00D2049F">
        <w:trPr>
          <w:trHeight w:val="290"/>
        </w:trPr>
        <w:tc>
          <w:tcPr>
            <w:tcW w:w="8561" w:type="dxa"/>
            <w:gridSpan w:val="4"/>
            <w:tcBorders>
              <w:bottom w:val="single" w:sz="4" w:space="0" w:color="auto"/>
            </w:tcBorders>
            <w:vAlign w:val="center"/>
          </w:tcPr>
          <w:p w:rsidR="00E2336B" w:rsidRPr="00A62C1C" w:rsidRDefault="00E2336B" w:rsidP="00A62C1C">
            <w:pPr>
              <w:spacing w:line="180" w:lineRule="atLeast"/>
              <w:jc w:val="center"/>
              <w:rPr>
                <w:rFonts w:ascii="MinionPro-Regular" w:hAnsi="MinionPro-Regular"/>
                <w:bCs/>
                <w:lang w:val="es-ES_tradnl"/>
              </w:rPr>
            </w:pPr>
            <w:r w:rsidRPr="00A62C1C">
              <w:rPr>
                <w:rFonts w:ascii="MinionPro-Regular" w:hAnsi="MinionPro-Regular"/>
                <w:b/>
                <w:lang w:val="es-ES_tradnl"/>
              </w:rPr>
              <w:t>Con salida de efectivo</w:t>
            </w:r>
          </w:p>
        </w:tc>
      </w:tr>
      <w:tr w:rsidR="00E2336B" w:rsidRPr="005158FF" w:rsidTr="00D2049F">
        <w:trPr>
          <w:trHeight w:val="290"/>
        </w:trPr>
        <w:tc>
          <w:tcPr>
            <w:tcW w:w="2561" w:type="dxa"/>
            <w:vMerge w:val="restart"/>
            <w:tcBorders>
              <w:top w:val="single" w:sz="4" w:space="0" w:color="auto"/>
            </w:tcBorders>
            <w:vAlign w:val="center"/>
          </w:tcPr>
          <w:p w:rsidR="00E2336B" w:rsidRPr="00D2049F" w:rsidRDefault="00E2336B" w:rsidP="00A62C1C">
            <w:pPr>
              <w:spacing w:line="180" w:lineRule="atLeast"/>
              <w:rPr>
                <w:rFonts w:ascii="MinionPro-Regular" w:hAnsi="MinionPro-Regular"/>
                <w:lang w:val="es-ES_tradnl"/>
              </w:rPr>
            </w:pPr>
            <w:r w:rsidRPr="00D2049F">
              <w:rPr>
                <w:rFonts w:ascii="MinionPro-Regular" w:hAnsi="MinionPro-Regular"/>
                <w:lang w:val="es-ES_tradnl"/>
              </w:rPr>
              <w:t>Compromiso de gasto para centros especiales de empleo</w:t>
            </w:r>
          </w:p>
        </w:tc>
        <w:tc>
          <w:tcPr>
            <w:tcW w:w="2085" w:type="dxa"/>
            <w:vMerge w:val="restart"/>
            <w:tcBorders>
              <w:top w:val="single" w:sz="4" w:space="0" w:color="auto"/>
            </w:tcBorders>
            <w:vAlign w:val="center"/>
          </w:tcPr>
          <w:p w:rsidR="00E2336B" w:rsidRPr="00A62C1C" w:rsidRDefault="00E2336B" w:rsidP="00A62C1C">
            <w:pPr>
              <w:spacing w:line="180" w:lineRule="atLeast"/>
              <w:jc w:val="center"/>
              <w:rPr>
                <w:rFonts w:ascii="MinionPro-Regular" w:hAnsi="MinionPro-Regular"/>
                <w:lang w:val="es-ES_tradnl"/>
              </w:rPr>
            </w:pPr>
            <w:r w:rsidRPr="00A62C1C">
              <w:rPr>
                <w:rFonts w:ascii="MinionPro-Regular" w:hAnsi="MinionPro-Regular"/>
                <w:lang w:val="es-ES_tradnl"/>
              </w:rPr>
              <w:t>323.514.020</w:t>
            </w:r>
          </w:p>
        </w:tc>
        <w:tc>
          <w:tcPr>
            <w:tcW w:w="1946" w:type="dxa"/>
            <w:tcBorders>
              <w:top w:val="single" w:sz="4" w:space="0" w:color="auto"/>
            </w:tcBorders>
            <w:vAlign w:val="center"/>
          </w:tcPr>
          <w:p w:rsidR="00E2336B" w:rsidRPr="00A62C1C" w:rsidRDefault="00E2336B" w:rsidP="00A62C1C">
            <w:pPr>
              <w:spacing w:line="180" w:lineRule="atLeast"/>
              <w:rPr>
                <w:rFonts w:ascii="MinionPro-Regular" w:hAnsi="MinionPro-Regular"/>
                <w:lang w:val="es-ES_tradnl"/>
              </w:rPr>
            </w:pPr>
            <w:r w:rsidRPr="00A62C1C">
              <w:rPr>
                <w:rFonts w:ascii="MinionPro-Regular" w:hAnsi="MinionPro-Regular"/>
                <w:lang w:val="es-ES_tradnl"/>
              </w:rPr>
              <w:t>IRPF y seguridad social</w:t>
            </w:r>
          </w:p>
        </w:tc>
        <w:tc>
          <w:tcPr>
            <w:tcW w:w="1969" w:type="dxa"/>
            <w:tcBorders>
              <w:top w:val="single" w:sz="4" w:space="0" w:color="auto"/>
            </w:tcBorders>
            <w:vAlign w:val="center"/>
          </w:tcPr>
          <w:p w:rsidR="00E2336B" w:rsidRPr="00A62C1C" w:rsidRDefault="00E2336B" w:rsidP="00A62C1C">
            <w:pPr>
              <w:spacing w:line="180" w:lineRule="atLeast"/>
              <w:jc w:val="center"/>
              <w:rPr>
                <w:rFonts w:ascii="MinionPro-Regular" w:hAnsi="MinionPro-Regular"/>
                <w:lang w:val="es-ES_tradnl"/>
              </w:rPr>
            </w:pPr>
            <w:r w:rsidRPr="00A62C1C">
              <w:rPr>
                <w:rFonts w:ascii="MinionPro-Regular" w:hAnsi="MinionPro-Regular"/>
                <w:lang w:val="es-ES_tradnl"/>
              </w:rPr>
              <w:t>179.332.171</w:t>
            </w:r>
          </w:p>
        </w:tc>
      </w:tr>
      <w:tr w:rsidR="00E2336B" w:rsidRPr="005158FF" w:rsidTr="00D2049F">
        <w:trPr>
          <w:trHeight w:val="164"/>
        </w:trPr>
        <w:tc>
          <w:tcPr>
            <w:tcW w:w="2561" w:type="dxa"/>
            <w:vMerge/>
            <w:vAlign w:val="center"/>
          </w:tcPr>
          <w:p w:rsidR="00E2336B" w:rsidRPr="00A62C1C" w:rsidRDefault="00E2336B" w:rsidP="00A62C1C">
            <w:pPr>
              <w:spacing w:line="180" w:lineRule="atLeast"/>
              <w:rPr>
                <w:rFonts w:ascii="MinionPro-Regular" w:hAnsi="MinionPro-Regular"/>
                <w:b/>
                <w:lang w:val="es-ES_tradnl"/>
              </w:rPr>
            </w:pPr>
          </w:p>
        </w:tc>
        <w:tc>
          <w:tcPr>
            <w:tcW w:w="2085" w:type="dxa"/>
            <w:vMerge/>
            <w:vAlign w:val="center"/>
          </w:tcPr>
          <w:p w:rsidR="00E2336B" w:rsidRPr="00A62C1C" w:rsidRDefault="00E2336B" w:rsidP="00A62C1C">
            <w:pPr>
              <w:spacing w:line="180" w:lineRule="atLeast"/>
              <w:rPr>
                <w:rFonts w:ascii="MinionPro-Regular" w:hAnsi="MinionPro-Regular"/>
                <w:lang w:val="es-ES_tradnl"/>
              </w:rPr>
            </w:pPr>
          </w:p>
        </w:tc>
        <w:tc>
          <w:tcPr>
            <w:tcW w:w="1946" w:type="dxa"/>
            <w:vAlign w:val="center"/>
          </w:tcPr>
          <w:p w:rsidR="00E2336B" w:rsidRPr="00A62C1C" w:rsidRDefault="00E2336B" w:rsidP="00A62C1C">
            <w:pPr>
              <w:spacing w:line="180" w:lineRule="atLeast"/>
              <w:rPr>
                <w:rFonts w:ascii="MinionPro-Regular" w:hAnsi="MinionPro-Regular"/>
                <w:lang w:val="es-ES_tradnl"/>
              </w:rPr>
            </w:pPr>
            <w:r w:rsidRPr="00A62C1C">
              <w:rPr>
                <w:rFonts w:ascii="MinionPro-Regular" w:hAnsi="MinionPro-Regular"/>
                <w:lang w:val="es-ES_tradnl"/>
              </w:rPr>
              <w:t>Impuestos indirectos (IVA)</w:t>
            </w:r>
          </w:p>
        </w:tc>
        <w:tc>
          <w:tcPr>
            <w:tcW w:w="1969" w:type="dxa"/>
            <w:vAlign w:val="center"/>
          </w:tcPr>
          <w:p w:rsidR="00E2336B" w:rsidRPr="00A62C1C" w:rsidRDefault="00E2336B" w:rsidP="00A62C1C">
            <w:pPr>
              <w:spacing w:line="180" w:lineRule="atLeast"/>
              <w:jc w:val="center"/>
              <w:rPr>
                <w:rFonts w:ascii="MinionPro-Regular" w:hAnsi="MinionPro-Regular"/>
                <w:lang w:val="es-ES_tradnl"/>
              </w:rPr>
            </w:pPr>
            <w:r w:rsidRPr="00A62C1C">
              <w:rPr>
                <w:rFonts w:ascii="MinionPro-Regular" w:hAnsi="MinionPro-Regular"/>
                <w:lang w:val="es-ES_tradnl"/>
              </w:rPr>
              <w:t>239.555.474</w:t>
            </w:r>
          </w:p>
        </w:tc>
      </w:tr>
      <w:tr w:rsidR="00E2336B" w:rsidRPr="005158FF" w:rsidTr="00D2049F">
        <w:trPr>
          <w:trHeight w:val="164"/>
        </w:trPr>
        <w:tc>
          <w:tcPr>
            <w:tcW w:w="2561" w:type="dxa"/>
            <w:vMerge/>
            <w:tcBorders>
              <w:bottom w:val="nil"/>
            </w:tcBorders>
            <w:vAlign w:val="center"/>
          </w:tcPr>
          <w:p w:rsidR="00E2336B" w:rsidRPr="00A62C1C" w:rsidRDefault="00E2336B" w:rsidP="00A62C1C">
            <w:pPr>
              <w:spacing w:line="180" w:lineRule="atLeast"/>
              <w:rPr>
                <w:rFonts w:ascii="MinionPro-Regular" w:hAnsi="MinionPro-Regular"/>
                <w:lang w:val="es-ES_tradnl"/>
              </w:rPr>
            </w:pPr>
          </w:p>
        </w:tc>
        <w:tc>
          <w:tcPr>
            <w:tcW w:w="2085" w:type="dxa"/>
            <w:vMerge/>
            <w:tcBorders>
              <w:bottom w:val="nil"/>
            </w:tcBorders>
            <w:vAlign w:val="center"/>
          </w:tcPr>
          <w:p w:rsidR="00E2336B" w:rsidRPr="00A62C1C" w:rsidRDefault="00E2336B" w:rsidP="00A62C1C">
            <w:pPr>
              <w:spacing w:line="180" w:lineRule="atLeast"/>
              <w:rPr>
                <w:rFonts w:ascii="MinionPro-Regular" w:hAnsi="MinionPro-Regular"/>
                <w:lang w:val="es-ES_tradnl"/>
              </w:rPr>
            </w:pPr>
          </w:p>
        </w:tc>
        <w:tc>
          <w:tcPr>
            <w:tcW w:w="1946" w:type="dxa"/>
            <w:tcBorders>
              <w:bottom w:val="nil"/>
            </w:tcBorders>
            <w:vAlign w:val="center"/>
          </w:tcPr>
          <w:p w:rsidR="00E2336B" w:rsidRPr="00A62C1C" w:rsidRDefault="00E2336B" w:rsidP="00A62C1C">
            <w:pPr>
              <w:spacing w:line="180" w:lineRule="atLeast"/>
              <w:rPr>
                <w:rFonts w:ascii="MinionPro-Regular" w:hAnsi="MinionPro-Regular"/>
                <w:lang w:val="es-ES_tradnl"/>
              </w:rPr>
            </w:pPr>
            <w:r w:rsidRPr="00A62C1C">
              <w:rPr>
                <w:rFonts w:ascii="MinionPro-Regular" w:hAnsi="MinionPro-Regular"/>
                <w:lang w:val="es-ES_tradnl"/>
              </w:rPr>
              <w:t>Impuesto de sociedades</w:t>
            </w:r>
          </w:p>
        </w:tc>
        <w:tc>
          <w:tcPr>
            <w:tcW w:w="1969" w:type="dxa"/>
            <w:tcBorders>
              <w:bottom w:val="nil"/>
            </w:tcBorders>
            <w:vAlign w:val="center"/>
          </w:tcPr>
          <w:p w:rsidR="00E2336B" w:rsidRPr="00A62C1C" w:rsidRDefault="00E2336B" w:rsidP="00A62C1C">
            <w:pPr>
              <w:spacing w:line="180" w:lineRule="atLeast"/>
              <w:jc w:val="center"/>
              <w:rPr>
                <w:rFonts w:ascii="MinionPro-Regular" w:hAnsi="MinionPro-Regular"/>
                <w:lang w:val="es-ES_tradnl"/>
              </w:rPr>
            </w:pPr>
            <w:r w:rsidRPr="00A62C1C">
              <w:rPr>
                <w:rFonts w:ascii="MinionPro-Regular" w:hAnsi="MinionPro-Regular"/>
                <w:lang w:val="es-ES_tradnl"/>
              </w:rPr>
              <w:t>40.700.000</w:t>
            </w:r>
          </w:p>
        </w:tc>
      </w:tr>
      <w:tr w:rsidR="00E2336B" w:rsidRPr="005158FF" w:rsidTr="00D2049F">
        <w:trPr>
          <w:trHeight w:val="307"/>
        </w:trPr>
        <w:tc>
          <w:tcPr>
            <w:tcW w:w="8561" w:type="dxa"/>
            <w:gridSpan w:val="4"/>
            <w:tcBorders>
              <w:bottom w:val="single" w:sz="4" w:space="0" w:color="auto"/>
            </w:tcBorders>
            <w:vAlign w:val="center"/>
          </w:tcPr>
          <w:p w:rsidR="00E2336B" w:rsidRPr="00A62C1C" w:rsidRDefault="00E2336B" w:rsidP="00A62C1C">
            <w:pPr>
              <w:spacing w:line="180" w:lineRule="atLeast"/>
              <w:jc w:val="center"/>
              <w:rPr>
                <w:rFonts w:ascii="MinionPro-Regular" w:hAnsi="MinionPro-Regular"/>
                <w:bCs/>
                <w:lang w:val="es-ES_tradnl"/>
              </w:rPr>
            </w:pPr>
            <w:r w:rsidRPr="00A62C1C">
              <w:rPr>
                <w:rFonts w:ascii="MinionPro-Regular" w:hAnsi="MinionPro-Regular"/>
                <w:b/>
                <w:lang w:val="es-ES_tradnl"/>
              </w:rPr>
              <w:t>Sin salida de efectivo</w:t>
            </w:r>
          </w:p>
        </w:tc>
      </w:tr>
      <w:tr w:rsidR="00C01B87" w:rsidRPr="005158FF" w:rsidTr="00C01B87">
        <w:tblPrEx>
          <w:tblBorders>
            <w:bottom w:val="none" w:sz="0" w:space="0" w:color="auto"/>
          </w:tblBorders>
          <w:tblCellMar>
            <w:top w:w="0" w:type="dxa"/>
            <w:left w:w="108" w:type="dxa"/>
            <w:bottom w:w="0" w:type="dxa"/>
            <w:right w:w="108" w:type="dxa"/>
          </w:tblCellMar>
        </w:tblPrEx>
        <w:trPr>
          <w:trHeight w:val="290"/>
        </w:trPr>
        <w:tc>
          <w:tcPr>
            <w:tcW w:w="2561" w:type="dxa"/>
            <w:vMerge w:val="restart"/>
            <w:vAlign w:val="center"/>
          </w:tcPr>
          <w:p w:rsidR="00C01B87" w:rsidRPr="00D2049F" w:rsidRDefault="00C01B87" w:rsidP="00C01B87">
            <w:pPr>
              <w:spacing w:line="180" w:lineRule="atLeast"/>
              <w:rPr>
                <w:rFonts w:ascii="MinionPro-Regular" w:hAnsi="MinionPro-Regular"/>
                <w:lang w:val="es-ES_tradnl"/>
              </w:rPr>
            </w:pPr>
            <w:r w:rsidRPr="00D2049F">
              <w:rPr>
                <w:rFonts w:ascii="MinionPro-Regular" w:hAnsi="MinionPro-Regular"/>
                <w:lang w:val="es-ES_tradnl"/>
              </w:rPr>
              <w:t>Bonificación 100% cuota empresarial de la seguridad social</w:t>
            </w:r>
          </w:p>
        </w:tc>
        <w:tc>
          <w:tcPr>
            <w:tcW w:w="2085" w:type="dxa"/>
            <w:vMerge w:val="restart"/>
            <w:vAlign w:val="center"/>
          </w:tcPr>
          <w:p w:rsidR="00C01B87" w:rsidRPr="00A62C1C" w:rsidRDefault="00C01B87" w:rsidP="00C01B87">
            <w:pPr>
              <w:spacing w:line="180" w:lineRule="atLeast"/>
              <w:rPr>
                <w:rFonts w:ascii="MinionPro-Regular" w:hAnsi="MinionPro-Regular"/>
                <w:lang w:val="es-ES_tradnl"/>
              </w:rPr>
            </w:pPr>
            <w:r w:rsidRPr="00A62C1C">
              <w:rPr>
                <w:rFonts w:ascii="MinionPro-Regular" w:hAnsi="MinionPro-Regular"/>
                <w:lang w:val="es-ES_tradnl"/>
              </w:rPr>
              <w:t>204.815.193</w:t>
            </w:r>
          </w:p>
        </w:tc>
        <w:tc>
          <w:tcPr>
            <w:tcW w:w="1946" w:type="dxa"/>
          </w:tcPr>
          <w:p w:rsidR="00C01B87" w:rsidRPr="00A62C1C" w:rsidRDefault="00C01B87" w:rsidP="00D2049F">
            <w:pPr>
              <w:spacing w:line="180" w:lineRule="atLeast"/>
              <w:jc w:val="both"/>
              <w:rPr>
                <w:rFonts w:ascii="MinionPro-Regular" w:hAnsi="MinionPro-Regular"/>
                <w:lang w:val="es-ES_tradnl"/>
              </w:rPr>
            </w:pPr>
            <w:r w:rsidRPr="00A62C1C">
              <w:rPr>
                <w:rFonts w:ascii="MinionPro-Regular" w:hAnsi="MinionPro-Regular"/>
                <w:lang w:val="es-ES_tradnl"/>
              </w:rPr>
              <w:t>Ayudas LISMI</w:t>
            </w:r>
          </w:p>
        </w:tc>
        <w:tc>
          <w:tcPr>
            <w:tcW w:w="1969" w:type="dxa"/>
          </w:tcPr>
          <w:p w:rsidR="00C01B87" w:rsidRPr="008D2A85" w:rsidRDefault="00C01B87" w:rsidP="00A62C1C">
            <w:pPr>
              <w:spacing w:line="180" w:lineRule="atLeast"/>
              <w:jc w:val="center"/>
              <w:rPr>
                <w:rFonts w:ascii="MinionPro-Regular" w:hAnsi="MinionPro-Regular"/>
                <w:lang w:val="es-ES_tradnl"/>
              </w:rPr>
            </w:pPr>
            <w:r w:rsidRPr="008D2A85">
              <w:rPr>
                <w:rFonts w:ascii="MinionPro-Regular" w:hAnsi="MinionPro-Regular"/>
                <w:lang w:val="es-ES_tradnl"/>
              </w:rPr>
              <w:t>1.778.73</w:t>
            </w:r>
            <w:r>
              <w:rPr>
                <w:rFonts w:ascii="MinionPro-Regular" w:hAnsi="MinionPro-Regular"/>
                <w:lang w:val="es-ES_tradnl"/>
              </w:rPr>
              <w:t>8</w:t>
            </w:r>
          </w:p>
        </w:tc>
      </w:tr>
      <w:tr w:rsidR="00C01B87" w:rsidRPr="005158FF" w:rsidTr="00D2049F">
        <w:trPr>
          <w:trHeight w:val="164"/>
        </w:trPr>
        <w:tc>
          <w:tcPr>
            <w:tcW w:w="2561" w:type="dxa"/>
            <w:vMerge/>
            <w:vAlign w:val="center"/>
          </w:tcPr>
          <w:p w:rsidR="00C01B87" w:rsidRPr="00A62C1C" w:rsidRDefault="00C01B87" w:rsidP="00A62C1C">
            <w:pPr>
              <w:spacing w:line="180" w:lineRule="atLeast"/>
              <w:rPr>
                <w:rFonts w:ascii="MinionPro-Regular" w:hAnsi="MinionPro-Regular"/>
                <w:lang w:val="es-ES_tradnl"/>
              </w:rPr>
            </w:pPr>
          </w:p>
        </w:tc>
        <w:tc>
          <w:tcPr>
            <w:tcW w:w="2085" w:type="dxa"/>
            <w:vMerge/>
            <w:vAlign w:val="center"/>
          </w:tcPr>
          <w:p w:rsidR="00C01B87" w:rsidRPr="00A62C1C" w:rsidRDefault="00C01B87" w:rsidP="00A62C1C">
            <w:pPr>
              <w:spacing w:line="180" w:lineRule="atLeast"/>
              <w:rPr>
                <w:rFonts w:ascii="MinionPro-Regular" w:hAnsi="MinionPro-Regular"/>
                <w:lang w:val="es-ES_tradnl"/>
              </w:rPr>
            </w:pPr>
          </w:p>
        </w:tc>
        <w:tc>
          <w:tcPr>
            <w:tcW w:w="1946" w:type="dxa"/>
            <w:vAlign w:val="center"/>
          </w:tcPr>
          <w:p w:rsidR="00C01B87" w:rsidRPr="00A62C1C" w:rsidRDefault="00C01B87" w:rsidP="00A62C1C">
            <w:pPr>
              <w:spacing w:line="180" w:lineRule="atLeast"/>
              <w:rPr>
                <w:rFonts w:ascii="MinionPro-Regular" w:hAnsi="MinionPro-Regular"/>
                <w:lang w:val="es-ES_tradnl"/>
              </w:rPr>
            </w:pPr>
            <w:r w:rsidRPr="00A62C1C">
              <w:rPr>
                <w:rFonts w:ascii="MinionPro-Regular" w:hAnsi="MinionPro-Regular"/>
                <w:lang w:val="es-ES_tradnl"/>
              </w:rPr>
              <w:t>Pensiones no contributivas</w:t>
            </w:r>
          </w:p>
        </w:tc>
        <w:tc>
          <w:tcPr>
            <w:tcW w:w="1969" w:type="dxa"/>
            <w:vAlign w:val="center"/>
          </w:tcPr>
          <w:p w:rsidR="00C01B87" w:rsidRPr="008D2A85" w:rsidRDefault="00C01B87" w:rsidP="00A62C1C">
            <w:pPr>
              <w:spacing w:line="180" w:lineRule="atLeast"/>
              <w:jc w:val="center"/>
              <w:rPr>
                <w:rFonts w:ascii="MinionPro-Regular" w:hAnsi="MinionPro-Regular"/>
                <w:lang w:val="es-ES_tradnl"/>
              </w:rPr>
            </w:pPr>
            <w:r w:rsidRPr="008D2A85">
              <w:rPr>
                <w:rFonts w:ascii="MinionPro-Regular" w:hAnsi="MinionPro-Regular"/>
                <w:lang w:val="es-ES_tradnl"/>
              </w:rPr>
              <w:t>22.730.090</w:t>
            </w:r>
          </w:p>
        </w:tc>
      </w:tr>
      <w:tr w:rsidR="00C01B87" w:rsidRPr="005158FF" w:rsidTr="00D2049F">
        <w:trPr>
          <w:trHeight w:val="164"/>
        </w:trPr>
        <w:tc>
          <w:tcPr>
            <w:tcW w:w="2561" w:type="dxa"/>
            <w:vMerge/>
            <w:vAlign w:val="center"/>
          </w:tcPr>
          <w:p w:rsidR="00C01B87" w:rsidRPr="00A62C1C" w:rsidRDefault="00C01B87" w:rsidP="00A62C1C">
            <w:pPr>
              <w:spacing w:line="180" w:lineRule="atLeast"/>
              <w:rPr>
                <w:rFonts w:ascii="MinionPro-Regular" w:hAnsi="MinionPro-Regular"/>
                <w:b/>
                <w:lang w:val="es-ES_tradnl"/>
              </w:rPr>
            </w:pPr>
          </w:p>
        </w:tc>
        <w:tc>
          <w:tcPr>
            <w:tcW w:w="2085" w:type="dxa"/>
            <w:vMerge/>
            <w:vAlign w:val="center"/>
          </w:tcPr>
          <w:p w:rsidR="00C01B87" w:rsidRPr="00A62C1C" w:rsidRDefault="00C01B87" w:rsidP="00A62C1C">
            <w:pPr>
              <w:spacing w:line="180" w:lineRule="atLeast"/>
              <w:rPr>
                <w:rFonts w:ascii="MinionPro-Regular" w:hAnsi="MinionPro-Regular"/>
                <w:lang w:val="es-ES_tradnl"/>
              </w:rPr>
            </w:pPr>
          </w:p>
        </w:tc>
        <w:tc>
          <w:tcPr>
            <w:tcW w:w="1946" w:type="dxa"/>
            <w:vAlign w:val="center"/>
          </w:tcPr>
          <w:p w:rsidR="00C01B87" w:rsidRPr="00A62C1C" w:rsidRDefault="00C01B87" w:rsidP="00A62C1C">
            <w:pPr>
              <w:spacing w:line="180" w:lineRule="atLeast"/>
              <w:rPr>
                <w:rFonts w:ascii="MinionPro-Regular" w:hAnsi="MinionPro-Regular"/>
                <w:lang w:val="es-ES_tradnl"/>
              </w:rPr>
            </w:pPr>
            <w:r w:rsidRPr="00A62C1C">
              <w:rPr>
                <w:rFonts w:ascii="MinionPro-Regular" w:hAnsi="MinionPro-Regular"/>
                <w:lang w:val="es-ES_tradnl"/>
              </w:rPr>
              <w:t>Pensiones contributivas</w:t>
            </w:r>
          </w:p>
        </w:tc>
        <w:tc>
          <w:tcPr>
            <w:tcW w:w="1969" w:type="dxa"/>
            <w:vAlign w:val="center"/>
          </w:tcPr>
          <w:p w:rsidR="00C01B87" w:rsidRPr="008D2A85" w:rsidRDefault="00C01B87" w:rsidP="005D1A1F">
            <w:pPr>
              <w:jc w:val="center"/>
              <w:rPr>
                <w:rFonts w:ascii="MinionPro-Regular" w:hAnsi="MinionPro-Regular"/>
                <w:lang w:val="es-ES_tradnl"/>
              </w:rPr>
            </w:pPr>
            <w:r>
              <w:rPr>
                <w:rFonts w:ascii="MinionPro-Regular" w:hAnsi="MinionPro-Regular"/>
                <w:lang w:val="es-ES_tradnl"/>
              </w:rPr>
              <w:t>43.41</w:t>
            </w:r>
            <w:r w:rsidRPr="008D2A85">
              <w:rPr>
                <w:rFonts w:ascii="MinionPro-Regular" w:hAnsi="MinionPro-Regular"/>
                <w:lang w:val="es-ES_tradnl"/>
              </w:rPr>
              <w:t>7</w:t>
            </w:r>
            <w:r>
              <w:rPr>
                <w:rFonts w:ascii="MinionPro-Regular" w:hAnsi="MinionPro-Regular"/>
                <w:lang w:val="es-ES_tradnl"/>
              </w:rPr>
              <w:t>.067</w:t>
            </w:r>
          </w:p>
        </w:tc>
      </w:tr>
      <w:tr w:rsidR="00C01B87" w:rsidRPr="005158FF" w:rsidTr="00D2049F">
        <w:trPr>
          <w:trHeight w:val="164"/>
        </w:trPr>
        <w:tc>
          <w:tcPr>
            <w:tcW w:w="2561" w:type="dxa"/>
            <w:vMerge/>
            <w:vAlign w:val="center"/>
          </w:tcPr>
          <w:p w:rsidR="00C01B87" w:rsidRPr="00A62C1C" w:rsidRDefault="00C01B87" w:rsidP="00A62C1C">
            <w:pPr>
              <w:spacing w:line="180" w:lineRule="atLeast"/>
              <w:rPr>
                <w:rFonts w:ascii="MinionPro-Regular" w:hAnsi="MinionPro-Regular"/>
                <w:lang w:val="es-ES_tradnl"/>
              </w:rPr>
            </w:pPr>
          </w:p>
        </w:tc>
        <w:tc>
          <w:tcPr>
            <w:tcW w:w="2085" w:type="dxa"/>
            <w:vMerge/>
            <w:vAlign w:val="center"/>
          </w:tcPr>
          <w:p w:rsidR="00C01B87" w:rsidRPr="00A62C1C" w:rsidRDefault="00C01B87" w:rsidP="00A62C1C">
            <w:pPr>
              <w:spacing w:line="180" w:lineRule="atLeast"/>
              <w:rPr>
                <w:rFonts w:ascii="MinionPro-Regular" w:hAnsi="MinionPro-Regular"/>
                <w:lang w:val="es-ES_tradnl"/>
              </w:rPr>
            </w:pPr>
          </w:p>
        </w:tc>
        <w:tc>
          <w:tcPr>
            <w:tcW w:w="1946" w:type="dxa"/>
            <w:vAlign w:val="center"/>
          </w:tcPr>
          <w:p w:rsidR="00C01B87" w:rsidRPr="00A62C1C" w:rsidRDefault="00C01B87" w:rsidP="00A62C1C">
            <w:pPr>
              <w:spacing w:line="180" w:lineRule="atLeast"/>
              <w:rPr>
                <w:rFonts w:ascii="MinionPro-Regular" w:hAnsi="MinionPro-Regular"/>
                <w:lang w:val="es-ES_tradnl"/>
              </w:rPr>
            </w:pPr>
            <w:r w:rsidRPr="00A62C1C">
              <w:rPr>
                <w:rFonts w:ascii="MinionPro-Regular" w:hAnsi="MinionPro-Regular"/>
                <w:lang w:val="es-ES_tradnl"/>
              </w:rPr>
              <w:t>Ahorro en gasto sanitario</w:t>
            </w:r>
          </w:p>
        </w:tc>
        <w:tc>
          <w:tcPr>
            <w:tcW w:w="1969" w:type="dxa"/>
            <w:vAlign w:val="center"/>
          </w:tcPr>
          <w:p w:rsidR="00C01B87" w:rsidRPr="00A62C1C" w:rsidRDefault="004936BB" w:rsidP="00A62C1C">
            <w:pPr>
              <w:spacing w:line="180" w:lineRule="atLeast"/>
              <w:jc w:val="center"/>
              <w:rPr>
                <w:rFonts w:ascii="MinionPro-Regular" w:hAnsi="MinionPro-Regular"/>
                <w:lang w:val="es-ES_tradnl"/>
              </w:rPr>
            </w:pPr>
            <w:r>
              <w:rPr>
                <w:rFonts w:ascii="MinionPro-Regular" w:hAnsi="MinionPro-Regular"/>
                <w:lang w:val="es-ES_tradnl"/>
              </w:rPr>
              <w:t>97.227</w:t>
            </w:r>
            <w:r w:rsidR="00C01B87" w:rsidRPr="00A62C1C">
              <w:rPr>
                <w:rFonts w:ascii="MinionPro-Regular" w:hAnsi="MinionPro-Regular"/>
                <w:lang w:val="es-ES_tradnl"/>
              </w:rPr>
              <w:t>.</w:t>
            </w:r>
            <w:r>
              <w:rPr>
                <w:rFonts w:ascii="MinionPro-Regular" w:hAnsi="MinionPro-Regular"/>
                <w:lang w:val="es-ES_tradnl"/>
              </w:rPr>
              <w:t>989</w:t>
            </w:r>
          </w:p>
        </w:tc>
      </w:tr>
      <w:tr w:rsidR="00C01B87" w:rsidRPr="005158FF" w:rsidTr="00D2049F">
        <w:trPr>
          <w:trHeight w:val="164"/>
        </w:trPr>
        <w:tc>
          <w:tcPr>
            <w:tcW w:w="2561" w:type="dxa"/>
            <w:vMerge/>
            <w:vAlign w:val="center"/>
          </w:tcPr>
          <w:p w:rsidR="00C01B87" w:rsidRPr="00A62C1C" w:rsidRDefault="00C01B87" w:rsidP="00A62C1C">
            <w:pPr>
              <w:spacing w:line="180" w:lineRule="atLeast"/>
              <w:rPr>
                <w:rFonts w:ascii="MinionPro-Regular" w:hAnsi="MinionPro-Regular"/>
                <w:lang w:val="es-ES_tradnl"/>
              </w:rPr>
            </w:pPr>
          </w:p>
        </w:tc>
        <w:tc>
          <w:tcPr>
            <w:tcW w:w="2085" w:type="dxa"/>
            <w:vMerge/>
            <w:vAlign w:val="center"/>
          </w:tcPr>
          <w:p w:rsidR="00C01B87" w:rsidRPr="00A62C1C" w:rsidRDefault="00C01B87" w:rsidP="00A62C1C">
            <w:pPr>
              <w:spacing w:line="180" w:lineRule="atLeast"/>
              <w:rPr>
                <w:rFonts w:ascii="MinionPro-Regular" w:hAnsi="MinionPro-Regular"/>
                <w:lang w:val="es-ES_tradnl"/>
              </w:rPr>
            </w:pPr>
          </w:p>
        </w:tc>
        <w:tc>
          <w:tcPr>
            <w:tcW w:w="1946" w:type="dxa"/>
            <w:vAlign w:val="center"/>
          </w:tcPr>
          <w:p w:rsidR="00C01B87" w:rsidRPr="00A62C1C" w:rsidRDefault="00C01B87" w:rsidP="00A62C1C">
            <w:pPr>
              <w:spacing w:line="180" w:lineRule="atLeast"/>
              <w:rPr>
                <w:rFonts w:ascii="MinionPro-Regular" w:hAnsi="MinionPro-Regular"/>
                <w:lang w:val="es-ES_tradnl"/>
              </w:rPr>
            </w:pPr>
            <w:r>
              <w:rPr>
                <w:rFonts w:ascii="MinionPro-Regular" w:hAnsi="MinionPro-Regular"/>
                <w:lang w:val="es-ES_tradnl"/>
              </w:rPr>
              <w:t>Ahorro en plazas ocupacionales</w:t>
            </w:r>
          </w:p>
        </w:tc>
        <w:tc>
          <w:tcPr>
            <w:tcW w:w="1969" w:type="dxa"/>
            <w:vAlign w:val="center"/>
          </w:tcPr>
          <w:p w:rsidR="00C01B87" w:rsidRPr="00A62C1C" w:rsidRDefault="00C01B87" w:rsidP="00A62C1C">
            <w:pPr>
              <w:spacing w:line="180" w:lineRule="atLeast"/>
              <w:jc w:val="center"/>
              <w:rPr>
                <w:rFonts w:ascii="MinionPro-Regular" w:hAnsi="MinionPro-Regular"/>
                <w:lang w:val="es-ES_tradnl"/>
              </w:rPr>
            </w:pPr>
            <w:r>
              <w:rPr>
                <w:rFonts w:ascii="MinionPro-Regular" w:hAnsi="MinionPro-Regular"/>
                <w:lang w:val="es-ES_tradnl"/>
              </w:rPr>
              <w:t>135.389.131</w:t>
            </w:r>
          </w:p>
        </w:tc>
      </w:tr>
      <w:tr w:rsidR="00E2336B" w:rsidRPr="005158FF" w:rsidTr="00D2049F">
        <w:trPr>
          <w:trHeight w:val="164"/>
        </w:trPr>
        <w:tc>
          <w:tcPr>
            <w:tcW w:w="2561" w:type="dxa"/>
            <w:tcBorders>
              <w:bottom w:val="single" w:sz="12" w:space="0" w:color="409DAD"/>
            </w:tcBorders>
            <w:vAlign w:val="center"/>
          </w:tcPr>
          <w:p w:rsidR="00E2336B" w:rsidRPr="00A62C1C" w:rsidRDefault="00E2336B" w:rsidP="00A62C1C">
            <w:pPr>
              <w:spacing w:line="180" w:lineRule="atLeast"/>
              <w:rPr>
                <w:rFonts w:ascii="MinionPro-Regular" w:hAnsi="MinionPro-Regular"/>
                <w:lang w:val="es-ES_tradnl"/>
              </w:rPr>
            </w:pPr>
            <w:r w:rsidRPr="00A62C1C">
              <w:rPr>
                <w:rFonts w:ascii="MinionPro-Regular" w:hAnsi="MinionPro-Regular"/>
                <w:lang w:val="es-ES_tradnl"/>
              </w:rPr>
              <w:t>Total</w:t>
            </w:r>
          </w:p>
        </w:tc>
        <w:tc>
          <w:tcPr>
            <w:tcW w:w="2085" w:type="dxa"/>
            <w:tcBorders>
              <w:bottom w:val="single" w:sz="12" w:space="0" w:color="409DAD"/>
            </w:tcBorders>
            <w:vAlign w:val="center"/>
          </w:tcPr>
          <w:p w:rsidR="00E2336B" w:rsidRPr="00A62C1C" w:rsidRDefault="00E2336B" w:rsidP="00A62C1C">
            <w:pPr>
              <w:spacing w:line="180" w:lineRule="atLeast"/>
              <w:jc w:val="center"/>
              <w:rPr>
                <w:rFonts w:ascii="MinionPro-Regular" w:hAnsi="MinionPro-Regular"/>
                <w:b/>
                <w:lang w:val="es-ES_tradnl"/>
              </w:rPr>
            </w:pPr>
            <w:r w:rsidRPr="00A62C1C">
              <w:rPr>
                <w:rFonts w:ascii="MinionPro-Regular" w:hAnsi="MinionPro-Regular"/>
                <w:b/>
                <w:lang w:val="es-ES_tradnl"/>
              </w:rPr>
              <w:t>528.329.213</w:t>
            </w:r>
          </w:p>
        </w:tc>
        <w:tc>
          <w:tcPr>
            <w:tcW w:w="1946" w:type="dxa"/>
            <w:tcBorders>
              <w:bottom w:val="single" w:sz="12" w:space="0" w:color="409DAD"/>
            </w:tcBorders>
            <w:vAlign w:val="center"/>
          </w:tcPr>
          <w:p w:rsidR="00E2336B" w:rsidRPr="00A62C1C" w:rsidRDefault="00E2336B" w:rsidP="00A62C1C">
            <w:pPr>
              <w:spacing w:line="180" w:lineRule="atLeast"/>
              <w:rPr>
                <w:rFonts w:ascii="MinionPro-Regular" w:hAnsi="MinionPro-Regular"/>
                <w:lang w:val="es-ES_tradnl"/>
              </w:rPr>
            </w:pPr>
            <w:r w:rsidRPr="00A62C1C">
              <w:rPr>
                <w:rFonts w:ascii="MinionPro-Regular" w:hAnsi="MinionPro-Regular"/>
                <w:lang w:val="es-ES_tradnl"/>
              </w:rPr>
              <w:t>Todos los conceptos de retorno</w:t>
            </w:r>
          </w:p>
        </w:tc>
        <w:tc>
          <w:tcPr>
            <w:tcW w:w="1969" w:type="dxa"/>
            <w:tcBorders>
              <w:bottom w:val="single" w:sz="12" w:space="0" w:color="409DAD"/>
            </w:tcBorders>
            <w:vAlign w:val="center"/>
          </w:tcPr>
          <w:p w:rsidR="00E2336B" w:rsidRPr="00D2049F" w:rsidRDefault="00900F7C" w:rsidP="005D1A1F">
            <w:pPr>
              <w:jc w:val="center"/>
              <w:rPr>
                <w:rFonts w:ascii="MinionPro-Regular" w:hAnsi="MinionPro-Regular"/>
                <w:b/>
                <w:lang w:val="es-ES_tradnl"/>
              </w:rPr>
            </w:pPr>
            <w:r>
              <w:rPr>
                <w:rFonts w:ascii="MinionPro-Regular" w:hAnsi="MinionPro-Regular"/>
                <w:b/>
                <w:lang w:val="es-ES_tradnl"/>
              </w:rPr>
              <w:t>760</w:t>
            </w:r>
            <w:r w:rsidR="00E2336B" w:rsidRPr="00D2049F">
              <w:rPr>
                <w:rFonts w:ascii="MinionPro-Regular" w:hAnsi="MinionPro-Regular"/>
                <w:b/>
                <w:lang w:val="es-ES_tradnl"/>
              </w:rPr>
              <w:t>.</w:t>
            </w:r>
            <w:r>
              <w:rPr>
                <w:rFonts w:ascii="MinionPro-Regular" w:hAnsi="MinionPro-Regular"/>
                <w:b/>
                <w:lang w:val="es-ES_tradnl"/>
              </w:rPr>
              <w:t>130</w:t>
            </w:r>
            <w:r w:rsidR="00E2336B" w:rsidRPr="00D2049F">
              <w:rPr>
                <w:rFonts w:ascii="MinionPro-Regular" w:hAnsi="MinionPro-Regular"/>
                <w:b/>
                <w:lang w:val="es-ES_tradnl"/>
              </w:rPr>
              <w:t>.</w:t>
            </w:r>
            <w:r>
              <w:rPr>
                <w:rFonts w:ascii="MinionPro-Regular" w:hAnsi="MinionPro-Regular"/>
                <w:b/>
                <w:lang w:val="es-ES_tradnl"/>
              </w:rPr>
              <w:t>661</w:t>
            </w:r>
          </w:p>
        </w:tc>
      </w:tr>
    </w:tbl>
    <w:p w:rsidR="00E2336B" w:rsidRDefault="00E2336B" w:rsidP="0048152A">
      <w:pPr>
        <w:autoSpaceDE w:val="0"/>
        <w:autoSpaceDN w:val="0"/>
        <w:spacing w:line="360" w:lineRule="auto"/>
        <w:jc w:val="both"/>
        <w:rPr>
          <w:rFonts w:ascii="MinionPro-Regular" w:hAnsi="MinionPro-Regular"/>
          <w:sz w:val="24"/>
          <w:szCs w:val="24"/>
          <w:lang w:val="es-ES_tradnl"/>
        </w:rPr>
      </w:pPr>
    </w:p>
    <w:p w:rsidR="00E2336B" w:rsidRDefault="00E2336B" w:rsidP="0048152A">
      <w:pPr>
        <w:autoSpaceDE w:val="0"/>
        <w:autoSpaceDN w:val="0"/>
        <w:spacing w:line="360" w:lineRule="auto"/>
        <w:jc w:val="both"/>
        <w:rPr>
          <w:rFonts w:ascii="MinionPro-Regular" w:hAnsi="MinionPro-Regular"/>
          <w:sz w:val="24"/>
          <w:szCs w:val="24"/>
          <w:lang w:val="es-ES_tradnl"/>
        </w:rPr>
      </w:pPr>
    </w:p>
    <w:p w:rsidR="00E2336B" w:rsidRDefault="00E2336B">
      <w:pPr>
        <w:pBdr>
          <w:top w:val="single" w:sz="4" w:space="1" w:color="auto"/>
        </w:pBdr>
        <w:autoSpaceDE w:val="0"/>
        <w:autoSpaceDN w:val="0"/>
        <w:spacing w:line="360" w:lineRule="auto"/>
        <w:jc w:val="both"/>
        <w:rPr>
          <w:rFonts w:ascii="MinionPro-Regular" w:hAnsi="MinionPro-Regular"/>
          <w:sz w:val="20"/>
        </w:rPr>
      </w:pPr>
      <w:r>
        <w:rPr>
          <w:rFonts w:ascii="MinionPro-Regular" w:hAnsi="MinionPro-Regular"/>
          <w:sz w:val="20"/>
        </w:rPr>
        <w:t>Resumen</w:t>
      </w:r>
      <w:r w:rsidRPr="005C118C">
        <w:rPr>
          <w:rFonts w:ascii="MinionPro-Regular" w:hAnsi="MinionPro-Regular"/>
          <w:sz w:val="20"/>
        </w:rPr>
        <w:t xml:space="preserve"> del análisis de las ayudas de la administración pública y los retornos de los centros especiales de empleo según los distintos conceptos</w:t>
      </w:r>
      <w:r w:rsidR="0055211B">
        <w:rPr>
          <w:rFonts w:ascii="MinionPro-Regular" w:hAnsi="MinionPro-Regular"/>
          <w:sz w:val="20"/>
        </w:rPr>
        <w:t>.</w:t>
      </w:r>
    </w:p>
    <w:p w:rsidR="005D1A1F" w:rsidRDefault="005D1A1F">
      <w:pPr>
        <w:pBdr>
          <w:top w:val="single" w:sz="4" w:space="1" w:color="auto"/>
        </w:pBdr>
        <w:autoSpaceDE w:val="0"/>
        <w:autoSpaceDN w:val="0"/>
        <w:spacing w:line="360" w:lineRule="auto"/>
        <w:jc w:val="both"/>
        <w:rPr>
          <w:rFonts w:ascii="MinionPro-Regular" w:hAnsi="MinionPro-Regular"/>
          <w:sz w:val="20"/>
        </w:rPr>
      </w:pPr>
    </w:p>
    <w:p w:rsidR="00E2336B" w:rsidRPr="005D1A1F" w:rsidRDefault="00900F7C" w:rsidP="005D1A1F">
      <w:pPr>
        <w:pBdr>
          <w:top w:val="single" w:sz="4" w:space="1" w:color="auto"/>
        </w:pBdr>
        <w:autoSpaceDE w:val="0"/>
        <w:autoSpaceDN w:val="0"/>
        <w:spacing w:line="360" w:lineRule="auto"/>
        <w:jc w:val="both"/>
        <w:rPr>
          <w:rFonts w:ascii="MinionPro-Regular" w:hAnsi="MinionPro-Regular"/>
          <w:sz w:val="20"/>
        </w:rPr>
      </w:pPr>
      <w:r w:rsidRPr="00900F7C">
        <w:rPr>
          <w:noProof/>
          <w:lang w:eastAsia="es-ES"/>
        </w:rPr>
        <w:lastRenderedPageBreak/>
        <w:drawing>
          <wp:inline distT="0" distB="0" distL="0" distR="0">
            <wp:extent cx="5400675" cy="2443860"/>
            <wp:effectExtent l="0" t="0" r="0" b="0"/>
            <wp:docPr id="10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7"/>
                    <a:srcRect/>
                    <a:stretch>
                      <a:fillRect/>
                    </a:stretch>
                  </pic:blipFill>
                  <pic:spPr bwMode="auto">
                    <a:xfrm>
                      <a:off x="0" y="0"/>
                      <a:ext cx="5400675" cy="2443860"/>
                    </a:xfrm>
                    <a:prstGeom prst="rect">
                      <a:avLst/>
                    </a:prstGeom>
                    <a:noFill/>
                    <a:ln w="9525">
                      <a:noFill/>
                      <a:miter lim="800000"/>
                      <a:headEnd/>
                      <a:tailEnd/>
                    </a:ln>
                  </pic:spPr>
                </pic:pic>
              </a:graphicData>
            </a:graphic>
          </wp:inline>
        </w:drawing>
      </w:r>
    </w:p>
    <w:p w:rsidR="000149AA" w:rsidRDefault="000149AA" w:rsidP="000149AA">
      <w:pPr>
        <w:pBdr>
          <w:bottom w:val="single" w:sz="4" w:space="1" w:color="auto"/>
        </w:pBdr>
        <w:autoSpaceDE w:val="0"/>
        <w:autoSpaceDN w:val="0"/>
        <w:spacing w:line="360" w:lineRule="auto"/>
        <w:jc w:val="both"/>
        <w:rPr>
          <w:rFonts w:ascii="MinionPro-Regular" w:hAnsi="MinionPro-Regular"/>
          <w:sz w:val="20"/>
        </w:rPr>
      </w:pPr>
      <w:r w:rsidRPr="005C118C">
        <w:rPr>
          <w:rFonts w:ascii="MinionPro-Regular" w:hAnsi="MinionPro-Regular"/>
          <w:sz w:val="20"/>
        </w:rPr>
        <w:t xml:space="preserve">Fuente: </w:t>
      </w:r>
      <w:r>
        <w:rPr>
          <w:rFonts w:ascii="MinionPro-Regular" w:hAnsi="MinionPro-Regular"/>
          <w:sz w:val="20"/>
        </w:rPr>
        <w:t>E</w:t>
      </w:r>
      <w:r w:rsidRPr="005C118C">
        <w:rPr>
          <w:rFonts w:ascii="MinionPro-Regular" w:hAnsi="MinionPro-Regular"/>
          <w:sz w:val="20"/>
        </w:rPr>
        <w:t>laboración propia</w:t>
      </w:r>
    </w:p>
    <w:p w:rsidR="000149AA" w:rsidRPr="001137F5" w:rsidRDefault="000149AA" w:rsidP="000149AA">
      <w:pPr>
        <w:pBdr>
          <w:bottom w:val="single" w:sz="4" w:space="1" w:color="auto"/>
        </w:pBdr>
        <w:autoSpaceDE w:val="0"/>
        <w:autoSpaceDN w:val="0"/>
        <w:spacing w:line="360" w:lineRule="auto"/>
        <w:jc w:val="both"/>
        <w:rPr>
          <w:rFonts w:ascii="MinionPro-Regular" w:hAnsi="MinionPro-Regular"/>
          <w:sz w:val="20"/>
          <w:lang w:val="es-ES_tradnl"/>
        </w:rPr>
      </w:pPr>
      <w:r w:rsidRPr="001137F5">
        <w:rPr>
          <w:rFonts w:ascii="MinionPro-Regular" w:hAnsi="MinionPro-Regular"/>
          <w:sz w:val="20"/>
          <w:lang w:val="es-ES_tradnl"/>
        </w:rPr>
        <w:t>Nota explicativa de la gráfica:</w:t>
      </w:r>
      <w:r>
        <w:rPr>
          <w:rFonts w:ascii="MinionPro-Regular" w:hAnsi="MinionPro-Regular"/>
          <w:sz w:val="20"/>
          <w:lang w:val="es-ES_tradnl"/>
        </w:rPr>
        <w:t xml:space="preserve"> Eje vertical, euros. Eje horizontal, conceptos considerados en la medición del impacto: Retorno derivado del IRPF (59.208.424 euros), retorno derivado de la cuota de seguridad social (120.123.748 euros), retorno derivado del IVA (239.555.474 euros), retorno derivado del impuesto de sociedades (40.700.000 euros), retorno derivado de las ayudas LISMI (</w:t>
      </w:r>
      <w:r w:rsidRPr="001D2A97">
        <w:rPr>
          <w:rFonts w:ascii="MinionPro-Regular" w:hAnsi="MinionPro-Regular"/>
          <w:sz w:val="20"/>
          <w:lang w:val="es-ES_tradnl"/>
        </w:rPr>
        <w:t>1,778.73</w:t>
      </w:r>
      <w:r>
        <w:rPr>
          <w:rFonts w:ascii="MinionPro-Regular" w:hAnsi="MinionPro-Regular"/>
          <w:sz w:val="20"/>
          <w:lang w:val="es-ES_tradnl"/>
        </w:rPr>
        <w:t>8</w:t>
      </w:r>
      <w:r w:rsidRPr="001D2A97">
        <w:rPr>
          <w:rFonts w:ascii="MinionPro-Regular" w:hAnsi="MinionPro-Regular"/>
          <w:sz w:val="20"/>
          <w:lang w:val="es-ES_tradnl"/>
        </w:rPr>
        <w:t xml:space="preserve"> euros),</w:t>
      </w:r>
      <w:r>
        <w:rPr>
          <w:rFonts w:ascii="MinionPro-Regular" w:hAnsi="MinionPro-Regular"/>
          <w:sz w:val="20"/>
          <w:lang w:val="es-ES_tradnl"/>
        </w:rPr>
        <w:t xml:space="preserve"> retorno pensiones no contributivas (22.730.090 euros), retorno derivado de las pensiones contributivas (43.417.067</w:t>
      </w:r>
      <w:r w:rsidRPr="001D2A97">
        <w:rPr>
          <w:rFonts w:ascii="MinionPro-Regular" w:hAnsi="MinionPro-Regular"/>
          <w:sz w:val="20"/>
          <w:lang w:val="es-ES_tradnl"/>
        </w:rPr>
        <w:t xml:space="preserve"> euros), </w:t>
      </w:r>
      <w:r w:rsidRPr="00937DA5">
        <w:rPr>
          <w:rFonts w:ascii="MinionPro-Regular" w:hAnsi="MinionPro-Regular"/>
          <w:sz w:val="20"/>
          <w:lang w:val="es-ES_tradnl"/>
        </w:rPr>
        <w:t>retorno derivado del ahorro sanitario (97.227.989 euros)</w:t>
      </w:r>
      <w:r>
        <w:rPr>
          <w:rFonts w:ascii="MinionPro-Regular" w:hAnsi="MinionPro-Regular"/>
          <w:sz w:val="20"/>
          <w:lang w:val="es-ES_tradnl"/>
        </w:rPr>
        <w:t xml:space="preserve"> y ahorro en plazas ocupacionales derivado de la transición desde el centro especial de empleo (</w:t>
      </w:r>
      <w:r w:rsidRPr="005C1B58">
        <w:rPr>
          <w:rFonts w:ascii="MinionPro-Regular" w:hAnsi="MinionPro-Regular"/>
          <w:sz w:val="20"/>
          <w:lang w:val="es-ES_tradnl"/>
        </w:rPr>
        <w:t>135.389.131 euros</w:t>
      </w:r>
      <w:r>
        <w:rPr>
          <w:rFonts w:ascii="MinionPro-Regular" w:hAnsi="MinionPro-Regular"/>
          <w:sz w:val="20"/>
          <w:lang w:val="es-ES_tradnl"/>
        </w:rPr>
        <w:t xml:space="preserve">). </w:t>
      </w:r>
      <w:r w:rsidRPr="00937DA5">
        <w:rPr>
          <w:rFonts w:ascii="MinionPro-Regular" w:hAnsi="MinionPro-Regular"/>
          <w:sz w:val="20"/>
          <w:lang w:val="es-ES_tradnl"/>
        </w:rPr>
        <w:t xml:space="preserve">Total retorno de los centros especiales de empleo: </w:t>
      </w:r>
      <w:r>
        <w:rPr>
          <w:rFonts w:ascii="MinionPro-Regular" w:hAnsi="MinionPro-Regular"/>
          <w:sz w:val="20"/>
          <w:lang w:val="es-ES_tradnl"/>
        </w:rPr>
        <w:t>760</w:t>
      </w:r>
      <w:r w:rsidRPr="005C1B58">
        <w:rPr>
          <w:rFonts w:ascii="MinionPro-Regular" w:hAnsi="MinionPro-Regular"/>
          <w:sz w:val="20"/>
          <w:lang w:val="es-ES_tradnl"/>
        </w:rPr>
        <w:t>.</w:t>
      </w:r>
      <w:r>
        <w:rPr>
          <w:rFonts w:ascii="MinionPro-Regular" w:hAnsi="MinionPro-Regular"/>
          <w:sz w:val="20"/>
          <w:lang w:val="es-ES_tradnl"/>
        </w:rPr>
        <w:t>130</w:t>
      </w:r>
      <w:r w:rsidRPr="005C1B58">
        <w:rPr>
          <w:rFonts w:ascii="MinionPro-Regular" w:hAnsi="MinionPro-Regular"/>
          <w:sz w:val="20"/>
          <w:lang w:val="es-ES_tradnl"/>
        </w:rPr>
        <w:t>.</w:t>
      </w:r>
      <w:r>
        <w:rPr>
          <w:rFonts w:ascii="MinionPro-Regular" w:hAnsi="MinionPro-Regular"/>
          <w:sz w:val="20"/>
          <w:lang w:val="es-ES_tradnl"/>
        </w:rPr>
        <w:t>661</w:t>
      </w:r>
      <w:r w:rsidRPr="001D2A97">
        <w:rPr>
          <w:rFonts w:ascii="MinionPro-Regular" w:hAnsi="MinionPro-Regular"/>
          <w:sz w:val="20"/>
          <w:lang w:val="es-ES_tradnl"/>
        </w:rPr>
        <w:t xml:space="preserve"> euros</w:t>
      </w:r>
      <w:r>
        <w:rPr>
          <w:rFonts w:ascii="MinionPro-Regular" w:hAnsi="MinionPro-Regular"/>
          <w:sz w:val="20"/>
          <w:lang w:val="es-ES_tradnl"/>
        </w:rPr>
        <w:t>. Ayudas totales de la administración pública: 528.329.213 euros.</w:t>
      </w:r>
    </w:p>
    <w:p w:rsidR="00E2336B" w:rsidRDefault="00E2336B" w:rsidP="0048152A">
      <w:pPr>
        <w:autoSpaceDE w:val="0"/>
        <w:autoSpaceDN w:val="0"/>
        <w:spacing w:line="360" w:lineRule="auto"/>
        <w:jc w:val="both"/>
        <w:rPr>
          <w:rFonts w:ascii="MinionPro-Regular" w:hAnsi="MinionPro-Regular"/>
          <w:sz w:val="24"/>
          <w:szCs w:val="24"/>
          <w:lang w:val="es-ES_tradnl"/>
        </w:rPr>
      </w:pPr>
    </w:p>
    <w:p w:rsidR="00E2336B" w:rsidRPr="00835047" w:rsidRDefault="00E2336B" w:rsidP="0007541A">
      <w:pPr>
        <w:pStyle w:val="Ttulo3"/>
        <w:numPr>
          <w:ilvl w:val="2"/>
          <w:numId w:val="3"/>
        </w:numPr>
        <w:rPr>
          <w:rFonts w:ascii="MinionPro-Regular" w:hAnsi="MinionPro-Regular"/>
        </w:rPr>
      </w:pPr>
      <w:bookmarkStart w:id="439" w:name="_Toc344964113"/>
      <w:bookmarkStart w:id="440" w:name="_Toc344964114"/>
      <w:bookmarkStart w:id="441" w:name="_Toc344964115"/>
      <w:bookmarkStart w:id="442" w:name="_Toc344964116"/>
      <w:bookmarkStart w:id="443" w:name="_Toc340340574"/>
      <w:bookmarkStart w:id="444" w:name="_Toc352773594"/>
      <w:bookmarkEnd w:id="439"/>
      <w:bookmarkEnd w:id="440"/>
      <w:bookmarkEnd w:id="441"/>
      <w:bookmarkEnd w:id="442"/>
      <w:r w:rsidRPr="00AD59F1">
        <w:rPr>
          <w:rFonts w:ascii="MinionPro-Regular" w:hAnsi="MinionPro-Regular"/>
        </w:rPr>
        <w:t xml:space="preserve">Si comparamos ayudas y retornos que implican salida de efectivo, </w:t>
      </w:r>
      <w:r>
        <w:rPr>
          <w:rFonts w:ascii="MinionPro-Regular" w:hAnsi="MinionPro-Regular"/>
        </w:rPr>
        <w:t xml:space="preserve">por cada euro que reciben de las administraciones públicas, </w:t>
      </w:r>
      <w:r w:rsidRPr="00AD59F1">
        <w:rPr>
          <w:rFonts w:ascii="MinionPro-Regular" w:hAnsi="MinionPro-Regular"/>
        </w:rPr>
        <w:t xml:space="preserve">los centros especiales de empleo ingresan a las arcas </w:t>
      </w:r>
      <w:r>
        <w:rPr>
          <w:rFonts w:ascii="MinionPro-Regular" w:hAnsi="MinionPro-Regular"/>
        </w:rPr>
        <w:t xml:space="preserve">del </w:t>
      </w:r>
      <w:r w:rsidRPr="001B4848">
        <w:rPr>
          <w:rFonts w:ascii="MinionPro-Regular" w:hAnsi="MinionPro-Regular"/>
        </w:rPr>
        <w:t xml:space="preserve">Estado </w:t>
      </w:r>
      <w:r w:rsidR="00F23441" w:rsidRPr="001B4848">
        <w:rPr>
          <w:rFonts w:ascii="MinionPro-Regular" w:hAnsi="MinionPro-Regular"/>
        </w:rPr>
        <w:t>1,42</w:t>
      </w:r>
      <w:r w:rsidRPr="001B4848">
        <w:rPr>
          <w:rFonts w:ascii="MinionPro-Regular" w:hAnsi="MinionPro-Regular"/>
        </w:rPr>
        <w:t xml:space="preserve"> euros.</w:t>
      </w:r>
      <w:bookmarkEnd w:id="443"/>
      <w:bookmarkEnd w:id="444"/>
    </w:p>
    <w:p w:rsidR="00E2336B" w:rsidRDefault="00E2336B" w:rsidP="00835047">
      <w:pPr>
        <w:pStyle w:val="Textoindependiente"/>
        <w:rPr>
          <w:lang w:val="es-ES_tradnl"/>
        </w:rPr>
      </w:pPr>
    </w:p>
    <w:p w:rsidR="00E2336B" w:rsidRDefault="00E2336B" w:rsidP="00835047">
      <w:pPr>
        <w:pBdr>
          <w:top w:val="single" w:sz="4" w:space="1" w:color="auto"/>
        </w:pBdr>
        <w:autoSpaceDE w:val="0"/>
        <w:autoSpaceDN w:val="0"/>
        <w:spacing w:line="360" w:lineRule="auto"/>
        <w:jc w:val="both"/>
        <w:rPr>
          <w:rFonts w:ascii="MinionPro-Regular" w:hAnsi="MinionPro-Regular"/>
          <w:sz w:val="20"/>
          <w:szCs w:val="24"/>
          <w:lang w:val="es-ES_tradnl"/>
        </w:rPr>
      </w:pPr>
      <w:r w:rsidRPr="00664A5E">
        <w:rPr>
          <w:rFonts w:ascii="MinionPro-Regular" w:hAnsi="MinionPro-Regular"/>
          <w:sz w:val="20"/>
          <w:szCs w:val="24"/>
          <w:lang w:val="es-ES_tradnl"/>
        </w:rPr>
        <w:t>Estimación total de los retornos de los centros especiales de empleo que implican salida de efectivo hacia las arcas públicas</w:t>
      </w:r>
      <w:r>
        <w:rPr>
          <w:rFonts w:ascii="MinionPro-Regular" w:hAnsi="MinionPro-Regular"/>
          <w:sz w:val="20"/>
          <w:szCs w:val="24"/>
          <w:lang w:val="es-ES_tradnl"/>
        </w:rPr>
        <w:t xml:space="preserve"> frente a las ayudas recibidas que también implican salida de efectivo.</w:t>
      </w:r>
    </w:p>
    <w:p w:rsidR="00E2336B" w:rsidRDefault="00E2336B" w:rsidP="00835047">
      <w:pPr>
        <w:pBdr>
          <w:top w:val="single" w:sz="4" w:space="1" w:color="auto"/>
        </w:pBdr>
        <w:autoSpaceDE w:val="0"/>
        <w:autoSpaceDN w:val="0"/>
        <w:spacing w:line="360" w:lineRule="auto"/>
        <w:jc w:val="both"/>
        <w:rPr>
          <w:rFonts w:ascii="MinionPro-Regular" w:hAnsi="MinionPro-Regular"/>
          <w:color w:val="FF0000"/>
          <w:sz w:val="20"/>
          <w:szCs w:val="24"/>
          <w:lang w:val="es-ES_tradnl"/>
        </w:rPr>
      </w:pPr>
    </w:p>
    <w:p w:rsidR="00E2336B" w:rsidRDefault="00E1516B" w:rsidP="00835047">
      <w:pPr>
        <w:pBdr>
          <w:top w:val="single" w:sz="4" w:space="1" w:color="auto"/>
        </w:pBdr>
        <w:autoSpaceDE w:val="0"/>
        <w:autoSpaceDN w:val="0"/>
        <w:spacing w:line="360" w:lineRule="auto"/>
        <w:jc w:val="both"/>
        <w:rPr>
          <w:rFonts w:ascii="MinionPro-Regular" w:hAnsi="MinionPro-Regular"/>
          <w:color w:val="FF0000"/>
          <w:sz w:val="20"/>
          <w:szCs w:val="24"/>
          <w:lang w:val="es-ES_tradnl"/>
        </w:rPr>
      </w:pPr>
      <w:r>
        <w:rPr>
          <w:rFonts w:ascii="MinionPro-Regular" w:hAnsi="MinionPro-Regular"/>
          <w:noProof/>
          <w:color w:val="FF0000"/>
          <w:sz w:val="20"/>
          <w:szCs w:val="24"/>
          <w:lang w:eastAsia="es-ES"/>
        </w:rPr>
        <w:lastRenderedPageBreak/>
        <w:drawing>
          <wp:inline distT="0" distB="0" distL="0" distR="0">
            <wp:extent cx="5400040" cy="2648585"/>
            <wp:effectExtent l="0" t="0" r="0" b="0"/>
            <wp:docPr id="107" name="Picture 107"/>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066086" cy="3948246"/>
                      <a:chOff x="1115616" y="2060848"/>
                      <a:chExt cx="8066086" cy="3948246"/>
                    </a:xfrm>
                  </a:grpSpPr>
                  <a:graphicFrame>
                    <a:nvGraphicFramePr>
                      <a:cNvPr id="4" name="Chart 3"/>
                      <a:cNvGraphicFramePr/>
                    </a:nvGraphicFramePr>
                    <a:graphic>
                      <a:graphicData uri="http://schemas.openxmlformats.org/drawingml/2006/chart">
                        <c:chart xmlns:c="http://schemas.openxmlformats.org/drawingml/2006/chart" xmlns:r="http://schemas.openxmlformats.org/officeDocument/2006/relationships" r:id="rId128"/>
                      </a:graphicData>
                    </a:graphic>
                    <a:xfrm>
                      <a:off x="1115616" y="2060848"/>
                      <a:ext cx="5105400" cy="3350932"/>
                    </a:xfrm>
                  </a:graphicFrame>
                  <a:cxnSp>
                    <a:nvCxnSpPr>
                      <a:cNvPr id="6" name="Straight Connector 5"/>
                      <a:cNvCxnSpPr/>
                    </a:nvCxnSpPr>
                    <a:spPr>
                      <a:xfrm>
                        <a:off x="1944987" y="5157192"/>
                        <a:ext cx="4104456" cy="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sp>
                    <a:nvSpPr>
                      <a:cNvPr id="7" name="Rectangle 6"/>
                      <a:cNvSpPr/>
                    </a:nvSpPr>
                    <a:spPr>
                      <a:xfrm>
                        <a:off x="4067944" y="5301208"/>
                        <a:ext cx="1440160" cy="707886"/>
                      </a:xfrm>
                      <a:prstGeom prst="rect">
                        <a:avLst/>
                      </a:prstGeom>
                    </a:spPr>
                    <a:txSp>
                      <a:txBody>
                        <a:bodyPr wrap="square">
                          <a:spAutoFit/>
                        </a:bodyPr>
                        <a:lstStyle>
                          <a:defPPr>
                            <a:defRPr lang="es-E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s-ES" sz="1000" dirty="0" smtClean="0">
                              <a:latin typeface="MinionPro-Regular"/>
                            </a:rPr>
                            <a:t>Ayudas de la administración pública que implican salida de caja</a:t>
                          </a:r>
                          <a:endParaRPr lang="es-ES" sz="1000" dirty="0">
                            <a:latin typeface="MinionPro-Regular"/>
                          </a:endParaRPr>
                        </a:p>
                      </a:txBody>
                      <a:useSpRect/>
                    </a:txSp>
                  </a:sp>
                  <a:sp>
                    <a:nvSpPr>
                      <a:cNvPr id="8" name="Rectangle 7"/>
                      <a:cNvSpPr/>
                    </a:nvSpPr>
                    <a:spPr>
                      <a:xfrm>
                        <a:off x="1619672" y="5301208"/>
                        <a:ext cx="2304256" cy="707886"/>
                      </a:xfrm>
                      <a:prstGeom prst="rect">
                        <a:avLst/>
                      </a:prstGeom>
                    </a:spPr>
                    <a:txSp>
                      <a:txBody>
                        <a:bodyPr wrap="square">
                          <a:spAutoFit/>
                        </a:bodyPr>
                        <a:lstStyle>
                          <a:defPPr>
                            <a:defRPr lang="es-E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s-ES" sz="1000" dirty="0" smtClean="0">
                              <a:latin typeface="MinionPro-Regular"/>
                            </a:rPr>
                            <a:t>Estimación total de los retornos que implican salida de efectivo (IRPF, seguridad social, IVA e impuesto de sociedades)</a:t>
                          </a:r>
                          <a:endParaRPr lang="es-ES" sz="1000" dirty="0">
                            <a:latin typeface="MinionPro-Regular"/>
                          </a:endParaRPr>
                        </a:p>
                      </a:txBody>
                      <a:useSpRect/>
                    </a:txSp>
                  </a:sp>
                  <a:sp>
                    <a:nvSpPr>
                      <a:cNvPr id="9" name="Rectangle 8"/>
                      <a:cNvSpPr/>
                    </a:nvSpPr>
                    <a:spPr>
                      <a:xfrm>
                        <a:off x="2267744" y="2132856"/>
                        <a:ext cx="1152128" cy="246221"/>
                      </a:xfrm>
                      <a:prstGeom prst="rect">
                        <a:avLst/>
                      </a:prstGeom>
                    </a:spPr>
                    <a:txSp>
                      <a:txBody>
                        <a:bodyPr wrap="square">
                          <a:spAutoFit/>
                        </a:bodyPr>
                        <a:lstStyle>
                          <a:defPPr>
                            <a:defRPr lang="es-E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s-ES" sz="1000" dirty="0" smtClean="0">
                              <a:latin typeface="MinionPro-Regular"/>
                            </a:rPr>
                            <a:t>459.587.646</a:t>
                          </a:r>
                          <a:endParaRPr lang="es-ES" sz="1000" dirty="0">
                            <a:latin typeface="MinionPro-Regular"/>
                          </a:endParaRPr>
                        </a:p>
                      </a:txBody>
                      <a:useSpRect/>
                    </a:txSp>
                  </a:sp>
                  <a:sp>
                    <a:nvSpPr>
                      <a:cNvPr id="10" name="Rectangle 9"/>
                      <a:cNvSpPr/>
                    </a:nvSpPr>
                    <a:spPr>
                      <a:xfrm>
                        <a:off x="6137920" y="3111351"/>
                        <a:ext cx="1741118" cy="276999"/>
                      </a:xfrm>
                      <a:prstGeom prst="rect">
                        <a:avLst/>
                      </a:prstGeom>
                    </a:spPr>
                    <a:txSp>
                      <a:txBody>
                        <a:bodyPr wrap="none">
                          <a:spAutoFit/>
                        </a:bodyPr>
                        <a:lstStyle>
                          <a:defPPr>
                            <a:defRPr lang="es-E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s-ES" sz="1200" dirty="0" smtClean="0"/>
                            <a:t>Retorno derivado del IVA</a:t>
                          </a:r>
                          <a:endParaRPr lang="es-ES" sz="1200" dirty="0"/>
                        </a:p>
                      </a:txBody>
                      <a:useSpRect/>
                    </a:txSp>
                  </a:sp>
                  <a:sp>
                    <a:nvSpPr>
                      <a:cNvPr id="11" name="Rectangle 10"/>
                      <a:cNvSpPr/>
                    </a:nvSpPr>
                    <a:spPr>
                      <a:xfrm>
                        <a:off x="6003032" y="3176266"/>
                        <a:ext cx="144016" cy="144016"/>
                      </a:xfrm>
                      <a:prstGeom prst="rect">
                        <a:avLst/>
                      </a:prstGeom>
                      <a:solidFill>
                        <a:srgbClr val="B6646B"/>
                      </a:solidFill>
                      <a:ln>
                        <a:noFill/>
                      </a:ln>
                    </a:spPr>
                    <a:txSp>
                      <a:txBody>
                        <a:bodyPr rtlCol="0" anchor="ctr"/>
                        <a:lstStyle>
                          <a:defPPr>
                            <a:defRPr lang="es-E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s-ES"/>
                        </a:p>
                      </a:txBody>
                      <a:useSpRect/>
                    </a:txSp>
                    <a:style>
                      <a:lnRef idx="2">
                        <a:schemeClr val="accent1">
                          <a:shade val="50000"/>
                        </a:schemeClr>
                      </a:lnRef>
                      <a:fillRef idx="1">
                        <a:schemeClr val="accent1"/>
                      </a:fillRef>
                      <a:effectRef idx="0">
                        <a:schemeClr val="accent1"/>
                      </a:effectRef>
                      <a:fontRef idx="minor">
                        <a:schemeClr val="lt1"/>
                      </a:fontRef>
                    </a:style>
                  </a:sp>
                  <a:sp>
                    <a:nvSpPr>
                      <a:cNvPr id="12" name="Rectangle 11"/>
                      <a:cNvSpPr/>
                    </a:nvSpPr>
                    <a:spPr>
                      <a:xfrm>
                        <a:off x="6003032" y="3903439"/>
                        <a:ext cx="144016" cy="144016"/>
                      </a:xfrm>
                      <a:prstGeom prst="rect">
                        <a:avLst/>
                      </a:prstGeom>
                      <a:solidFill>
                        <a:srgbClr val="7AB800"/>
                      </a:solidFill>
                      <a:ln>
                        <a:noFill/>
                      </a:ln>
                    </a:spPr>
                    <a:txSp>
                      <a:txBody>
                        <a:bodyPr rtlCol="0" anchor="ctr"/>
                        <a:lstStyle>
                          <a:defPPr>
                            <a:defRPr lang="es-E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s-ES"/>
                        </a:p>
                      </a:txBody>
                      <a:useSpRect/>
                    </a:txSp>
                    <a:style>
                      <a:lnRef idx="2">
                        <a:schemeClr val="accent1">
                          <a:shade val="50000"/>
                        </a:schemeClr>
                      </a:lnRef>
                      <a:fillRef idx="1">
                        <a:schemeClr val="accent1"/>
                      </a:fillRef>
                      <a:effectRef idx="0">
                        <a:schemeClr val="accent1"/>
                      </a:effectRef>
                      <a:fontRef idx="minor">
                        <a:schemeClr val="lt1"/>
                      </a:fontRef>
                    </a:style>
                  </a:sp>
                  <a:sp>
                    <a:nvSpPr>
                      <a:cNvPr id="13" name="Rectangle 12"/>
                      <a:cNvSpPr/>
                    </a:nvSpPr>
                    <a:spPr>
                      <a:xfrm>
                        <a:off x="6137920" y="2204864"/>
                        <a:ext cx="2250504" cy="461665"/>
                      </a:xfrm>
                      <a:prstGeom prst="rect">
                        <a:avLst/>
                      </a:prstGeom>
                    </a:spPr>
                    <a:txSp>
                      <a:txBody>
                        <a:bodyPr wrap="square">
                          <a:spAutoFit/>
                        </a:bodyPr>
                        <a:lstStyle>
                          <a:defPPr>
                            <a:defRPr lang="es-E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s-ES" sz="1200" dirty="0" smtClean="0"/>
                            <a:t>Retorno derivado del IRPF y Seguridad Social</a:t>
                          </a:r>
                          <a:endParaRPr lang="es-ES" sz="1200" dirty="0"/>
                        </a:p>
                      </a:txBody>
                      <a:useSpRect/>
                    </a:txSp>
                  </a:sp>
                  <a:sp>
                    <a:nvSpPr>
                      <a:cNvPr id="14" name="Rectangle 13"/>
                      <a:cNvSpPr/>
                    </a:nvSpPr>
                    <a:spPr>
                      <a:xfrm>
                        <a:off x="6137920" y="3759423"/>
                        <a:ext cx="2592288" cy="461665"/>
                      </a:xfrm>
                      <a:prstGeom prst="rect">
                        <a:avLst/>
                      </a:prstGeom>
                    </a:spPr>
                    <a:txSp>
                      <a:txBody>
                        <a:bodyPr wrap="square">
                          <a:spAutoFit/>
                        </a:bodyPr>
                        <a:lstStyle>
                          <a:defPPr>
                            <a:defRPr lang="es-E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s-ES" sz="1200" dirty="0" smtClean="0"/>
                            <a:t>Ayudas de la administración con salida de efectivo</a:t>
                          </a:r>
                          <a:endParaRPr lang="es-ES" sz="1200" dirty="0"/>
                        </a:p>
                      </a:txBody>
                      <a:useSpRect/>
                    </a:txSp>
                  </a:sp>
                  <a:sp>
                    <a:nvSpPr>
                      <a:cNvPr id="15" name="Rectangle 14"/>
                      <a:cNvSpPr/>
                    </a:nvSpPr>
                    <a:spPr>
                      <a:xfrm>
                        <a:off x="6003032" y="2348880"/>
                        <a:ext cx="144016" cy="144016"/>
                      </a:xfrm>
                      <a:prstGeom prst="rect">
                        <a:avLst/>
                      </a:prstGeom>
                      <a:solidFill>
                        <a:srgbClr val="409DAD"/>
                      </a:solidFill>
                      <a:ln>
                        <a:noFill/>
                      </a:ln>
                    </a:spPr>
                    <a:txSp>
                      <a:txBody>
                        <a:bodyPr rtlCol="0" anchor="ctr"/>
                        <a:lstStyle>
                          <a:defPPr>
                            <a:defRPr lang="es-E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s-ES"/>
                        </a:p>
                      </a:txBody>
                      <a:useSpRect/>
                    </a:txSp>
                    <a:style>
                      <a:lnRef idx="2">
                        <a:schemeClr val="accent1">
                          <a:shade val="50000"/>
                        </a:schemeClr>
                      </a:lnRef>
                      <a:fillRef idx="1">
                        <a:schemeClr val="accent1"/>
                      </a:fillRef>
                      <a:effectRef idx="0">
                        <a:schemeClr val="accent1"/>
                      </a:effectRef>
                      <a:fontRef idx="minor">
                        <a:schemeClr val="lt1"/>
                      </a:fontRef>
                    </a:style>
                  </a:sp>
                  <a:sp>
                    <a:nvSpPr>
                      <a:cNvPr id="16" name="Rectangle 15"/>
                      <a:cNvSpPr/>
                    </a:nvSpPr>
                    <a:spPr>
                      <a:xfrm>
                        <a:off x="6141318" y="3427958"/>
                        <a:ext cx="3040384" cy="276999"/>
                      </a:xfrm>
                      <a:prstGeom prst="rect">
                        <a:avLst/>
                      </a:prstGeom>
                    </a:spPr>
                    <a:txSp>
                      <a:txBody>
                        <a:bodyPr wrap="none">
                          <a:spAutoFit/>
                        </a:bodyPr>
                        <a:lstStyle>
                          <a:defPPr>
                            <a:defRPr lang="es-E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s-ES" sz="1200" dirty="0" smtClean="0"/>
                            <a:t>Retorno derivado del impuesto de sociedades</a:t>
                          </a:r>
                          <a:endParaRPr lang="es-ES" sz="1200" dirty="0"/>
                        </a:p>
                      </a:txBody>
                      <a:useSpRect/>
                    </a:txSp>
                  </a:sp>
                  <a:sp>
                    <a:nvSpPr>
                      <a:cNvPr id="17" name="Rectangle 16"/>
                      <a:cNvSpPr/>
                    </a:nvSpPr>
                    <a:spPr>
                      <a:xfrm>
                        <a:off x="6003032" y="3492873"/>
                        <a:ext cx="144016" cy="144016"/>
                      </a:xfrm>
                      <a:prstGeom prst="rect">
                        <a:avLst/>
                      </a:prstGeom>
                      <a:solidFill>
                        <a:srgbClr val="747678"/>
                      </a:solidFill>
                      <a:ln>
                        <a:noFill/>
                      </a:ln>
                    </a:spPr>
                    <a:txSp>
                      <a:txBody>
                        <a:bodyPr rtlCol="0" anchor="ctr"/>
                        <a:lstStyle>
                          <a:defPPr>
                            <a:defRPr lang="es-E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s-ES"/>
                        </a:p>
                      </a:txBody>
                      <a:useSpRect/>
                    </a:txSp>
                    <a:style>
                      <a:lnRef idx="2">
                        <a:schemeClr val="accent1">
                          <a:shade val="50000"/>
                        </a:schemeClr>
                      </a:lnRef>
                      <a:fillRef idx="1">
                        <a:schemeClr val="accent1"/>
                      </a:fillRef>
                      <a:effectRef idx="0">
                        <a:schemeClr val="accent1"/>
                      </a:effectRef>
                      <a:fontRef idx="minor">
                        <a:schemeClr val="lt1"/>
                      </a:fontRef>
                    </a:style>
                  </a:sp>
                  <a:sp>
                    <a:nvSpPr>
                      <a:cNvPr id="18" name="Rectangle 17"/>
                      <a:cNvSpPr/>
                    </a:nvSpPr>
                    <a:spPr>
                      <a:xfrm>
                        <a:off x="6147048" y="2679303"/>
                        <a:ext cx="2250504" cy="461665"/>
                      </a:xfrm>
                      <a:prstGeom prst="rect">
                        <a:avLst/>
                      </a:prstGeom>
                    </a:spPr>
                    <a:txSp>
                      <a:txBody>
                        <a:bodyPr wrap="square">
                          <a:spAutoFit/>
                        </a:bodyPr>
                        <a:lstStyle>
                          <a:defPPr>
                            <a:defRPr lang="es-E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s-ES" sz="1200" dirty="0" smtClean="0"/>
                            <a:t>Retorno derivado del IRPF y Seguridad Social</a:t>
                          </a:r>
                          <a:endParaRPr lang="es-ES" sz="1200" dirty="0"/>
                        </a:p>
                      </a:txBody>
                      <a:useSpRect/>
                    </a:txSp>
                  </a:sp>
                  <a:sp>
                    <a:nvSpPr>
                      <a:cNvPr id="19" name="Rectangle 18"/>
                      <a:cNvSpPr/>
                    </a:nvSpPr>
                    <a:spPr>
                      <a:xfrm>
                        <a:off x="6012160" y="2823319"/>
                        <a:ext cx="144016" cy="144016"/>
                      </a:xfrm>
                      <a:prstGeom prst="rect">
                        <a:avLst/>
                      </a:prstGeom>
                      <a:solidFill>
                        <a:srgbClr val="80BEC9"/>
                      </a:solidFill>
                      <a:ln>
                        <a:noFill/>
                      </a:ln>
                    </a:spPr>
                    <a:txSp>
                      <a:txBody>
                        <a:bodyPr rtlCol="0" anchor="ctr"/>
                        <a:lstStyle>
                          <a:defPPr>
                            <a:defRPr lang="es-E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s-ES"/>
                        </a:p>
                      </a:txBody>
                      <a:useSpRect/>
                    </a:txSp>
                    <a:style>
                      <a:lnRef idx="2">
                        <a:schemeClr val="accent1">
                          <a:shade val="50000"/>
                        </a:schemeClr>
                      </a:lnRef>
                      <a:fillRef idx="1">
                        <a:schemeClr val="accent1"/>
                      </a:fillRef>
                      <a:effectRef idx="0">
                        <a:schemeClr val="accent1"/>
                      </a:effectRef>
                      <a:fontRef idx="minor">
                        <a:schemeClr val="lt1"/>
                      </a:fontRef>
                    </a:style>
                  </a:sp>
                </lc:lockedCanvas>
              </a:graphicData>
            </a:graphic>
          </wp:inline>
        </w:drawing>
      </w:r>
    </w:p>
    <w:p w:rsidR="00E2336B" w:rsidRPr="00E2336B" w:rsidRDefault="00E2336B" w:rsidP="00835047">
      <w:pPr>
        <w:pBdr>
          <w:top w:val="single" w:sz="4" w:space="1" w:color="auto"/>
        </w:pBdr>
        <w:autoSpaceDE w:val="0"/>
        <w:autoSpaceDN w:val="0"/>
        <w:spacing w:line="360" w:lineRule="auto"/>
        <w:jc w:val="both"/>
        <w:rPr>
          <w:rFonts w:ascii="MinionPro-Regular" w:hAnsi="MinionPro-Regular"/>
          <w:color w:val="FF0000"/>
          <w:sz w:val="20"/>
          <w:szCs w:val="24"/>
          <w:lang w:val="es-ES_tradnl"/>
        </w:rPr>
      </w:pPr>
    </w:p>
    <w:p w:rsidR="00E2336B" w:rsidRDefault="00E2336B" w:rsidP="00835047">
      <w:pPr>
        <w:pBdr>
          <w:bottom w:val="single" w:sz="4" w:space="1" w:color="auto"/>
        </w:pBdr>
        <w:autoSpaceDE w:val="0"/>
        <w:autoSpaceDN w:val="0"/>
        <w:spacing w:line="360" w:lineRule="auto"/>
        <w:jc w:val="both"/>
        <w:rPr>
          <w:rFonts w:ascii="MinionPro-Regular" w:hAnsi="MinionPro-Regular"/>
          <w:sz w:val="20"/>
          <w:szCs w:val="24"/>
          <w:lang w:val="es-ES_tradnl"/>
        </w:rPr>
      </w:pPr>
      <w:r w:rsidRPr="00664A5E">
        <w:rPr>
          <w:rFonts w:ascii="MinionPro-Regular" w:hAnsi="MinionPro-Regular"/>
          <w:sz w:val="20"/>
          <w:szCs w:val="24"/>
          <w:lang w:val="es-ES_tradnl"/>
        </w:rPr>
        <w:t>Fuente: Elaboración propia</w:t>
      </w:r>
      <w:bookmarkStart w:id="445" w:name="_Toc340340575"/>
    </w:p>
    <w:p w:rsidR="00E2336B" w:rsidRDefault="00E2336B" w:rsidP="00835047">
      <w:pPr>
        <w:pBdr>
          <w:bottom w:val="single" w:sz="4" w:space="1" w:color="auto"/>
        </w:pBdr>
        <w:autoSpaceDE w:val="0"/>
        <w:autoSpaceDN w:val="0"/>
        <w:spacing w:line="360" w:lineRule="auto"/>
        <w:jc w:val="both"/>
        <w:rPr>
          <w:rFonts w:ascii="MinionPro-Regular" w:hAnsi="MinionPro-Regular"/>
          <w:sz w:val="20"/>
          <w:szCs w:val="24"/>
          <w:lang w:val="es-ES_tradnl"/>
        </w:rPr>
      </w:pPr>
    </w:p>
    <w:p w:rsidR="00E2336B" w:rsidRPr="00835047" w:rsidRDefault="00E2336B" w:rsidP="00835047">
      <w:pPr>
        <w:pBdr>
          <w:bottom w:val="single" w:sz="4" w:space="1" w:color="auto"/>
        </w:pBdr>
        <w:autoSpaceDE w:val="0"/>
        <w:autoSpaceDN w:val="0"/>
        <w:spacing w:line="360" w:lineRule="auto"/>
        <w:jc w:val="both"/>
        <w:rPr>
          <w:rFonts w:ascii="MinionPro-Regular" w:hAnsi="MinionPro-Regular"/>
          <w:sz w:val="20"/>
          <w:szCs w:val="24"/>
          <w:lang w:val="es-ES_tradnl"/>
        </w:rPr>
      </w:pPr>
      <w:r>
        <w:rPr>
          <w:rFonts w:ascii="MinionPro-Regular" w:hAnsi="MinionPro-Regular"/>
          <w:sz w:val="20"/>
          <w:szCs w:val="24"/>
          <w:lang w:val="es-ES_tradnl"/>
        </w:rPr>
        <w:t>Nota explicativa de la gráfica: Eje vertical, euros. Eje horizontal, dos columnas. En la primera columna aparecen representada la estimación total de los retornos que implican salida de efectivo (IRPF, seguridad social, IVA e impuesto de sociedades), igual a 459.587.646 euros. En la segunda columna, aparecen las ayudas de la administración pública que implican salida de efectivo, igual a 323.514.020 euros.</w:t>
      </w:r>
    </w:p>
    <w:p w:rsidR="00E2336B" w:rsidRDefault="00E2336B" w:rsidP="00890FE5">
      <w:pPr>
        <w:autoSpaceDE w:val="0"/>
        <w:autoSpaceDN w:val="0"/>
        <w:spacing w:line="360" w:lineRule="auto"/>
        <w:jc w:val="both"/>
        <w:rPr>
          <w:rFonts w:ascii="MinionPro-Regular" w:hAnsi="MinionPro-Regular"/>
          <w:sz w:val="24"/>
          <w:szCs w:val="24"/>
          <w:lang w:val="es-ES_tradnl"/>
        </w:rPr>
      </w:pPr>
    </w:p>
    <w:p w:rsidR="00E2336B" w:rsidRDefault="00E2336B" w:rsidP="00890FE5">
      <w:pPr>
        <w:autoSpaceDE w:val="0"/>
        <w:autoSpaceDN w:val="0"/>
        <w:spacing w:line="360" w:lineRule="auto"/>
        <w:jc w:val="both"/>
        <w:rPr>
          <w:rFonts w:ascii="MinionPro-Regular" w:hAnsi="MinionPro-Regular"/>
          <w:sz w:val="24"/>
          <w:szCs w:val="24"/>
          <w:lang w:val="es-ES_tradnl"/>
        </w:rPr>
      </w:pPr>
    </w:p>
    <w:p w:rsidR="00E2336B" w:rsidRDefault="00E2336B" w:rsidP="00890FE5">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En este proceso no se han incluido</w:t>
      </w:r>
      <w:r w:rsidRPr="00CA531A">
        <w:rPr>
          <w:rFonts w:ascii="MinionPro-Regular" w:hAnsi="MinionPro-Regular"/>
          <w:sz w:val="24"/>
          <w:szCs w:val="24"/>
          <w:lang w:val="es-ES_tradnl"/>
        </w:rPr>
        <w:t xml:space="preserve"> los salarios, pero no conviene olvidar que en el año 2011, los centros especiales de empleo pagaron </w:t>
      </w:r>
      <w:r>
        <w:rPr>
          <w:rFonts w:ascii="MinionPro-Regular" w:hAnsi="MinionPro-Regular"/>
          <w:sz w:val="24"/>
          <w:szCs w:val="24"/>
          <w:lang w:val="es-ES_tradnl"/>
        </w:rPr>
        <w:t xml:space="preserve">unos </w:t>
      </w:r>
      <w:r w:rsidRPr="00CA531A">
        <w:rPr>
          <w:rFonts w:ascii="MinionPro-Regular" w:hAnsi="MinionPro-Regular"/>
          <w:sz w:val="24"/>
          <w:szCs w:val="24"/>
          <w:lang w:val="es-ES_tradnl"/>
        </w:rPr>
        <w:t>900 millones de euros en salarios a sus empleados</w:t>
      </w:r>
      <w:r>
        <w:rPr>
          <w:rFonts w:ascii="MinionPro-Regular" w:hAnsi="MinionPro-Regular"/>
          <w:sz w:val="24"/>
          <w:szCs w:val="24"/>
          <w:lang w:val="es-ES_tradnl"/>
        </w:rPr>
        <w:t>. Más de 700 millones fueron destinados a personas con discapacidad. Buena parte de la renta de los empleados fue dedicada al consumo, por lo que fueron sujetos a imposición indirecta generando recursos adicionales al estado.</w:t>
      </w:r>
    </w:p>
    <w:p w:rsidR="00E2336B" w:rsidRPr="00E2336B" w:rsidRDefault="00F23441" w:rsidP="0007541A">
      <w:pPr>
        <w:pStyle w:val="Ttulo3"/>
        <w:numPr>
          <w:ilvl w:val="2"/>
          <w:numId w:val="3"/>
        </w:numPr>
        <w:rPr>
          <w:rFonts w:ascii="MinionPro-Regular" w:hAnsi="MinionPro-Regular"/>
          <w:color w:val="FF0000"/>
        </w:rPr>
      </w:pPr>
      <w:bookmarkStart w:id="446" w:name="_Toc347654356"/>
      <w:bookmarkStart w:id="447" w:name="_Toc347667964"/>
      <w:bookmarkStart w:id="448" w:name="_Toc347654357"/>
      <w:bookmarkStart w:id="449" w:name="_Toc347667965"/>
      <w:bookmarkStart w:id="450" w:name="_Toc344964118"/>
      <w:bookmarkStart w:id="451" w:name="_Toc352773595"/>
      <w:bookmarkEnd w:id="446"/>
      <w:bookmarkEnd w:id="447"/>
      <w:bookmarkEnd w:id="448"/>
      <w:bookmarkEnd w:id="449"/>
      <w:bookmarkEnd w:id="450"/>
      <w:r w:rsidRPr="00F23441">
        <w:rPr>
          <w:rFonts w:ascii="MinionPro-Regular" w:hAnsi="MinionPro-Regular"/>
        </w:rPr>
        <w:t xml:space="preserve">Si comparamos las ayudas y retornos que no implican salida de efectivo, </w:t>
      </w:r>
      <w:r w:rsidR="00E2336B">
        <w:rPr>
          <w:rFonts w:ascii="MinionPro-Regular" w:hAnsi="MinionPro-Regular"/>
        </w:rPr>
        <w:t xml:space="preserve">por cada euro recibido de la administración, </w:t>
      </w:r>
      <w:r w:rsidRPr="00F23441">
        <w:rPr>
          <w:rFonts w:ascii="MinionPro-Regular" w:hAnsi="MinionPro-Regular"/>
        </w:rPr>
        <w:t xml:space="preserve">los centros especiales de empleo </w:t>
      </w:r>
      <w:r w:rsidR="00E86451" w:rsidRPr="00E86451">
        <w:rPr>
          <w:rFonts w:ascii="MinionPro-Regular" w:hAnsi="MinionPro-Regular"/>
        </w:rPr>
        <w:t>retornan 1,47</w:t>
      </w:r>
      <w:bookmarkEnd w:id="451"/>
    </w:p>
    <w:p w:rsidR="00E2336B" w:rsidRPr="0067067F" w:rsidRDefault="00E2336B" w:rsidP="0067067F">
      <w:pPr>
        <w:pStyle w:val="Textoindependiente"/>
      </w:pPr>
    </w:p>
    <w:p w:rsidR="00E2336B" w:rsidRDefault="00E2336B" w:rsidP="0067067F">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lastRenderedPageBreak/>
        <w:t>El</w:t>
      </w:r>
      <w:r w:rsidRPr="007949F6">
        <w:rPr>
          <w:rFonts w:ascii="MinionPro-Regular" w:hAnsi="MinionPro-Regular"/>
          <w:sz w:val="24"/>
          <w:szCs w:val="24"/>
          <w:lang w:val="es-ES_tradnl"/>
        </w:rPr>
        <w:t xml:space="preserve"> retorno que no implica una salida efectiva de caja (</w:t>
      </w:r>
      <w:r>
        <w:rPr>
          <w:rFonts w:ascii="MinionPro-Regular" w:hAnsi="MinionPro-Regular"/>
          <w:sz w:val="24"/>
          <w:szCs w:val="24"/>
          <w:lang w:val="es-ES_tradnl"/>
        </w:rPr>
        <w:t>ahorros como consecuencia de ayudas que no se producen</w:t>
      </w:r>
      <w:r w:rsidRPr="007949F6">
        <w:rPr>
          <w:rFonts w:ascii="MinionPro-Regular" w:hAnsi="MinionPro-Regular"/>
          <w:sz w:val="24"/>
          <w:szCs w:val="24"/>
          <w:lang w:val="es-ES_tradnl"/>
        </w:rPr>
        <w:t>) con el de las ayudas que tampoco implican una salida (bonificac</w:t>
      </w:r>
      <w:r>
        <w:rPr>
          <w:rFonts w:ascii="MinionPro-Regular" w:hAnsi="MinionPro-Regular"/>
          <w:sz w:val="24"/>
          <w:szCs w:val="24"/>
          <w:lang w:val="es-ES_tradnl"/>
        </w:rPr>
        <w:t>iones de la Seguridad Social), e</w:t>
      </w:r>
      <w:r w:rsidRPr="007949F6">
        <w:rPr>
          <w:rFonts w:ascii="MinionPro-Regular" w:hAnsi="MinionPro-Regular"/>
          <w:sz w:val="24"/>
          <w:szCs w:val="24"/>
          <w:lang w:val="es-ES_tradnl"/>
        </w:rPr>
        <w:t xml:space="preserve">l resultado </w:t>
      </w:r>
      <w:r>
        <w:rPr>
          <w:rFonts w:ascii="MinionPro-Regular" w:hAnsi="MinionPro-Regular"/>
          <w:sz w:val="24"/>
          <w:szCs w:val="24"/>
          <w:lang w:val="es-ES_tradnl"/>
        </w:rPr>
        <w:t>ofrece un saldo beneficioso para la administración pública.</w:t>
      </w:r>
    </w:p>
    <w:p w:rsidR="00E2336B" w:rsidRDefault="00E2336B" w:rsidP="0067067F">
      <w:pPr>
        <w:autoSpaceDE w:val="0"/>
        <w:autoSpaceDN w:val="0"/>
        <w:spacing w:line="360" w:lineRule="auto"/>
        <w:jc w:val="both"/>
        <w:rPr>
          <w:rFonts w:ascii="MinionPro-Regular" w:hAnsi="MinionPro-Regular"/>
          <w:sz w:val="24"/>
          <w:szCs w:val="24"/>
          <w:lang w:val="es-ES_tradnl"/>
        </w:rPr>
      </w:pPr>
    </w:p>
    <w:p w:rsidR="00E2336B" w:rsidRDefault="00E2336B" w:rsidP="0067067F">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La estimación del retorno que no implica salida de caja, se ha realizado desde un punto de vista conservador ya que los trabajadores de centros especiales de empleo que presentan un grado de discapacidad del 33% al 65%, si dejasen de trabajar obtendrían también algún tipo de ayuda.</w:t>
      </w:r>
    </w:p>
    <w:bookmarkEnd w:id="445"/>
    <w:p w:rsidR="00D2049F" w:rsidRDefault="00D2049F" w:rsidP="00D2049F">
      <w:pPr>
        <w:pStyle w:val="Textoindependiente"/>
      </w:pPr>
    </w:p>
    <w:p w:rsidR="00D96007" w:rsidRDefault="00D96007" w:rsidP="00D2049F">
      <w:pPr>
        <w:pStyle w:val="Textoindependiente"/>
      </w:pPr>
    </w:p>
    <w:p w:rsidR="00D96007" w:rsidRDefault="00D96007" w:rsidP="00D2049F">
      <w:pPr>
        <w:pStyle w:val="Textoindependiente"/>
      </w:pPr>
    </w:p>
    <w:p w:rsidR="00D96007" w:rsidRDefault="00D96007" w:rsidP="00D2049F">
      <w:pPr>
        <w:pStyle w:val="Textoindependiente"/>
      </w:pPr>
    </w:p>
    <w:p w:rsidR="00D96007" w:rsidRDefault="00D96007" w:rsidP="00D2049F">
      <w:pPr>
        <w:pStyle w:val="Textoindependiente"/>
      </w:pPr>
    </w:p>
    <w:p w:rsidR="00D96007" w:rsidRDefault="00D96007" w:rsidP="00D2049F">
      <w:pPr>
        <w:pStyle w:val="Textoindependiente"/>
      </w:pPr>
    </w:p>
    <w:p w:rsidR="00D96007" w:rsidRDefault="00D96007" w:rsidP="00D2049F">
      <w:pPr>
        <w:pStyle w:val="Textoindependiente"/>
      </w:pPr>
    </w:p>
    <w:p w:rsidR="00D96007" w:rsidRDefault="00D96007" w:rsidP="00D2049F">
      <w:pPr>
        <w:pStyle w:val="Textoindependiente"/>
      </w:pPr>
    </w:p>
    <w:p w:rsidR="00D96007" w:rsidRDefault="00D96007" w:rsidP="00D2049F">
      <w:pPr>
        <w:pStyle w:val="Textoindependiente"/>
      </w:pPr>
    </w:p>
    <w:p w:rsidR="00D96007" w:rsidRDefault="00D96007" w:rsidP="00D2049F">
      <w:pPr>
        <w:pStyle w:val="Textoindependiente"/>
      </w:pPr>
    </w:p>
    <w:p w:rsidR="00D96007" w:rsidRDefault="00D96007" w:rsidP="00D2049F">
      <w:pPr>
        <w:pStyle w:val="Textoindependiente"/>
      </w:pPr>
    </w:p>
    <w:p w:rsidR="00D96007" w:rsidRDefault="00D96007" w:rsidP="00D2049F">
      <w:pPr>
        <w:pStyle w:val="Textoindependiente"/>
      </w:pPr>
    </w:p>
    <w:p w:rsidR="001E0871" w:rsidRDefault="001E0871" w:rsidP="00D2049F">
      <w:pPr>
        <w:pStyle w:val="Textoindependiente"/>
      </w:pPr>
    </w:p>
    <w:p w:rsidR="001E0871" w:rsidRDefault="001E0871" w:rsidP="00D2049F">
      <w:pPr>
        <w:pStyle w:val="Textoindependiente"/>
      </w:pPr>
    </w:p>
    <w:p w:rsidR="001E0871" w:rsidRDefault="001E0871" w:rsidP="00D2049F">
      <w:pPr>
        <w:pStyle w:val="Textoindependiente"/>
      </w:pPr>
    </w:p>
    <w:p w:rsidR="00D96007" w:rsidRDefault="00D96007" w:rsidP="00D2049F">
      <w:pPr>
        <w:pStyle w:val="Textoindependiente"/>
      </w:pPr>
    </w:p>
    <w:p w:rsidR="00D96007" w:rsidRDefault="00D96007" w:rsidP="00D2049F">
      <w:pPr>
        <w:pStyle w:val="Textoindependiente"/>
      </w:pPr>
    </w:p>
    <w:p w:rsidR="00D96007" w:rsidRDefault="00D96007" w:rsidP="00D2049F">
      <w:pPr>
        <w:pStyle w:val="Textoindependiente"/>
      </w:pPr>
    </w:p>
    <w:p w:rsidR="00D96007" w:rsidRPr="00D2049F" w:rsidRDefault="00D96007" w:rsidP="00D2049F">
      <w:pPr>
        <w:pStyle w:val="Textoindependiente"/>
      </w:pPr>
    </w:p>
    <w:p w:rsidR="00E2336B" w:rsidRDefault="00E2336B" w:rsidP="00835047">
      <w:pPr>
        <w:pStyle w:val="Textoindependiente"/>
        <w:pBdr>
          <w:top w:val="single" w:sz="4" w:space="1" w:color="auto"/>
        </w:pBdr>
        <w:rPr>
          <w:rFonts w:ascii="MinionPro-Regular" w:hAnsi="MinionPro-Regular"/>
          <w:color w:val="FF0000"/>
          <w:sz w:val="20"/>
        </w:rPr>
      </w:pPr>
      <w:r w:rsidRPr="0067067F">
        <w:rPr>
          <w:rFonts w:ascii="MinionPro-Regular" w:hAnsi="MinionPro-Regular"/>
          <w:sz w:val="20"/>
        </w:rPr>
        <w:t>Estimación total de los retornos de los centros especiales de empleo que no implican salida de efectivo hacia las arcas públicas frente a l</w:t>
      </w:r>
      <w:r w:rsidRPr="00993791">
        <w:rPr>
          <w:rFonts w:ascii="MinionPro-Regular" w:hAnsi="MinionPro-Regular"/>
          <w:sz w:val="20"/>
        </w:rPr>
        <w:t xml:space="preserve">as ayudas </w:t>
      </w:r>
      <w:r>
        <w:rPr>
          <w:rFonts w:ascii="MinionPro-Regular" w:hAnsi="MinionPro-Regular"/>
          <w:sz w:val="20"/>
        </w:rPr>
        <w:t>de la misma naturaleza.</w:t>
      </w:r>
    </w:p>
    <w:p w:rsidR="00E2336B" w:rsidRPr="00D96007" w:rsidRDefault="00D96007" w:rsidP="00D96007">
      <w:pPr>
        <w:pStyle w:val="Textoindependiente"/>
        <w:pBdr>
          <w:top w:val="single" w:sz="4" w:space="1" w:color="auto"/>
        </w:pBdr>
        <w:rPr>
          <w:rFonts w:ascii="MinionPro-Regular" w:hAnsi="MinionPro-Regular"/>
          <w:color w:val="FF0000"/>
          <w:sz w:val="20"/>
        </w:rPr>
      </w:pPr>
      <w:r w:rsidRPr="00D96007">
        <w:rPr>
          <w:rFonts w:ascii="MinionPro-Regular" w:hAnsi="MinionPro-Regular"/>
          <w:noProof/>
          <w:color w:val="FF0000"/>
          <w:sz w:val="20"/>
          <w:lang w:eastAsia="es-ES"/>
        </w:rPr>
        <w:lastRenderedPageBreak/>
        <w:drawing>
          <wp:inline distT="0" distB="0" distL="0" distR="0">
            <wp:extent cx="5400675" cy="2681394"/>
            <wp:effectExtent l="19050" t="0" r="0" b="0"/>
            <wp:docPr id="108" name="Object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7992888" cy="3967991"/>
                      <a:chOff x="1259632" y="908720"/>
                      <a:chExt cx="7992888" cy="3967991"/>
                    </a:xfrm>
                  </a:grpSpPr>
                  <a:grpSp>
                    <a:nvGrpSpPr>
                      <a:cNvPr id="26" name="Group 25"/>
                      <a:cNvGrpSpPr/>
                    </a:nvGrpSpPr>
                    <a:grpSpPr>
                      <a:xfrm>
                        <a:off x="1259632" y="908720"/>
                        <a:ext cx="7992888" cy="3967991"/>
                        <a:chOff x="1259632" y="908720"/>
                        <a:chExt cx="7992888" cy="3967991"/>
                      </a:xfrm>
                    </a:grpSpPr>
                    <a:sp>
                      <a:nvSpPr>
                        <a:cNvPr id="5" name="Rectangle 4"/>
                        <a:cNvSpPr/>
                      </a:nvSpPr>
                      <a:spPr>
                        <a:xfrm>
                          <a:off x="1907704" y="3861048"/>
                          <a:ext cx="2304256" cy="1015663"/>
                        </a:xfrm>
                        <a:prstGeom prst="rect">
                          <a:avLst/>
                        </a:prstGeom>
                      </a:spPr>
                      <a:txSp>
                        <a:txBody>
                          <a:bodyPr wrap="square">
                            <a:spAutoFit/>
                          </a:bodyPr>
                          <a:lstStyle>
                            <a:defPPr>
                              <a:defRPr lang="es-E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s-ES" sz="1000" dirty="0" smtClean="0">
                                <a:latin typeface="MinionPro-Regular"/>
                              </a:rPr>
                              <a:t>Estimación total de los retornos que no implican salida de efectivo (pensiones no contributivas, LISMI, pensiones </a:t>
                            </a:r>
                            <a:r>
                              <a:rPr lang="es-ES" sz="1000" dirty="0" smtClean="0">
                                <a:latin typeface="MinionPro-Regular"/>
                              </a:rPr>
                              <a:t>contributivas, ahorros sanitarios y ahorro en plazas ocupacionales)</a:t>
                            </a:r>
                            <a:endParaRPr lang="es-ES" sz="1000" dirty="0">
                              <a:latin typeface="MinionPro-Regular"/>
                            </a:endParaRPr>
                          </a:p>
                        </a:txBody>
                        <a:useSpRect/>
                      </a:txSp>
                    </a:sp>
                    <a:cxnSp>
                      <a:nvCxnSpPr>
                        <a:cNvPr id="7" name="Straight Connector 6"/>
                        <a:cNvCxnSpPr/>
                      </a:nvCxnSpPr>
                      <a:spPr>
                        <a:xfrm>
                          <a:off x="2051720" y="3861048"/>
                          <a:ext cx="4104456" cy="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sp>
                      <a:nvSpPr>
                        <a:cNvPr id="9" name="Rectangle 8"/>
                        <a:cNvSpPr/>
                      </a:nvSpPr>
                      <a:spPr>
                        <a:xfrm>
                          <a:off x="4211960" y="3861048"/>
                          <a:ext cx="1440160" cy="707886"/>
                        </a:xfrm>
                        <a:prstGeom prst="rect">
                          <a:avLst/>
                        </a:prstGeom>
                      </a:spPr>
                      <a:txSp>
                        <a:txBody>
                          <a:bodyPr wrap="square">
                            <a:spAutoFit/>
                          </a:bodyPr>
                          <a:lstStyle>
                            <a:defPPr>
                              <a:defRPr lang="es-E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s-ES" sz="1000" dirty="0" smtClean="0">
                                <a:latin typeface="MinionPro-Regular"/>
                              </a:rPr>
                              <a:t>Ayudas de la administración pública que  no implican salida de caja</a:t>
                            </a:r>
                            <a:endParaRPr lang="es-ES" sz="1000" dirty="0">
                              <a:latin typeface="MinionPro-Regular"/>
                            </a:endParaRPr>
                          </a:p>
                        </a:txBody>
                        <a:useSpRect/>
                      </a:txSp>
                    </a:sp>
                    <a:sp>
                      <a:nvSpPr>
                        <a:cNvPr id="6" name="Rectangle 5"/>
                        <a:cNvSpPr/>
                      </a:nvSpPr>
                      <a:spPr>
                        <a:xfrm>
                          <a:off x="6660232" y="2780928"/>
                          <a:ext cx="527709" cy="276999"/>
                        </a:xfrm>
                        <a:prstGeom prst="rect">
                          <a:avLst/>
                        </a:prstGeom>
                      </a:spPr>
                      <a:txSp>
                        <a:txBody>
                          <a:bodyPr wrap="none">
                            <a:spAutoFit/>
                          </a:bodyPr>
                          <a:lstStyle>
                            <a:defPPr>
                              <a:defRPr lang="es-E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s-ES" sz="1200" dirty="0" smtClean="0"/>
                              <a:t>LISMI</a:t>
                            </a:r>
                            <a:endParaRPr lang="es-ES" sz="1200" dirty="0"/>
                          </a:p>
                        </a:txBody>
                        <a:useSpRect/>
                      </a:txSp>
                    </a:sp>
                    <a:sp>
                      <a:nvSpPr>
                        <a:cNvPr id="8" name="Rectangle 7"/>
                        <a:cNvSpPr/>
                      </a:nvSpPr>
                      <a:spPr>
                        <a:xfrm>
                          <a:off x="6515621" y="2564904"/>
                          <a:ext cx="144016" cy="144016"/>
                        </a:xfrm>
                        <a:prstGeom prst="rect">
                          <a:avLst/>
                        </a:prstGeom>
                        <a:solidFill>
                          <a:srgbClr val="8099C6"/>
                        </a:solidFill>
                        <a:ln>
                          <a:noFill/>
                        </a:ln>
                      </a:spPr>
                      <a:txSp>
                        <a:txBody>
                          <a:bodyPr rtlCol="0" anchor="ctr"/>
                          <a:lstStyle>
                            <a:defPPr>
                              <a:defRPr lang="es-E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s-ES"/>
                          </a:p>
                        </a:txBody>
                        <a:useSpRect/>
                      </a:txSp>
                      <a:style>
                        <a:lnRef idx="2">
                          <a:schemeClr val="accent1">
                            <a:shade val="50000"/>
                          </a:schemeClr>
                        </a:lnRef>
                        <a:fillRef idx="1">
                          <a:schemeClr val="accent1"/>
                        </a:fillRef>
                        <a:effectRef idx="0">
                          <a:schemeClr val="accent1"/>
                        </a:effectRef>
                        <a:fontRef idx="minor">
                          <a:schemeClr val="lt1"/>
                        </a:fontRef>
                      </a:style>
                    </a:sp>
                    <a:sp>
                      <a:nvSpPr>
                        <a:cNvPr id="10" name="Rectangle 9"/>
                        <a:cNvSpPr/>
                      </a:nvSpPr>
                      <a:spPr>
                        <a:xfrm>
                          <a:off x="6516216" y="2852936"/>
                          <a:ext cx="144016" cy="144016"/>
                        </a:xfrm>
                        <a:prstGeom prst="rect">
                          <a:avLst/>
                        </a:prstGeom>
                        <a:solidFill>
                          <a:schemeClr val="tx2">
                            <a:lumMod val="20000"/>
                            <a:lumOff val="80000"/>
                          </a:schemeClr>
                        </a:solidFill>
                        <a:ln>
                          <a:noFill/>
                        </a:ln>
                      </a:spPr>
                      <a:txSp>
                        <a:txBody>
                          <a:bodyPr rtlCol="0" anchor="ctr"/>
                          <a:lstStyle>
                            <a:defPPr>
                              <a:defRPr lang="es-E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s-ES"/>
                          </a:p>
                        </a:txBody>
                        <a:useSpRect/>
                      </a:txSp>
                      <a:style>
                        <a:lnRef idx="2">
                          <a:schemeClr val="accent1">
                            <a:shade val="50000"/>
                          </a:schemeClr>
                        </a:lnRef>
                        <a:fillRef idx="1">
                          <a:schemeClr val="accent1"/>
                        </a:fillRef>
                        <a:effectRef idx="0">
                          <a:schemeClr val="accent1"/>
                        </a:effectRef>
                        <a:fontRef idx="minor">
                          <a:schemeClr val="lt1"/>
                        </a:fontRef>
                      </a:style>
                    </a:sp>
                    <a:sp>
                      <a:nvSpPr>
                        <a:cNvPr id="11" name="Rectangle 10"/>
                        <a:cNvSpPr/>
                      </a:nvSpPr>
                      <a:spPr>
                        <a:xfrm>
                          <a:off x="6650509" y="3296017"/>
                          <a:ext cx="2250504" cy="276999"/>
                        </a:xfrm>
                        <a:prstGeom prst="rect">
                          <a:avLst/>
                        </a:prstGeom>
                      </a:spPr>
                      <a:txSp>
                        <a:txBody>
                          <a:bodyPr wrap="square">
                            <a:spAutoFit/>
                          </a:bodyPr>
                          <a:lstStyle>
                            <a:defPPr>
                              <a:defRPr lang="es-E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s-ES" sz="1200" dirty="0" smtClean="0"/>
                              <a:t>Ahorro sanitario</a:t>
                            </a:r>
                            <a:endParaRPr lang="es-ES" sz="1200" dirty="0"/>
                          </a:p>
                        </a:txBody>
                        <a:useSpRect/>
                      </a:txSp>
                    </a:sp>
                    <a:sp>
                      <a:nvSpPr>
                        <a:cNvPr id="12" name="Rectangle 11"/>
                        <a:cNvSpPr/>
                      </a:nvSpPr>
                      <a:spPr>
                        <a:xfrm>
                          <a:off x="6660232" y="2276872"/>
                          <a:ext cx="2592288" cy="276999"/>
                        </a:xfrm>
                        <a:prstGeom prst="rect">
                          <a:avLst/>
                        </a:prstGeom>
                      </a:spPr>
                      <a:txSp>
                        <a:txBody>
                          <a:bodyPr wrap="square">
                            <a:spAutoFit/>
                          </a:bodyPr>
                          <a:lstStyle>
                            <a:defPPr>
                              <a:defRPr lang="es-E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s-ES" sz="1200" dirty="0" smtClean="0"/>
                              <a:t>Pensiones no contributivas</a:t>
                            </a:r>
                          </a:p>
                        </a:txBody>
                        <a:useSpRect/>
                      </a:txSp>
                    </a:sp>
                    <a:sp>
                      <a:nvSpPr>
                        <a:cNvPr id="13" name="Rectangle 12"/>
                        <a:cNvSpPr/>
                      </a:nvSpPr>
                      <a:spPr>
                        <a:xfrm>
                          <a:off x="6515621" y="3375052"/>
                          <a:ext cx="144016" cy="144016"/>
                        </a:xfrm>
                        <a:prstGeom prst="rect">
                          <a:avLst/>
                        </a:prstGeom>
                        <a:solidFill>
                          <a:srgbClr val="4066AA"/>
                        </a:solidFill>
                        <a:ln>
                          <a:noFill/>
                        </a:ln>
                      </a:spPr>
                      <a:txSp>
                        <a:txBody>
                          <a:bodyPr rtlCol="0" anchor="ctr"/>
                          <a:lstStyle>
                            <a:defPPr>
                              <a:defRPr lang="es-E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s-ES"/>
                          </a:p>
                        </a:txBody>
                        <a:useSpRect/>
                      </a:txSp>
                      <a:style>
                        <a:lnRef idx="2">
                          <a:schemeClr val="accent1">
                            <a:shade val="50000"/>
                          </a:schemeClr>
                        </a:lnRef>
                        <a:fillRef idx="1">
                          <a:schemeClr val="accent1"/>
                        </a:fillRef>
                        <a:effectRef idx="0">
                          <a:schemeClr val="accent1"/>
                        </a:effectRef>
                        <a:fontRef idx="minor">
                          <a:schemeClr val="lt1"/>
                        </a:fontRef>
                      </a:style>
                    </a:sp>
                    <a:sp>
                      <a:nvSpPr>
                        <a:cNvPr id="14" name="Rectangle 13"/>
                        <a:cNvSpPr/>
                      </a:nvSpPr>
                      <a:spPr>
                        <a:xfrm>
                          <a:off x="6650509" y="2503929"/>
                          <a:ext cx="1662635" cy="276999"/>
                        </a:xfrm>
                        <a:prstGeom prst="rect">
                          <a:avLst/>
                        </a:prstGeom>
                      </a:spPr>
                      <a:txSp>
                        <a:txBody>
                          <a:bodyPr wrap="none">
                            <a:spAutoFit/>
                          </a:bodyPr>
                          <a:lstStyle>
                            <a:defPPr>
                              <a:defRPr lang="es-E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s-ES" sz="1200" dirty="0" smtClean="0"/>
                              <a:t>Pensiones contributivas</a:t>
                            </a:r>
                            <a:endParaRPr lang="es-ES" sz="1200" dirty="0"/>
                          </a:p>
                        </a:txBody>
                        <a:useSpRect/>
                      </a:txSp>
                    </a:sp>
                    <a:sp>
                      <a:nvSpPr>
                        <a:cNvPr id="15" name="Rectangle 14"/>
                        <a:cNvSpPr/>
                      </a:nvSpPr>
                      <a:spPr>
                        <a:xfrm>
                          <a:off x="6515621" y="2348880"/>
                          <a:ext cx="144016" cy="144016"/>
                        </a:xfrm>
                        <a:prstGeom prst="rect">
                          <a:avLst/>
                        </a:prstGeom>
                        <a:solidFill>
                          <a:srgbClr val="BFCCE3"/>
                        </a:solidFill>
                        <a:ln>
                          <a:noFill/>
                        </a:ln>
                      </a:spPr>
                      <a:txSp>
                        <a:txBody>
                          <a:bodyPr rtlCol="0" anchor="ctr"/>
                          <a:lstStyle>
                            <a:defPPr>
                              <a:defRPr lang="es-E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s-ES"/>
                          </a:p>
                        </a:txBody>
                        <a:useSpRect/>
                      </a:txSp>
                      <a:style>
                        <a:lnRef idx="2">
                          <a:schemeClr val="accent1">
                            <a:shade val="50000"/>
                          </a:schemeClr>
                        </a:lnRef>
                        <a:fillRef idx="1">
                          <a:schemeClr val="accent1"/>
                        </a:fillRef>
                        <a:effectRef idx="0">
                          <a:schemeClr val="accent1"/>
                        </a:effectRef>
                        <a:fontRef idx="minor">
                          <a:schemeClr val="lt1"/>
                        </a:fontRef>
                      </a:style>
                    </a:sp>
                    <a:sp>
                      <a:nvSpPr>
                        <a:cNvPr id="16" name="Rectangle 15"/>
                        <a:cNvSpPr/>
                      </a:nvSpPr>
                      <a:spPr>
                        <a:xfrm>
                          <a:off x="6515621" y="3630215"/>
                          <a:ext cx="144016" cy="144016"/>
                        </a:xfrm>
                        <a:prstGeom prst="rect">
                          <a:avLst/>
                        </a:prstGeom>
                        <a:solidFill>
                          <a:srgbClr val="7AB800"/>
                        </a:solidFill>
                        <a:ln>
                          <a:noFill/>
                        </a:ln>
                      </a:spPr>
                      <a:txSp>
                        <a:txBody>
                          <a:bodyPr rtlCol="0" anchor="ctr"/>
                          <a:lstStyle>
                            <a:defPPr>
                              <a:defRPr lang="es-E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s-ES"/>
                          </a:p>
                        </a:txBody>
                        <a:useSpRect/>
                      </a:txSp>
                      <a:style>
                        <a:lnRef idx="2">
                          <a:schemeClr val="accent1">
                            <a:shade val="50000"/>
                          </a:schemeClr>
                        </a:lnRef>
                        <a:fillRef idx="1">
                          <a:schemeClr val="accent1"/>
                        </a:fillRef>
                        <a:effectRef idx="0">
                          <a:schemeClr val="accent1"/>
                        </a:effectRef>
                        <a:fontRef idx="minor">
                          <a:schemeClr val="lt1"/>
                        </a:fontRef>
                      </a:style>
                    </a:sp>
                    <a:sp>
                      <a:nvSpPr>
                        <a:cNvPr id="17" name="Rectangle 16"/>
                        <a:cNvSpPr/>
                      </a:nvSpPr>
                      <a:spPr>
                        <a:xfrm>
                          <a:off x="6650509" y="3471391"/>
                          <a:ext cx="2592288" cy="461665"/>
                        </a:xfrm>
                        <a:prstGeom prst="rect">
                          <a:avLst/>
                        </a:prstGeom>
                      </a:spPr>
                      <a:txSp>
                        <a:txBody>
                          <a:bodyPr wrap="square">
                            <a:spAutoFit/>
                          </a:bodyPr>
                          <a:lstStyle>
                            <a:defPPr>
                              <a:defRPr lang="es-E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s-ES" sz="1200" dirty="0" smtClean="0"/>
                              <a:t>Ayudas de la administración que no implican salida de efectivo</a:t>
                            </a:r>
                            <a:endParaRPr lang="es-ES" sz="1200" dirty="0"/>
                          </a:p>
                        </a:txBody>
                        <a:useSpRect/>
                      </a:txSp>
                    </a:sp>
                    <a:graphicFrame>
                      <a:nvGraphicFramePr>
                        <a:cNvPr id="18" name="Chart 17"/>
                        <a:cNvGraphicFramePr/>
                      </a:nvGraphicFramePr>
                      <a:graphic>
                        <a:graphicData uri="http://schemas.openxmlformats.org/drawingml/2006/chart">
                          <c:chart xmlns:c="http://schemas.openxmlformats.org/drawingml/2006/chart" xmlns:r="http://schemas.openxmlformats.org/officeDocument/2006/relationships" r:id="rId129"/>
                        </a:graphicData>
                      </a:graphic>
                      <a:xfrm>
                        <a:off x="1259632" y="908720"/>
                        <a:ext cx="5094474" cy="3350932"/>
                      </a:xfrm>
                    </a:graphicFrame>
                    <a:sp>
                      <a:nvSpPr>
                        <a:cNvPr id="19" name="Rectangle 18"/>
                        <a:cNvSpPr/>
                      </a:nvSpPr>
                      <a:spPr>
                        <a:xfrm>
                          <a:off x="6516216" y="3140968"/>
                          <a:ext cx="144016" cy="144016"/>
                        </a:xfrm>
                        <a:prstGeom prst="rect">
                          <a:avLst/>
                        </a:prstGeom>
                        <a:solidFill>
                          <a:srgbClr val="558ED5"/>
                        </a:solidFill>
                        <a:ln>
                          <a:noFill/>
                        </a:ln>
                      </a:spPr>
                      <a:txSp>
                        <a:txBody>
                          <a:bodyPr rtlCol="0" anchor="ctr"/>
                          <a:lstStyle>
                            <a:defPPr>
                              <a:defRPr lang="es-E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s-ES"/>
                          </a:p>
                        </a:txBody>
                        <a:useSpRect/>
                      </a:txSp>
                      <a:style>
                        <a:lnRef idx="2">
                          <a:schemeClr val="accent1">
                            <a:shade val="50000"/>
                          </a:schemeClr>
                        </a:lnRef>
                        <a:fillRef idx="1">
                          <a:schemeClr val="accent1"/>
                        </a:fillRef>
                        <a:effectRef idx="0">
                          <a:schemeClr val="accent1"/>
                        </a:effectRef>
                        <a:fontRef idx="minor">
                          <a:schemeClr val="lt1"/>
                        </a:fontRef>
                      </a:style>
                    </a:sp>
                    <a:sp>
                      <a:nvSpPr>
                        <a:cNvPr id="20" name="Rectangle 19"/>
                        <a:cNvSpPr/>
                      </a:nvSpPr>
                      <a:spPr>
                        <a:xfrm>
                          <a:off x="6660232" y="3079993"/>
                          <a:ext cx="1965346" cy="276999"/>
                        </a:xfrm>
                        <a:prstGeom prst="rect">
                          <a:avLst/>
                        </a:prstGeom>
                      </a:spPr>
                      <a:txSp>
                        <a:txBody>
                          <a:bodyPr wrap="none">
                            <a:spAutoFit/>
                          </a:bodyPr>
                          <a:lstStyle>
                            <a:defPPr>
                              <a:defRPr lang="es-E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s-ES" sz="1200" dirty="0" smtClean="0"/>
                              <a:t>Ahorro plazas ocupacionales</a:t>
                            </a:r>
                            <a:endParaRPr lang="es-ES" sz="1200" dirty="0"/>
                          </a:p>
                        </a:txBody>
                        <a:useSpRect/>
                      </a:txSp>
                    </a:sp>
                    <a:sp>
                      <a:nvSpPr>
                        <a:cNvPr id="25" name="TextBox 24"/>
                        <a:cNvSpPr txBox="1"/>
                      </a:nvSpPr>
                      <a:spPr>
                        <a:xfrm>
                          <a:off x="2555776" y="1628800"/>
                          <a:ext cx="936104" cy="246221"/>
                        </a:xfrm>
                        <a:prstGeom prst="rect">
                          <a:avLst/>
                        </a:prstGeom>
                        <a:noFill/>
                      </a:spPr>
                      <a:txSp>
                        <a:txBody>
                          <a:bodyPr wrap="square" rtlCol="0">
                            <a:spAutoFit/>
                          </a:bodyPr>
                          <a:lstStyle>
                            <a:defPPr>
                              <a:defRPr lang="es-E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s-ES_tradnl" sz="1000" dirty="0" smtClean="0">
                                <a:latin typeface="MinionPro-Regular"/>
                              </a:rPr>
                              <a:t>300.543.015</a:t>
                            </a:r>
                            <a:endParaRPr lang="en-US" sz="1000" dirty="0">
                              <a:latin typeface="MinionPro-Regular"/>
                            </a:endParaRPr>
                          </a:p>
                        </a:txBody>
                        <a:useSpRect/>
                      </a:txSp>
                    </a:sp>
                  </a:grpSp>
                </lc:lockedCanvas>
              </a:graphicData>
            </a:graphic>
          </wp:inline>
        </w:drawing>
      </w:r>
    </w:p>
    <w:p w:rsidR="00E2336B" w:rsidRDefault="00E2336B" w:rsidP="00835047">
      <w:pPr>
        <w:pBdr>
          <w:bottom w:val="single" w:sz="4" w:space="1" w:color="auto"/>
        </w:pBdr>
        <w:autoSpaceDE w:val="0"/>
        <w:autoSpaceDN w:val="0"/>
        <w:spacing w:line="360" w:lineRule="auto"/>
        <w:jc w:val="both"/>
        <w:rPr>
          <w:rFonts w:ascii="MinionPro-Regular" w:hAnsi="MinionPro-Regular"/>
          <w:sz w:val="20"/>
          <w:szCs w:val="24"/>
          <w:lang w:val="es-ES_tradnl"/>
        </w:rPr>
      </w:pPr>
      <w:r w:rsidRPr="00761DAC">
        <w:rPr>
          <w:rFonts w:ascii="MinionPro-Regular" w:hAnsi="MinionPro-Regular"/>
          <w:sz w:val="20"/>
          <w:szCs w:val="24"/>
          <w:lang w:val="es-ES_tradnl"/>
        </w:rPr>
        <w:t>Fuente: Elaboración propia</w:t>
      </w:r>
    </w:p>
    <w:p w:rsidR="00E2336B" w:rsidRPr="00761DAC" w:rsidRDefault="00E2336B" w:rsidP="00835047">
      <w:pPr>
        <w:pBdr>
          <w:bottom w:val="single" w:sz="4" w:space="1" w:color="auto"/>
        </w:pBdr>
        <w:autoSpaceDE w:val="0"/>
        <w:autoSpaceDN w:val="0"/>
        <w:spacing w:line="360" w:lineRule="auto"/>
        <w:jc w:val="both"/>
        <w:rPr>
          <w:rFonts w:ascii="MinionPro-Regular" w:hAnsi="MinionPro-Regular"/>
          <w:sz w:val="20"/>
          <w:szCs w:val="24"/>
          <w:lang w:val="es-ES_tradnl"/>
        </w:rPr>
      </w:pPr>
      <w:r>
        <w:rPr>
          <w:rFonts w:ascii="MinionPro-Regular" w:hAnsi="MinionPro-Regular"/>
          <w:sz w:val="20"/>
          <w:szCs w:val="24"/>
          <w:lang w:val="es-ES_tradnl"/>
        </w:rPr>
        <w:t>Nota explicativa de la gráfica: Eje vertical, euros. Eje horizontal, dos columnas. En la primera columna aparecen representada la estimación total de los retornos que no implican salida de efectivo (ayudas derivadas de la LISMI, pensiones cont</w:t>
      </w:r>
      <w:r w:rsidR="003670DB">
        <w:rPr>
          <w:rFonts w:ascii="MinionPro-Regular" w:hAnsi="MinionPro-Regular"/>
          <w:sz w:val="20"/>
          <w:szCs w:val="24"/>
          <w:lang w:val="es-ES_tradnl"/>
        </w:rPr>
        <w:t>ributivas</w:t>
      </w:r>
      <w:r>
        <w:rPr>
          <w:rFonts w:ascii="MinionPro-Regular" w:hAnsi="MinionPro-Regular"/>
          <w:sz w:val="20"/>
          <w:szCs w:val="24"/>
          <w:lang w:val="es-ES_tradnl"/>
        </w:rPr>
        <w:t>, pensiones no contributivas</w:t>
      </w:r>
      <w:r w:rsidR="00D96007">
        <w:rPr>
          <w:rFonts w:ascii="MinionPro-Regular" w:hAnsi="MinionPro-Regular"/>
          <w:sz w:val="20"/>
          <w:szCs w:val="24"/>
          <w:lang w:val="es-ES_tradnl"/>
        </w:rPr>
        <w:t>, ahorro plazas ocupacionales</w:t>
      </w:r>
      <w:r>
        <w:rPr>
          <w:rFonts w:ascii="MinionPro-Regular" w:hAnsi="MinionPro-Regular"/>
          <w:sz w:val="20"/>
          <w:szCs w:val="24"/>
          <w:lang w:val="es-ES_tradnl"/>
        </w:rPr>
        <w:t xml:space="preserve"> y ahorros sanitarios), igual </w:t>
      </w:r>
      <w:r w:rsidRPr="003670DB">
        <w:rPr>
          <w:rFonts w:ascii="MinionPro-Regular" w:hAnsi="MinionPro-Regular"/>
          <w:sz w:val="20"/>
          <w:szCs w:val="24"/>
          <w:lang w:val="es-ES_tradnl"/>
        </w:rPr>
        <w:t xml:space="preserve">a </w:t>
      </w:r>
      <w:r w:rsidR="00D96007" w:rsidRPr="00D96007">
        <w:rPr>
          <w:rFonts w:ascii="MinionPro-Regular" w:hAnsi="MinionPro-Regular"/>
          <w:sz w:val="20"/>
          <w:szCs w:val="24"/>
          <w:lang w:val="es-ES_tradnl"/>
        </w:rPr>
        <w:t>300.543</w:t>
      </w:r>
      <w:r w:rsidRPr="00D96007">
        <w:rPr>
          <w:rFonts w:ascii="MinionPro-Regular" w:hAnsi="MinionPro-Regular"/>
          <w:sz w:val="20"/>
          <w:szCs w:val="24"/>
          <w:lang w:val="es-ES_tradnl"/>
        </w:rPr>
        <w:t>.</w:t>
      </w:r>
      <w:r w:rsidR="00D96007" w:rsidRPr="00D96007">
        <w:rPr>
          <w:rFonts w:ascii="MinionPro-Regular" w:hAnsi="MinionPro-Regular"/>
          <w:sz w:val="20"/>
          <w:szCs w:val="24"/>
          <w:lang w:val="es-ES_tradnl"/>
        </w:rPr>
        <w:t>015</w:t>
      </w:r>
      <w:r>
        <w:rPr>
          <w:rFonts w:ascii="MinionPro-Regular" w:hAnsi="MinionPro-Regular"/>
          <w:sz w:val="20"/>
          <w:szCs w:val="24"/>
          <w:lang w:val="es-ES_tradnl"/>
        </w:rPr>
        <w:t xml:space="preserve"> euros. En la segunda columna, aparecen las ayudas de la administración pública que no implican salida de efectivo, igual a 204.815.193 euros.</w:t>
      </w:r>
    </w:p>
    <w:p w:rsidR="00E2336B" w:rsidRDefault="00E2336B" w:rsidP="00835047">
      <w:pPr>
        <w:pStyle w:val="Textoindependiente"/>
      </w:pPr>
    </w:p>
    <w:p w:rsidR="0019098F" w:rsidRDefault="0019098F" w:rsidP="00835047">
      <w:pPr>
        <w:pStyle w:val="Textoindependiente"/>
      </w:pPr>
    </w:p>
    <w:p w:rsidR="00D96007" w:rsidRDefault="00D96007" w:rsidP="00835047">
      <w:pPr>
        <w:pStyle w:val="Textoindependiente"/>
      </w:pPr>
    </w:p>
    <w:p w:rsidR="00D96007" w:rsidRDefault="00D96007" w:rsidP="00835047">
      <w:pPr>
        <w:pStyle w:val="Textoindependiente"/>
      </w:pPr>
    </w:p>
    <w:p w:rsidR="00D96007" w:rsidRDefault="00D96007" w:rsidP="00835047">
      <w:pPr>
        <w:pStyle w:val="Textoindependiente"/>
      </w:pPr>
    </w:p>
    <w:p w:rsidR="00D96007" w:rsidRDefault="00D96007" w:rsidP="00835047">
      <w:pPr>
        <w:pStyle w:val="Textoindependiente"/>
      </w:pPr>
    </w:p>
    <w:p w:rsidR="00D96007" w:rsidRDefault="00D96007" w:rsidP="00835047">
      <w:pPr>
        <w:pStyle w:val="Textoindependiente"/>
      </w:pPr>
    </w:p>
    <w:p w:rsidR="00D96007" w:rsidRDefault="00D96007" w:rsidP="00835047">
      <w:pPr>
        <w:pStyle w:val="Textoindependiente"/>
      </w:pPr>
    </w:p>
    <w:p w:rsidR="00D96007" w:rsidRDefault="00D96007" w:rsidP="00835047">
      <w:pPr>
        <w:pStyle w:val="Textoindependiente"/>
      </w:pPr>
    </w:p>
    <w:p w:rsidR="009B79F2" w:rsidRDefault="009B79F2" w:rsidP="00835047">
      <w:pPr>
        <w:pStyle w:val="Textoindependiente"/>
      </w:pPr>
    </w:p>
    <w:p w:rsidR="009B79F2" w:rsidRDefault="009B79F2" w:rsidP="00835047">
      <w:pPr>
        <w:pStyle w:val="Textoindependiente"/>
      </w:pPr>
    </w:p>
    <w:p w:rsidR="00D96007" w:rsidRDefault="00D96007" w:rsidP="00835047">
      <w:pPr>
        <w:pStyle w:val="Textoindependiente"/>
      </w:pPr>
    </w:p>
    <w:p w:rsidR="00D96007" w:rsidRDefault="00D96007" w:rsidP="00835047">
      <w:pPr>
        <w:pStyle w:val="Textoindependiente"/>
      </w:pPr>
    </w:p>
    <w:p w:rsidR="00E2336B" w:rsidRPr="00807944" w:rsidRDefault="00E2336B" w:rsidP="0007541A">
      <w:pPr>
        <w:pStyle w:val="Ttulo3"/>
        <w:numPr>
          <w:ilvl w:val="2"/>
          <w:numId w:val="3"/>
        </w:numPr>
      </w:pPr>
      <w:bookmarkStart w:id="452" w:name="_Toc352773596"/>
      <w:r w:rsidRPr="00AD59F1">
        <w:lastRenderedPageBreak/>
        <w:t xml:space="preserve">Si comparamos </w:t>
      </w:r>
      <w:r>
        <w:t xml:space="preserve">todos los conceptos, los centros especiales de empleo </w:t>
      </w:r>
      <w:r w:rsidRPr="00807944">
        <w:t xml:space="preserve">retornan </w:t>
      </w:r>
      <w:r w:rsidR="00C60A7D" w:rsidRPr="00807944">
        <w:t>1,</w:t>
      </w:r>
      <w:r w:rsidR="000149AA" w:rsidRPr="00807944">
        <w:t>44</w:t>
      </w:r>
      <w:r w:rsidRPr="00807944">
        <w:t xml:space="preserve"> euros por cada euro que perciben de la administración pública</w:t>
      </w:r>
      <w:bookmarkEnd w:id="452"/>
    </w:p>
    <w:p w:rsidR="0019098F" w:rsidRDefault="0019098F" w:rsidP="00890FE5">
      <w:pPr>
        <w:autoSpaceDE w:val="0"/>
        <w:autoSpaceDN w:val="0"/>
        <w:spacing w:line="360" w:lineRule="auto"/>
        <w:jc w:val="both"/>
        <w:rPr>
          <w:rFonts w:ascii="MinionPro-Regular" w:hAnsi="MinionPro-Regular"/>
          <w:sz w:val="24"/>
          <w:szCs w:val="24"/>
        </w:rPr>
      </w:pPr>
    </w:p>
    <w:p w:rsidR="00E2336B" w:rsidRDefault="00E2336B" w:rsidP="00A56F9C">
      <w:pPr>
        <w:pBdr>
          <w:top w:val="single" w:sz="4" w:space="1" w:color="auto"/>
        </w:pBdr>
        <w:autoSpaceDE w:val="0"/>
        <w:autoSpaceDN w:val="0"/>
        <w:spacing w:line="360" w:lineRule="auto"/>
        <w:jc w:val="both"/>
        <w:rPr>
          <w:rFonts w:ascii="MinionPro-Regular" w:hAnsi="MinionPro-Regular"/>
          <w:color w:val="FF0000"/>
          <w:sz w:val="20"/>
          <w:szCs w:val="24"/>
        </w:rPr>
      </w:pPr>
      <w:r w:rsidRPr="00A56F9C">
        <w:rPr>
          <w:rFonts w:ascii="MinionPro-Regular" w:hAnsi="MinionPro-Regular"/>
          <w:sz w:val="20"/>
          <w:szCs w:val="24"/>
        </w:rPr>
        <w:t xml:space="preserve">Retorno </w:t>
      </w:r>
      <w:r>
        <w:rPr>
          <w:rFonts w:ascii="MinionPro-Regular" w:hAnsi="MinionPro-Regular"/>
          <w:sz w:val="20"/>
          <w:szCs w:val="24"/>
        </w:rPr>
        <w:t xml:space="preserve">de los centros especiales de empleo </w:t>
      </w:r>
      <w:r w:rsidRPr="00A56F9C">
        <w:rPr>
          <w:rFonts w:ascii="MinionPro-Regular" w:hAnsi="MinionPro-Regular"/>
          <w:sz w:val="20"/>
          <w:szCs w:val="24"/>
        </w:rPr>
        <w:t>y ayudas</w:t>
      </w:r>
      <w:r>
        <w:rPr>
          <w:rFonts w:ascii="MinionPro-Regular" w:hAnsi="MinionPro-Regular"/>
          <w:sz w:val="20"/>
          <w:szCs w:val="24"/>
        </w:rPr>
        <w:t xml:space="preserve"> de la administración</w:t>
      </w:r>
      <w:r w:rsidRPr="00A56F9C">
        <w:rPr>
          <w:rFonts w:ascii="MinionPro-Regular" w:hAnsi="MinionPro-Regular"/>
          <w:sz w:val="20"/>
          <w:szCs w:val="24"/>
        </w:rPr>
        <w:t xml:space="preserve"> totales</w:t>
      </w:r>
      <w:r>
        <w:rPr>
          <w:rFonts w:ascii="MinionPro-Regular" w:hAnsi="MinionPro-Regular"/>
          <w:sz w:val="20"/>
          <w:szCs w:val="24"/>
        </w:rPr>
        <w:t>.</w:t>
      </w:r>
    </w:p>
    <w:p w:rsidR="0019098F" w:rsidRPr="00A635D1" w:rsidRDefault="00A635D1" w:rsidP="00D2049F">
      <w:pPr>
        <w:pBdr>
          <w:top w:val="single" w:sz="4" w:space="1" w:color="auto"/>
        </w:pBdr>
        <w:autoSpaceDE w:val="0"/>
        <w:autoSpaceDN w:val="0"/>
        <w:spacing w:line="360" w:lineRule="auto"/>
        <w:jc w:val="both"/>
        <w:rPr>
          <w:rFonts w:ascii="MinionPro-Regular" w:hAnsi="MinionPro-Regular"/>
          <w:sz w:val="20"/>
          <w:szCs w:val="24"/>
        </w:rPr>
      </w:pPr>
      <w:r w:rsidRPr="00A635D1">
        <w:rPr>
          <w:rFonts w:ascii="MinionPro-Regular" w:hAnsi="MinionPro-Regular"/>
          <w:noProof/>
          <w:sz w:val="20"/>
          <w:szCs w:val="24"/>
          <w:lang w:eastAsia="es-ES"/>
        </w:rPr>
        <w:drawing>
          <wp:inline distT="0" distB="0" distL="0" distR="0">
            <wp:extent cx="5400675" cy="3216695"/>
            <wp:effectExtent l="19050" t="0" r="0" b="0"/>
            <wp:docPr id="113" name="Object 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424936" cy="5018494"/>
                      <a:chOff x="1331640" y="476672"/>
                      <a:chExt cx="8424936" cy="5018494"/>
                    </a:xfrm>
                  </a:grpSpPr>
                  <a:grpSp>
                    <a:nvGrpSpPr>
                      <a:cNvPr id="36" name="Group 35"/>
                      <a:cNvGrpSpPr/>
                    </a:nvGrpSpPr>
                    <a:grpSpPr>
                      <a:xfrm>
                        <a:off x="1331640" y="476672"/>
                        <a:ext cx="8424936" cy="5018494"/>
                        <a:chOff x="1331640" y="476672"/>
                        <a:chExt cx="8424936" cy="5018494"/>
                      </a:xfrm>
                    </a:grpSpPr>
                    <a:sp>
                      <a:nvSpPr>
                        <a:cNvPr id="5" name="Rectangle 4"/>
                        <a:cNvSpPr/>
                      </a:nvSpPr>
                      <a:spPr>
                        <a:xfrm>
                          <a:off x="1979712" y="4941168"/>
                          <a:ext cx="2304256" cy="553998"/>
                        </a:xfrm>
                        <a:prstGeom prst="rect">
                          <a:avLst/>
                        </a:prstGeom>
                      </a:spPr>
                      <a:txSp>
                        <a:txBody>
                          <a:bodyPr wrap="square">
                            <a:spAutoFit/>
                          </a:bodyPr>
                          <a:lstStyle>
                            <a:defPPr>
                              <a:defRPr lang="es-E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s-ES" sz="1000" dirty="0" smtClean="0">
                                <a:latin typeface="MinionPro-Regular"/>
                              </a:rPr>
                              <a:t>Estimación total de los retornos que suponen  los centros especiales de empleo</a:t>
                            </a:r>
                            <a:endParaRPr lang="es-ES" sz="1000" dirty="0">
                              <a:latin typeface="MinionPro-Regular"/>
                            </a:endParaRPr>
                          </a:p>
                        </a:txBody>
                        <a:useSpRect/>
                      </a:txSp>
                    </a:sp>
                    <a:sp>
                      <a:nvSpPr>
                        <a:cNvPr id="6" name="Rectangle 5"/>
                        <a:cNvSpPr/>
                      </a:nvSpPr>
                      <a:spPr>
                        <a:xfrm>
                          <a:off x="4355976" y="4941168"/>
                          <a:ext cx="1440160" cy="400110"/>
                        </a:xfrm>
                        <a:prstGeom prst="rect">
                          <a:avLst/>
                        </a:prstGeom>
                      </a:spPr>
                      <a:txSp>
                        <a:txBody>
                          <a:bodyPr wrap="square">
                            <a:spAutoFit/>
                          </a:bodyPr>
                          <a:lstStyle>
                            <a:defPPr>
                              <a:defRPr lang="es-E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s-ES" sz="1000" dirty="0" smtClean="0">
                                <a:latin typeface="MinionPro-Regular"/>
                              </a:rPr>
                              <a:t>Ayudas totales de la administración pública</a:t>
                            </a:r>
                            <a:endParaRPr lang="es-ES" sz="1000" dirty="0">
                              <a:latin typeface="MinionPro-Regular"/>
                            </a:endParaRPr>
                          </a:p>
                        </a:txBody>
                        <a:useSpRect/>
                      </a:txSp>
                    </a:sp>
                    <a:cxnSp>
                      <a:nvCxnSpPr>
                        <a:cNvPr id="8" name="Straight Connector 7"/>
                        <a:cNvCxnSpPr/>
                      </a:nvCxnSpPr>
                      <a:spPr>
                        <a:xfrm>
                          <a:off x="2123728" y="4869160"/>
                          <a:ext cx="4248472" cy="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sp>
                      <a:nvSpPr>
                        <a:cNvPr id="9" name="TextBox 1"/>
                        <a:cNvSpPr txBox="1"/>
                      </a:nvSpPr>
                      <a:spPr>
                        <a:xfrm>
                          <a:off x="2555776" y="836712"/>
                          <a:ext cx="936104" cy="216024"/>
                        </a:xfrm>
                        <a:prstGeom prst="rect">
                          <a:avLst/>
                        </a:prstGeom>
                      </a:spPr>
                      <a:txSp>
                        <a:txBody>
                          <a:bodyPr wrap="square" rtlCol="0"/>
                          <a:lstStyle>
                            <a:defPPr>
                              <a:defRPr lang="es-E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s-ES_tradnl" sz="1000" dirty="0" smtClean="0">
                                <a:latin typeface="MinionPro-Regular"/>
                              </a:rPr>
                              <a:t>760</a:t>
                            </a:r>
                            <a:r>
                              <a:rPr lang="es-ES_tradnl" sz="1000" dirty="0" smtClean="0">
                                <a:latin typeface="MinionPro-Regular"/>
                              </a:rPr>
                              <a:t>.130.661</a:t>
                            </a:r>
                            <a:endParaRPr lang="en-US" sz="1000" dirty="0">
                              <a:latin typeface="MinionPro-Regular"/>
                            </a:endParaRPr>
                          </a:p>
                        </a:txBody>
                        <a:useSpRect/>
                      </a:txSp>
                    </a:sp>
                    <a:sp>
                      <a:nvSpPr>
                        <a:cNvPr id="10" name="Rectangle 9"/>
                        <a:cNvSpPr/>
                      </a:nvSpPr>
                      <a:spPr>
                        <a:xfrm>
                          <a:off x="6722517" y="1988840"/>
                          <a:ext cx="1662635" cy="276999"/>
                        </a:xfrm>
                        <a:prstGeom prst="rect">
                          <a:avLst/>
                        </a:prstGeom>
                      </a:spPr>
                      <a:txSp>
                        <a:txBody>
                          <a:bodyPr wrap="none">
                            <a:spAutoFit/>
                          </a:bodyPr>
                          <a:lstStyle>
                            <a:defPPr>
                              <a:defRPr lang="es-E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s-ES" sz="1200" dirty="0" smtClean="0"/>
                              <a:t>Pensiones contributivas</a:t>
                            </a:r>
                            <a:endParaRPr lang="es-ES" sz="1200" dirty="0"/>
                          </a:p>
                        </a:txBody>
                        <a:useSpRect/>
                      </a:txSp>
                    </a:sp>
                    <a:sp>
                      <a:nvSpPr>
                        <a:cNvPr id="11" name="Rectangle 10"/>
                        <a:cNvSpPr/>
                      </a:nvSpPr>
                      <a:spPr>
                        <a:xfrm>
                          <a:off x="6586325" y="2092991"/>
                          <a:ext cx="144016" cy="144016"/>
                        </a:xfrm>
                        <a:prstGeom prst="rect">
                          <a:avLst/>
                        </a:prstGeom>
                        <a:solidFill>
                          <a:srgbClr val="8099C6"/>
                        </a:solidFill>
                        <a:ln>
                          <a:noFill/>
                        </a:ln>
                      </a:spPr>
                      <a:txSp>
                        <a:txBody>
                          <a:bodyPr rtlCol="0" anchor="ctr"/>
                          <a:lstStyle>
                            <a:defPPr>
                              <a:defRPr lang="es-E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s-ES"/>
                          </a:p>
                        </a:txBody>
                        <a:useSpRect/>
                      </a:txSp>
                      <a:style>
                        <a:lnRef idx="2">
                          <a:schemeClr val="accent1">
                            <a:shade val="50000"/>
                          </a:schemeClr>
                        </a:lnRef>
                        <a:fillRef idx="1">
                          <a:schemeClr val="accent1"/>
                        </a:fillRef>
                        <a:effectRef idx="0">
                          <a:schemeClr val="accent1"/>
                        </a:effectRef>
                        <a:fontRef idx="minor">
                          <a:schemeClr val="lt1"/>
                        </a:fontRef>
                      </a:style>
                    </a:sp>
                    <a:sp>
                      <a:nvSpPr>
                        <a:cNvPr id="12" name="Rectangle 11"/>
                        <a:cNvSpPr/>
                      </a:nvSpPr>
                      <a:spPr>
                        <a:xfrm>
                          <a:off x="6586325" y="1443815"/>
                          <a:ext cx="144016" cy="144016"/>
                        </a:xfrm>
                        <a:prstGeom prst="rect">
                          <a:avLst/>
                        </a:prstGeom>
                        <a:solidFill>
                          <a:schemeClr val="tx2">
                            <a:lumMod val="20000"/>
                            <a:lumOff val="80000"/>
                          </a:schemeClr>
                        </a:solidFill>
                        <a:ln>
                          <a:noFill/>
                        </a:ln>
                      </a:spPr>
                      <a:txSp>
                        <a:txBody>
                          <a:bodyPr rtlCol="0" anchor="ctr"/>
                          <a:lstStyle>
                            <a:defPPr>
                              <a:defRPr lang="es-E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s-ES"/>
                          </a:p>
                        </a:txBody>
                        <a:useSpRect/>
                      </a:txSp>
                      <a:style>
                        <a:lnRef idx="2">
                          <a:schemeClr val="accent1">
                            <a:shade val="50000"/>
                          </a:schemeClr>
                        </a:lnRef>
                        <a:fillRef idx="1">
                          <a:schemeClr val="accent1"/>
                        </a:fillRef>
                        <a:effectRef idx="0">
                          <a:schemeClr val="accent1"/>
                        </a:effectRef>
                        <a:fontRef idx="minor">
                          <a:schemeClr val="lt1"/>
                        </a:fontRef>
                      </a:style>
                    </a:sp>
                    <a:sp>
                      <a:nvSpPr>
                        <a:cNvPr id="13" name="Rectangle 12"/>
                        <a:cNvSpPr/>
                      </a:nvSpPr>
                      <a:spPr>
                        <a:xfrm>
                          <a:off x="6722517" y="2359913"/>
                          <a:ext cx="2250504" cy="276999"/>
                        </a:xfrm>
                        <a:prstGeom prst="rect">
                          <a:avLst/>
                        </a:prstGeom>
                      </a:spPr>
                      <a:txSp>
                        <a:txBody>
                          <a:bodyPr wrap="square">
                            <a:spAutoFit/>
                          </a:bodyPr>
                          <a:lstStyle>
                            <a:defPPr>
                              <a:defRPr lang="es-E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s-ES" sz="1200" dirty="0" smtClean="0"/>
                              <a:t>Ahorro sanitario</a:t>
                            </a:r>
                            <a:endParaRPr lang="es-ES" sz="1200" dirty="0"/>
                          </a:p>
                        </a:txBody>
                        <a:useSpRect/>
                      </a:txSp>
                    </a:sp>
                    <a:sp>
                      <a:nvSpPr>
                        <a:cNvPr id="14" name="Rectangle 13"/>
                        <a:cNvSpPr/>
                      </a:nvSpPr>
                      <a:spPr>
                        <a:xfrm>
                          <a:off x="6722517" y="1340768"/>
                          <a:ext cx="2592288" cy="276999"/>
                        </a:xfrm>
                        <a:prstGeom prst="rect">
                          <a:avLst/>
                        </a:prstGeom>
                      </a:spPr>
                      <a:txSp>
                        <a:txBody>
                          <a:bodyPr wrap="square">
                            <a:spAutoFit/>
                          </a:bodyPr>
                          <a:lstStyle>
                            <a:defPPr>
                              <a:defRPr lang="es-E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s-ES" sz="1200" dirty="0" smtClean="0"/>
                              <a:t>LISMI</a:t>
                            </a:r>
                            <a:endParaRPr lang="es-ES" sz="1200" dirty="0"/>
                          </a:p>
                        </a:txBody>
                        <a:useSpRect/>
                      </a:txSp>
                    </a:sp>
                    <a:sp>
                      <a:nvSpPr>
                        <a:cNvPr id="15" name="Rectangle 14"/>
                        <a:cNvSpPr/>
                      </a:nvSpPr>
                      <a:spPr>
                        <a:xfrm>
                          <a:off x="6586325" y="2417579"/>
                          <a:ext cx="144016" cy="144016"/>
                        </a:xfrm>
                        <a:prstGeom prst="rect">
                          <a:avLst/>
                        </a:prstGeom>
                        <a:solidFill>
                          <a:srgbClr val="4066AA"/>
                        </a:solidFill>
                        <a:ln>
                          <a:noFill/>
                        </a:ln>
                      </a:spPr>
                      <a:txSp>
                        <a:txBody>
                          <a:bodyPr rtlCol="0" anchor="ctr"/>
                          <a:lstStyle>
                            <a:defPPr>
                              <a:defRPr lang="es-E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s-ES"/>
                          </a:p>
                        </a:txBody>
                        <a:useSpRect/>
                      </a:txSp>
                      <a:style>
                        <a:lnRef idx="2">
                          <a:schemeClr val="accent1">
                            <a:shade val="50000"/>
                          </a:schemeClr>
                        </a:lnRef>
                        <a:fillRef idx="1">
                          <a:schemeClr val="accent1"/>
                        </a:fillRef>
                        <a:effectRef idx="0">
                          <a:schemeClr val="accent1"/>
                        </a:effectRef>
                        <a:fontRef idx="minor">
                          <a:schemeClr val="lt1"/>
                        </a:fontRef>
                      </a:style>
                    </a:sp>
                    <a:sp>
                      <a:nvSpPr>
                        <a:cNvPr id="16" name="Rectangle 15"/>
                        <a:cNvSpPr/>
                      </a:nvSpPr>
                      <a:spPr>
                        <a:xfrm>
                          <a:off x="6722517" y="1711841"/>
                          <a:ext cx="1859805" cy="276999"/>
                        </a:xfrm>
                        <a:prstGeom prst="rect">
                          <a:avLst/>
                        </a:prstGeom>
                      </a:spPr>
                      <a:txSp>
                        <a:txBody>
                          <a:bodyPr wrap="none">
                            <a:spAutoFit/>
                          </a:bodyPr>
                          <a:lstStyle>
                            <a:defPPr>
                              <a:defRPr lang="es-E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s-ES" sz="1200" dirty="0" smtClean="0"/>
                              <a:t>Pensiones no contributivas</a:t>
                            </a:r>
                            <a:endParaRPr lang="es-ES" sz="1200" dirty="0"/>
                          </a:p>
                        </a:txBody>
                        <a:useSpRect/>
                      </a:txSp>
                    </a:sp>
                    <a:sp>
                      <a:nvSpPr>
                        <a:cNvPr id="17" name="Rectangle 16"/>
                        <a:cNvSpPr/>
                      </a:nvSpPr>
                      <a:spPr>
                        <a:xfrm>
                          <a:off x="6586325" y="1768403"/>
                          <a:ext cx="144016" cy="144016"/>
                        </a:xfrm>
                        <a:prstGeom prst="rect">
                          <a:avLst/>
                        </a:prstGeom>
                        <a:solidFill>
                          <a:srgbClr val="BFCCE3"/>
                        </a:solidFill>
                        <a:ln>
                          <a:noFill/>
                        </a:ln>
                      </a:spPr>
                      <a:txSp>
                        <a:txBody>
                          <a:bodyPr rtlCol="0" anchor="ctr"/>
                          <a:lstStyle>
                            <a:defPPr>
                              <a:defRPr lang="es-E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s-ES"/>
                          </a:p>
                        </a:txBody>
                        <a:useSpRect/>
                      </a:txSp>
                      <a:style>
                        <a:lnRef idx="2">
                          <a:schemeClr val="accent1">
                            <a:shade val="50000"/>
                          </a:schemeClr>
                        </a:lnRef>
                        <a:fillRef idx="1">
                          <a:schemeClr val="accent1"/>
                        </a:fillRef>
                        <a:effectRef idx="0">
                          <a:schemeClr val="accent1"/>
                        </a:effectRef>
                        <a:fontRef idx="minor">
                          <a:schemeClr val="lt1"/>
                        </a:fontRef>
                      </a:style>
                    </a:sp>
                    <a:sp>
                      <a:nvSpPr>
                        <a:cNvPr id="18" name="Rectangle 17"/>
                        <a:cNvSpPr/>
                      </a:nvSpPr>
                      <a:spPr>
                        <a:xfrm>
                          <a:off x="6586325" y="4437112"/>
                          <a:ext cx="144016" cy="144016"/>
                        </a:xfrm>
                        <a:prstGeom prst="rect">
                          <a:avLst/>
                        </a:prstGeom>
                        <a:solidFill>
                          <a:srgbClr val="7AB800"/>
                        </a:solidFill>
                        <a:ln>
                          <a:noFill/>
                        </a:ln>
                      </a:spPr>
                      <a:txSp>
                        <a:txBody>
                          <a:bodyPr rtlCol="0" anchor="ctr"/>
                          <a:lstStyle>
                            <a:defPPr>
                              <a:defRPr lang="es-E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s-ES"/>
                          </a:p>
                        </a:txBody>
                        <a:useSpRect/>
                      </a:txSp>
                      <a:style>
                        <a:lnRef idx="2">
                          <a:schemeClr val="accent1">
                            <a:shade val="50000"/>
                          </a:schemeClr>
                        </a:lnRef>
                        <a:fillRef idx="1">
                          <a:schemeClr val="accent1"/>
                        </a:fillRef>
                        <a:effectRef idx="0">
                          <a:schemeClr val="accent1"/>
                        </a:effectRef>
                        <a:fontRef idx="minor">
                          <a:schemeClr val="lt1"/>
                        </a:fontRef>
                      </a:style>
                    </a:sp>
                    <a:sp>
                      <a:nvSpPr>
                        <a:cNvPr id="19" name="Rectangle 18"/>
                        <a:cNvSpPr/>
                      </a:nvSpPr>
                      <a:spPr>
                        <a:xfrm>
                          <a:off x="6732240" y="4335487"/>
                          <a:ext cx="2592288" cy="461665"/>
                        </a:xfrm>
                        <a:prstGeom prst="rect">
                          <a:avLst/>
                        </a:prstGeom>
                      </a:spPr>
                      <a:txSp>
                        <a:txBody>
                          <a:bodyPr wrap="square">
                            <a:spAutoFit/>
                          </a:bodyPr>
                          <a:lstStyle>
                            <a:defPPr>
                              <a:defRPr lang="es-E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s-ES" sz="1200" dirty="0" smtClean="0"/>
                              <a:t>Ayudas de la administración que implican salida de efectivo</a:t>
                            </a:r>
                            <a:endParaRPr lang="es-ES" sz="1200" dirty="0"/>
                          </a:p>
                        </a:txBody>
                        <a:useSpRect/>
                      </a:txSp>
                    </a:sp>
                    <a:sp>
                      <a:nvSpPr>
                        <a:cNvPr id="22" name="Rectangle 21"/>
                        <a:cNvSpPr/>
                      </a:nvSpPr>
                      <a:spPr>
                        <a:xfrm>
                          <a:off x="6719314" y="3007985"/>
                          <a:ext cx="1741118" cy="276999"/>
                        </a:xfrm>
                        <a:prstGeom prst="rect">
                          <a:avLst/>
                        </a:prstGeom>
                      </a:spPr>
                      <a:txSp>
                        <a:txBody>
                          <a:bodyPr wrap="none">
                            <a:spAutoFit/>
                          </a:bodyPr>
                          <a:lstStyle>
                            <a:defPPr>
                              <a:defRPr lang="es-E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s-ES" sz="1200" dirty="0" smtClean="0"/>
                              <a:t>Retorno derivado del IVA</a:t>
                            </a:r>
                            <a:endParaRPr lang="es-ES" sz="1200" dirty="0"/>
                          </a:p>
                        </a:txBody>
                        <a:useSpRect/>
                      </a:txSp>
                    </a:sp>
                    <a:sp>
                      <a:nvSpPr>
                        <a:cNvPr id="23" name="Rectangle 22"/>
                        <a:cNvSpPr/>
                      </a:nvSpPr>
                      <a:spPr>
                        <a:xfrm>
                          <a:off x="6586325" y="3066755"/>
                          <a:ext cx="144016" cy="144016"/>
                        </a:xfrm>
                        <a:prstGeom prst="rect">
                          <a:avLst/>
                        </a:prstGeom>
                        <a:solidFill>
                          <a:srgbClr val="B6646B"/>
                        </a:solidFill>
                        <a:ln>
                          <a:noFill/>
                        </a:ln>
                      </a:spPr>
                      <a:txSp>
                        <a:txBody>
                          <a:bodyPr rtlCol="0" anchor="ctr"/>
                          <a:lstStyle>
                            <a:defPPr>
                              <a:defRPr lang="es-E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s-ES"/>
                          </a:p>
                        </a:txBody>
                        <a:useSpRect/>
                      </a:txSp>
                      <a:style>
                        <a:lnRef idx="2">
                          <a:schemeClr val="accent1">
                            <a:shade val="50000"/>
                          </a:schemeClr>
                        </a:lnRef>
                        <a:fillRef idx="1">
                          <a:schemeClr val="accent1"/>
                        </a:fillRef>
                        <a:effectRef idx="0">
                          <a:schemeClr val="accent1"/>
                        </a:effectRef>
                        <a:fontRef idx="minor">
                          <a:schemeClr val="lt1"/>
                        </a:fontRef>
                      </a:style>
                    </a:sp>
                    <a:sp>
                      <a:nvSpPr>
                        <a:cNvPr id="24" name="Rectangle 23"/>
                        <a:cNvSpPr/>
                      </a:nvSpPr>
                      <a:spPr>
                        <a:xfrm>
                          <a:off x="6732240" y="3656057"/>
                          <a:ext cx="2250504" cy="276999"/>
                        </a:xfrm>
                        <a:prstGeom prst="rect">
                          <a:avLst/>
                        </a:prstGeom>
                      </a:spPr>
                      <a:txSp>
                        <a:txBody>
                          <a:bodyPr wrap="square">
                            <a:spAutoFit/>
                          </a:bodyPr>
                          <a:lstStyle>
                            <a:defPPr>
                              <a:defRPr lang="es-E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s-ES" sz="1200" dirty="0" smtClean="0"/>
                              <a:t>Retorno derivado del IRPF</a:t>
                            </a:r>
                            <a:endParaRPr lang="es-ES" sz="1200" dirty="0"/>
                          </a:p>
                        </a:txBody>
                        <a:useSpRect/>
                      </a:txSp>
                    </a:sp>
                    <a:sp>
                      <a:nvSpPr>
                        <a:cNvPr id="25" name="Rectangle 24"/>
                        <a:cNvSpPr/>
                      </a:nvSpPr>
                      <a:spPr>
                        <a:xfrm>
                          <a:off x="6586325" y="3715931"/>
                          <a:ext cx="144016" cy="144016"/>
                        </a:xfrm>
                        <a:prstGeom prst="rect">
                          <a:avLst/>
                        </a:prstGeom>
                        <a:solidFill>
                          <a:srgbClr val="409DAD"/>
                        </a:solidFill>
                        <a:ln>
                          <a:noFill/>
                        </a:ln>
                      </a:spPr>
                      <a:txSp>
                        <a:txBody>
                          <a:bodyPr rtlCol="0" anchor="ctr"/>
                          <a:lstStyle>
                            <a:defPPr>
                              <a:defRPr lang="es-E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s-ES"/>
                          </a:p>
                        </a:txBody>
                        <a:useSpRect/>
                      </a:txSp>
                      <a:style>
                        <a:lnRef idx="2">
                          <a:schemeClr val="accent1">
                            <a:shade val="50000"/>
                          </a:schemeClr>
                        </a:lnRef>
                        <a:fillRef idx="1">
                          <a:schemeClr val="accent1"/>
                        </a:fillRef>
                        <a:effectRef idx="0">
                          <a:schemeClr val="accent1"/>
                        </a:effectRef>
                        <a:fontRef idx="minor">
                          <a:schemeClr val="lt1"/>
                        </a:fontRef>
                      </a:style>
                    </a:sp>
                    <a:sp>
                      <a:nvSpPr>
                        <a:cNvPr id="26" name="Rectangle 25"/>
                        <a:cNvSpPr/>
                      </a:nvSpPr>
                      <a:spPr>
                        <a:xfrm>
                          <a:off x="6716192" y="2647945"/>
                          <a:ext cx="3040384" cy="276999"/>
                        </a:xfrm>
                        <a:prstGeom prst="rect">
                          <a:avLst/>
                        </a:prstGeom>
                      </a:spPr>
                      <a:txSp>
                        <a:txBody>
                          <a:bodyPr wrap="none">
                            <a:spAutoFit/>
                          </a:bodyPr>
                          <a:lstStyle>
                            <a:defPPr>
                              <a:defRPr lang="es-E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s-ES" sz="1200" dirty="0" smtClean="0"/>
                              <a:t>Retorno derivado del impuesto de sociedades</a:t>
                            </a:r>
                            <a:endParaRPr lang="es-ES" sz="1200" dirty="0"/>
                          </a:p>
                        </a:txBody>
                        <a:useSpRect/>
                      </a:txSp>
                    </a:sp>
                    <a:sp>
                      <a:nvSpPr>
                        <a:cNvPr id="27" name="Rectangle 26"/>
                        <a:cNvSpPr/>
                      </a:nvSpPr>
                      <a:spPr>
                        <a:xfrm>
                          <a:off x="6586325" y="2742167"/>
                          <a:ext cx="144016" cy="144016"/>
                        </a:xfrm>
                        <a:prstGeom prst="rect">
                          <a:avLst/>
                        </a:prstGeom>
                        <a:solidFill>
                          <a:srgbClr val="747678"/>
                        </a:solidFill>
                        <a:ln>
                          <a:noFill/>
                        </a:ln>
                      </a:spPr>
                      <a:txSp>
                        <a:txBody>
                          <a:bodyPr rtlCol="0" anchor="ctr"/>
                          <a:lstStyle>
                            <a:defPPr>
                              <a:defRPr lang="es-E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s-ES"/>
                          </a:p>
                        </a:txBody>
                        <a:useSpRect/>
                      </a:txSp>
                      <a:style>
                        <a:lnRef idx="2">
                          <a:schemeClr val="accent1">
                            <a:shade val="50000"/>
                          </a:schemeClr>
                        </a:lnRef>
                        <a:fillRef idx="1">
                          <a:schemeClr val="accent1"/>
                        </a:fillRef>
                        <a:effectRef idx="0">
                          <a:schemeClr val="accent1"/>
                        </a:effectRef>
                        <a:fontRef idx="minor">
                          <a:schemeClr val="lt1"/>
                        </a:fontRef>
                      </a:style>
                    </a:sp>
                    <a:sp>
                      <a:nvSpPr>
                        <a:cNvPr id="28" name="Rectangle 27"/>
                        <a:cNvSpPr/>
                      </a:nvSpPr>
                      <a:spPr>
                        <a:xfrm>
                          <a:off x="6586325" y="4040519"/>
                          <a:ext cx="144016" cy="144016"/>
                        </a:xfrm>
                        <a:prstGeom prst="rect">
                          <a:avLst/>
                        </a:prstGeom>
                        <a:solidFill>
                          <a:srgbClr val="9BCA40"/>
                        </a:solidFill>
                        <a:ln>
                          <a:noFill/>
                        </a:ln>
                      </a:spPr>
                      <a:txSp>
                        <a:txBody>
                          <a:bodyPr rtlCol="0" anchor="ctr"/>
                          <a:lstStyle>
                            <a:defPPr>
                              <a:defRPr lang="es-E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s-ES"/>
                          </a:p>
                        </a:txBody>
                        <a:useSpRect/>
                      </a:txSp>
                      <a:style>
                        <a:lnRef idx="2">
                          <a:schemeClr val="accent1">
                            <a:shade val="50000"/>
                          </a:schemeClr>
                        </a:lnRef>
                        <a:fillRef idx="1">
                          <a:schemeClr val="accent1"/>
                        </a:fillRef>
                        <a:effectRef idx="0">
                          <a:schemeClr val="accent1"/>
                        </a:effectRef>
                        <a:fontRef idx="minor">
                          <a:schemeClr val="lt1"/>
                        </a:fontRef>
                      </a:style>
                    </a:sp>
                    <a:sp>
                      <a:nvSpPr>
                        <a:cNvPr id="29" name="Rectangle 28"/>
                        <a:cNvSpPr/>
                      </a:nvSpPr>
                      <a:spPr>
                        <a:xfrm>
                          <a:off x="6713389" y="3903439"/>
                          <a:ext cx="2592288" cy="461665"/>
                        </a:xfrm>
                        <a:prstGeom prst="rect">
                          <a:avLst/>
                        </a:prstGeom>
                      </a:spPr>
                      <a:txSp>
                        <a:txBody>
                          <a:bodyPr wrap="square">
                            <a:spAutoFit/>
                          </a:bodyPr>
                          <a:lstStyle>
                            <a:defPPr>
                              <a:defRPr lang="es-E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s-ES" sz="1200" dirty="0" smtClean="0"/>
                              <a:t>Ayudas de la administración que no implican salida de efectivo</a:t>
                            </a:r>
                            <a:endParaRPr lang="es-ES" sz="1200" dirty="0"/>
                          </a:p>
                        </a:txBody>
                        <a:useSpRect/>
                      </a:txSp>
                    </a:sp>
                    <a:sp>
                      <a:nvSpPr>
                        <a:cNvPr id="30" name="Rectangle 29"/>
                        <a:cNvSpPr/>
                      </a:nvSpPr>
                      <a:spPr>
                        <a:xfrm>
                          <a:off x="6732240" y="3284984"/>
                          <a:ext cx="2250504" cy="276999"/>
                        </a:xfrm>
                        <a:prstGeom prst="rect">
                          <a:avLst/>
                        </a:prstGeom>
                      </a:spPr>
                      <a:txSp>
                        <a:txBody>
                          <a:bodyPr wrap="square">
                            <a:spAutoFit/>
                          </a:bodyPr>
                          <a:lstStyle>
                            <a:defPPr>
                              <a:defRPr lang="es-E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s-ES" sz="1200" dirty="0" smtClean="0"/>
                              <a:t>Retorno Seguridad Social</a:t>
                            </a:r>
                            <a:endParaRPr lang="es-ES" sz="1200" dirty="0"/>
                          </a:p>
                        </a:txBody>
                        <a:useSpRect/>
                      </a:txSp>
                    </a:sp>
                    <a:sp>
                      <a:nvSpPr>
                        <a:cNvPr id="31" name="Rectangle 30"/>
                        <a:cNvSpPr/>
                      </a:nvSpPr>
                      <a:spPr>
                        <a:xfrm>
                          <a:off x="6586325" y="3391343"/>
                          <a:ext cx="144016" cy="144016"/>
                        </a:xfrm>
                        <a:prstGeom prst="rect">
                          <a:avLst/>
                        </a:prstGeom>
                        <a:solidFill>
                          <a:srgbClr val="409DAD"/>
                        </a:solidFill>
                        <a:ln>
                          <a:noFill/>
                        </a:ln>
                      </a:spPr>
                      <a:txSp>
                        <a:txBody>
                          <a:bodyPr rtlCol="0" anchor="ctr"/>
                          <a:lstStyle>
                            <a:defPPr>
                              <a:defRPr lang="es-E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s-ES"/>
                          </a:p>
                        </a:txBody>
                        <a:useSpRect/>
                      </a:txSp>
                      <a:style>
                        <a:lnRef idx="2">
                          <a:schemeClr val="accent1">
                            <a:shade val="50000"/>
                          </a:schemeClr>
                        </a:lnRef>
                        <a:fillRef idx="1">
                          <a:schemeClr val="accent1"/>
                        </a:fillRef>
                        <a:effectRef idx="0">
                          <a:schemeClr val="accent1"/>
                        </a:effectRef>
                        <a:fontRef idx="minor">
                          <a:schemeClr val="lt1"/>
                        </a:fontRef>
                      </a:style>
                    </a:sp>
                    <a:graphicFrame>
                      <a:nvGraphicFramePr>
                        <a:cNvPr id="32" name="Chart 31"/>
                        <a:cNvGraphicFramePr/>
                      </a:nvGraphicFramePr>
                      <a:graphic>
                        <a:graphicData uri="http://schemas.openxmlformats.org/drawingml/2006/chart">
                          <c:chart xmlns:c="http://schemas.openxmlformats.org/drawingml/2006/chart" xmlns:r="http://schemas.openxmlformats.org/officeDocument/2006/relationships" r:id="rId130"/>
                        </a:graphicData>
                      </a:graphic>
                      <a:xfrm>
                        <a:off x="1331640" y="476672"/>
                        <a:ext cx="5094474" cy="4838699"/>
                      </a:xfrm>
                    </a:graphicFrame>
                    <a:sp>
                      <a:nvSpPr>
                        <a:cNvPr id="33" name="TextBox 1"/>
                        <a:cNvSpPr txBox="1"/>
                      </a:nvSpPr>
                      <a:spPr>
                        <a:xfrm>
                          <a:off x="4355976" y="1916832"/>
                          <a:ext cx="936104" cy="216024"/>
                        </a:xfrm>
                        <a:prstGeom prst="rect">
                          <a:avLst/>
                        </a:prstGeom>
                      </a:spPr>
                      <a:txSp>
                        <a:txBody>
                          <a:bodyPr wrap="square" rtlCol="0"/>
                          <a:lstStyle>
                            <a:defPPr>
                              <a:defRPr lang="es-E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s-ES_tradnl" sz="1000" dirty="0" smtClean="0">
                                <a:latin typeface="MinionPro-Regular"/>
                              </a:rPr>
                              <a:t>528.329.214</a:t>
                            </a:r>
                            <a:endParaRPr lang="en-US" sz="1000" dirty="0">
                              <a:latin typeface="MinionPro-Regular"/>
                            </a:endParaRPr>
                          </a:p>
                        </a:txBody>
                        <a:useSpRect/>
                      </a:txSp>
                    </a:sp>
                    <a:sp>
                      <a:nvSpPr>
                        <a:cNvPr id="34" name="Rectangle 33"/>
                        <a:cNvSpPr/>
                      </a:nvSpPr>
                      <a:spPr>
                        <a:xfrm>
                          <a:off x="6588224" y="1155783"/>
                          <a:ext cx="144016" cy="144016"/>
                        </a:xfrm>
                        <a:prstGeom prst="rect">
                          <a:avLst/>
                        </a:prstGeom>
                        <a:solidFill>
                          <a:srgbClr val="558ED5"/>
                        </a:solidFill>
                        <a:ln>
                          <a:noFill/>
                        </a:ln>
                      </a:spPr>
                      <a:txSp>
                        <a:txBody>
                          <a:bodyPr rtlCol="0" anchor="ctr"/>
                          <a:lstStyle>
                            <a:defPPr>
                              <a:defRPr lang="es-E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s-ES"/>
                          </a:p>
                        </a:txBody>
                        <a:useSpRect/>
                      </a:txSp>
                      <a:style>
                        <a:lnRef idx="2">
                          <a:schemeClr val="accent1">
                            <a:shade val="50000"/>
                          </a:schemeClr>
                        </a:lnRef>
                        <a:fillRef idx="1">
                          <a:schemeClr val="accent1"/>
                        </a:fillRef>
                        <a:effectRef idx="0">
                          <a:schemeClr val="accent1"/>
                        </a:effectRef>
                        <a:fontRef idx="minor">
                          <a:schemeClr val="lt1"/>
                        </a:fontRef>
                      </a:style>
                    </a:sp>
                    <a:sp>
                      <a:nvSpPr>
                        <a:cNvPr id="35" name="Rectangle 34"/>
                        <a:cNvSpPr/>
                      </a:nvSpPr>
                      <a:spPr>
                        <a:xfrm>
                          <a:off x="6724416" y="1052736"/>
                          <a:ext cx="2592288" cy="276999"/>
                        </a:xfrm>
                        <a:prstGeom prst="rect">
                          <a:avLst/>
                        </a:prstGeom>
                      </a:spPr>
                      <a:txSp>
                        <a:txBody>
                          <a:bodyPr wrap="square">
                            <a:spAutoFit/>
                          </a:bodyPr>
                          <a:lstStyle>
                            <a:defPPr>
                              <a:defRPr lang="es-E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s-ES" sz="1200" dirty="0" smtClean="0"/>
                              <a:t>Ahorro plazas ocupacionales</a:t>
                            </a:r>
                            <a:endParaRPr lang="es-ES" sz="1200" dirty="0"/>
                          </a:p>
                        </a:txBody>
                        <a:useSpRect/>
                      </a:txSp>
                    </a:sp>
                  </a:grpSp>
                </lc:lockedCanvas>
              </a:graphicData>
            </a:graphic>
          </wp:inline>
        </w:drawing>
      </w:r>
    </w:p>
    <w:p w:rsidR="002959F0" w:rsidRDefault="00E2336B">
      <w:pPr>
        <w:autoSpaceDE w:val="0"/>
        <w:autoSpaceDN w:val="0"/>
        <w:spacing w:line="360" w:lineRule="auto"/>
        <w:jc w:val="both"/>
      </w:pPr>
      <w:r w:rsidRPr="007949F6">
        <w:t>Fuente: Elaboración propia.</w:t>
      </w:r>
    </w:p>
    <w:p w:rsidR="00E2336B" w:rsidRDefault="00E2336B" w:rsidP="00A56F9C">
      <w:pPr>
        <w:pStyle w:val="Textoindependiente"/>
        <w:pBdr>
          <w:bottom w:val="single" w:sz="4" w:space="1" w:color="auto"/>
        </w:pBdr>
        <w:rPr>
          <w:rFonts w:ascii="MinionPro-Regular" w:hAnsi="MinionPro-Regular"/>
          <w:sz w:val="20"/>
        </w:rPr>
      </w:pPr>
    </w:p>
    <w:p w:rsidR="00E2336B" w:rsidRDefault="00E2336B">
      <w:pPr>
        <w:pBdr>
          <w:bottom w:val="single" w:sz="4" w:space="1" w:color="auto"/>
        </w:pBdr>
        <w:autoSpaceDE w:val="0"/>
        <w:autoSpaceDN w:val="0"/>
        <w:spacing w:line="360" w:lineRule="auto"/>
        <w:jc w:val="both"/>
        <w:rPr>
          <w:rFonts w:ascii="MinionPro-Regular" w:hAnsi="MinionPro-Regular"/>
          <w:sz w:val="20"/>
          <w:szCs w:val="24"/>
          <w:lang w:val="es-ES_tradnl"/>
        </w:rPr>
      </w:pPr>
      <w:r>
        <w:rPr>
          <w:rFonts w:ascii="MinionPro-Regular" w:hAnsi="MinionPro-Regular"/>
          <w:sz w:val="20"/>
          <w:szCs w:val="24"/>
          <w:lang w:val="es-ES_tradnl"/>
        </w:rPr>
        <w:t xml:space="preserve">Nota explicativa de la gráfica: Eje vertical, euros. Eje horizontal, dos columnas. En la primera columna aparecen representada la estimación total de los retornos que suponen los centros especiales de empleo, igual a </w:t>
      </w:r>
      <w:r w:rsidR="00A635D1" w:rsidRPr="00A635D1">
        <w:rPr>
          <w:rFonts w:ascii="MinionPro-Regular" w:hAnsi="MinionPro-Regular"/>
          <w:sz w:val="20"/>
          <w:szCs w:val="24"/>
          <w:lang w:val="es-ES_tradnl"/>
        </w:rPr>
        <w:t>760</w:t>
      </w:r>
      <w:r w:rsidR="0019098F" w:rsidRPr="00A635D1">
        <w:rPr>
          <w:rFonts w:ascii="MinionPro-Regular" w:hAnsi="MinionPro-Regular"/>
          <w:sz w:val="20"/>
          <w:szCs w:val="24"/>
          <w:lang w:val="es-ES_tradnl"/>
        </w:rPr>
        <w:t>.</w:t>
      </w:r>
      <w:r w:rsidR="00A635D1" w:rsidRPr="00A635D1">
        <w:rPr>
          <w:rFonts w:ascii="MinionPro-Regular" w:hAnsi="MinionPro-Regular"/>
          <w:sz w:val="20"/>
          <w:szCs w:val="24"/>
          <w:lang w:val="es-ES_tradnl"/>
        </w:rPr>
        <w:t>130</w:t>
      </w:r>
      <w:r w:rsidRPr="00A635D1">
        <w:rPr>
          <w:rFonts w:ascii="MinionPro-Regular" w:hAnsi="MinionPro-Regular"/>
          <w:sz w:val="20"/>
          <w:szCs w:val="24"/>
          <w:lang w:val="es-ES_tradnl"/>
        </w:rPr>
        <w:t>.</w:t>
      </w:r>
      <w:r w:rsidR="00A635D1" w:rsidRPr="00A635D1">
        <w:rPr>
          <w:rFonts w:ascii="MinionPro-Regular" w:hAnsi="MinionPro-Regular"/>
          <w:sz w:val="20"/>
          <w:szCs w:val="24"/>
          <w:lang w:val="es-ES_tradnl"/>
        </w:rPr>
        <w:t>661</w:t>
      </w:r>
      <w:r w:rsidRPr="0019098F">
        <w:rPr>
          <w:rFonts w:ascii="MinionPro-Regular" w:hAnsi="MinionPro-Regular"/>
          <w:sz w:val="20"/>
          <w:szCs w:val="24"/>
          <w:lang w:val="es-ES_tradnl"/>
        </w:rPr>
        <w:t xml:space="preserve"> euros</w:t>
      </w:r>
      <w:r>
        <w:rPr>
          <w:rFonts w:ascii="MinionPro-Regular" w:hAnsi="MinionPro-Regular"/>
          <w:sz w:val="20"/>
          <w:szCs w:val="24"/>
          <w:lang w:val="es-ES_tradnl"/>
        </w:rPr>
        <w:t>. En la segunda columna, aparecen las ayudas de la administración pública, igual a 528.329.214  euros.</w:t>
      </w:r>
    </w:p>
    <w:p w:rsidR="00E2336B" w:rsidRDefault="00E2336B" w:rsidP="002A692E">
      <w:pPr>
        <w:pStyle w:val="Textoindependiente"/>
      </w:pPr>
    </w:p>
    <w:p w:rsidR="00D2049F" w:rsidRDefault="00D2049F">
      <w:pPr>
        <w:autoSpaceDE w:val="0"/>
        <w:autoSpaceDN w:val="0"/>
        <w:spacing w:line="360" w:lineRule="auto"/>
        <w:jc w:val="both"/>
        <w:rPr>
          <w:rFonts w:ascii="MinionPro-Regular" w:hAnsi="MinionPro-Regular"/>
          <w:sz w:val="24"/>
          <w:szCs w:val="24"/>
          <w:lang w:val="es-ES_tradnl"/>
        </w:rPr>
      </w:pPr>
    </w:p>
    <w:p w:rsidR="00D2049F" w:rsidRDefault="00F23441">
      <w:pPr>
        <w:autoSpaceDE w:val="0"/>
        <w:autoSpaceDN w:val="0"/>
        <w:spacing w:line="360" w:lineRule="auto"/>
        <w:jc w:val="both"/>
        <w:rPr>
          <w:rFonts w:ascii="MinionPro-Regular" w:hAnsi="MinionPro-Regular"/>
          <w:sz w:val="24"/>
          <w:szCs w:val="24"/>
          <w:lang w:val="es-ES_tradnl"/>
        </w:rPr>
      </w:pPr>
      <w:r w:rsidRPr="00F23441">
        <w:rPr>
          <w:rFonts w:ascii="MinionPro-Regular" w:hAnsi="MinionPro-Regular"/>
          <w:sz w:val="24"/>
          <w:szCs w:val="24"/>
          <w:lang w:val="es-ES_tradnl"/>
        </w:rPr>
        <w:t>De cara a la sociedad en su conjunto, el hecho de que las personas con discapacidad estén integradas en el mercado laboral</w:t>
      </w:r>
      <w:r w:rsidR="00E2336B">
        <w:rPr>
          <w:rFonts w:ascii="MinionPro-Regular" w:hAnsi="MinionPro-Regular"/>
          <w:sz w:val="24"/>
          <w:szCs w:val="24"/>
          <w:lang w:val="es-ES_tradnl"/>
        </w:rPr>
        <w:t xml:space="preserve">, supone un valor añadido que es difícil de cuantificar. Tales como la autoestima y la satisfacción del trabajador o el bienestar de las familias. </w:t>
      </w:r>
    </w:p>
    <w:p w:rsidR="00B464F4" w:rsidRDefault="00B464F4" w:rsidP="0007541A">
      <w:pPr>
        <w:pStyle w:val="Ttulo2"/>
        <w:numPr>
          <w:ilvl w:val="1"/>
          <w:numId w:val="3"/>
        </w:numPr>
        <w:ind w:left="0"/>
        <w:rPr>
          <w:rFonts w:ascii="MinionPro-Regular" w:hAnsi="MinionPro-Regular"/>
        </w:rPr>
      </w:pPr>
      <w:bookmarkStart w:id="453" w:name="_Toc352773597"/>
      <w:r>
        <w:rPr>
          <w:rFonts w:ascii="MinionPro-Regular" w:hAnsi="MinionPro-Regular"/>
        </w:rPr>
        <w:lastRenderedPageBreak/>
        <w:t>Otras consideraciones en el estudio de impacto</w:t>
      </w:r>
      <w:bookmarkEnd w:id="453"/>
    </w:p>
    <w:p w:rsidR="00B464F4" w:rsidRPr="00B464F4" w:rsidRDefault="00B464F4" w:rsidP="00B464F4">
      <w:pPr>
        <w:pStyle w:val="Textoindependiente"/>
      </w:pPr>
    </w:p>
    <w:p w:rsidR="003670DB" w:rsidRPr="009B79F2" w:rsidRDefault="00B464F4" w:rsidP="003670DB">
      <w:pPr>
        <w:autoSpaceDE w:val="0"/>
        <w:autoSpaceDN w:val="0"/>
        <w:spacing w:line="360" w:lineRule="auto"/>
        <w:jc w:val="both"/>
        <w:rPr>
          <w:rFonts w:ascii="MinionPro-Regular" w:hAnsi="MinionPro-Regular"/>
          <w:sz w:val="24"/>
          <w:szCs w:val="24"/>
          <w:lang w:val="es-ES_tradnl"/>
        </w:rPr>
      </w:pPr>
      <w:r w:rsidRPr="009B79F2">
        <w:rPr>
          <w:rFonts w:ascii="MinionPro-Regular" w:hAnsi="MinionPro-Regular"/>
          <w:sz w:val="24"/>
          <w:szCs w:val="24"/>
          <w:lang w:val="es-ES_tradnl"/>
        </w:rPr>
        <w:t xml:space="preserve">A continuación se presentan una serie de conceptos que </w:t>
      </w:r>
      <w:r w:rsidR="009B79F2" w:rsidRPr="009B79F2">
        <w:rPr>
          <w:rFonts w:ascii="MinionPro-Regular" w:hAnsi="MinionPro-Regular"/>
          <w:sz w:val="24"/>
          <w:szCs w:val="24"/>
          <w:lang w:val="es-ES_tradnl"/>
        </w:rPr>
        <w:t xml:space="preserve">permiten, aunque no sean sumados a la hora de estimar el retorno, evaluar d manera más completa el impacto de los centros especiales de empleo en la economía y la sociedad españolas. </w:t>
      </w:r>
    </w:p>
    <w:p w:rsidR="003670DB" w:rsidRPr="00FF27FE" w:rsidRDefault="003670DB" w:rsidP="0007541A">
      <w:pPr>
        <w:pStyle w:val="Ttulo2"/>
        <w:numPr>
          <w:ilvl w:val="2"/>
          <w:numId w:val="3"/>
        </w:numPr>
        <w:ind w:left="0"/>
        <w:rPr>
          <w:rFonts w:ascii="MinionPro-Regular" w:hAnsi="MinionPro-Regular"/>
        </w:rPr>
      </w:pPr>
      <w:bookmarkStart w:id="454" w:name="_Toc352773598"/>
      <w:r w:rsidRPr="00FF27FE">
        <w:rPr>
          <w:rFonts w:ascii="MinionPro-Regular" w:hAnsi="MinionPro-Regular"/>
        </w:rPr>
        <w:t>Prestaciones por desempleo</w:t>
      </w:r>
      <w:bookmarkEnd w:id="454"/>
    </w:p>
    <w:p w:rsidR="003670DB" w:rsidRDefault="003670DB" w:rsidP="003670DB">
      <w:pPr>
        <w:pStyle w:val="Textoindependiente"/>
      </w:pPr>
    </w:p>
    <w:p w:rsidR="003670DB" w:rsidRPr="00C64718" w:rsidRDefault="003670DB" w:rsidP="003670DB">
      <w:pPr>
        <w:autoSpaceDE w:val="0"/>
        <w:autoSpaceDN w:val="0"/>
        <w:spacing w:line="360" w:lineRule="auto"/>
        <w:jc w:val="both"/>
        <w:rPr>
          <w:rFonts w:ascii="MinionPro-Regular" w:hAnsi="MinionPro-Regular"/>
          <w:sz w:val="24"/>
          <w:szCs w:val="24"/>
          <w:lang w:val="es-ES_tradnl"/>
        </w:rPr>
      </w:pPr>
      <w:r w:rsidRPr="00C64718">
        <w:rPr>
          <w:rFonts w:ascii="MinionPro-Regular" w:hAnsi="MinionPro-Regular"/>
          <w:sz w:val="24"/>
          <w:szCs w:val="24"/>
          <w:lang w:val="es-ES_tradnl"/>
        </w:rPr>
        <w:t>Con independencia de las pensiones que las personas con discapacidad podrían percibir en concepto de invalidez, y  al igual que cualquier otro trabajador, podrían tener acceso a percibir la prestación por desempleo en caso de perder su trabajo.</w:t>
      </w:r>
    </w:p>
    <w:p w:rsidR="003670DB" w:rsidRPr="00C64718" w:rsidRDefault="003670DB" w:rsidP="003670DB">
      <w:pPr>
        <w:autoSpaceDE w:val="0"/>
        <w:autoSpaceDN w:val="0"/>
        <w:spacing w:line="360" w:lineRule="auto"/>
        <w:jc w:val="both"/>
        <w:rPr>
          <w:rFonts w:ascii="MinionPro-Regular" w:hAnsi="MinionPro-Regular"/>
          <w:sz w:val="24"/>
          <w:szCs w:val="24"/>
          <w:lang w:val="es-ES_tradnl"/>
        </w:rPr>
      </w:pPr>
    </w:p>
    <w:p w:rsidR="003670DB" w:rsidRPr="00C64718" w:rsidRDefault="003670DB" w:rsidP="003670DB">
      <w:pPr>
        <w:autoSpaceDE w:val="0"/>
        <w:autoSpaceDN w:val="0"/>
        <w:spacing w:line="360" w:lineRule="auto"/>
        <w:jc w:val="both"/>
        <w:rPr>
          <w:rFonts w:ascii="MinionPro-Regular" w:hAnsi="MinionPro-Regular"/>
          <w:sz w:val="24"/>
          <w:szCs w:val="24"/>
          <w:lang w:val="es-ES_tradnl"/>
        </w:rPr>
      </w:pPr>
      <w:r w:rsidRPr="00C64718">
        <w:rPr>
          <w:rFonts w:ascii="MinionPro-Regular" w:hAnsi="MinionPro-Regular"/>
          <w:sz w:val="24"/>
          <w:szCs w:val="24"/>
          <w:lang w:val="es-ES_tradnl"/>
        </w:rPr>
        <w:t>En el presente estudio, se ha incluido esta variable únicamente en relación a las personas con discapacidad de los centros especiales de empleo, ya que se ha considerado que son las personas que más dificultades tienen en encontrar un nuevo empleo.</w:t>
      </w:r>
    </w:p>
    <w:p w:rsidR="003670DB" w:rsidRPr="00C64718" w:rsidRDefault="003670DB" w:rsidP="003670DB">
      <w:pPr>
        <w:autoSpaceDE w:val="0"/>
        <w:autoSpaceDN w:val="0"/>
        <w:spacing w:line="360" w:lineRule="auto"/>
        <w:jc w:val="both"/>
        <w:rPr>
          <w:rFonts w:ascii="MinionPro-Regular" w:hAnsi="MinionPro-Regular"/>
          <w:sz w:val="24"/>
          <w:szCs w:val="24"/>
          <w:lang w:val="es-ES_tradnl"/>
        </w:rPr>
      </w:pPr>
    </w:p>
    <w:p w:rsidR="003670DB" w:rsidRPr="00C64718" w:rsidRDefault="003670DB" w:rsidP="003670DB">
      <w:pPr>
        <w:autoSpaceDE w:val="0"/>
        <w:autoSpaceDN w:val="0"/>
        <w:spacing w:line="360" w:lineRule="auto"/>
        <w:jc w:val="both"/>
        <w:rPr>
          <w:rFonts w:ascii="MinionPro-Regular" w:hAnsi="MinionPro-Regular"/>
          <w:sz w:val="24"/>
          <w:szCs w:val="24"/>
          <w:lang w:val="es-ES_tradnl"/>
        </w:rPr>
      </w:pPr>
      <w:r w:rsidRPr="00C64718">
        <w:rPr>
          <w:rFonts w:ascii="MinionPro-Regular" w:hAnsi="MinionPro-Regular"/>
          <w:sz w:val="24"/>
          <w:szCs w:val="24"/>
          <w:lang w:val="es-ES_tradnl"/>
        </w:rPr>
        <w:t>Teniendo en cuenta el salario medio anual de las personas con discapacidad (alrededor de 12.000 euros), se ha estimado la media de prestación por desempleo que en un año estas personas percibirían.</w:t>
      </w:r>
    </w:p>
    <w:p w:rsidR="003670DB" w:rsidRPr="00C64718" w:rsidRDefault="003670DB" w:rsidP="003670DB">
      <w:pPr>
        <w:autoSpaceDE w:val="0"/>
        <w:autoSpaceDN w:val="0"/>
        <w:spacing w:line="360" w:lineRule="auto"/>
        <w:jc w:val="both"/>
        <w:rPr>
          <w:rFonts w:ascii="MinionPro-Regular" w:hAnsi="MinionPro-Regular"/>
          <w:sz w:val="24"/>
          <w:szCs w:val="24"/>
          <w:lang w:val="es-ES_tradnl"/>
        </w:rPr>
      </w:pPr>
    </w:p>
    <w:p w:rsidR="003670DB" w:rsidRDefault="003670DB" w:rsidP="003670DB">
      <w:pPr>
        <w:autoSpaceDE w:val="0"/>
        <w:autoSpaceDN w:val="0"/>
        <w:spacing w:line="360" w:lineRule="auto"/>
        <w:jc w:val="both"/>
        <w:rPr>
          <w:rFonts w:ascii="MinionPro-Regular" w:hAnsi="MinionPro-Regular"/>
          <w:sz w:val="24"/>
          <w:szCs w:val="24"/>
          <w:lang w:val="es-ES_tradnl"/>
        </w:rPr>
      </w:pPr>
      <w:r w:rsidRPr="00C64718">
        <w:rPr>
          <w:rFonts w:ascii="MinionPro-Regular" w:hAnsi="MinionPro-Regular"/>
          <w:sz w:val="24"/>
          <w:szCs w:val="24"/>
          <w:lang w:val="es-ES_tradnl"/>
        </w:rPr>
        <w:t>Para ello, se ha calculado la base media por día (33 euros) y se ha estimado la cantidad de los primeros 180 días, y la cantidad del día 181 al 360. Esta diferenciación está causada por la diferencia en porcentaje de percepción de la prestación. Teniendo en cuenta que el número de personas con discapacidad en centros especiales de empleo es igual a 64.391 (a 31 de diciembre de 2011), la cifra total de prestaciones por desempleo (valor medio) sería igual a 462.556.718 euros.</w:t>
      </w:r>
    </w:p>
    <w:p w:rsidR="003670DB" w:rsidRDefault="003670DB" w:rsidP="003670DB">
      <w:pPr>
        <w:autoSpaceDE w:val="0"/>
        <w:autoSpaceDN w:val="0"/>
        <w:spacing w:line="360" w:lineRule="auto"/>
        <w:jc w:val="both"/>
        <w:rPr>
          <w:rFonts w:ascii="MinionPro-Regular" w:hAnsi="MinionPro-Regular"/>
          <w:sz w:val="24"/>
          <w:szCs w:val="24"/>
          <w:lang w:val="es-ES_tradnl"/>
        </w:rPr>
      </w:pPr>
    </w:p>
    <w:p w:rsidR="009B79F2" w:rsidRDefault="009B79F2" w:rsidP="003670DB">
      <w:pPr>
        <w:autoSpaceDE w:val="0"/>
        <w:autoSpaceDN w:val="0"/>
        <w:spacing w:line="360" w:lineRule="auto"/>
        <w:jc w:val="both"/>
        <w:rPr>
          <w:rFonts w:ascii="MinionPro-Regular" w:hAnsi="MinionPro-Regular"/>
          <w:sz w:val="24"/>
          <w:szCs w:val="24"/>
          <w:lang w:val="es-ES_tradnl"/>
        </w:rPr>
      </w:pPr>
    </w:p>
    <w:p w:rsidR="009B79F2" w:rsidRDefault="009B79F2" w:rsidP="003670DB">
      <w:pPr>
        <w:autoSpaceDE w:val="0"/>
        <w:autoSpaceDN w:val="0"/>
        <w:spacing w:line="360" w:lineRule="auto"/>
        <w:jc w:val="both"/>
        <w:rPr>
          <w:rFonts w:ascii="MinionPro-Regular" w:hAnsi="MinionPro-Regular"/>
          <w:sz w:val="24"/>
          <w:szCs w:val="24"/>
          <w:lang w:val="es-ES_tradnl"/>
        </w:rPr>
      </w:pPr>
    </w:p>
    <w:p w:rsidR="003670DB" w:rsidRPr="0075606C" w:rsidRDefault="003670DB" w:rsidP="003670DB">
      <w:pPr>
        <w:pStyle w:val="Textoindependiente"/>
        <w:pBdr>
          <w:top w:val="single" w:sz="4" w:space="1" w:color="auto"/>
        </w:pBdr>
        <w:rPr>
          <w:rFonts w:ascii="MinionPro-Regular" w:hAnsi="MinionPro-Regular"/>
          <w:sz w:val="20"/>
        </w:rPr>
      </w:pPr>
      <w:r w:rsidRPr="0075606C">
        <w:rPr>
          <w:rFonts w:ascii="MinionPro-Regular" w:hAnsi="MinionPro-Regular"/>
          <w:sz w:val="20"/>
        </w:rPr>
        <w:t xml:space="preserve">Tabla para la estimación </w:t>
      </w:r>
      <w:r>
        <w:rPr>
          <w:rFonts w:ascii="MinionPro-Regular" w:hAnsi="MinionPro-Regular"/>
          <w:sz w:val="20"/>
        </w:rPr>
        <w:t>de las pensiones contributivas por desempleo</w:t>
      </w:r>
    </w:p>
    <w:tbl>
      <w:tblPr>
        <w:tblStyle w:val="KPMGtable"/>
        <w:tblW w:w="7814" w:type="dxa"/>
        <w:tblLook w:val="00A0"/>
      </w:tblPr>
      <w:tblGrid>
        <w:gridCol w:w="1194"/>
        <w:gridCol w:w="1309"/>
        <w:gridCol w:w="1309"/>
        <w:gridCol w:w="1309"/>
        <w:gridCol w:w="1545"/>
        <w:gridCol w:w="1148"/>
      </w:tblGrid>
      <w:tr w:rsidR="003670DB" w:rsidRPr="00E55DA4" w:rsidTr="00B464F4">
        <w:trPr>
          <w:cnfStyle w:val="100000000000"/>
          <w:trHeight w:val="609"/>
        </w:trPr>
        <w:tc>
          <w:tcPr>
            <w:tcW w:w="1194" w:type="dxa"/>
            <w:vAlign w:val="center"/>
          </w:tcPr>
          <w:p w:rsidR="003670DB" w:rsidRPr="001F77AB" w:rsidRDefault="003670DB" w:rsidP="00B464F4">
            <w:pPr>
              <w:jc w:val="center"/>
              <w:rPr>
                <w:rFonts w:ascii="MinionPro-Regular" w:hAnsi="MinionPro-Regular" w:cs="Calibri"/>
                <w:color w:val="FFFFFF" w:themeColor="background1"/>
                <w:sz w:val="20"/>
                <w:lang w:val="en-US"/>
              </w:rPr>
            </w:pPr>
            <w:r w:rsidRPr="001F77AB">
              <w:rPr>
                <w:rFonts w:ascii="MinionPro-Regular" w:hAnsi="MinionPro-Regular" w:cs="Calibri"/>
                <w:color w:val="FFFFFF" w:themeColor="background1"/>
                <w:sz w:val="20"/>
                <w:lang w:val="en-US"/>
              </w:rPr>
              <w:t>Salario medio (euros)</w:t>
            </w:r>
          </w:p>
        </w:tc>
        <w:tc>
          <w:tcPr>
            <w:tcW w:w="1309" w:type="dxa"/>
            <w:vAlign w:val="center"/>
          </w:tcPr>
          <w:p w:rsidR="003670DB" w:rsidRPr="001F77AB" w:rsidRDefault="003670DB" w:rsidP="00B464F4">
            <w:pPr>
              <w:jc w:val="center"/>
              <w:rPr>
                <w:rFonts w:ascii="MinionPro-Regular" w:hAnsi="MinionPro-Regular" w:cs="Calibri"/>
                <w:color w:val="FFFFFF" w:themeColor="background1"/>
                <w:sz w:val="20"/>
                <w:lang w:val="es-ES_tradnl"/>
              </w:rPr>
            </w:pPr>
            <w:r w:rsidRPr="001F77AB">
              <w:rPr>
                <w:rFonts w:ascii="MinionPro-Regular" w:hAnsi="MinionPro-Regular" w:cs="Calibri"/>
                <w:color w:val="FFFFFF" w:themeColor="background1"/>
                <w:sz w:val="20"/>
                <w:lang w:val="es-ES_tradnl"/>
              </w:rPr>
              <w:t>Base de cotización media por día (euros)</w:t>
            </w:r>
          </w:p>
        </w:tc>
        <w:tc>
          <w:tcPr>
            <w:tcW w:w="1309" w:type="dxa"/>
            <w:vAlign w:val="center"/>
          </w:tcPr>
          <w:p w:rsidR="003670DB" w:rsidRPr="001F77AB" w:rsidRDefault="003670DB" w:rsidP="00B464F4">
            <w:pPr>
              <w:jc w:val="center"/>
              <w:rPr>
                <w:rFonts w:ascii="MinionPro-Regular" w:hAnsi="MinionPro-Regular" w:cs="Calibri"/>
                <w:color w:val="FFFFFF" w:themeColor="background1"/>
                <w:sz w:val="20"/>
                <w:lang w:val="es-ES_tradnl"/>
              </w:rPr>
            </w:pPr>
            <w:r w:rsidRPr="001F77AB">
              <w:rPr>
                <w:rFonts w:ascii="MinionPro-Regular" w:hAnsi="MinionPro-Regular" w:cs="Calibri"/>
                <w:color w:val="FFFFFF" w:themeColor="background1"/>
                <w:sz w:val="20"/>
                <w:lang w:val="es-ES_tradnl"/>
              </w:rPr>
              <w:t>180 días el 70% de la base de cotización (euros)</w:t>
            </w:r>
          </w:p>
        </w:tc>
        <w:tc>
          <w:tcPr>
            <w:tcW w:w="1309" w:type="dxa"/>
            <w:vAlign w:val="center"/>
          </w:tcPr>
          <w:p w:rsidR="003670DB" w:rsidRPr="001F77AB" w:rsidRDefault="003670DB" w:rsidP="00B464F4">
            <w:pPr>
              <w:jc w:val="center"/>
              <w:rPr>
                <w:rFonts w:ascii="MinionPro-Regular" w:hAnsi="MinionPro-Regular" w:cs="Calibri"/>
                <w:color w:val="FFFFFF" w:themeColor="background1"/>
                <w:sz w:val="20"/>
                <w:lang w:val="es-ES_tradnl"/>
              </w:rPr>
            </w:pPr>
            <w:r w:rsidRPr="001F77AB">
              <w:rPr>
                <w:rFonts w:ascii="MinionPro-Regular" w:hAnsi="MinionPro-Regular" w:cs="Calibri"/>
                <w:color w:val="FFFFFF" w:themeColor="background1"/>
                <w:sz w:val="20"/>
                <w:lang w:val="es-ES_tradnl"/>
              </w:rPr>
              <w:t>181 a 360 el 50% de la base de cotización</w:t>
            </w:r>
          </w:p>
        </w:tc>
        <w:tc>
          <w:tcPr>
            <w:tcW w:w="1545" w:type="dxa"/>
            <w:vAlign w:val="center"/>
          </w:tcPr>
          <w:p w:rsidR="003670DB" w:rsidRPr="001F77AB" w:rsidRDefault="003670DB" w:rsidP="00B464F4">
            <w:pPr>
              <w:jc w:val="center"/>
              <w:rPr>
                <w:rFonts w:ascii="MinionPro-Regular" w:hAnsi="MinionPro-Regular" w:cs="Calibri"/>
                <w:color w:val="FFFFFF" w:themeColor="background1"/>
                <w:sz w:val="20"/>
                <w:lang w:val="es-ES_tradnl"/>
              </w:rPr>
            </w:pPr>
            <w:r w:rsidRPr="001F77AB">
              <w:rPr>
                <w:rFonts w:ascii="MinionPro-Regular" w:hAnsi="MinionPro-Regular" w:cs="Calibri"/>
                <w:color w:val="FFFFFF" w:themeColor="background1"/>
                <w:sz w:val="20"/>
                <w:lang w:val="es-ES_tradnl"/>
              </w:rPr>
              <w:t>Media de las prestaciones por desempleo percibidas por persona (euros al año)</w:t>
            </w:r>
          </w:p>
        </w:tc>
        <w:tc>
          <w:tcPr>
            <w:tcW w:w="1148" w:type="dxa"/>
            <w:vAlign w:val="center"/>
          </w:tcPr>
          <w:p w:rsidR="003670DB" w:rsidRPr="001F77AB" w:rsidRDefault="003670DB" w:rsidP="00B464F4">
            <w:pPr>
              <w:jc w:val="center"/>
              <w:rPr>
                <w:rFonts w:ascii="MinionPro-Regular" w:hAnsi="MinionPro-Regular" w:cs="Calibri"/>
                <w:color w:val="FFFFFF" w:themeColor="background1"/>
                <w:sz w:val="20"/>
                <w:lang w:val="es-ES_tradnl"/>
              </w:rPr>
            </w:pPr>
            <w:r w:rsidRPr="001F77AB">
              <w:rPr>
                <w:rFonts w:ascii="MinionPro-Regular" w:hAnsi="MinionPro-Regular" w:cs="Calibri"/>
                <w:color w:val="FFFFFF" w:themeColor="background1"/>
                <w:sz w:val="20"/>
                <w:lang w:val="es-ES_tradnl"/>
              </w:rPr>
              <w:t>Total</w:t>
            </w:r>
          </w:p>
          <w:p w:rsidR="003670DB" w:rsidRPr="001F77AB" w:rsidRDefault="003670DB" w:rsidP="00B464F4">
            <w:pPr>
              <w:jc w:val="center"/>
              <w:rPr>
                <w:rFonts w:ascii="MinionPro-Regular" w:hAnsi="MinionPro-Regular" w:cs="Calibri"/>
                <w:color w:val="FFFFFF" w:themeColor="background1"/>
                <w:sz w:val="20"/>
                <w:lang w:val="es-ES_tradnl"/>
              </w:rPr>
            </w:pPr>
            <w:r w:rsidRPr="001F77AB">
              <w:rPr>
                <w:rFonts w:ascii="MinionPro-Regular" w:hAnsi="MinionPro-Regular" w:cs="Calibri"/>
                <w:color w:val="FFFFFF" w:themeColor="background1"/>
                <w:sz w:val="20"/>
                <w:lang w:val="es-ES_tradnl"/>
              </w:rPr>
              <w:t>(euros)</w:t>
            </w:r>
          </w:p>
        </w:tc>
      </w:tr>
      <w:tr w:rsidR="003670DB" w:rsidRPr="00E55DA4" w:rsidTr="00B464F4">
        <w:trPr>
          <w:trHeight w:val="304"/>
        </w:trPr>
        <w:tc>
          <w:tcPr>
            <w:tcW w:w="1194" w:type="dxa"/>
          </w:tcPr>
          <w:p w:rsidR="003670DB" w:rsidRPr="00A62C1C" w:rsidRDefault="003670DB" w:rsidP="00B464F4">
            <w:pPr>
              <w:jc w:val="center"/>
              <w:rPr>
                <w:rFonts w:ascii="MinionPro-Regular" w:hAnsi="MinionPro-Regular" w:cs="Calibri"/>
                <w:color w:val="000000"/>
                <w:sz w:val="20"/>
                <w:lang w:val="en-US"/>
              </w:rPr>
            </w:pPr>
            <w:r w:rsidRPr="00A62C1C">
              <w:rPr>
                <w:rFonts w:ascii="MinionPro-Regular" w:hAnsi="MinionPro-Regular" w:cs="Calibri"/>
                <w:color w:val="000000"/>
                <w:sz w:val="20"/>
                <w:lang w:val="en-US"/>
              </w:rPr>
              <w:t>12.000</w:t>
            </w:r>
          </w:p>
        </w:tc>
        <w:tc>
          <w:tcPr>
            <w:tcW w:w="1309" w:type="dxa"/>
          </w:tcPr>
          <w:p w:rsidR="003670DB" w:rsidRPr="00A62C1C" w:rsidRDefault="003670DB" w:rsidP="00B464F4">
            <w:pPr>
              <w:jc w:val="center"/>
              <w:rPr>
                <w:rFonts w:ascii="MinionPro-Regular" w:hAnsi="MinionPro-Regular" w:cs="Calibri"/>
                <w:color w:val="000000"/>
                <w:sz w:val="20"/>
                <w:lang w:val="en-US"/>
              </w:rPr>
            </w:pPr>
            <w:r w:rsidRPr="00A62C1C">
              <w:rPr>
                <w:rFonts w:ascii="MinionPro-Regular" w:hAnsi="MinionPro-Regular" w:cs="Calibri"/>
                <w:color w:val="000000"/>
                <w:sz w:val="20"/>
                <w:lang w:val="en-US"/>
              </w:rPr>
              <w:t>33</w:t>
            </w:r>
          </w:p>
        </w:tc>
        <w:tc>
          <w:tcPr>
            <w:tcW w:w="1309" w:type="dxa"/>
          </w:tcPr>
          <w:p w:rsidR="003670DB" w:rsidRPr="00A62C1C" w:rsidRDefault="003670DB" w:rsidP="00B464F4">
            <w:pPr>
              <w:jc w:val="center"/>
              <w:rPr>
                <w:rFonts w:ascii="MinionPro-Regular" w:hAnsi="MinionPro-Regular" w:cs="Calibri"/>
                <w:color w:val="000000"/>
                <w:sz w:val="20"/>
                <w:lang w:val="en-US"/>
              </w:rPr>
            </w:pPr>
            <w:r w:rsidRPr="00A62C1C">
              <w:rPr>
                <w:rFonts w:ascii="MinionPro-Regular" w:hAnsi="MinionPro-Regular" w:cs="Calibri"/>
                <w:color w:val="000000"/>
                <w:sz w:val="20"/>
                <w:lang w:val="en-US"/>
              </w:rPr>
              <w:t>4.142</w:t>
            </w:r>
          </w:p>
        </w:tc>
        <w:tc>
          <w:tcPr>
            <w:tcW w:w="1309" w:type="dxa"/>
          </w:tcPr>
          <w:p w:rsidR="003670DB" w:rsidRPr="00A62C1C" w:rsidRDefault="003670DB" w:rsidP="00B464F4">
            <w:pPr>
              <w:jc w:val="center"/>
              <w:rPr>
                <w:rFonts w:ascii="MinionPro-Regular" w:hAnsi="MinionPro-Regular" w:cs="Calibri"/>
                <w:color w:val="000000"/>
                <w:sz w:val="20"/>
                <w:lang w:val="en-US"/>
              </w:rPr>
            </w:pPr>
            <w:r w:rsidRPr="00A62C1C">
              <w:rPr>
                <w:rFonts w:ascii="MinionPro-Regular" w:hAnsi="MinionPro-Regular" w:cs="Calibri"/>
                <w:color w:val="000000"/>
                <w:sz w:val="20"/>
                <w:lang w:val="en-US"/>
              </w:rPr>
              <w:t>3.041</w:t>
            </w:r>
          </w:p>
        </w:tc>
        <w:tc>
          <w:tcPr>
            <w:tcW w:w="1545" w:type="dxa"/>
          </w:tcPr>
          <w:p w:rsidR="003670DB" w:rsidRPr="00A62C1C" w:rsidRDefault="003670DB" w:rsidP="00B464F4">
            <w:pPr>
              <w:jc w:val="center"/>
              <w:rPr>
                <w:rFonts w:ascii="MinionPro-Regular" w:hAnsi="MinionPro-Regular" w:cs="Calibri"/>
                <w:color w:val="000000"/>
                <w:sz w:val="20"/>
                <w:lang w:val="en-US"/>
              </w:rPr>
            </w:pPr>
            <w:r w:rsidRPr="00A62C1C">
              <w:rPr>
                <w:rFonts w:ascii="MinionPro-Regular" w:hAnsi="MinionPro-Regular" w:cs="Calibri"/>
                <w:color w:val="000000"/>
                <w:sz w:val="20"/>
                <w:lang w:val="en-US"/>
              </w:rPr>
              <w:t>7.184</w:t>
            </w:r>
          </w:p>
        </w:tc>
        <w:tc>
          <w:tcPr>
            <w:tcW w:w="1148" w:type="dxa"/>
          </w:tcPr>
          <w:p w:rsidR="003670DB" w:rsidRPr="00A62C1C" w:rsidRDefault="003670DB" w:rsidP="00B464F4">
            <w:pPr>
              <w:jc w:val="center"/>
              <w:rPr>
                <w:rFonts w:ascii="MinionPro-Regular" w:hAnsi="MinionPro-Regular" w:cs="Calibri"/>
                <w:color w:val="000000"/>
                <w:sz w:val="20"/>
                <w:lang w:val="en-US"/>
              </w:rPr>
            </w:pPr>
            <w:r w:rsidRPr="00A62C1C">
              <w:rPr>
                <w:rFonts w:ascii="MinionPro-Regular" w:hAnsi="MinionPro-Regular" w:cs="Calibri"/>
                <w:color w:val="000000"/>
                <w:sz w:val="20"/>
                <w:lang w:val="en-US"/>
              </w:rPr>
              <w:t>462.556.718</w:t>
            </w:r>
          </w:p>
        </w:tc>
      </w:tr>
    </w:tbl>
    <w:p w:rsidR="003670DB" w:rsidRPr="00FF27FE" w:rsidRDefault="003670DB" w:rsidP="003670DB">
      <w:pPr>
        <w:pBdr>
          <w:bottom w:val="single" w:sz="4" w:space="1" w:color="auto"/>
        </w:pBdr>
        <w:autoSpaceDE w:val="0"/>
        <w:autoSpaceDN w:val="0"/>
        <w:spacing w:line="360" w:lineRule="auto"/>
        <w:jc w:val="both"/>
        <w:rPr>
          <w:rFonts w:ascii="MinionPro-Regular" w:hAnsi="MinionPro-Regular"/>
          <w:sz w:val="24"/>
          <w:szCs w:val="24"/>
          <w:lang w:val="es-ES_tradnl"/>
        </w:rPr>
      </w:pPr>
      <w:r w:rsidRPr="00E55DA4">
        <w:rPr>
          <w:rFonts w:ascii="MinionPro-Regular" w:hAnsi="MinionPro-Regular" w:cs="Calibri"/>
          <w:color w:val="000000"/>
          <w:sz w:val="20"/>
          <w:lang w:val="en-US"/>
        </w:rPr>
        <w:t>Fuent</w:t>
      </w:r>
      <w:r w:rsidR="00B464F4">
        <w:rPr>
          <w:rFonts w:ascii="MinionPro-Regular" w:hAnsi="MinionPro-Regular" w:cs="Calibri"/>
          <w:color w:val="000000"/>
          <w:sz w:val="20"/>
          <w:lang w:val="en-US"/>
        </w:rPr>
        <w:t>e: Seguridad Social, S</w:t>
      </w:r>
      <w:r>
        <w:rPr>
          <w:rFonts w:ascii="MinionPro-Regular" w:hAnsi="MinionPro-Regular" w:cs="Calibri"/>
          <w:color w:val="000000"/>
          <w:sz w:val="20"/>
          <w:lang w:val="en-US"/>
        </w:rPr>
        <w:t>P</w:t>
      </w:r>
      <w:r w:rsidR="00B464F4">
        <w:rPr>
          <w:rFonts w:ascii="MinionPro-Regular" w:hAnsi="MinionPro-Regular" w:cs="Calibri"/>
          <w:color w:val="000000"/>
          <w:sz w:val="20"/>
          <w:lang w:val="en-US"/>
        </w:rPr>
        <w:t>E</w:t>
      </w:r>
      <w:r>
        <w:rPr>
          <w:rFonts w:ascii="MinionPro-Regular" w:hAnsi="MinionPro-Regular" w:cs="Calibri"/>
          <w:color w:val="000000"/>
          <w:sz w:val="20"/>
          <w:lang w:val="en-US"/>
        </w:rPr>
        <w:t>E</w:t>
      </w:r>
    </w:p>
    <w:p w:rsidR="00B464F4" w:rsidRPr="00B464F4" w:rsidRDefault="00B464F4" w:rsidP="00B464F4">
      <w:pPr>
        <w:pStyle w:val="Textoindependiente"/>
      </w:pPr>
    </w:p>
    <w:p w:rsidR="003670DB" w:rsidRPr="003B689D" w:rsidRDefault="003670DB" w:rsidP="0007541A">
      <w:pPr>
        <w:pStyle w:val="Ttulo2"/>
        <w:numPr>
          <w:ilvl w:val="2"/>
          <w:numId w:val="3"/>
        </w:numPr>
        <w:ind w:left="0"/>
        <w:rPr>
          <w:rFonts w:ascii="MinionPro-Regular" w:hAnsi="MinionPro-Regular"/>
        </w:rPr>
      </w:pPr>
      <w:bookmarkStart w:id="455" w:name="_Toc352773599"/>
      <w:r w:rsidRPr="005537A9">
        <w:rPr>
          <w:rFonts w:ascii="MinionPro-Regular" w:hAnsi="MinionPro-Regular"/>
        </w:rPr>
        <w:t xml:space="preserve">Los centros especiales de empleo dedican 772 millones de euros al pago </w:t>
      </w:r>
      <w:r w:rsidRPr="003B689D">
        <w:rPr>
          <w:rFonts w:ascii="MinionPro-Regular" w:hAnsi="MinionPro-Regular"/>
        </w:rPr>
        <w:t>de salarios a personas con discapacidad</w:t>
      </w:r>
      <w:bookmarkEnd w:id="455"/>
    </w:p>
    <w:p w:rsidR="003670DB" w:rsidRDefault="003670DB" w:rsidP="003670DB"/>
    <w:p w:rsidR="003670DB" w:rsidRDefault="003670DB" w:rsidP="003670DB">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Describir el impacto de los centros especiales de empleo requiere también poner el acento en el empleo generado y los salarios percibidos por el total de los trabajadores de los centros especiales de empleo. E</w:t>
      </w:r>
      <w:r w:rsidRPr="00A05369">
        <w:rPr>
          <w:rFonts w:ascii="MinionPro-Regular" w:hAnsi="MinionPro-Regular"/>
          <w:sz w:val="24"/>
          <w:szCs w:val="24"/>
          <w:lang w:val="es-ES_tradnl"/>
        </w:rPr>
        <w:t>n España</w:t>
      </w:r>
      <w:r>
        <w:rPr>
          <w:rFonts w:ascii="MinionPro-Regular" w:hAnsi="MinionPro-Regular"/>
          <w:sz w:val="24"/>
          <w:szCs w:val="24"/>
          <w:lang w:val="es-ES_tradnl"/>
        </w:rPr>
        <w:t>,</w:t>
      </w:r>
      <w:r w:rsidRPr="00A05369">
        <w:rPr>
          <w:rFonts w:ascii="MinionPro-Regular" w:hAnsi="MinionPro-Regular"/>
          <w:sz w:val="24"/>
          <w:szCs w:val="24"/>
          <w:lang w:val="es-ES_tradnl"/>
        </w:rPr>
        <w:t xml:space="preserve"> a 31 de diciembre de 2011</w:t>
      </w:r>
      <w:r>
        <w:rPr>
          <w:rFonts w:ascii="MinionPro-Regular" w:hAnsi="MinionPro-Regular"/>
          <w:sz w:val="24"/>
          <w:szCs w:val="24"/>
          <w:lang w:val="es-ES_tradnl"/>
        </w:rPr>
        <w:t xml:space="preserve"> y de acuerdo a los datos disponibles</w:t>
      </w:r>
      <w:r w:rsidRPr="00A05369">
        <w:rPr>
          <w:rFonts w:ascii="MinionPro-Regular" w:hAnsi="MinionPro-Regular"/>
          <w:sz w:val="24"/>
          <w:szCs w:val="24"/>
          <w:lang w:val="es-ES_tradnl"/>
        </w:rPr>
        <w:t>, 71.815 personas trabaja</w:t>
      </w:r>
      <w:r>
        <w:rPr>
          <w:rFonts w:ascii="MinionPro-Regular" w:hAnsi="MinionPro-Regular"/>
          <w:sz w:val="24"/>
          <w:szCs w:val="24"/>
          <w:lang w:val="es-ES_tradnl"/>
        </w:rPr>
        <w:t>ba</w:t>
      </w:r>
      <w:r w:rsidRPr="00A05369">
        <w:rPr>
          <w:rFonts w:ascii="MinionPro-Regular" w:hAnsi="MinionPro-Regular"/>
          <w:sz w:val="24"/>
          <w:szCs w:val="24"/>
          <w:lang w:val="es-ES_tradnl"/>
        </w:rPr>
        <w:t xml:space="preserve">n en </w:t>
      </w:r>
      <w:r>
        <w:rPr>
          <w:rFonts w:ascii="MinionPro-Regular" w:hAnsi="MinionPro-Regular"/>
          <w:sz w:val="24"/>
          <w:szCs w:val="24"/>
          <w:lang w:val="es-ES_tradnl"/>
        </w:rPr>
        <w:t xml:space="preserve">centros especiales de empleo, siendo el </w:t>
      </w:r>
      <w:r w:rsidRPr="00A05369">
        <w:rPr>
          <w:rFonts w:ascii="MinionPro-Regular" w:hAnsi="MinionPro-Regular"/>
          <w:sz w:val="24"/>
          <w:szCs w:val="24"/>
          <w:lang w:val="es-ES_tradnl"/>
        </w:rPr>
        <w:t xml:space="preserve">90% </w:t>
      </w:r>
      <w:r>
        <w:rPr>
          <w:rFonts w:ascii="MinionPro-Regular" w:hAnsi="MinionPro-Regular"/>
          <w:sz w:val="24"/>
          <w:szCs w:val="24"/>
          <w:lang w:val="es-ES_tradnl"/>
        </w:rPr>
        <w:t xml:space="preserve">de ellos </w:t>
      </w:r>
      <w:r w:rsidRPr="00A05369">
        <w:rPr>
          <w:rFonts w:ascii="MinionPro-Regular" w:hAnsi="MinionPro-Regular"/>
          <w:sz w:val="24"/>
          <w:szCs w:val="24"/>
          <w:lang w:val="es-ES_tradnl"/>
        </w:rPr>
        <w:t>personas con discapacidad.</w:t>
      </w:r>
    </w:p>
    <w:p w:rsidR="003670DB" w:rsidRDefault="003670DB" w:rsidP="003670DB">
      <w:pPr>
        <w:autoSpaceDE w:val="0"/>
        <w:autoSpaceDN w:val="0"/>
        <w:spacing w:line="360" w:lineRule="auto"/>
        <w:jc w:val="both"/>
        <w:rPr>
          <w:rFonts w:ascii="MinionPro-Regular" w:hAnsi="MinionPro-Regular"/>
          <w:sz w:val="24"/>
          <w:szCs w:val="24"/>
          <w:lang w:val="es-ES_tradnl"/>
        </w:rPr>
      </w:pPr>
    </w:p>
    <w:p w:rsidR="000A0727" w:rsidRDefault="003670DB" w:rsidP="00D2049F">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Teniendo en cuenta el salario medio anual de las personas con discapacidad que se deduce de la MCVL (12.000 euros aproximadamente) y el de las personas sin discapacidad que se puede encontrar en el Instituto Nacional de Estadística (22.511 euros) se deduce que los centros especiales de empleo destinaron, en 2011, más de 900 millones de euros en concepto de retribuciones a sus empleados con y sin discapacidad. Más de setecientos de ellos fueron destinados al pago de salarios a personas con discapacidad.</w:t>
      </w:r>
    </w:p>
    <w:p w:rsidR="00D2049F" w:rsidRDefault="00D2049F" w:rsidP="00D2049F">
      <w:pPr>
        <w:autoSpaceDE w:val="0"/>
        <w:autoSpaceDN w:val="0"/>
        <w:spacing w:line="360" w:lineRule="auto"/>
        <w:jc w:val="both"/>
        <w:rPr>
          <w:rFonts w:ascii="MinionPro-Regular" w:hAnsi="MinionPro-Regular"/>
          <w:sz w:val="24"/>
          <w:szCs w:val="24"/>
          <w:lang w:val="es-ES_tradnl"/>
        </w:rPr>
      </w:pPr>
    </w:p>
    <w:p w:rsidR="00A635D1" w:rsidRDefault="00A635D1" w:rsidP="00D2049F">
      <w:pPr>
        <w:autoSpaceDE w:val="0"/>
        <w:autoSpaceDN w:val="0"/>
        <w:spacing w:line="360" w:lineRule="auto"/>
        <w:jc w:val="both"/>
        <w:rPr>
          <w:rFonts w:ascii="MinionPro-Regular" w:hAnsi="MinionPro-Regular"/>
          <w:sz w:val="24"/>
          <w:szCs w:val="24"/>
          <w:lang w:val="es-ES_tradnl"/>
        </w:rPr>
      </w:pPr>
    </w:p>
    <w:p w:rsidR="00A635D1" w:rsidRDefault="00A635D1" w:rsidP="00D2049F">
      <w:pPr>
        <w:autoSpaceDE w:val="0"/>
        <w:autoSpaceDN w:val="0"/>
        <w:spacing w:line="360" w:lineRule="auto"/>
        <w:jc w:val="both"/>
        <w:rPr>
          <w:rFonts w:ascii="MinionPro-Regular" w:hAnsi="MinionPro-Regular"/>
          <w:sz w:val="24"/>
          <w:szCs w:val="24"/>
          <w:lang w:val="es-ES_tradnl"/>
        </w:rPr>
      </w:pPr>
    </w:p>
    <w:p w:rsidR="00A635D1" w:rsidRDefault="00A635D1" w:rsidP="00D2049F">
      <w:pPr>
        <w:autoSpaceDE w:val="0"/>
        <w:autoSpaceDN w:val="0"/>
        <w:spacing w:line="360" w:lineRule="auto"/>
        <w:jc w:val="both"/>
        <w:rPr>
          <w:rFonts w:ascii="MinionPro-Regular" w:hAnsi="MinionPro-Regular"/>
          <w:sz w:val="24"/>
          <w:szCs w:val="24"/>
          <w:lang w:val="es-ES_tradnl"/>
        </w:rPr>
      </w:pPr>
    </w:p>
    <w:p w:rsidR="00A635D1" w:rsidRDefault="00A635D1" w:rsidP="00D2049F">
      <w:pPr>
        <w:autoSpaceDE w:val="0"/>
        <w:autoSpaceDN w:val="0"/>
        <w:spacing w:line="360" w:lineRule="auto"/>
        <w:jc w:val="both"/>
        <w:rPr>
          <w:rFonts w:ascii="MinionPro-Regular" w:hAnsi="MinionPro-Regular"/>
          <w:sz w:val="24"/>
          <w:szCs w:val="24"/>
          <w:lang w:val="es-ES_tradnl"/>
        </w:rPr>
      </w:pPr>
    </w:p>
    <w:p w:rsidR="00A635D1" w:rsidRDefault="00A635D1" w:rsidP="00D2049F">
      <w:pPr>
        <w:autoSpaceDE w:val="0"/>
        <w:autoSpaceDN w:val="0"/>
        <w:spacing w:line="360" w:lineRule="auto"/>
        <w:jc w:val="both"/>
        <w:rPr>
          <w:rFonts w:ascii="MinionPro-Regular" w:hAnsi="MinionPro-Regular"/>
          <w:sz w:val="24"/>
          <w:szCs w:val="24"/>
          <w:lang w:val="es-ES_tradnl"/>
        </w:rPr>
      </w:pPr>
    </w:p>
    <w:p w:rsidR="00A635D1" w:rsidRDefault="00A635D1" w:rsidP="00D2049F">
      <w:pPr>
        <w:autoSpaceDE w:val="0"/>
        <w:autoSpaceDN w:val="0"/>
        <w:spacing w:line="360" w:lineRule="auto"/>
        <w:jc w:val="both"/>
        <w:rPr>
          <w:rFonts w:ascii="MinionPro-Regular" w:hAnsi="MinionPro-Regular"/>
          <w:sz w:val="24"/>
          <w:szCs w:val="24"/>
          <w:lang w:val="es-ES_tradnl"/>
        </w:rPr>
      </w:pPr>
    </w:p>
    <w:p w:rsidR="003641E5" w:rsidRDefault="003641E5" w:rsidP="003670DB">
      <w:pPr>
        <w:autoSpaceDE w:val="0"/>
        <w:autoSpaceDN w:val="0"/>
        <w:spacing w:line="360" w:lineRule="auto"/>
        <w:jc w:val="both"/>
        <w:rPr>
          <w:rFonts w:ascii="MinionPro-Regular" w:hAnsi="MinionPro-Regular"/>
          <w:sz w:val="20"/>
          <w:szCs w:val="24"/>
          <w:lang w:val="es-ES_tradnl"/>
        </w:rPr>
      </w:pPr>
    </w:p>
    <w:p w:rsidR="00F61DE8" w:rsidRDefault="003E019F">
      <w:pPr>
        <w:pBdr>
          <w:top w:val="single" w:sz="4" w:space="0" w:color="auto"/>
        </w:pBdr>
        <w:rPr>
          <w:rFonts w:ascii="MinionPro-Regular" w:hAnsi="MinionPro-Regular"/>
          <w:color w:val="FF0000"/>
          <w:sz w:val="24"/>
          <w:szCs w:val="24"/>
          <w:lang w:val="es-ES_tradnl"/>
        </w:rPr>
      </w:pPr>
      <w:r>
        <w:rPr>
          <w:rFonts w:ascii="MinionPro-Regular" w:hAnsi="MinionPro-Regular"/>
          <w:sz w:val="20"/>
          <w:szCs w:val="24"/>
          <w:lang w:val="es-ES_tradnl"/>
        </w:rPr>
        <w:t>Representación gráfica de todos los conceptos tenidos en cuenta en la estimación del impacto y además, otras consideraciones:</w:t>
      </w:r>
      <w:r w:rsidR="003641E5">
        <w:rPr>
          <w:rFonts w:ascii="MinionPro-Regular" w:hAnsi="MinionPro-Regular"/>
          <w:sz w:val="20"/>
          <w:szCs w:val="24"/>
          <w:lang w:val="es-ES_tradnl"/>
        </w:rPr>
        <w:t xml:space="preserve"> </w:t>
      </w:r>
      <w:r>
        <w:rPr>
          <w:rFonts w:ascii="MinionPro-Regular" w:hAnsi="MinionPro-Regular"/>
          <w:sz w:val="20"/>
          <w:szCs w:val="24"/>
          <w:lang w:val="es-ES_tradnl"/>
        </w:rPr>
        <w:t>ahorro por prestación al desempleo y el pago en salarios de personas con discapacidad en centros especiales de empleo.</w:t>
      </w:r>
    </w:p>
    <w:p w:rsidR="005D4BB9" w:rsidRDefault="005D4BB9" w:rsidP="003641E5">
      <w:pPr>
        <w:pBdr>
          <w:top w:val="single" w:sz="4" w:space="0" w:color="auto"/>
        </w:pBdr>
        <w:jc w:val="both"/>
        <w:rPr>
          <w:rFonts w:ascii="MinionPro-Regular" w:hAnsi="MinionPro-Regular"/>
          <w:color w:val="FF0000"/>
          <w:sz w:val="24"/>
          <w:szCs w:val="24"/>
          <w:lang w:val="es-ES_tradnl"/>
        </w:rPr>
      </w:pPr>
    </w:p>
    <w:p w:rsidR="005D4BB9" w:rsidRPr="003E019F" w:rsidRDefault="00F61DE8" w:rsidP="003641E5">
      <w:pPr>
        <w:pBdr>
          <w:top w:val="single" w:sz="4" w:space="0" w:color="auto"/>
        </w:pBdr>
        <w:jc w:val="both"/>
        <w:rPr>
          <w:rFonts w:ascii="MinionPro-Regular" w:hAnsi="MinionPro-Regular"/>
          <w:color w:val="FF0000"/>
          <w:sz w:val="24"/>
          <w:szCs w:val="24"/>
          <w:lang w:val="es-ES_tradnl"/>
        </w:rPr>
      </w:pPr>
      <w:r>
        <w:rPr>
          <w:rFonts w:ascii="MinionPro-Regular" w:hAnsi="MinionPro-Regular"/>
          <w:noProof/>
          <w:color w:val="FF0000"/>
          <w:sz w:val="24"/>
          <w:szCs w:val="24"/>
          <w:lang w:eastAsia="es-ES"/>
        </w:rPr>
        <w:drawing>
          <wp:inline distT="0" distB="0" distL="0" distR="0">
            <wp:extent cx="5400675" cy="2432076"/>
            <wp:effectExtent l="0" t="0" r="0" b="0"/>
            <wp:docPr id="25" name="Object 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11165432" cy="5027860"/>
                      <a:chOff x="-828600" y="332656"/>
                      <a:chExt cx="11165432" cy="5027860"/>
                    </a:xfrm>
                  </a:grpSpPr>
                  <a:grpSp>
                    <a:nvGrpSpPr>
                      <a:cNvPr id="32" name="Group 31"/>
                      <a:cNvGrpSpPr/>
                    </a:nvGrpSpPr>
                    <a:grpSpPr>
                      <a:xfrm>
                        <a:off x="-828600" y="332656"/>
                        <a:ext cx="11165432" cy="5027860"/>
                        <a:chOff x="-828600" y="332656"/>
                        <a:chExt cx="11165432" cy="5027860"/>
                      </a:xfrm>
                    </a:grpSpPr>
                    <a:grpSp>
                      <a:nvGrpSpPr>
                        <a:cNvPr id="3" name="Group 29"/>
                        <a:cNvGrpSpPr/>
                      </a:nvGrpSpPr>
                      <a:grpSpPr>
                        <a:xfrm>
                          <a:off x="111696" y="4096310"/>
                          <a:ext cx="10225136" cy="1264206"/>
                          <a:chOff x="251520" y="4077072"/>
                          <a:chExt cx="10225136" cy="1264206"/>
                        </a:xfrm>
                      </a:grpSpPr>
                      <a:sp>
                        <a:nvSpPr>
                          <a:cNvPr id="5" name="Rectangle 4"/>
                          <a:cNvSpPr/>
                        </a:nvSpPr>
                        <a:spPr>
                          <a:xfrm>
                            <a:off x="251520" y="4365104"/>
                            <a:ext cx="647848" cy="230832"/>
                          </a:xfrm>
                          <a:prstGeom prst="rect">
                            <a:avLst/>
                          </a:prstGeom>
                        </a:spPr>
                        <a:txSp>
                          <a:txBody>
                            <a:bodyPr wrap="square">
                              <a:spAutoFit/>
                            </a:bodyPr>
                            <a:lstStyle>
                              <a:defPPr>
                                <a:defRPr lang="es-E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s-ES" sz="900" dirty="0" smtClean="0">
                                  <a:latin typeface="MinionPro-Regular"/>
                                </a:rPr>
                                <a:t>IRPF</a:t>
                              </a:r>
                              <a:endParaRPr lang="es-ES" sz="900" dirty="0">
                                <a:latin typeface="MinionPro-Regular"/>
                              </a:endParaRPr>
                            </a:p>
                          </a:txBody>
                          <a:useSpRect/>
                        </a:txSp>
                      </a:sp>
                      <a:sp>
                        <a:nvSpPr>
                          <a:cNvPr id="6" name="Rectangle 5"/>
                          <a:cNvSpPr/>
                        </a:nvSpPr>
                        <a:spPr>
                          <a:xfrm>
                            <a:off x="1403648" y="4365104"/>
                            <a:ext cx="648072" cy="369332"/>
                          </a:xfrm>
                          <a:prstGeom prst="rect">
                            <a:avLst/>
                          </a:prstGeom>
                        </a:spPr>
                        <a:txSp>
                          <a:txBody>
                            <a:bodyPr wrap="square">
                              <a:spAutoFit/>
                            </a:bodyPr>
                            <a:lstStyle>
                              <a:defPPr>
                                <a:defRPr lang="es-E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s-ES" sz="900" dirty="0" smtClean="0">
                                  <a:latin typeface="MinionPro-Regular"/>
                                </a:rPr>
                                <a:t>Retorno</a:t>
                              </a:r>
                            </a:p>
                            <a:p>
                              <a:pPr algn="ctr"/>
                              <a:r>
                                <a:rPr lang="es-ES" sz="900" dirty="0" smtClean="0">
                                  <a:latin typeface="MinionPro-Regular"/>
                                </a:rPr>
                                <a:t> IVA</a:t>
                              </a:r>
                              <a:endParaRPr lang="es-ES" sz="900" dirty="0">
                                <a:latin typeface="MinionPro-Regular"/>
                              </a:endParaRPr>
                            </a:p>
                          </a:txBody>
                          <a:useSpRect/>
                        </a:txSp>
                      </a:sp>
                      <a:sp>
                        <a:nvSpPr>
                          <a:cNvPr id="7" name="Rectangle 6"/>
                          <a:cNvSpPr/>
                        </a:nvSpPr>
                        <a:spPr>
                          <a:xfrm>
                            <a:off x="755576" y="4365104"/>
                            <a:ext cx="720080" cy="369332"/>
                          </a:xfrm>
                          <a:prstGeom prst="rect">
                            <a:avLst/>
                          </a:prstGeom>
                        </a:spPr>
                        <a:txSp>
                          <a:txBody>
                            <a:bodyPr wrap="square">
                              <a:spAutoFit/>
                            </a:bodyPr>
                            <a:lstStyle>
                              <a:defPPr>
                                <a:defRPr lang="es-E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s-ES" sz="900" dirty="0" err="1" smtClean="0">
                                  <a:latin typeface="MinionPro-Regular"/>
                                </a:rPr>
                                <a:t>SeguridadSocial</a:t>
                              </a:r>
                              <a:endParaRPr lang="es-ES" sz="900" dirty="0">
                                <a:latin typeface="MinionPro-Regular"/>
                              </a:endParaRPr>
                            </a:p>
                          </a:txBody>
                          <a:useSpRect/>
                        </a:txSp>
                      </a:sp>
                      <a:sp>
                        <a:nvSpPr>
                          <a:cNvPr id="8" name="Rectangle 7"/>
                          <a:cNvSpPr/>
                        </a:nvSpPr>
                        <a:spPr>
                          <a:xfrm>
                            <a:off x="1835472" y="4361329"/>
                            <a:ext cx="864320" cy="507831"/>
                          </a:xfrm>
                          <a:prstGeom prst="rect">
                            <a:avLst/>
                          </a:prstGeom>
                        </a:spPr>
                        <a:txSp>
                          <a:txBody>
                            <a:bodyPr wrap="square">
                              <a:spAutoFit/>
                            </a:bodyPr>
                            <a:lstStyle>
                              <a:defPPr>
                                <a:defRPr lang="es-E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s-ES" sz="900" dirty="0" smtClean="0">
                                  <a:latin typeface="MinionPro-Regular"/>
                                </a:rPr>
                                <a:t>Retorno impuesto sociedades</a:t>
                              </a:r>
                              <a:endParaRPr lang="es-ES" sz="900" dirty="0">
                                <a:latin typeface="MinionPro-Regular"/>
                              </a:endParaRPr>
                            </a:p>
                          </a:txBody>
                          <a:useSpRect/>
                        </a:txSp>
                      </a:sp>
                      <a:cxnSp>
                        <a:nvCxnSpPr>
                          <a:cNvPr id="9" name="Straight Connector 8"/>
                          <a:cNvCxnSpPr/>
                        </a:nvCxnSpPr>
                        <a:spPr>
                          <a:xfrm>
                            <a:off x="251744" y="4869160"/>
                            <a:ext cx="2232024" cy="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10" name="Straight Connector 9"/>
                          <a:cNvCxnSpPr/>
                        </a:nvCxnSpPr>
                        <a:spPr>
                          <a:xfrm>
                            <a:off x="2987600" y="4869160"/>
                            <a:ext cx="3024560" cy="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sp>
                        <a:nvSpPr>
                          <a:cNvPr id="11" name="Rectangle 10"/>
                          <a:cNvSpPr/>
                        </a:nvSpPr>
                        <a:spPr>
                          <a:xfrm>
                            <a:off x="395536" y="4941168"/>
                            <a:ext cx="2016224" cy="246221"/>
                          </a:xfrm>
                          <a:prstGeom prst="rect">
                            <a:avLst/>
                          </a:prstGeom>
                        </a:spPr>
                        <a:txSp>
                          <a:txBody>
                            <a:bodyPr wrap="square">
                              <a:spAutoFit/>
                            </a:bodyPr>
                            <a:lstStyle>
                              <a:defPPr>
                                <a:defRPr lang="es-E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s-ES_tradnl" sz="1000" b="1" dirty="0" smtClean="0">
                                  <a:latin typeface="Arial"/>
                                  <a:cs typeface="Arial"/>
                                </a:rPr>
                                <a:t>Retorno con salida de caja</a:t>
                              </a:r>
                              <a:endParaRPr lang="es-ES" sz="1000" b="1" dirty="0">
                                <a:latin typeface="MinionPro-Regular"/>
                              </a:endParaRPr>
                            </a:p>
                          </a:txBody>
                          <a:useSpRect/>
                        </a:txSp>
                      </a:sp>
                      <a:sp>
                        <a:nvSpPr>
                          <a:cNvPr id="12" name="Rectangle 11"/>
                          <a:cNvSpPr/>
                        </a:nvSpPr>
                        <a:spPr>
                          <a:xfrm>
                            <a:off x="3635896" y="4982979"/>
                            <a:ext cx="2016224" cy="246221"/>
                          </a:xfrm>
                          <a:prstGeom prst="rect">
                            <a:avLst/>
                          </a:prstGeom>
                        </a:spPr>
                        <a:txSp>
                          <a:txBody>
                            <a:bodyPr wrap="square">
                              <a:spAutoFit/>
                            </a:bodyPr>
                            <a:lstStyle>
                              <a:defPPr>
                                <a:defRPr lang="es-E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s-ES_tradnl" sz="1000" b="1" dirty="0" smtClean="0">
                                  <a:latin typeface="Arial"/>
                                  <a:cs typeface="Arial"/>
                                </a:rPr>
                                <a:t>Retorno sin salida de caja</a:t>
                              </a:r>
                              <a:endParaRPr lang="es-ES" sz="1000" b="1" dirty="0">
                                <a:latin typeface="MinionPro-Regular"/>
                              </a:endParaRPr>
                            </a:p>
                          </a:txBody>
                          <a:useSpRect/>
                        </a:txSp>
                      </a:sp>
                      <a:sp>
                        <a:nvSpPr>
                          <a:cNvPr id="13" name="Rectangle 12"/>
                          <a:cNvSpPr/>
                        </a:nvSpPr>
                        <a:spPr>
                          <a:xfrm>
                            <a:off x="2915592" y="4431595"/>
                            <a:ext cx="647848" cy="230832"/>
                          </a:xfrm>
                          <a:prstGeom prst="rect">
                            <a:avLst/>
                          </a:prstGeom>
                        </a:spPr>
                        <a:txSp>
                          <a:txBody>
                            <a:bodyPr wrap="square">
                              <a:spAutoFit/>
                            </a:bodyPr>
                            <a:lstStyle>
                              <a:defPPr>
                                <a:defRPr lang="es-E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s-ES" sz="900" dirty="0" smtClean="0">
                                  <a:latin typeface="MinionPro-Regular"/>
                                </a:rPr>
                                <a:t>LISMI</a:t>
                              </a:r>
                              <a:endParaRPr lang="es-ES" sz="900" dirty="0">
                                <a:latin typeface="MinionPro-Regular"/>
                              </a:endParaRPr>
                            </a:p>
                          </a:txBody>
                          <a:useSpRect/>
                        </a:txSp>
                      </a:sp>
                      <a:sp>
                        <a:nvSpPr>
                          <a:cNvPr id="14" name="Rectangle 13"/>
                          <a:cNvSpPr/>
                        </a:nvSpPr>
                        <a:spPr>
                          <a:xfrm>
                            <a:off x="4067944" y="4293096"/>
                            <a:ext cx="864096" cy="369332"/>
                          </a:xfrm>
                          <a:prstGeom prst="rect">
                            <a:avLst/>
                          </a:prstGeom>
                        </a:spPr>
                        <a:txSp>
                          <a:txBody>
                            <a:bodyPr wrap="square">
                              <a:spAutoFit/>
                            </a:bodyPr>
                            <a:lstStyle>
                              <a:defPPr>
                                <a:defRPr lang="es-E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s-ES" sz="900" dirty="0" smtClean="0">
                                  <a:latin typeface="MinionPro-Regular"/>
                                </a:rPr>
                                <a:t>Pensiones contributivas</a:t>
                              </a:r>
                            </a:p>
                          </a:txBody>
                          <a:useSpRect/>
                        </a:txSp>
                      </a:sp>
                      <a:sp>
                        <a:nvSpPr>
                          <a:cNvPr id="15" name="Rectangle 14"/>
                          <a:cNvSpPr/>
                        </a:nvSpPr>
                        <a:spPr>
                          <a:xfrm>
                            <a:off x="3419424" y="4293096"/>
                            <a:ext cx="864096" cy="507831"/>
                          </a:xfrm>
                          <a:prstGeom prst="rect">
                            <a:avLst/>
                          </a:prstGeom>
                        </a:spPr>
                        <a:txSp>
                          <a:txBody>
                            <a:bodyPr wrap="square">
                              <a:spAutoFit/>
                            </a:bodyPr>
                            <a:lstStyle>
                              <a:defPPr>
                                <a:defRPr lang="es-E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s-ES" sz="900" dirty="0" smtClean="0">
                                  <a:latin typeface="MinionPro-Regular"/>
                                </a:rPr>
                                <a:t> Pensiones no contributivas</a:t>
                              </a:r>
                              <a:endParaRPr lang="es-ES" sz="900" dirty="0">
                                <a:latin typeface="MinionPro-Regular"/>
                              </a:endParaRPr>
                            </a:p>
                          </a:txBody>
                          <a:useSpRect/>
                        </a:txSp>
                      </a:sp>
                      <a:sp>
                        <a:nvSpPr>
                          <a:cNvPr id="16" name="Rectangle 15"/>
                          <a:cNvSpPr/>
                        </a:nvSpPr>
                        <a:spPr>
                          <a:xfrm>
                            <a:off x="4644008" y="4293096"/>
                            <a:ext cx="864320" cy="369332"/>
                          </a:xfrm>
                          <a:prstGeom prst="rect">
                            <a:avLst/>
                          </a:prstGeom>
                        </a:spPr>
                        <a:txSp>
                          <a:txBody>
                            <a:bodyPr wrap="square">
                              <a:spAutoFit/>
                            </a:bodyPr>
                            <a:lstStyle>
                              <a:defPPr>
                                <a:defRPr lang="es-E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s-ES" sz="900" dirty="0" smtClean="0">
                                  <a:latin typeface="MinionPro-Regular"/>
                                </a:rPr>
                                <a:t>Ahorro sanitario</a:t>
                              </a:r>
                              <a:endParaRPr lang="es-ES" sz="900" dirty="0">
                                <a:latin typeface="MinionPro-Regular"/>
                              </a:endParaRPr>
                            </a:p>
                          </a:txBody>
                          <a:useSpRect/>
                        </a:txSp>
                      </a:sp>
                      <a:sp>
                        <a:nvSpPr>
                          <a:cNvPr id="20" name="Rectangle 19"/>
                          <a:cNvSpPr/>
                        </a:nvSpPr>
                        <a:spPr>
                          <a:xfrm>
                            <a:off x="5292080" y="4293096"/>
                            <a:ext cx="936328" cy="369332"/>
                          </a:xfrm>
                          <a:prstGeom prst="rect">
                            <a:avLst/>
                          </a:prstGeom>
                        </a:spPr>
                        <a:txSp>
                          <a:txBody>
                            <a:bodyPr wrap="square">
                              <a:spAutoFit/>
                            </a:bodyPr>
                            <a:lstStyle>
                              <a:defPPr>
                                <a:defRPr lang="es-E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s-ES" sz="900" dirty="0" smtClean="0">
                                  <a:latin typeface="MinionPro-Regular"/>
                                </a:rPr>
                                <a:t>Plazas ocupacionales</a:t>
                              </a:r>
                              <a:endParaRPr lang="es-ES" sz="900" dirty="0">
                                <a:latin typeface="MinionPro-Regular"/>
                              </a:endParaRPr>
                            </a:p>
                          </a:txBody>
                          <a:useSpRect/>
                        </a:txSp>
                      </a:sp>
                      <a:sp>
                        <a:nvSpPr>
                          <a:cNvPr id="22" name="Rectangle 21"/>
                          <a:cNvSpPr/>
                        </a:nvSpPr>
                        <a:spPr>
                          <a:xfrm>
                            <a:off x="6300192" y="4149080"/>
                            <a:ext cx="936328" cy="646331"/>
                          </a:xfrm>
                          <a:prstGeom prst="rect">
                            <a:avLst/>
                          </a:prstGeom>
                        </a:spPr>
                        <a:txSp>
                          <a:txBody>
                            <a:bodyPr wrap="square">
                              <a:spAutoFit/>
                            </a:bodyPr>
                            <a:lstStyle>
                              <a:defPPr>
                                <a:defRPr lang="es-E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s-ES" sz="900" dirty="0" smtClean="0">
                                  <a:latin typeface="MinionPro-Regular"/>
                                </a:rPr>
                                <a:t>Retorno total de los centros especiales de empleo</a:t>
                              </a:r>
                              <a:endParaRPr lang="es-ES" sz="900" dirty="0">
                                <a:latin typeface="MinionPro-Regular"/>
                              </a:endParaRPr>
                            </a:p>
                          </a:txBody>
                          <a:useSpRect/>
                        </a:txSp>
                      </a:sp>
                      <a:sp>
                        <a:nvSpPr>
                          <a:cNvPr id="23" name="Rectangle 22"/>
                          <a:cNvSpPr/>
                        </a:nvSpPr>
                        <a:spPr>
                          <a:xfrm>
                            <a:off x="7452320" y="4149080"/>
                            <a:ext cx="936328" cy="646331"/>
                          </a:xfrm>
                          <a:prstGeom prst="rect">
                            <a:avLst/>
                          </a:prstGeom>
                        </a:spPr>
                        <a:txSp>
                          <a:txBody>
                            <a:bodyPr wrap="square">
                              <a:spAutoFit/>
                            </a:bodyPr>
                            <a:lstStyle>
                              <a:defPPr>
                                <a:defRPr lang="es-E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s-ES" sz="900" dirty="0" smtClean="0">
                                  <a:latin typeface="MinionPro-Regular"/>
                                </a:rPr>
                                <a:t>Ayudas totales de la Administración Pública</a:t>
                              </a:r>
                              <a:endParaRPr lang="es-ES" sz="900" dirty="0">
                                <a:latin typeface="MinionPro-Regular"/>
                              </a:endParaRPr>
                            </a:p>
                          </a:txBody>
                          <a:useSpRect/>
                        </a:txSp>
                      </a:sp>
                      <a:sp>
                        <a:nvSpPr>
                          <a:cNvPr id="24" name="Rectangle 23"/>
                          <a:cNvSpPr/>
                        </a:nvSpPr>
                        <a:spPr>
                          <a:xfrm>
                            <a:off x="8532440" y="4149080"/>
                            <a:ext cx="936328" cy="507831"/>
                          </a:xfrm>
                          <a:prstGeom prst="rect">
                            <a:avLst/>
                          </a:prstGeom>
                        </a:spPr>
                        <a:txSp>
                          <a:txBody>
                            <a:bodyPr wrap="square">
                              <a:spAutoFit/>
                            </a:bodyPr>
                            <a:lstStyle>
                              <a:defPPr>
                                <a:defRPr lang="es-E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s-ES" sz="900" dirty="0" smtClean="0">
                                  <a:latin typeface="MinionPro-Regular"/>
                                </a:rPr>
                                <a:t>Prestaciones por desempleo</a:t>
                              </a:r>
                              <a:endParaRPr lang="es-ES" sz="900" dirty="0">
                                <a:latin typeface="MinionPro-Regular"/>
                              </a:endParaRPr>
                            </a:p>
                          </a:txBody>
                          <a:useSpRect/>
                        </a:txSp>
                      </a:sp>
                      <a:sp>
                        <a:nvSpPr>
                          <a:cNvPr id="25" name="Rectangle 24"/>
                          <a:cNvSpPr/>
                        </a:nvSpPr>
                        <a:spPr>
                          <a:xfrm>
                            <a:off x="9252520" y="4149080"/>
                            <a:ext cx="936328" cy="646331"/>
                          </a:xfrm>
                          <a:prstGeom prst="rect">
                            <a:avLst/>
                          </a:prstGeom>
                        </a:spPr>
                        <a:txSp>
                          <a:txBody>
                            <a:bodyPr wrap="square">
                              <a:spAutoFit/>
                            </a:bodyPr>
                            <a:lstStyle>
                              <a:defPPr>
                                <a:defRPr lang="es-E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s-ES" sz="900" dirty="0" smtClean="0">
                                  <a:latin typeface="MinionPro-Regular"/>
                                </a:rPr>
                                <a:t>Pago en salarios a personas con discapacidad</a:t>
                              </a:r>
                              <a:endParaRPr lang="es-ES" sz="900" dirty="0">
                                <a:latin typeface="MinionPro-Regular"/>
                              </a:endParaRPr>
                            </a:p>
                          </a:txBody>
                          <a:useSpRect/>
                        </a:txSp>
                      </a:sp>
                      <a:cxnSp>
                        <a:nvCxnSpPr>
                          <a:cNvPr id="26" name="Straight Connector 25"/>
                          <a:cNvCxnSpPr/>
                        </a:nvCxnSpPr>
                        <a:spPr>
                          <a:xfrm>
                            <a:off x="8676680" y="4869160"/>
                            <a:ext cx="1439936" cy="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sp>
                        <a:nvSpPr>
                          <a:cNvPr id="27" name="Rectangle 26"/>
                          <a:cNvSpPr/>
                        </a:nvSpPr>
                        <a:spPr>
                          <a:xfrm>
                            <a:off x="8460432" y="4941168"/>
                            <a:ext cx="2016224" cy="400110"/>
                          </a:xfrm>
                          <a:prstGeom prst="rect">
                            <a:avLst/>
                          </a:prstGeom>
                        </a:spPr>
                        <a:txSp>
                          <a:txBody>
                            <a:bodyPr wrap="square">
                              <a:spAutoFit/>
                            </a:bodyPr>
                            <a:lstStyle>
                              <a:defPPr>
                                <a:defRPr lang="es-E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s-ES_tradnl" sz="1000" b="1" dirty="0" smtClean="0">
                                  <a:latin typeface="Arial"/>
                                  <a:cs typeface="Arial"/>
                                </a:rPr>
                                <a:t>Otras consideraciones del estudio</a:t>
                              </a:r>
                              <a:endParaRPr lang="es-ES" sz="1000" b="1" dirty="0">
                                <a:latin typeface="MinionPro-Regular"/>
                              </a:endParaRPr>
                            </a:p>
                          </a:txBody>
                          <a:useSpRect/>
                        </a:txSp>
                      </a:sp>
                      <a:cxnSp>
                        <a:nvCxnSpPr>
                          <a:cNvPr id="29" name="Straight Connector 28"/>
                          <a:cNvCxnSpPr/>
                        </a:nvCxnSpPr>
                        <a:spPr>
                          <a:xfrm>
                            <a:off x="251520" y="4077072"/>
                            <a:ext cx="9684000" cy="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grpSp>
                    <a:graphicFrame>
                      <a:nvGraphicFramePr>
                        <a:cNvPr id="28" name="Chart 27"/>
                        <a:cNvGraphicFramePr/>
                      </a:nvGraphicFramePr>
                      <a:graphic>
                        <a:graphicData uri="http://schemas.openxmlformats.org/drawingml/2006/chart">
                          <c:chart xmlns:c="http://schemas.openxmlformats.org/drawingml/2006/chart" xmlns:r="http://schemas.openxmlformats.org/officeDocument/2006/relationships" r:id="rId131"/>
                        </a:graphicData>
                      </a:graphic>
                      <a:xfrm>
                        <a:off x="-828600" y="332656"/>
                        <a:ext cx="11013285" cy="4369593"/>
                      </a:xfrm>
                    </a:graphicFrame>
                  </a:grpSp>
                </lc:lockedCanvas>
              </a:graphicData>
            </a:graphic>
          </wp:inline>
        </w:drawing>
      </w:r>
    </w:p>
    <w:p w:rsidR="003E019F" w:rsidRDefault="003641E5" w:rsidP="003E019F">
      <w:pPr>
        <w:pStyle w:val="Textoindependiente"/>
        <w:rPr>
          <w:rFonts w:ascii="MinionPro-Regular" w:hAnsi="MinionPro-Regular"/>
          <w:sz w:val="20"/>
          <w:szCs w:val="24"/>
          <w:lang w:val="es-ES_tradnl"/>
        </w:rPr>
      </w:pPr>
      <w:r>
        <w:rPr>
          <w:rFonts w:ascii="MinionPro-Regular" w:hAnsi="MinionPro-Regular"/>
          <w:sz w:val="20"/>
          <w:szCs w:val="24"/>
          <w:lang w:val="es-ES_tradnl"/>
        </w:rPr>
        <w:t>Fuent</w:t>
      </w:r>
      <w:r w:rsidR="003E019F" w:rsidRPr="007949F6">
        <w:rPr>
          <w:rFonts w:ascii="MinionPro-Regular" w:hAnsi="MinionPro-Regular"/>
          <w:sz w:val="20"/>
          <w:szCs w:val="24"/>
          <w:lang w:val="es-ES_tradnl"/>
        </w:rPr>
        <w:t xml:space="preserve">e: </w:t>
      </w:r>
      <w:r w:rsidR="003E019F">
        <w:rPr>
          <w:rFonts w:ascii="MinionPro-Regular" w:hAnsi="MinionPro-Regular"/>
          <w:sz w:val="20"/>
          <w:szCs w:val="24"/>
          <w:lang w:val="es-ES_tradnl"/>
        </w:rPr>
        <w:t>Elaboración propia</w:t>
      </w:r>
    </w:p>
    <w:p w:rsidR="003E019F" w:rsidRPr="00891BAF" w:rsidRDefault="003E019F" w:rsidP="003E019F">
      <w:pPr>
        <w:pBdr>
          <w:bottom w:val="single" w:sz="4" w:space="1" w:color="auto"/>
        </w:pBdr>
        <w:autoSpaceDE w:val="0"/>
        <w:autoSpaceDN w:val="0"/>
        <w:spacing w:line="360" w:lineRule="auto"/>
        <w:jc w:val="both"/>
        <w:rPr>
          <w:rFonts w:ascii="MinionPro-Regular" w:hAnsi="MinionPro-Regular"/>
          <w:sz w:val="20"/>
          <w:szCs w:val="24"/>
          <w:lang w:val="es-ES_tradnl"/>
        </w:rPr>
      </w:pPr>
      <w:r w:rsidRPr="00891BAF">
        <w:rPr>
          <w:rFonts w:ascii="MinionPro-Regular" w:hAnsi="MinionPro-Regular"/>
          <w:sz w:val="20"/>
          <w:szCs w:val="24"/>
          <w:lang w:val="es-ES_tradnl"/>
        </w:rPr>
        <w:t xml:space="preserve">Nota explicativa de las gráficas: </w:t>
      </w:r>
      <w:r>
        <w:rPr>
          <w:rFonts w:ascii="MinionPro-Regular" w:hAnsi="MinionPro-Regular"/>
          <w:sz w:val="20"/>
          <w:szCs w:val="24"/>
          <w:lang w:val="es-ES_tradnl"/>
        </w:rPr>
        <w:t xml:space="preserve">La gráfica presenta </w:t>
      </w:r>
      <w:r w:rsidR="00B970E8">
        <w:rPr>
          <w:rFonts w:ascii="MinionPro-Regular" w:hAnsi="MinionPro-Regular"/>
          <w:sz w:val="20"/>
          <w:szCs w:val="24"/>
          <w:lang w:val="es-ES_tradnl"/>
        </w:rPr>
        <w:t>cinco</w:t>
      </w:r>
      <w:r>
        <w:rPr>
          <w:rFonts w:ascii="MinionPro-Regular" w:hAnsi="MinionPro-Regular"/>
          <w:sz w:val="20"/>
          <w:szCs w:val="24"/>
          <w:lang w:val="es-ES_tradnl"/>
        </w:rPr>
        <w:t xml:space="preserve"> bloques de columnas. En primer lugar se encuentran representadas las cuatro columnas que incluyen los conceptos de retorno con salida de caja: </w:t>
      </w:r>
      <w:r w:rsidR="003641E5">
        <w:rPr>
          <w:rFonts w:ascii="MinionPro-Regular" w:hAnsi="MinionPro-Regular"/>
          <w:sz w:val="20"/>
          <w:szCs w:val="24"/>
          <w:lang w:val="es-ES_tradnl"/>
        </w:rPr>
        <w:t>derivado de IRPF (</w:t>
      </w:r>
      <w:r>
        <w:rPr>
          <w:rFonts w:ascii="MinionPro-Regular" w:hAnsi="MinionPro-Regular"/>
          <w:sz w:val="20"/>
          <w:szCs w:val="24"/>
          <w:lang w:val="es-ES_tradnl"/>
        </w:rPr>
        <w:t>59.208.424 euros</w:t>
      </w:r>
      <w:r w:rsidR="003641E5">
        <w:rPr>
          <w:rFonts w:ascii="MinionPro-Regular" w:hAnsi="MinionPro-Regular"/>
          <w:sz w:val="20"/>
          <w:szCs w:val="24"/>
          <w:lang w:val="es-ES_tradnl"/>
        </w:rPr>
        <w:t>)</w:t>
      </w:r>
      <w:r>
        <w:rPr>
          <w:rFonts w:ascii="MinionPro-Regular" w:hAnsi="MinionPro-Regular"/>
          <w:sz w:val="20"/>
          <w:szCs w:val="24"/>
          <w:lang w:val="es-ES_tradnl"/>
        </w:rPr>
        <w:t>, Seguridad Social</w:t>
      </w:r>
      <w:r w:rsidR="003641E5">
        <w:rPr>
          <w:rFonts w:ascii="MinionPro-Regular" w:hAnsi="MinionPro-Regular"/>
          <w:sz w:val="20"/>
          <w:szCs w:val="24"/>
          <w:lang w:val="es-ES_tradnl"/>
        </w:rPr>
        <w:t xml:space="preserve"> (</w:t>
      </w:r>
      <w:r>
        <w:rPr>
          <w:rFonts w:ascii="MinionPro-Regular" w:hAnsi="MinionPro-Regular"/>
          <w:sz w:val="20"/>
          <w:szCs w:val="24"/>
          <w:lang w:val="es-ES_tradnl"/>
        </w:rPr>
        <w:t>120.123.747 euros</w:t>
      </w:r>
      <w:r w:rsidR="003641E5">
        <w:rPr>
          <w:rFonts w:ascii="MinionPro-Regular" w:hAnsi="MinionPro-Regular"/>
          <w:sz w:val="20"/>
          <w:szCs w:val="24"/>
          <w:lang w:val="es-ES_tradnl"/>
        </w:rPr>
        <w:t>)</w:t>
      </w:r>
      <w:r>
        <w:rPr>
          <w:rFonts w:ascii="MinionPro-Regular" w:hAnsi="MinionPro-Regular"/>
          <w:sz w:val="20"/>
          <w:szCs w:val="24"/>
          <w:lang w:val="es-ES_tradnl"/>
        </w:rPr>
        <w:t xml:space="preserve">, derivado del IVA de los productos del centro especial </w:t>
      </w:r>
      <w:r w:rsidR="003641E5">
        <w:rPr>
          <w:rFonts w:ascii="MinionPro-Regular" w:hAnsi="MinionPro-Regular"/>
          <w:sz w:val="20"/>
          <w:szCs w:val="24"/>
          <w:lang w:val="es-ES_tradnl"/>
        </w:rPr>
        <w:t>(</w:t>
      </w:r>
      <w:r>
        <w:rPr>
          <w:rFonts w:ascii="MinionPro-Regular" w:hAnsi="MinionPro-Regular"/>
          <w:sz w:val="20"/>
          <w:szCs w:val="24"/>
          <w:lang w:val="es-ES_tradnl"/>
        </w:rPr>
        <w:t>239.555.474 euros</w:t>
      </w:r>
      <w:r w:rsidR="003641E5">
        <w:rPr>
          <w:rFonts w:ascii="MinionPro-Regular" w:hAnsi="MinionPro-Regular"/>
          <w:sz w:val="20"/>
          <w:szCs w:val="24"/>
          <w:lang w:val="es-ES_tradnl"/>
        </w:rPr>
        <w:t>)</w:t>
      </w:r>
      <w:r>
        <w:rPr>
          <w:rFonts w:ascii="MinionPro-Regular" w:hAnsi="MinionPro-Regular"/>
          <w:sz w:val="20"/>
          <w:szCs w:val="24"/>
          <w:lang w:val="es-ES_tradnl"/>
        </w:rPr>
        <w:t xml:space="preserve"> y el impuesto de sociedades, alrededor de 40,7 millones de e</w:t>
      </w:r>
      <w:r w:rsidR="00D76140">
        <w:rPr>
          <w:rFonts w:ascii="MinionPro-Regular" w:hAnsi="MinionPro-Regular"/>
          <w:sz w:val="20"/>
          <w:szCs w:val="24"/>
          <w:lang w:val="es-ES_tradnl"/>
        </w:rPr>
        <w:t>uros. A co</w:t>
      </w:r>
      <w:r w:rsidR="003641E5">
        <w:rPr>
          <w:rFonts w:ascii="MinionPro-Regular" w:hAnsi="MinionPro-Regular"/>
          <w:sz w:val="20"/>
          <w:szCs w:val="24"/>
          <w:lang w:val="es-ES_tradnl"/>
        </w:rPr>
        <w:t>ntinuación, otro bloque de cinc</w:t>
      </w:r>
      <w:r w:rsidR="00D76140">
        <w:rPr>
          <w:rFonts w:ascii="MinionPro-Regular" w:hAnsi="MinionPro-Regular"/>
          <w:sz w:val="20"/>
          <w:szCs w:val="24"/>
          <w:lang w:val="es-ES_tradnl"/>
        </w:rPr>
        <w:t>o conceptos, que engloban el retorno sin salida de caja: LI</w:t>
      </w:r>
      <w:r w:rsidR="003641E5">
        <w:rPr>
          <w:rFonts w:ascii="MinionPro-Regular" w:hAnsi="MinionPro-Regular"/>
          <w:sz w:val="20"/>
          <w:szCs w:val="24"/>
          <w:lang w:val="es-ES_tradnl"/>
        </w:rPr>
        <w:t>SMI 1.778.738 euros, pensiones no contributivas 22.730.090 euros, pensiones c</w:t>
      </w:r>
      <w:r w:rsidR="00D76140">
        <w:rPr>
          <w:rFonts w:ascii="MinionPro-Regular" w:hAnsi="MinionPro-Regular"/>
          <w:sz w:val="20"/>
          <w:szCs w:val="24"/>
          <w:lang w:val="es-ES_tradnl"/>
        </w:rPr>
        <w:t xml:space="preserve">ontributivas 43.417.067 euros, y el ahorro sanitario que ascendería a 97.227.989 euros. La siguiente columna engloba el retorno </w:t>
      </w:r>
      <w:r w:rsidR="00D76140">
        <w:rPr>
          <w:rFonts w:ascii="MinionPro-Regular" w:hAnsi="MinionPro-Regular"/>
          <w:sz w:val="20"/>
          <w:szCs w:val="24"/>
          <w:lang w:val="es-ES_tradnl"/>
        </w:rPr>
        <w:lastRenderedPageBreak/>
        <w:t xml:space="preserve">total que resulta de sumar los conceptos anteriormente mencionados: </w:t>
      </w:r>
      <w:r w:rsidR="005D4BB9">
        <w:rPr>
          <w:rFonts w:ascii="MinionPro-Regular" w:hAnsi="MinionPro-Regular"/>
          <w:sz w:val="20"/>
          <w:szCs w:val="24"/>
          <w:lang w:val="es-ES_tradnl"/>
        </w:rPr>
        <w:t>760</w:t>
      </w:r>
      <w:r w:rsidR="00D76140">
        <w:rPr>
          <w:rFonts w:ascii="MinionPro-Regular" w:hAnsi="MinionPro-Regular"/>
          <w:sz w:val="20"/>
          <w:szCs w:val="24"/>
          <w:lang w:val="es-ES_tradnl"/>
        </w:rPr>
        <w:t>.</w:t>
      </w:r>
      <w:r w:rsidR="005D4BB9">
        <w:rPr>
          <w:rFonts w:ascii="MinionPro-Regular" w:hAnsi="MinionPro-Regular"/>
          <w:sz w:val="20"/>
          <w:szCs w:val="24"/>
          <w:lang w:val="es-ES_tradnl"/>
        </w:rPr>
        <w:t>130</w:t>
      </w:r>
      <w:r w:rsidR="00D76140">
        <w:rPr>
          <w:rFonts w:ascii="MinionPro-Regular" w:hAnsi="MinionPro-Regular"/>
          <w:sz w:val="20"/>
          <w:szCs w:val="24"/>
          <w:lang w:val="es-ES_tradnl"/>
        </w:rPr>
        <w:t>.</w:t>
      </w:r>
      <w:r w:rsidR="005D4BB9">
        <w:rPr>
          <w:rFonts w:ascii="MinionPro-Regular" w:hAnsi="MinionPro-Regular"/>
          <w:sz w:val="20"/>
          <w:szCs w:val="24"/>
          <w:lang w:val="es-ES_tradnl"/>
        </w:rPr>
        <w:t>661</w:t>
      </w:r>
      <w:r w:rsidR="00D76140">
        <w:rPr>
          <w:rFonts w:ascii="MinionPro-Regular" w:hAnsi="MinionPro-Regular"/>
          <w:sz w:val="20"/>
          <w:szCs w:val="24"/>
          <w:lang w:val="es-ES_tradnl"/>
        </w:rPr>
        <w:t xml:space="preserve">. Esta columna se compara con la que a continuación aparece, que es el total de Ayudas de la Administración Pública a los centroes especiales de empleo: 528.329.213. Por último, un bloque de </w:t>
      </w:r>
      <w:r w:rsidR="003641E5">
        <w:rPr>
          <w:rFonts w:ascii="MinionPro-Regular" w:hAnsi="MinionPro-Regular"/>
          <w:sz w:val="20"/>
          <w:szCs w:val="24"/>
          <w:lang w:val="es-ES_tradnl"/>
        </w:rPr>
        <w:t>do</w:t>
      </w:r>
      <w:r w:rsidR="00D76140">
        <w:rPr>
          <w:rFonts w:ascii="MinionPro-Regular" w:hAnsi="MinionPro-Regular"/>
          <w:sz w:val="20"/>
          <w:szCs w:val="24"/>
          <w:lang w:val="es-ES_tradnl"/>
        </w:rPr>
        <w:t xml:space="preserve">s columnas con los conceptos que se van a considerar en el estudio, si bien, no están incluidos como sumandos </w:t>
      </w:r>
      <w:r w:rsidR="00ED2DA9">
        <w:rPr>
          <w:rFonts w:ascii="MinionPro-Regular" w:hAnsi="MinionPro-Regular"/>
          <w:sz w:val="20"/>
          <w:szCs w:val="24"/>
          <w:lang w:val="es-ES_tradnl"/>
        </w:rPr>
        <w:t>en el retorno económico: e</w:t>
      </w:r>
      <w:r w:rsidR="00D76140">
        <w:rPr>
          <w:rFonts w:ascii="MinionPro-Regular" w:hAnsi="MinionPro-Regular"/>
          <w:sz w:val="20"/>
          <w:szCs w:val="24"/>
          <w:lang w:val="es-ES_tradnl"/>
        </w:rPr>
        <w:t>stimación de ahorro de prestaciones al d</w:t>
      </w:r>
      <w:r w:rsidR="00ED2DA9">
        <w:rPr>
          <w:rFonts w:ascii="MinionPro-Regular" w:hAnsi="MinionPro-Regular"/>
          <w:sz w:val="20"/>
          <w:szCs w:val="24"/>
          <w:lang w:val="es-ES_tradnl"/>
        </w:rPr>
        <w:t xml:space="preserve">esempleo (462.556.718 euros) y </w:t>
      </w:r>
      <w:r w:rsidR="00D76140">
        <w:rPr>
          <w:rFonts w:ascii="MinionPro-Regular" w:hAnsi="MinionPro-Regular"/>
          <w:sz w:val="20"/>
          <w:szCs w:val="24"/>
          <w:lang w:val="es-ES_tradnl"/>
        </w:rPr>
        <w:t>estimación del pago en salarios a personas con discapacidad (772.692.000 euros).</w:t>
      </w:r>
    </w:p>
    <w:p w:rsidR="00D2049F" w:rsidRDefault="00D2049F" w:rsidP="003670DB">
      <w:pPr>
        <w:autoSpaceDE w:val="0"/>
        <w:autoSpaceDN w:val="0"/>
        <w:spacing w:line="360" w:lineRule="auto"/>
        <w:jc w:val="both"/>
        <w:rPr>
          <w:rFonts w:ascii="MinionPro-Regular" w:hAnsi="MinionPro-Regular"/>
          <w:sz w:val="24"/>
          <w:szCs w:val="24"/>
          <w:lang w:val="es-ES_tradnl"/>
        </w:rPr>
      </w:pPr>
    </w:p>
    <w:p w:rsidR="00D2049F" w:rsidRDefault="00D2049F" w:rsidP="003670DB">
      <w:pPr>
        <w:autoSpaceDE w:val="0"/>
        <w:autoSpaceDN w:val="0"/>
        <w:spacing w:line="360" w:lineRule="auto"/>
        <w:jc w:val="both"/>
        <w:rPr>
          <w:rFonts w:ascii="MinionPro-Regular" w:hAnsi="MinionPro-Regular"/>
          <w:sz w:val="24"/>
          <w:szCs w:val="24"/>
          <w:lang w:val="es-ES_tradnl"/>
        </w:rPr>
      </w:pPr>
    </w:p>
    <w:p w:rsidR="00D2049F" w:rsidRDefault="00D2049F" w:rsidP="003670DB">
      <w:pPr>
        <w:autoSpaceDE w:val="0"/>
        <w:autoSpaceDN w:val="0"/>
        <w:spacing w:line="360" w:lineRule="auto"/>
        <w:jc w:val="both"/>
        <w:rPr>
          <w:rFonts w:ascii="MinionPro-Regular" w:hAnsi="MinionPro-Regular"/>
          <w:sz w:val="24"/>
          <w:szCs w:val="24"/>
          <w:lang w:val="es-ES_tradnl"/>
        </w:rPr>
      </w:pPr>
    </w:p>
    <w:p w:rsidR="00D2049F" w:rsidRDefault="00D2049F" w:rsidP="003670DB">
      <w:pPr>
        <w:autoSpaceDE w:val="0"/>
        <w:autoSpaceDN w:val="0"/>
        <w:spacing w:line="360" w:lineRule="auto"/>
        <w:jc w:val="both"/>
        <w:rPr>
          <w:rFonts w:ascii="MinionPro-Regular" w:hAnsi="MinionPro-Regular"/>
          <w:sz w:val="24"/>
          <w:szCs w:val="24"/>
          <w:lang w:val="es-ES_tradnl"/>
        </w:rPr>
      </w:pPr>
    </w:p>
    <w:p w:rsidR="003E019F" w:rsidRDefault="003E019F" w:rsidP="003670DB">
      <w:pPr>
        <w:autoSpaceDE w:val="0"/>
        <w:autoSpaceDN w:val="0"/>
        <w:spacing w:line="360" w:lineRule="auto"/>
        <w:jc w:val="both"/>
        <w:rPr>
          <w:rFonts w:ascii="MinionPro-Regular" w:hAnsi="MinionPro-Regular"/>
          <w:sz w:val="24"/>
          <w:szCs w:val="24"/>
          <w:lang w:val="es-ES_tradnl"/>
        </w:rPr>
      </w:pPr>
    </w:p>
    <w:p w:rsidR="003E019F" w:rsidRDefault="003E019F" w:rsidP="003670DB">
      <w:pPr>
        <w:autoSpaceDE w:val="0"/>
        <w:autoSpaceDN w:val="0"/>
        <w:spacing w:line="360" w:lineRule="auto"/>
        <w:jc w:val="both"/>
        <w:rPr>
          <w:rFonts w:ascii="MinionPro-Regular" w:hAnsi="MinionPro-Regular"/>
          <w:sz w:val="24"/>
          <w:szCs w:val="24"/>
          <w:lang w:val="es-ES_tradnl"/>
        </w:rPr>
      </w:pPr>
    </w:p>
    <w:p w:rsidR="000A0727" w:rsidRDefault="003670DB" w:rsidP="003670DB">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 xml:space="preserve">Asimismo, cabe resaltar que de acuerdo a la información disponible en el Servicio Público de Empleo Estatal la estabilidad en el empleo de las personas con discapacidad en centros especiales de empleo no se ha visto afectada por el actual entorno económico. Incluso, la contratación indefinida ha experimentado un ligero incremento. </w:t>
      </w:r>
    </w:p>
    <w:p w:rsidR="003670DB" w:rsidRPr="005537A9" w:rsidRDefault="003670DB" w:rsidP="0007541A">
      <w:pPr>
        <w:pStyle w:val="Ttulo2"/>
        <w:numPr>
          <w:ilvl w:val="1"/>
          <w:numId w:val="3"/>
        </w:numPr>
        <w:ind w:left="0"/>
        <w:rPr>
          <w:rFonts w:ascii="MinionPro-Regular" w:hAnsi="MinionPro-Regular"/>
        </w:rPr>
      </w:pPr>
      <w:bookmarkStart w:id="456" w:name="_Toc340340572"/>
      <w:bookmarkStart w:id="457" w:name="_Toc352773600"/>
      <w:r w:rsidRPr="005537A9">
        <w:rPr>
          <w:rFonts w:ascii="MinionPro-Regular" w:hAnsi="MinionPro-Regular"/>
        </w:rPr>
        <w:t>Los centros especiales de empleo suponen el 0,</w:t>
      </w:r>
      <w:r>
        <w:rPr>
          <w:rFonts w:ascii="MinionPro-Regular" w:hAnsi="MinionPro-Regular"/>
        </w:rPr>
        <w:t>3</w:t>
      </w:r>
      <w:r w:rsidRPr="005537A9">
        <w:rPr>
          <w:rFonts w:ascii="MinionPro-Regular" w:hAnsi="MinionPro-Regular"/>
        </w:rPr>
        <w:t>% de la economía nacional</w:t>
      </w:r>
      <w:bookmarkEnd w:id="456"/>
      <w:bookmarkEnd w:id="457"/>
    </w:p>
    <w:p w:rsidR="003670DB" w:rsidRDefault="003670DB" w:rsidP="003670DB">
      <w:pPr>
        <w:autoSpaceDE w:val="0"/>
        <w:autoSpaceDN w:val="0"/>
        <w:spacing w:line="360" w:lineRule="auto"/>
        <w:jc w:val="both"/>
        <w:rPr>
          <w:b/>
        </w:rPr>
      </w:pPr>
    </w:p>
    <w:p w:rsidR="003670DB" w:rsidRDefault="003670DB" w:rsidP="003670DB">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El Anuario de E</w:t>
      </w:r>
      <w:r w:rsidRPr="001F3CD2">
        <w:rPr>
          <w:rFonts w:ascii="MinionPro-Regular" w:hAnsi="MinionPro-Regular"/>
          <w:sz w:val="24"/>
          <w:szCs w:val="24"/>
          <w:lang w:val="es-ES_tradnl"/>
        </w:rPr>
        <w:t>stadísticas del Ministerio de Empleo y Seguridad del ejercicio 2011</w:t>
      </w:r>
      <w:r>
        <w:rPr>
          <w:rFonts w:ascii="MinionPro-Regular" w:hAnsi="MinionPro-Regular"/>
          <w:sz w:val="24"/>
          <w:szCs w:val="24"/>
          <w:lang w:val="es-ES_tradnl"/>
        </w:rPr>
        <w:t xml:space="preserve"> muestra</w:t>
      </w:r>
      <w:r w:rsidRPr="001F3CD2">
        <w:rPr>
          <w:rFonts w:ascii="MinionPro-Regular" w:hAnsi="MinionPro-Regular"/>
          <w:sz w:val="24"/>
          <w:szCs w:val="24"/>
          <w:lang w:val="es-ES_tradnl"/>
        </w:rPr>
        <w:t xml:space="preserve"> que la mayor parte de las ayudas que reciben los </w:t>
      </w:r>
      <w:r>
        <w:rPr>
          <w:rFonts w:ascii="MinionPro-Regular" w:hAnsi="MinionPro-Regular"/>
          <w:sz w:val="24"/>
          <w:szCs w:val="24"/>
          <w:lang w:val="es-ES_tradnl"/>
        </w:rPr>
        <w:t>centros especiales de empleo</w:t>
      </w:r>
      <w:r w:rsidRPr="001F3CD2">
        <w:rPr>
          <w:rFonts w:ascii="MinionPro-Regular" w:hAnsi="MinionPro-Regular"/>
          <w:sz w:val="24"/>
          <w:szCs w:val="24"/>
          <w:lang w:val="es-ES_tradnl"/>
        </w:rPr>
        <w:t xml:space="preserve"> en conc</w:t>
      </w:r>
      <w:r>
        <w:rPr>
          <w:rFonts w:ascii="MinionPro-Regular" w:hAnsi="MinionPro-Regular"/>
          <w:sz w:val="24"/>
          <w:szCs w:val="24"/>
          <w:lang w:val="es-ES_tradnl"/>
        </w:rPr>
        <w:t>epto de mantenimiento de empleo</w:t>
      </w:r>
      <w:r w:rsidRPr="001F3CD2">
        <w:rPr>
          <w:rFonts w:ascii="MinionPro-Regular" w:hAnsi="MinionPro-Regular"/>
          <w:sz w:val="24"/>
          <w:szCs w:val="24"/>
          <w:lang w:val="es-ES_tradnl"/>
        </w:rPr>
        <w:t xml:space="preserve"> se concentran en los sectores de </w:t>
      </w:r>
      <w:r>
        <w:rPr>
          <w:rFonts w:ascii="MinionPro-Regular" w:hAnsi="MinionPro-Regular"/>
          <w:sz w:val="24"/>
          <w:szCs w:val="24"/>
          <w:lang w:val="es-ES_tradnl"/>
        </w:rPr>
        <w:t>industria y servicios.</w:t>
      </w:r>
    </w:p>
    <w:p w:rsidR="003670DB" w:rsidRDefault="003670DB" w:rsidP="003670DB">
      <w:pPr>
        <w:autoSpaceDE w:val="0"/>
        <w:autoSpaceDN w:val="0"/>
        <w:spacing w:line="360" w:lineRule="auto"/>
        <w:jc w:val="both"/>
      </w:pPr>
    </w:p>
    <w:p w:rsidR="003670DB" w:rsidRPr="007949F6" w:rsidRDefault="003670DB" w:rsidP="003670DB">
      <w:pPr>
        <w:pBdr>
          <w:top w:val="single" w:sz="4" w:space="1" w:color="auto"/>
        </w:pBdr>
        <w:autoSpaceDE w:val="0"/>
        <w:autoSpaceDN w:val="0"/>
        <w:spacing w:line="360" w:lineRule="auto"/>
        <w:jc w:val="both"/>
        <w:rPr>
          <w:rFonts w:ascii="MinionPro-Regular" w:hAnsi="MinionPro-Regular"/>
          <w:sz w:val="20"/>
          <w:szCs w:val="24"/>
          <w:lang w:val="es-ES_tradnl"/>
        </w:rPr>
      </w:pPr>
      <w:r w:rsidRPr="007949F6">
        <w:rPr>
          <w:rFonts w:ascii="MinionPro-Regular" w:hAnsi="MinionPro-Regular"/>
          <w:sz w:val="20"/>
          <w:szCs w:val="24"/>
          <w:lang w:val="es-ES_tradnl"/>
        </w:rPr>
        <w:t>Selección de sectores de actividades a considerar en la estimación de valor añadido económico</w:t>
      </w:r>
    </w:p>
    <w:tbl>
      <w:tblPr>
        <w:tblW w:w="8220" w:type="dxa"/>
        <w:tblInd w:w="379" w:type="dxa"/>
        <w:tblLook w:val="00A0"/>
      </w:tblPr>
      <w:tblGrid>
        <w:gridCol w:w="2180"/>
        <w:gridCol w:w="1700"/>
        <w:gridCol w:w="2630"/>
        <w:gridCol w:w="1710"/>
      </w:tblGrid>
      <w:tr w:rsidR="003670DB" w:rsidRPr="00F65F9D" w:rsidTr="00B464F4">
        <w:trPr>
          <w:trHeight w:val="300"/>
        </w:trPr>
        <w:tc>
          <w:tcPr>
            <w:tcW w:w="2180" w:type="dxa"/>
            <w:tcBorders>
              <w:top w:val="single" w:sz="4" w:space="0" w:color="auto"/>
              <w:left w:val="single" w:sz="4" w:space="0" w:color="auto"/>
              <w:bottom w:val="single" w:sz="4" w:space="0" w:color="auto"/>
              <w:right w:val="single" w:sz="4" w:space="0" w:color="auto"/>
            </w:tcBorders>
            <w:shd w:val="clear" w:color="auto" w:fill="007C92"/>
            <w:noWrap/>
            <w:vAlign w:val="center"/>
          </w:tcPr>
          <w:p w:rsidR="003670DB" w:rsidRPr="007949F6" w:rsidRDefault="003670DB" w:rsidP="00B464F4">
            <w:pPr>
              <w:autoSpaceDE w:val="0"/>
              <w:autoSpaceDN w:val="0"/>
              <w:spacing w:line="360" w:lineRule="auto"/>
              <w:jc w:val="center"/>
              <w:rPr>
                <w:rFonts w:ascii="MinionPro-Regular" w:hAnsi="MinionPro-Regular"/>
                <w:color w:val="FFFFFF"/>
                <w:sz w:val="16"/>
                <w:szCs w:val="24"/>
                <w:lang w:val="es-ES_tradnl"/>
              </w:rPr>
            </w:pPr>
            <w:r w:rsidRPr="007949F6">
              <w:rPr>
                <w:rFonts w:ascii="MinionPro-Regular" w:hAnsi="MinionPro-Regular"/>
                <w:color w:val="FFFFFF"/>
                <w:sz w:val="16"/>
                <w:szCs w:val="24"/>
                <w:lang w:val="es-ES_tradnl"/>
              </w:rPr>
              <w:t>Sectores</w:t>
            </w:r>
          </w:p>
        </w:tc>
        <w:tc>
          <w:tcPr>
            <w:tcW w:w="1700" w:type="dxa"/>
            <w:tcBorders>
              <w:top w:val="single" w:sz="4" w:space="0" w:color="auto"/>
              <w:left w:val="nil"/>
              <w:bottom w:val="single" w:sz="4" w:space="0" w:color="auto"/>
              <w:right w:val="nil"/>
            </w:tcBorders>
            <w:shd w:val="clear" w:color="auto" w:fill="007C92"/>
            <w:noWrap/>
            <w:vAlign w:val="center"/>
          </w:tcPr>
          <w:p w:rsidR="003670DB" w:rsidRPr="007949F6" w:rsidRDefault="003670DB" w:rsidP="00B464F4">
            <w:pPr>
              <w:autoSpaceDE w:val="0"/>
              <w:autoSpaceDN w:val="0"/>
              <w:spacing w:line="360" w:lineRule="auto"/>
              <w:jc w:val="center"/>
              <w:rPr>
                <w:rFonts w:ascii="MinionPro-Regular" w:hAnsi="MinionPro-Regular"/>
                <w:color w:val="FFFFFF"/>
                <w:sz w:val="16"/>
                <w:szCs w:val="24"/>
                <w:lang w:val="es-ES_tradnl"/>
              </w:rPr>
            </w:pPr>
            <w:r w:rsidRPr="007949F6">
              <w:rPr>
                <w:rFonts w:ascii="MinionPro-Regular" w:hAnsi="MinionPro-Regular"/>
                <w:color w:val="FFFFFF"/>
                <w:sz w:val="16"/>
                <w:szCs w:val="24"/>
                <w:lang w:val="es-ES_tradnl"/>
              </w:rPr>
              <w:t>Total</w:t>
            </w:r>
            <w:r>
              <w:rPr>
                <w:rFonts w:ascii="MinionPro-Regular" w:hAnsi="MinionPro-Regular"/>
                <w:color w:val="FFFFFF"/>
                <w:sz w:val="16"/>
                <w:szCs w:val="24"/>
                <w:lang w:val="es-ES_tradnl"/>
              </w:rPr>
              <w:t xml:space="preserve"> (euros)</w:t>
            </w:r>
          </w:p>
        </w:tc>
        <w:tc>
          <w:tcPr>
            <w:tcW w:w="4340" w:type="dxa"/>
            <w:gridSpan w:val="2"/>
            <w:tcBorders>
              <w:top w:val="single" w:sz="4" w:space="0" w:color="auto"/>
              <w:left w:val="single" w:sz="4" w:space="0" w:color="auto"/>
              <w:bottom w:val="single" w:sz="4" w:space="0" w:color="auto"/>
              <w:right w:val="single" w:sz="4" w:space="0" w:color="auto"/>
            </w:tcBorders>
            <w:shd w:val="clear" w:color="auto" w:fill="007C92"/>
            <w:noWrap/>
            <w:vAlign w:val="center"/>
          </w:tcPr>
          <w:p w:rsidR="003670DB" w:rsidRPr="00DE0A34" w:rsidRDefault="003670DB" w:rsidP="00B464F4">
            <w:pPr>
              <w:autoSpaceDE w:val="0"/>
              <w:autoSpaceDN w:val="0"/>
              <w:spacing w:line="360" w:lineRule="auto"/>
              <w:jc w:val="center"/>
              <w:rPr>
                <w:rFonts w:ascii="MinionPro-Regular" w:hAnsi="MinionPro-Regular"/>
                <w:color w:val="FFFFFF"/>
                <w:sz w:val="16"/>
                <w:szCs w:val="24"/>
                <w:lang w:val="es-ES_tradnl"/>
              </w:rPr>
            </w:pPr>
            <w:r w:rsidRPr="007949F6">
              <w:rPr>
                <w:rFonts w:ascii="MinionPro-Regular" w:hAnsi="MinionPro-Regular"/>
                <w:color w:val="FFFFFF"/>
                <w:sz w:val="16"/>
                <w:szCs w:val="24"/>
                <w:lang w:val="es-ES_tradnl"/>
              </w:rPr>
              <w:t>Mantenimiento de puestos de trabajo</w:t>
            </w:r>
            <w:r>
              <w:rPr>
                <w:rFonts w:ascii="MinionPro-Regular" w:hAnsi="MinionPro-Regular"/>
                <w:color w:val="FFFFFF"/>
                <w:sz w:val="16"/>
                <w:szCs w:val="24"/>
                <w:lang w:val="es-ES_tradnl"/>
              </w:rPr>
              <w:t xml:space="preserve"> (euros)</w:t>
            </w:r>
          </w:p>
        </w:tc>
      </w:tr>
      <w:tr w:rsidR="003670DB" w:rsidRPr="00F65F9D" w:rsidTr="00B464F4">
        <w:trPr>
          <w:trHeight w:val="300"/>
        </w:trPr>
        <w:tc>
          <w:tcPr>
            <w:tcW w:w="2180" w:type="dxa"/>
            <w:tcBorders>
              <w:top w:val="nil"/>
              <w:left w:val="single" w:sz="4" w:space="0" w:color="auto"/>
              <w:bottom w:val="single" w:sz="4" w:space="0" w:color="auto"/>
              <w:right w:val="single" w:sz="4" w:space="0" w:color="auto"/>
            </w:tcBorders>
            <w:noWrap/>
            <w:vAlign w:val="center"/>
          </w:tcPr>
          <w:p w:rsidR="003670DB" w:rsidRPr="00DE0A34" w:rsidRDefault="003670DB" w:rsidP="00B464F4">
            <w:pPr>
              <w:autoSpaceDE w:val="0"/>
              <w:autoSpaceDN w:val="0"/>
              <w:spacing w:line="360" w:lineRule="auto"/>
              <w:jc w:val="both"/>
              <w:rPr>
                <w:rFonts w:ascii="MinionPro-Regular" w:hAnsi="MinionPro-Regular"/>
                <w:sz w:val="16"/>
                <w:szCs w:val="24"/>
                <w:lang w:val="es-ES_tradnl"/>
              </w:rPr>
            </w:pPr>
            <w:r w:rsidRPr="00DE0A34">
              <w:rPr>
                <w:rFonts w:ascii="MinionPro-Regular" w:hAnsi="MinionPro-Regular"/>
                <w:sz w:val="16"/>
                <w:szCs w:val="24"/>
                <w:lang w:val="es-ES_tradnl"/>
              </w:rPr>
              <w:t>Agrario</w:t>
            </w:r>
          </w:p>
        </w:tc>
        <w:tc>
          <w:tcPr>
            <w:tcW w:w="1700" w:type="dxa"/>
            <w:tcBorders>
              <w:top w:val="nil"/>
              <w:left w:val="nil"/>
              <w:bottom w:val="single" w:sz="4" w:space="0" w:color="auto"/>
              <w:right w:val="nil"/>
            </w:tcBorders>
            <w:noWrap/>
            <w:vAlign w:val="bottom"/>
          </w:tcPr>
          <w:p w:rsidR="003670DB" w:rsidRPr="00DE0A34" w:rsidRDefault="003670DB" w:rsidP="00B464F4">
            <w:pPr>
              <w:autoSpaceDE w:val="0"/>
              <w:autoSpaceDN w:val="0"/>
              <w:spacing w:line="360" w:lineRule="auto"/>
              <w:jc w:val="center"/>
              <w:rPr>
                <w:rFonts w:ascii="MinionPro-Regular" w:hAnsi="MinionPro-Regular"/>
                <w:sz w:val="16"/>
                <w:szCs w:val="24"/>
                <w:lang w:val="es-ES_tradnl"/>
              </w:rPr>
            </w:pPr>
            <w:r w:rsidRPr="00DE0A34">
              <w:rPr>
                <w:rFonts w:ascii="MinionPro-Regular" w:hAnsi="MinionPro-Regular"/>
                <w:sz w:val="16"/>
                <w:szCs w:val="24"/>
                <w:lang w:val="es-ES_tradnl"/>
              </w:rPr>
              <w:t>8.613.838,25</w:t>
            </w:r>
          </w:p>
        </w:tc>
        <w:tc>
          <w:tcPr>
            <w:tcW w:w="2630" w:type="dxa"/>
            <w:tcBorders>
              <w:top w:val="nil"/>
              <w:left w:val="single" w:sz="4" w:space="0" w:color="auto"/>
              <w:bottom w:val="single" w:sz="4" w:space="0" w:color="auto"/>
              <w:right w:val="single" w:sz="4" w:space="0" w:color="auto"/>
            </w:tcBorders>
            <w:noWrap/>
            <w:vAlign w:val="center"/>
          </w:tcPr>
          <w:p w:rsidR="003670DB" w:rsidRPr="00DE0A34" w:rsidRDefault="003670DB" w:rsidP="00B464F4">
            <w:pPr>
              <w:autoSpaceDE w:val="0"/>
              <w:autoSpaceDN w:val="0"/>
              <w:spacing w:line="360" w:lineRule="auto"/>
              <w:jc w:val="center"/>
              <w:rPr>
                <w:rFonts w:ascii="MinionPro-Regular" w:hAnsi="MinionPro-Regular"/>
                <w:sz w:val="16"/>
                <w:szCs w:val="24"/>
                <w:lang w:val="es-ES_tradnl"/>
              </w:rPr>
            </w:pPr>
            <w:r w:rsidRPr="00DE0A34">
              <w:rPr>
                <w:rFonts w:ascii="MinionPro-Regular" w:hAnsi="MinionPro-Regular"/>
                <w:sz w:val="16"/>
                <w:szCs w:val="24"/>
                <w:lang w:val="es-ES_tradnl"/>
              </w:rPr>
              <w:t>8.574.378,05</w:t>
            </w:r>
          </w:p>
        </w:tc>
        <w:tc>
          <w:tcPr>
            <w:tcW w:w="1710" w:type="dxa"/>
            <w:tcBorders>
              <w:top w:val="nil"/>
              <w:left w:val="nil"/>
              <w:bottom w:val="single" w:sz="4" w:space="0" w:color="auto"/>
              <w:right w:val="single" w:sz="4" w:space="0" w:color="auto"/>
            </w:tcBorders>
            <w:noWrap/>
            <w:vAlign w:val="center"/>
          </w:tcPr>
          <w:p w:rsidR="003670DB" w:rsidRPr="00DE0A34" w:rsidRDefault="003670DB" w:rsidP="00B464F4">
            <w:pPr>
              <w:autoSpaceDE w:val="0"/>
              <w:autoSpaceDN w:val="0"/>
              <w:spacing w:line="360" w:lineRule="auto"/>
              <w:jc w:val="center"/>
              <w:rPr>
                <w:rFonts w:ascii="MinionPro-Regular" w:hAnsi="MinionPro-Regular"/>
                <w:sz w:val="16"/>
                <w:szCs w:val="24"/>
                <w:lang w:val="es-ES_tradnl"/>
              </w:rPr>
            </w:pPr>
            <w:r w:rsidRPr="00DE0A34">
              <w:rPr>
                <w:rFonts w:ascii="MinionPro-Regular" w:hAnsi="MinionPro-Regular"/>
                <w:sz w:val="16"/>
                <w:szCs w:val="24"/>
                <w:lang w:val="es-ES_tradnl"/>
              </w:rPr>
              <w:t>3,9%</w:t>
            </w:r>
          </w:p>
        </w:tc>
      </w:tr>
      <w:tr w:rsidR="003670DB" w:rsidRPr="00F65F9D" w:rsidTr="00B464F4">
        <w:trPr>
          <w:trHeight w:val="300"/>
        </w:trPr>
        <w:tc>
          <w:tcPr>
            <w:tcW w:w="2180" w:type="dxa"/>
            <w:tcBorders>
              <w:top w:val="nil"/>
              <w:left w:val="single" w:sz="4" w:space="0" w:color="auto"/>
              <w:bottom w:val="single" w:sz="4" w:space="0" w:color="auto"/>
              <w:right w:val="single" w:sz="4" w:space="0" w:color="auto"/>
            </w:tcBorders>
            <w:noWrap/>
            <w:vAlign w:val="center"/>
          </w:tcPr>
          <w:p w:rsidR="003670DB" w:rsidRPr="00DE0A34" w:rsidRDefault="003670DB" w:rsidP="00B464F4">
            <w:pPr>
              <w:autoSpaceDE w:val="0"/>
              <w:autoSpaceDN w:val="0"/>
              <w:spacing w:line="360" w:lineRule="auto"/>
              <w:jc w:val="both"/>
              <w:rPr>
                <w:rFonts w:ascii="MinionPro-Regular" w:hAnsi="MinionPro-Regular"/>
                <w:sz w:val="16"/>
                <w:szCs w:val="24"/>
                <w:lang w:val="es-ES_tradnl"/>
              </w:rPr>
            </w:pPr>
            <w:r w:rsidRPr="00DE0A34">
              <w:rPr>
                <w:rFonts w:ascii="MinionPro-Regular" w:hAnsi="MinionPro-Regular"/>
                <w:sz w:val="16"/>
                <w:szCs w:val="24"/>
                <w:lang w:val="es-ES_tradnl"/>
              </w:rPr>
              <w:lastRenderedPageBreak/>
              <w:t>No agrario</w:t>
            </w:r>
          </w:p>
        </w:tc>
        <w:tc>
          <w:tcPr>
            <w:tcW w:w="1700" w:type="dxa"/>
            <w:tcBorders>
              <w:top w:val="nil"/>
              <w:left w:val="nil"/>
              <w:bottom w:val="single" w:sz="4" w:space="0" w:color="auto"/>
              <w:right w:val="nil"/>
            </w:tcBorders>
            <w:noWrap/>
            <w:vAlign w:val="center"/>
          </w:tcPr>
          <w:p w:rsidR="003670DB" w:rsidRPr="00DE0A34" w:rsidRDefault="003670DB" w:rsidP="00B464F4">
            <w:pPr>
              <w:autoSpaceDE w:val="0"/>
              <w:autoSpaceDN w:val="0"/>
              <w:spacing w:line="360" w:lineRule="auto"/>
              <w:jc w:val="center"/>
              <w:rPr>
                <w:rFonts w:ascii="MinionPro-Regular" w:hAnsi="MinionPro-Regular"/>
                <w:sz w:val="16"/>
                <w:szCs w:val="24"/>
                <w:lang w:val="es-ES_tradnl"/>
              </w:rPr>
            </w:pPr>
            <w:r w:rsidRPr="00DE0A34">
              <w:rPr>
                <w:rFonts w:ascii="MinionPro-Regular" w:hAnsi="MinionPro-Regular"/>
                <w:sz w:val="16"/>
                <w:szCs w:val="24"/>
                <w:lang w:val="es-ES_tradnl"/>
              </w:rPr>
              <w:t>215.993.983,42</w:t>
            </w:r>
          </w:p>
        </w:tc>
        <w:tc>
          <w:tcPr>
            <w:tcW w:w="2630" w:type="dxa"/>
            <w:tcBorders>
              <w:top w:val="nil"/>
              <w:left w:val="single" w:sz="4" w:space="0" w:color="auto"/>
              <w:bottom w:val="single" w:sz="4" w:space="0" w:color="auto"/>
              <w:right w:val="single" w:sz="4" w:space="0" w:color="auto"/>
            </w:tcBorders>
            <w:noWrap/>
            <w:vAlign w:val="center"/>
          </w:tcPr>
          <w:p w:rsidR="003670DB" w:rsidRPr="00DE0A34" w:rsidRDefault="003670DB" w:rsidP="00B464F4">
            <w:pPr>
              <w:autoSpaceDE w:val="0"/>
              <w:autoSpaceDN w:val="0"/>
              <w:spacing w:line="360" w:lineRule="auto"/>
              <w:jc w:val="center"/>
              <w:rPr>
                <w:rFonts w:ascii="MinionPro-Regular" w:hAnsi="MinionPro-Regular"/>
                <w:sz w:val="16"/>
                <w:szCs w:val="24"/>
                <w:lang w:val="es-ES_tradnl"/>
              </w:rPr>
            </w:pPr>
            <w:r w:rsidRPr="00DE0A34">
              <w:rPr>
                <w:rFonts w:ascii="MinionPro-Regular" w:hAnsi="MinionPro-Regular"/>
                <w:sz w:val="16"/>
                <w:szCs w:val="24"/>
                <w:lang w:val="es-ES_tradnl"/>
              </w:rPr>
              <w:t>200.607.428,84</w:t>
            </w:r>
          </w:p>
        </w:tc>
        <w:tc>
          <w:tcPr>
            <w:tcW w:w="1710" w:type="dxa"/>
            <w:tcBorders>
              <w:top w:val="nil"/>
              <w:left w:val="nil"/>
              <w:bottom w:val="single" w:sz="4" w:space="0" w:color="auto"/>
              <w:right w:val="single" w:sz="4" w:space="0" w:color="auto"/>
            </w:tcBorders>
            <w:noWrap/>
            <w:vAlign w:val="center"/>
          </w:tcPr>
          <w:p w:rsidR="003670DB" w:rsidRPr="00DE0A34" w:rsidRDefault="003670DB" w:rsidP="00B464F4">
            <w:pPr>
              <w:autoSpaceDE w:val="0"/>
              <w:autoSpaceDN w:val="0"/>
              <w:spacing w:line="360" w:lineRule="auto"/>
              <w:jc w:val="center"/>
              <w:rPr>
                <w:rFonts w:ascii="MinionPro-Regular" w:hAnsi="MinionPro-Regular"/>
                <w:sz w:val="16"/>
                <w:szCs w:val="24"/>
                <w:lang w:val="es-ES_tradnl"/>
              </w:rPr>
            </w:pPr>
            <w:r w:rsidRPr="00DE0A34">
              <w:rPr>
                <w:rFonts w:ascii="MinionPro-Regular" w:hAnsi="MinionPro-Regular"/>
                <w:sz w:val="16"/>
                <w:szCs w:val="24"/>
                <w:lang w:val="es-ES_tradnl"/>
              </w:rPr>
              <w:t>90,8%</w:t>
            </w:r>
          </w:p>
        </w:tc>
      </w:tr>
      <w:tr w:rsidR="003670DB" w:rsidRPr="00F65F9D" w:rsidTr="00B464F4">
        <w:trPr>
          <w:trHeight w:val="300"/>
        </w:trPr>
        <w:tc>
          <w:tcPr>
            <w:tcW w:w="2180" w:type="dxa"/>
            <w:tcBorders>
              <w:top w:val="nil"/>
              <w:left w:val="single" w:sz="4" w:space="0" w:color="auto"/>
              <w:bottom w:val="single" w:sz="4" w:space="0" w:color="auto"/>
              <w:right w:val="single" w:sz="4" w:space="0" w:color="auto"/>
            </w:tcBorders>
            <w:shd w:val="clear" w:color="auto" w:fill="BFDEE4"/>
            <w:noWrap/>
            <w:vAlign w:val="center"/>
          </w:tcPr>
          <w:p w:rsidR="003670DB" w:rsidRPr="00DE0A34" w:rsidRDefault="003670DB" w:rsidP="00B464F4">
            <w:pPr>
              <w:autoSpaceDE w:val="0"/>
              <w:autoSpaceDN w:val="0"/>
              <w:spacing w:line="360" w:lineRule="auto"/>
              <w:jc w:val="both"/>
              <w:rPr>
                <w:rFonts w:ascii="MinionPro-Regular" w:hAnsi="MinionPro-Regular"/>
                <w:sz w:val="16"/>
                <w:szCs w:val="24"/>
                <w:lang w:val="es-ES_tradnl"/>
              </w:rPr>
            </w:pPr>
            <w:r w:rsidRPr="00DE0A34">
              <w:rPr>
                <w:rFonts w:ascii="MinionPro-Regular" w:hAnsi="MinionPro-Regular"/>
                <w:sz w:val="16"/>
                <w:szCs w:val="24"/>
                <w:lang w:val="es-ES_tradnl"/>
              </w:rPr>
              <w:t>Industria</w:t>
            </w:r>
          </w:p>
        </w:tc>
        <w:tc>
          <w:tcPr>
            <w:tcW w:w="1700" w:type="dxa"/>
            <w:tcBorders>
              <w:top w:val="nil"/>
              <w:left w:val="nil"/>
              <w:bottom w:val="single" w:sz="4" w:space="0" w:color="auto"/>
              <w:right w:val="nil"/>
            </w:tcBorders>
            <w:shd w:val="clear" w:color="auto" w:fill="BFDEE4"/>
            <w:noWrap/>
            <w:vAlign w:val="center"/>
          </w:tcPr>
          <w:p w:rsidR="003670DB" w:rsidRPr="00DE0A34" w:rsidRDefault="003670DB" w:rsidP="00B464F4">
            <w:pPr>
              <w:autoSpaceDE w:val="0"/>
              <w:autoSpaceDN w:val="0"/>
              <w:spacing w:line="360" w:lineRule="auto"/>
              <w:jc w:val="center"/>
              <w:rPr>
                <w:rFonts w:ascii="MinionPro-Regular" w:hAnsi="MinionPro-Regular"/>
                <w:sz w:val="16"/>
                <w:szCs w:val="24"/>
                <w:lang w:val="es-ES_tradnl"/>
              </w:rPr>
            </w:pPr>
            <w:r w:rsidRPr="00DE0A34">
              <w:rPr>
                <w:rFonts w:ascii="MinionPro-Regular" w:hAnsi="MinionPro-Regular"/>
                <w:sz w:val="16"/>
                <w:szCs w:val="24"/>
                <w:lang w:val="es-ES_tradnl"/>
              </w:rPr>
              <w:t>71.697.049,89</w:t>
            </w:r>
          </w:p>
        </w:tc>
        <w:tc>
          <w:tcPr>
            <w:tcW w:w="2630" w:type="dxa"/>
            <w:tcBorders>
              <w:top w:val="nil"/>
              <w:left w:val="single" w:sz="4" w:space="0" w:color="auto"/>
              <w:bottom w:val="single" w:sz="4" w:space="0" w:color="auto"/>
              <w:right w:val="single" w:sz="4" w:space="0" w:color="auto"/>
            </w:tcBorders>
            <w:shd w:val="clear" w:color="auto" w:fill="BFDEE4"/>
            <w:noWrap/>
            <w:vAlign w:val="center"/>
          </w:tcPr>
          <w:p w:rsidR="003670DB" w:rsidRPr="00DE0A34" w:rsidRDefault="003670DB" w:rsidP="00B464F4">
            <w:pPr>
              <w:autoSpaceDE w:val="0"/>
              <w:autoSpaceDN w:val="0"/>
              <w:spacing w:line="360" w:lineRule="auto"/>
              <w:jc w:val="center"/>
              <w:rPr>
                <w:rFonts w:ascii="MinionPro-Regular" w:hAnsi="MinionPro-Regular"/>
                <w:sz w:val="16"/>
                <w:szCs w:val="24"/>
                <w:lang w:val="es-ES_tradnl"/>
              </w:rPr>
            </w:pPr>
            <w:r w:rsidRPr="00DE0A34">
              <w:rPr>
                <w:rFonts w:ascii="MinionPro-Regular" w:hAnsi="MinionPro-Regular"/>
                <w:sz w:val="16"/>
                <w:szCs w:val="24"/>
                <w:lang w:val="es-ES_tradnl"/>
              </w:rPr>
              <w:t>69.125.434,66</w:t>
            </w:r>
          </w:p>
        </w:tc>
        <w:tc>
          <w:tcPr>
            <w:tcW w:w="1710" w:type="dxa"/>
            <w:tcBorders>
              <w:top w:val="nil"/>
              <w:left w:val="nil"/>
              <w:bottom w:val="single" w:sz="4" w:space="0" w:color="auto"/>
              <w:right w:val="single" w:sz="4" w:space="0" w:color="auto"/>
            </w:tcBorders>
            <w:shd w:val="clear" w:color="auto" w:fill="BFDEE4"/>
            <w:noWrap/>
            <w:vAlign w:val="center"/>
          </w:tcPr>
          <w:p w:rsidR="003670DB" w:rsidRPr="00DE0A34" w:rsidRDefault="003670DB" w:rsidP="00B464F4">
            <w:pPr>
              <w:autoSpaceDE w:val="0"/>
              <w:autoSpaceDN w:val="0"/>
              <w:spacing w:line="360" w:lineRule="auto"/>
              <w:jc w:val="center"/>
              <w:rPr>
                <w:rFonts w:ascii="MinionPro-Regular" w:hAnsi="MinionPro-Regular"/>
                <w:sz w:val="16"/>
                <w:szCs w:val="24"/>
                <w:lang w:val="es-ES_tradnl"/>
              </w:rPr>
            </w:pPr>
            <w:r w:rsidRPr="00DE0A34">
              <w:rPr>
                <w:rFonts w:ascii="MinionPro-Regular" w:hAnsi="MinionPro-Regular"/>
                <w:sz w:val="16"/>
                <w:szCs w:val="24"/>
                <w:lang w:val="es-ES_tradnl"/>
              </w:rPr>
              <w:t>31,3%</w:t>
            </w:r>
          </w:p>
        </w:tc>
      </w:tr>
      <w:tr w:rsidR="003670DB" w:rsidRPr="00F65F9D" w:rsidTr="00B464F4">
        <w:trPr>
          <w:trHeight w:val="300"/>
        </w:trPr>
        <w:tc>
          <w:tcPr>
            <w:tcW w:w="2180" w:type="dxa"/>
            <w:tcBorders>
              <w:top w:val="nil"/>
              <w:left w:val="single" w:sz="4" w:space="0" w:color="auto"/>
              <w:bottom w:val="single" w:sz="4" w:space="0" w:color="auto"/>
              <w:right w:val="single" w:sz="4" w:space="0" w:color="auto"/>
            </w:tcBorders>
            <w:noWrap/>
            <w:vAlign w:val="center"/>
          </w:tcPr>
          <w:p w:rsidR="003670DB" w:rsidRPr="00DE0A34" w:rsidRDefault="003670DB" w:rsidP="00B464F4">
            <w:pPr>
              <w:autoSpaceDE w:val="0"/>
              <w:autoSpaceDN w:val="0"/>
              <w:spacing w:line="360" w:lineRule="auto"/>
              <w:jc w:val="both"/>
              <w:rPr>
                <w:rFonts w:ascii="MinionPro-Regular" w:hAnsi="MinionPro-Regular"/>
                <w:sz w:val="16"/>
                <w:szCs w:val="24"/>
                <w:lang w:val="es-ES_tradnl"/>
              </w:rPr>
            </w:pPr>
            <w:r w:rsidRPr="00DE0A34">
              <w:rPr>
                <w:rFonts w:ascii="MinionPro-Regular" w:hAnsi="MinionPro-Regular"/>
                <w:sz w:val="16"/>
                <w:szCs w:val="24"/>
                <w:lang w:val="es-ES_tradnl"/>
              </w:rPr>
              <w:t>Construcción</w:t>
            </w:r>
          </w:p>
        </w:tc>
        <w:tc>
          <w:tcPr>
            <w:tcW w:w="1700" w:type="dxa"/>
            <w:tcBorders>
              <w:top w:val="nil"/>
              <w:left w:val="nil"/>
              <w:bottom w:val="single" w:sz="4" w:space="0" w:color="auto"/>
              <w:right w:val="nil"/>
            </w:tcBorders>
            <w:noWrap/>
            <w:vAlign w:val="bottom"/>
          </w:tcPr>
          <w:p w:rsidR="003670DB" w:rsidRPr="00DE0A34" w:rsidRDefault="003670DB" w:rsidP="00B464F4">
            <w:pPr>
              <w:autoSpaceDE w:val="0"/>
              <w:autoSpaceDN w:val="0"/>
              <w:spacing w:line="360" w:lineRule="auto"/>
              <w:jc w:val="center"/>
              <w:rPr>
                <w:rFonts w:ascii="MinionPro-Regular" w:hAnsi="MinionPro-Regular"/>
                <w:sz w:val="16"/>
                <w:szCs w:val="24"/>
                <w:lang w:val="es-ES_tradnl"/>
              </w:rPr>
            </w:pPr>
            <w:r w:rsidRPr="00DE0A34">
              <w:rPr>
                <w:rFonts w:ascii="MinionPro-Regular" w:hAnsi="MinionPro-Regular"/>
                <w:sz w:val="16"/>
                <w:szCs w:val="24"/>
                <w:lang w:val="es-ES_tradnl"/>
              </w:rPr>
              <w:t>1.780.607,33</w:t>
            </w:r>
          </w:p>
        </w:tc>
        <w:tc>
          <w:tcPr>
            <w:tcW w:w="2630" w:type="dxa"/>
            <w:tcBorders>
              <w:top w:val="nil"/>
              <w:left w:val="single" w:sz="4" w:space="0" w:color="auto"/>
              <w:bottom w:val="single" w:sz="4" w:space="0" w:color="auto"/>
              <w:right w:val="single" w:sz="4" w:space="0" w:color="auto"/>
            </w:tcBorders>
            <w:noWrap/>
            <w:vAlign w:val="bottom"/>
          </w:tcPr>
          <w:p w:rsidR="003670DB" w:rsidRPr="00DE0A34" w:rsidRDefault="003670DB" w:rsidP="00B464F4">
            <w:pPr>
              <w:autoSpaceDE w:val="0"/>
              <w:autoSpaceDN w:val="0"/>
              <w:spacing w:line="360" w:lineRule="auto"/>
              <w:jc w:val="center"/>
              <w:rPr>
                <w:rFonts w:ascii="MinionPro-Regular" w:hAnsi="MinionPro-Regular"/>
                <w:sz w:val="16"/>
                <w:szCs w:val="24"/>
                <w:lang w:val="es-ES_tradnl"/>
              </w:rPr>
            </w:pPr>
            <w:r w:rsidRPr="00DE0A34">
              <w:rPr>
                <w:rFonts w:ascii="MinionPro-Regular" w:hAnsi="MinionPro-Regular"/>
                <w:sz w:val="16"/>
                <w:szCs w:val="24"/>
                <w:lang w:val="es-ES_tradnl"/>
              </w:rPr>
              <w:t>1.696.856,33</w:t>
            </w:r>
          </w:p>
        </w:tc>
        <w:tc>
          <w:tcPr>
            <w:tcW w:w="1710" w:type="dxa"/>
            <w:tcBorders>
              <w:top w:val="nil"/>
              <w:left w:val="nil"/>
              <w:bottom w:val="single" w:sz="4" w:space="0" w:color="auto"/>
              <w:right w:val="single" w:sz="4" w:space="0" w:color="auto"/>
            </w:tcBorders>
            <w:noWrap/>
            <w:vAlign w:val="center"/>
          </w:tcPr>
          <w:p w:rsidR="003670DB" w:rsidRPr="00DE0A34" w:rsidRDefault="003670DB" w:rsidP="00B464F4">
            <w:pPr>
              <w:autoSpaceDE w:val="0"/>
              <w:autoSpaceDN w:val="0"/>
              <w:spacing w:line="360" w:lineRule="auto"/>
              <w:jc w:val="center"/>
              <w:rPr>
                <w:rFonts w:ascii="MinionPro-Regular" w:hAnsi="MinionPro-Regular"/>
                <w:sz w:val="16"/>
                <w:szCs w:val="24"/>
                <w:lang w:val="es-ES_tradnl"/>
              </w:rPr>
            </w:pPr>
            <w:r w:rsidRPr="00DE0A34">
              <w:rPr>
                <w:rFonts w:ascii="MinionPro-Regular" w:hAnsi="MinionPro-Regular"/>
                <w:sz w:val="16"/>
                <w:szCs w:val="24"/>
                <w:lang w:val="es-ES_tradnl"/>
              </w:rPr>
              <w:t>0,8%</w:t>
            </w:r>
          </w:p>
        </w:tc>
      </w:tr>
      <w:tr w:rsidR="003670DB" w:rsidRPr="00F65F9D" w:rsidTr="00B464F4">
        <w:trPr>
          <w:trHeight w:val="300"/>
        </w:trPr>
        <w:tc>
          <w:tcPr>
            <w:tcW w:w="2180" w:type="dxa"/>
            <w:tcBorders>
              <w:top w:val="nil"/>
              <w:left w:val="single" w:sz="4" w:space="0" w:color="auto"/>
              <w:bottom w:val="single" w:sz="4" w:space="0" w:color="auto"/>
              <w:right w:val="single" w:sz="4" w:space="0" w:color="auto"/>
            </w:tcBorders>
            <w:shd w:val="clear" w:color="auto" w:fill="BFDEE4"/>
            <w:noWrap/>
            <w:vAlign w:val="center"/>
          </w:tcPr>
          <w:p w:rsidR="003670DB" w:rsidRPr="00DE0A34" w:rsidRDefault="003670DB" w:rsidP="00B464F4">
            <w:pPr>
              <w:autoSpaceDE w:val="0"/>
              <w:autoSpaceDN w:val="0"/>
              <w:spacing w:line="360" w:lineRule="auto"/>
              <w:jc w:val="both"/>
              <w:rPr>
                <w:rFonts w:ascii="MinionPro-Regular" w:hAnsi="MinionPro-Regular"/>
                <w:sz w:val="16"/>
                <w:szCs w:val="24"/>
                <w:lang w:val="es-ES_tradnl"/>
              </w:rPr>
            </w:pPr>
            <w:r w:rsidRPr="00DE0A34">
              <w:rPr>
                <w:rFonts w:ascii="MinionPro-Regular" w:hAnsi="MinionPro-Regular"/>
                <w:sz w:val="16"/>
                <w:szCs w:val="24"/>
                <w:lang w:val="es-ES_tradnl"/>
              </w:rPr>
              <w:t>Servicios</w:t>
            </w:r>
          </w:p>
        </w:tc>
        <w:tc>
          <w:tcPr>
            <w:tcW w:w="1700" w:type="dxa"/>
            <w:tcBorders>
              <w:top w:val="nil"/>
              <w:left w:val="nil"/>
              <w:bottom w:val="single" w:sz="4" w:space="0" w:color="auto"/>
              <w:right w:val="nil"/>
            </w:tcBorders>
            <w:shd w:val="clear" w:color="auto" w:fill="BFDEE4"/>
            <w:noWrap/>
            <w:vAlign w:val="bottom"/>
          </w:tcPr>
          <w:p w:rsidR="003670DB" w:rsidRPr="00DE0A34" w:rsidRDefault="003670DB" w:rsidP="00B464F4">
            <w:pPr>
              <w:autoSpaceDE w:val="0"/>
              <w:autoSpaceDN w:val="0"/>
              <w:spacing w:line="360" w:lineRule="auto"/>
              <w:jc w:val="center"/>
              <w:rPr>
                <w:rFonts w:ascii="MinionPro-Regular" w:hAnsi="MinionPro-Regular"/>
                <w:sz w:val="16"/>
                <w:szCs w:val="24"/>
                <w:lang w:val="es-ES_tradnl"/>
              </w:rPr>
            </w:pPr>
            <w:r w:rsidRPr="00DE0A34">
              <w:rPr>
                <w:rFonts w:ascii="MinionPro-Regular" w:hAnsi="MinionPro-Regular"/>
                <w:sz w:val="16"/>
                <w:szCs w:val="24"/>
                <w:lang w:val="es-ES_tradnl"/>
              </w:rPr>
              <w:t>142.516.326,20</w:t>
            </w:r>
          </w:p>
        </w:tc>
        <w:tc>
          <w:tcPr>
            <w:tcW w:w="2630" w:type="dxa"/>
            <w:tcBorders>
              <w:top w:val="nil"/>
              <w:left w:val="single" w:sz="4" w:space="0" w:color="auto"/>
              <w:bottom w:val="single" w:sz="4" w:space="0" w:color="auto"/>
              <w:right w:val="single" w:sz="4" w:space="0" w:color="auto"/>
            </w:tcBorders>
            <w:shd w:val="clear" w:color="auto" w:fill="BFDEE4"/>
            <w:noWrap/>
            <w:vAlign w:val="bottom"/>
          </w:tcPr>
          <w:p w:rsidR="003670DB" w:rsidRPr="00DE0A34" w:rsidRDefault="003670DB" w:rsidP="00B464F4">
            <w:pPr>
              <w:autoSpaceDE w:val="0"/>
              <w:autoSpaceDN w:val="0"/>
              <w:spacing w:line="360" w:lineRule="auto"/>
              <w:jc w:val="center"/>
              <w:rPr>
                <w:rFonts w:ascii="MinionPro-Regular" w:hAnsi="MinionPro-Regular"/>
                <w:sz w:val="16"/>
                <w:szCs w:val="24"/>
                <w:lang w:val="es-ES_tradnl"/>
              </w:rPr>
            </w:pPr>
            <w:r w:rsidRPr="00DE0A34">
              <w:rPr>
                <w:rFonts w:ascii="MinionPro-Regular" w:hAnsi="MinionPro-Regular"/>
                <w:sz w:val="16"/>
                <w:szCs w:val="24"/>
                <w:lang w:val="es-ES_tradnl"/>
              </w:rPr>
              <w:t>129.785.137,85</w:t>
            </w:r>
          </w:p>
        </w:tc>
        <w:tc>
          <w:tcPr>
            <w:tcW w:w="1710" w:type="dxa"/>
            <w:tcBorders>
              <w:top w:val="nil"/>
              <w:left w:val="nil"/>
              <w:bottom w:val="single" w:sz="4" w:space="0" w:color="auto"/>
              <w:right w:val="single" w:sz="4" w:space="0" w:color="auto"/>
            </w:tcBorders>
            <w:shd w:val="clear" w:color="auto" w:fill="BFDEE4"/>
            <w:noWrap/>
            <w:vAlign w:val="center"/>
          </w:tcPr>
          <w:p w:rsidR="003670DB" w:rsidRPr="00DE0A34" w:rsidRDefault="003670DB" w:rsidP="00B464F4">
            <w:pPr>
              <w:autoSpaceDE w:val="0"/>
              <w:autoSpaceDN w:val="0"/>
              <w:spacing w:line="360" w:lineRule="auto"/>
              <w:jc w:val="center"/>
              <w:rPr>
                <w:rFonts w:ascii="MinionPro-Regular" w:hAnsi="MinionPro-Regular"/>
                <w:sz w:val="16"/>
                <w:szCs w:val="24"/>
                <w:lang w:val="es-ES_tradnl"/>
              </w:rPr>
            </w:pPr>
            <w:r w:rsidRPr="00DE0A34">
              <w:rPr>
                <w:rFonts w:ascii="MinionPro-Regular" w:hAnsi="MinionPro-Regular"/>
                <w:sz w:val="16"/>
                <w:szCs w:val="24"/>
                <w:lang w:val="es-ES_tradnl"/>
              </w:rPr>
              <w:t>58,7%</w:t>
            </w:r>
          </w:p>
        </w:tc>
      </w:tr>
      <w:tr w:rsidR="003670DB" w:rsidRPr="00F65F9D" w:rsidTr="00B464F4">
        <w:trPr>
          <w:trHeight w:val="300"/>
        </w:trPr>
        <w:tc>
          <w:tcPr>
            <w:tcW w:w="2180" w:type="dxa"/>
            <w:tcBorders>
              <w:top w:val="nil"/>
              <w:left w:val="single" w:sz="4" w:space="0" w:color="auto"/>
              <w:bottom w:val="single" w:sz="4" w:space="0" w:color="auto"/>
              <w:right w:val="single" w:sz="4" w:space="0" w:color="auto"/>
            </w:tcBorders>
            <w:noWrap/>
            <w:vAlign w:val="center"/>
          </w:tcPr>
          <w:p w:rsidR="003670DB" w:rsidRPr="00DE0A34" w:rsidRDefault="003670DB" w:rsidP="00B464F4">
            <w:pPr>
              <w:autoSpaceDE w:val="0"/>
              <w:autoSpaceDN w:val="0"/>
              <w:spacing w:line="360" w:lineRule="auto"/>
              <w:jc w:val="both"/>
              <w:rPr>
                <w:rFonts w:ascii="MinionPro-Regular" w:hAnsi="MinionPro-Regular"/>
                <w:sz w:val="16"/>
                <w:szCs w:val="24"/>
                <w:lang w:val="es-ES_tradnl"/>
              </w:rPr>
            </w:pPr>
            <w:r w:rsidRPr="00DE0A34">
              <w:rPr>
                <w:rFonts w:ascii="MinionPro-Regular" w:hAnsi="MinionPro-Regular"/>
                <w:sz w:val="16"/>
                <w:szCs w:val="24"/>
                <w:lang w:val="es-ES_tradnl"/>
              </w:rPr>
              <w:t>No consta</w:t>
            </w:r>
          </w:p>
        </w:tc>
        <w:tc>
          <w:tcPr>
            <w:tcW w:w="1700" w:type="dxa"/>
            <w:tcBorders>
              <w:top w:val="nil"/>
              <w:left w:val="nil"/>
              <w:bottom w:val="single" w:sz="4" w:space="0" w:color="auto"/>
              <w:right w:val="nil"/>
            </w:tcBorders>
            <w:noWrap/>
            <w:vAlign w:val="center"/>
          </w:tcPr>
          <w:p w:rsidR="003670DB" w:rsidRPr="00DE0A34" w:rsidRDefault="003670DB" w:rsidP="00B464F4">
            <w:pPr>
              <w:autoSpaceDE w:val="0"/>
              <w:autoSpaceDN w:val="0"/>
              <w:spacing w:line="360" w:lineRule="auto"/>
              <w:jc w:val="center"/>
              <w:rPr>
                <w:rFonts w:ascii="MinionPro-Regular" w:hAnsi="MinionPro-Regular"/>
                <w:sz w:val="16"/>
                <w:szCs w:val="24"/>
                <w:lang w:val="es-ES_tradnl"/>
              </w:rPr>
            </w:pPr>
            <w:r w:rsidRPr="00DE0A34">
              <w:rPr>
                <w:rFonts w:ascii="MinionPro-Regular" w:hAnsi="MinionPro-Regular"/>
                <w:sz w:val="16"/>
                <w:szCs w:val="24"/>
                <w:lang w:val="es-ES_tradnl"/>
              </w:rPr>
              <w:t>13.366.963,49</w:t>
            </w:r>
          </w:p>
        </w:tc>
        <w:tc>
          <w:tcPr>
            <w:tcW w:w="2630" w:type="dxa"/>
            <w:tcBorders>
              <w:top w:val="nil"/>
              <w:left w:val="single" w:sz="4" w:space="0" w:color="auto"/>
              <w:bottom w:val="single" w:sz="4" w:space="0" w:color="auto"/>
              <w:right w:val="single" w:sz="4" w:space="0" w:color="auto"/>
            </w:tcBorders>
            <w:noWrap/>
            <w:vAlign w:val="center"/>
          </w:tcPr>
          <w:p w:rsidR="003670DB" w:rsidRPr="00DE0A34" w:rsidRDefault="003670DB" w:rsidP="00B464F4">
            <w:pPr>
              <w:autoSpaceDE w:val="0"/>
              <w:autoSpaceDN w:val="0"/>
              <w:spacing w:line="360" w:lineRule="auto"/>
              <w:jc w:val="center"/>
              <w:rPr>
                <w:rFonts w:ascii="MinionPro-Regular" w:hAnsi="MinionPro-Regular"/>
                <w:sz w:val="16"/>
                <w:szCs w:val="24"/>
                <w:lang w:val="es-ES_tradnl"/>
              </w:rPr>
            </w:pPr>
            <w:r w:rsidRPr="00DE0A34">
              <w:rPr>
                <w:rFonts w:ascii="MinionPro-Regular" w:hAnsi="MinionPro-Regular"/>
                <w:sz w:val="16"/>
                <w:szCs w:val="24"/>
                <w:lang w:val="es-ES_tradnl"/>
              </w:rPr>
              <w:t>11.795.815,90</w:t>
            </w:r>
          </w:p>
        </w:tc>
        <w:tc>
          <w:tcPr>
            <w:tcW w:w="1710" w:type="dxa"/>
            <w:tcBorders>
              <w:top w:val="nil"/>
              <w:left w:val="nil"/>
              <w:bottom w:val="single" w:sz="4" w:space="0" w:color="auto"/>
              <w:right w:val="single" w:sz="4" w:space="0" w:color="auto"/>
            </w:tcBorders>
            <w:noWrap/>
            <w:vAlign w:val="center"/>
          </w:tcPr>
          <w:p w:rsidR="003670DB" w:rsidRPr="00DE0A34" w:rsidRDefault="003670DB" w:rsidP="00B464F4">
            <w:pPr>
              <w:autoSpaceDE w:val="0"/>
              <w:autoSpaceDN w:val="0"/>
              <w:spacing w:line="360" w:lineRule="auto"/>
              <w:jc w:val="center"/>
              <w:rPr>
                <w:rFonts w:ascii="MinionPro-Regular" w:hAnsi="MinionPro-Regular"/>
                <w:sz w:val="16"/>
                <w:szCs w:val="24"/>
                <w:lang w:val="es-ES_tradnl"/>
              </w:rPr>
            </w:pPr>
            <w:r w:rsidRPr="00DE0A34">
              <w:rPr>
                <w:rFonts w:ascii="MinionPro-Regular" w:hAnsi="MinionPro-Regular"/>
                <w:sz w:val="16"/>
                <w:szCs w:val="24"/>
                <w:lang w:val="es-ES_tradnl"/>
              </w:rPr>
              <w:t>5,3%</w:t>
            </w:r>
          </w:p>
        </w:tc>
      </w:tr>
      <w:tr w:rsidR="003670DB" w:rsidRPr="00F65F9D" w:rsidTr="00B464F4">
        <w:trPr>
          <w:trHeight w:val="300"/>
        </w:trPr>
        <w:tc>
          <w:tcPr>
            <w:tcW w:w="2180" w:type="dxa"/>
            <w:tcBorders>
              <w:top w:val="single" w:sz="4" w:space="0" w:color="auto"/>
              <w:left w:val="single" w:sz="4" w:space="0" w:color="auto"/>
              <w:bottom w:val="single" w:sz="4" w:space="0" w:color="auto"/>
              <w:right w:val="single" w:sz="4" w:space="0" w:color="auto"/>
            </w:tcBorders>
            <w:noWrap/>
            <w:vAlign w:val="center"/>
          </w:tcPr>
          <w:p w:rsidR="003670DB" w:rsidRPr="00DE0A34" w:rsidRDefault="003670DB" w:rsidP="00B464F4">
            <w:pPr>
              <w:autoSpaceDE w:val="0"/>
              <w:autoSpaceDN w:val="0"/>
              <w:spacing w:line="360" w:lineRule="auto"/>
              <w:jc w:val="both"/>
              <w:rPr>
                <w:rFonts w:ascii="MinionPro-Regular" w:hAnsi="MinionPro-Regular"/>
                <w:sz w:val="16"/>
                <w:szCs w:val="24"/>
                <w:lang w:val="es-ES_tradnl"/>
              </w:rPr>
            </w:pPr>
            <w:r w:rsidRPr="00DE0A34">
              <w:rPr>
                <w:rFonts w:ascii="MinionPro-Regular" w:hAnsi="MinionPro-Regular"/>
                <w:sz w:val="16"/>
                <w:szCs w:val="24"/>
                <w:lang w:val="es-ES_tradnl"/>
              </w:rPr>
              <w:t>Total</w:t>
            </w:r>
          </w:p>
        </w:tc>
        <w:tc>
          <w:tcPr>
            <w:tcW w:w="1700" w:type="dxa"/>
            <w:tcBorders>
              <w:top w:val="nil"/>
              <w:left w:val="nil"/>
              <w:bottom w:val="single" w:sz="4" w:space="0" w:color="auto"/>
              <w:right w:val="single" w:sz="4" w:space="0" w:color="auto"/>
            </w:tcBorders>
            <w:noWrap/>
            <w:vAlign w:val="center"/>
          </w:tcPr>
          <w:p w:rsidR="003670DB" w:rsidRPr="00DE0A34" w:rsidRDefault="003670DB" w:rsidP="00B464F4">
            <w:pPr>
              <w:autoSpaceDE w:val="0"/>
              <w:autoSpaceDN w:val="0"/>
              <w:spacing w:line="360" w:lineRule="auto"/>
              <w:jc w:val="center"/>
              <w:rPr>
                <w:rFonts w:ascii="MinionPro-Regular" w:hAnsi="MinionPro-Regular"/>
                <w:sz w:val="16"/>
                <w:szCs w:val="24"/>
                <w:lang w:val="es-ES_tradnl"/>
              </w:rPr>
            </w:pPr>
            <w:r w:rsidRPr="00DE0A34">
              <w:rPr>
                <w:rFonts w:ascii="MinionPro-Regular" w:hAnsi="MinionPro-Regular"/>
                <w:sz w:val="16"/>
                <w:szCs w:val="24"/>
                <w:lang w:val="es-ES_tradnl"/>
              </w:rPr>
              <w:t>237.974.785,16</w:t>
            </w:r>
          </w:p>
        </w:tc>
        <w:tc>
          <w:tcPr>
            <w:tcW w:w="2630" w:type="dxa"/>
            <w:tcBorders>
              <w:top w:val="nil"/>
              <w:left w:val="nil"/>
              <w:bottom w:val="single" w:sz="4" w:space="0" w:color="auto"/>
              <w:right w:val="single" w:sz="4" w:space="0" w:color="auto"/>
            </w:tcBorders>
            <w:noWrap/>
            <w:vAlign w:val="center"/>
          </w:tcPr>
          <w:p w:rsidR="003670DB" w:rsidRPr="00DE0A34" w:rsidRDefault="003670DB" w:rsidP="00B464F4">
            <w:pPr>
              <w:autoSpaceDE w:val="0"/>
              <w:autoSpaceDN w:val="0"/>
              <w:spacing w:line="360" w:lineRule="auto"/>
              <w:jc w:val="center"/>
              <w:rPr>
                <w:rFonts w:ascii="MinionPro-Regular" w:hAnsi="MinionPro-Regular"/>
                <w:sz w:val="16"/>
                <w:szCs w:val="24"/>
                <w:lang w:val="es-ES_tradnl"/>
              </w:rPr>
            </w:pPr>
            <w:r w:rsidRPr="00DE0A34">
              <w:rPr>
                <w:rFonts w:ascii="MinionPro-Regular" w:hAnsi="MinionPro-Regular"/>
                <w:sz w:val="16"/>
                <w:szCs w:val="24"/>
                <w:lang w:val="es-ES_tradnl"/>
              </w:rPr>
              <w:t>220.977.622,79</w:t>
            </w:r>
          </w:p>
        </w:tc>
        <w:tc>
          <w:tcPr>
            <w:tcW w:w="1710" w:type="dxa"/>
            <w:tcBorders>
              <w:top w:val="nil"/>
              <w:left w:val="nil"/>
              <w:bottom w:val="single" w:sz="4" w:space="0" w:color="auto"/>
              <w:right w:val="single" w:sz="4" w:space="0" w:color="auto"/>
            </w:tcBorders>
            <w:noWrap/>
            <w:vAlign w:val="center"/>
          </w:tcPr>
          <w:p w:rsidR="003670DB" w:rsidRPr="00DE0A34" w:rsidRDefault="003670DB" w:rsidP="00B464F4">
            <w:pPr>
              <w:autoSpaceDE w:val="0"/>
              <w:autoSpaceDN w:val="0"/>
              <w:spacing w:line="360" w:lineRule="auto"/>
              <w:jc w:val="center"/>
              <w:rPr>
                <w:rFonts w:ascii="MinionPro-Regular" w:hAnsi="MinionPro-Regular"/>
                <w:sz w:val="16"/>
                <w:szCs w:val="24"/>
                <w:lang w:val="es-ES_tradnl"/>
              </w:rPr>
            </w:pPr>
            <w:r w:rsidRPr="00DE0A34">
              <w:rPr>
                <w:rFonts w:ascii="MinionPro-Regular" w:hAnsi="MinionPro-Regular"/>
                <w:sz w:val="16"/>
                <w:szCs w:val="24"/>
                <w:lang w:val="es-ES_tradnl"/>
              </w:rPr>
              <w:t>100,0%</w:t>
            </w:r>
          </w:p>
        </w:tc>
      </w:tr>
    </w:tbl>
    <w:p w:rsidR="003670DB" w:rsidRDefault="003670DB" w:rsidP="003670DB">
      <w:pPr>
        <w:pBdr>
          <w:bottom w:val="single" w:sz="4" w:space="1" w:color="auto"/>
        </w:pBdr>
        <w:autoSpaceDE w:val="0"/>
        <w:autoSpaceDN w:val="0"/>
        <w:spacing w:line="360" w:lineRule="auto"/>
        <w:jc w:val="both"/>
        <w:rPr>
          <w:rFonts w:ascii="MinionPro-Regular" w:hAnsi="MinionPro-Regular"/>
          <w:sz w:val="20"/>
          <w:szCs w:val="24"/>
          <w:lang w:val="es-ES_tradnl"/>
        </w:rPr>
      </w:pPr>
      <w:r w:rsidRPr="00071439">
        <w:rPr>
          <w:rFonts w:ascii="MinionPro-Regular" w:hAnsi="MinionPro-Regular"/>
          <w:sz w:val="20"/>
          <w:szCs w:val="24"/>
          <w:lang w:val="es-ES_tradnl"/>
        </w:rPr>
        <w:t>Fuente: Anuario de estadísticas del Ministerio de Empleo y Seguridad Social 2011</w:t>
      </w:r>
    </w:p>
    <w:p w:rsidR="003670DB" w:rsidRDefault="003670DB" w:rsidP="003670DB">
      <w:pPr>
        <w:autoSpaceDE w:val="0"/>
        <w:autoSpaceDN w:val="0"/>
        <w:spacing w:line="360" w:lineRule="auto"/>
        <w:jc w:val="both"/>
        <w:rPr>
          <w:rFonts w:ascii="MinionPro-Regular" w:hAnsi="MinionPro-Regular"/>
          <w:sz w:val="24"/>
          <w:szCs w:val="24"/>
          <w:lang w:val="es-ES_tradnl"/>
        </w:rPr>
      </w:pPr>
    </w:p>
    <w:p w:rsidR="003670DB" w:rsidRDefault="003670DB" w:rsidP="003670DB">
      <w:pPr>
        <w:autoSpaceDE w:val="0"/>
        <w:autoSpaceDN w:val="0"/>
        <w:spacing w:line="360" w:lineRule="auto"/>
        <w:jc w:val="both"/>
        <w:rPr>
          <w:rFonts w:ascii="MinionPro-Regular" w:hAnsi="MinionPro-Regular"/>
          <w:i/>
          <w:sz w:val="16"/>
          <w:szCs w:val="24"/>
          <w:lang w:val="es-ES_tradnl"/>
        </w:rPr>
      </w:pPr>
      <w:r>
        <w:rPr>
          <w:rFonts w:ascii="MinionPro-Regular" w:hAnsi="MinionPro-Regular"/>
          <w:sz w:val="24"/>
          <w:szCs w:val="24"/>
          <w:lang w:val="es-ES_tradnl"/>
        </w:rPr>
        <w:t xml:space="preserve">De acuerdo a </w:t>
      </w:r>
      <w:r w:rsidRPr="00B8603F">
        <w:rPr>
          <w:rFonts w:ascii="MinionPro-Regular" w:hAnsi="MinionPro-Regular"/>
          <w:sz w:val="24"/>
          <w:szCs w:val="24"/>
          <w:lang w:val="es-ES_tradnl"/>
        </w:rPr>
        <w:t xml:space="preserve">los datos facilitados por el Servicio Público de Empleo Estatal (SPEE), en </w:t>
      </w:r>
      <w:r>
        <w:rPr>
          <w:rFonts w:ascii="MinionPro-Regular" w:hAnsi="MinionPro-Regular"/>
          <w:sz w:val="24"/>
          <w:szCs w:val="24"/>
          <w:lang w:val="es-ES_tradnl"/>
        </w:rPr>
        <w:t>España existen 2.215 centros especiales de empleo, que dan trabajo a 71.815 personas. Cada uno de ellos, por lo tanto, da empleo a 32 personas. S</w:t>
      </w:r>
      <w:r w:rsidRPr="00B8603F">
        <w:rPr>
          <w:rFonts w:ascii="MinionPro-Regular" w:hAnsi="MinionPro-Regular"/>
          <w:sz w:val="24"/>
          <w:szCs w:val="24"/>
          <w:lang w:val="es-ES_tradnl"/>
        </w:rPr>
        <w:t xml:space="preserve">egún datos de Eurostat, </w:t>
      </w:r>
      <w:r>
        <w:rPr>
          <w:rFonts w:ascii="MinionPro-Regular" w:hAnsi="MinionPro-Regular"/>
          <w:sz w:val="24"/>
          <w:szCs w:val="24"/>
          <w:lang w:val="es-ES_tradnl"/>
        </w:rPr>
        <w:t xml:space="preserve">y teniendo en cuenta los sectores de actividad de los centros especiales de empleo, se ha estimado un valor añadido bruto anual por empleado de 41.876 euros. </w:t>
      </w:r>
    </w:p>
    <w:p w:rsidR="003670DB" w:rsidRDefault="003670DB" w:rsidP="003670DB">
      <w:pPr>
        <w:autoSpaceDE w:val="0"/>
        <w:autoSpaceDN w:val="0"/>
        <w:spacing w:line="360" w:lineRule="auto"/>
        <w:jc w:val="both"/>
        <w:rPr>
          <w:rFonts w:ascii="MinionPro-Regular" w:hAnsi="MinionPro-Regular"/>
          <w:sz w:val="24"/>
          <w:szCs w:val="24"/>
          <w:lang w:val="es-ES_tradnl"/>
        </w:rPr>
      </w:pPr>
    </w:p>
    <w:p w:rsidR="003670DB" w:rsidRDefault="003670DB" w:rsidP="003670DB">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 xml:space="preserve">En aras de la prudencia es necesario tener en cuenta el diferencial de productividad entre las personas con y sin discapacidad que trabajan en los centros especiales de empleo. </w:t>
      </w:r>
      <w:r w:rsidRPr="00B8603F">
        <w:rPr>
          <w:rFonts w:ascii="MinionPro-Regular" w:hAnsi="MinionPro-Regular"/>
          <w:sz w:val="24"/>
          <w:szCs w:val="24"/>
          <w:lang w:val="es-ES_tradnl"/>
        </w:rPr>
        <w:t xml:space="preserve"> </w:t>
      </w:r>
      <w:r>
        <w:rPr>
          <w:rFonts w:ascii="MinionPro-Regular" w:hAnsi="MinionPro-Regular"/>
          <w:sz w:val="24"/>
          <w:szCs w:val="24"/>
          <w:lang w:val="es-ES_tradnl"/>
        </w:rPr>
        <w:t xml:space="preserve">Este diferencial se ha estimado en alrededor de un 15%. </w:t>
      </w:r>
    </w:p>
    <w:p w:rsidR="003670DB" w:rsidRPr="00891BAF" w:rsidRDefault="003670DB" w:rsidP="003670DB">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De acuerdo a los cálculos y la metodología aplicada, los centros especiales de empleo en España</w:t>
      </w:r>
      <w:r w:rsidRPr="00B8603F">
        <w:rPr>
          <w:rFonts w:ascii="MinionPro-Regular" w:hAnsi="MinionPro-Regular"/>
          <w:sz w:val="24"/>
          <w:szCs w:val="24"/>
          <w:lang w:val="es-ES_tradnl"/>
        </w:rPr>
        <w:t xml:space="preserve"> </w:t>
      </w:r>
      <w:r>
        <w:rPr>
          <w:rFonts w:ascii="MinionPro-Regular" w:hAnsi="MinionPro-Regular"/>
          <w:sz w:val="24"/>
          <w:szCs w:val="24"/>
          <w:lang w:val="es-ES_tradnl"/>
        </w:rPr>
        <w:t>generan, en una estimación prudente, un valor añadido</w:t>
      </w:r>
      <w:r w:rsidRPr="00B8603F">
        <w:rPr>
          <w:rFonts w:ascii="MinionPro-Regular" w:hAnsi="MinionPro-Regular"/>
          <w:sz w:val="24"/>
          <w:szCs w:val="24"/>
          <w:lang w:val="es-ES_tradnl"/>
        </w:rPr>
        <w:t xml:space="preserve"> bruto de </w:t>
      </w:r>
      <w:r>
        <w:rPr>
          <w:rFonts w:ascii="MinionPro-Regular" w:hAnsi="MinionPro-Regular"/>
          <w:sz w:val="24"/>
          <w:szCs w:val="24"/>
          <w:lang w:val="es-ES_tradnl"/>
        </w:rPr>
        <w:t xml:space="preserve">aproximadamente 2.600 millones de euros, que vendría a representar alrededor del 0,3% del total generado por la economía española. </w:t>
      </w:r>
    </w:p>
    <w:p w:rsidR="003670DB" w:rsidRDefault="003670DB" w:rsidP="003670DB">
      <w:pPr>
        <w:pStyle w:val="Textoindependiente"/>
      </w:pPr>
    </w:p>
    <w:p w:rsidR="003670DB" w:rsidRPr="005537A9" w:rsidRDefault="003670DB" w:rsidP="003670DB">
      <w:pPr>
        <w:pStyle w:val="Textoindependiente"/>
        <w:pBdr>
          <w:top w:val="single" w:sz="4" w:space="1" w:color="auto"/>
        </w:pBdr>
        <w:rPr>
          <w:rFonts w:ascii="MinionPro-Regular" w:hAnsi="MinionPro-Regular"/>
          <w:sz w:val="20"/>
        </w:rPr>
      </w:pPr>
      <w:r w:rsidRPr="005537A9">
        <w:rPr>
          <w:rFonts w:ascii="MinionPro-Regular" w:hAnsi="MinionPro-Regular"/>
          <w:sz w:val="20"/>
        </w:rPr>
        <w:t>Estimación del Valor Añadido Bruto (VAB) de los centros especiales de empleo</w:t>
      </w:r>
    </w:p>
    <w:tbl>
      <w:tblPr>
        <w:tblW w:w="8426" w:type="dxa"/>
        <w:tblBorders>
          <w:bottom w:val="single" w:sz="12" w:space="0" w:color="409DAD"/>
        </w:tblBorders>
        <w:tblCellMar>
          <w:top w:w="28" w:type="dxa"/>
          <w:left w:w="28" w:type="dxa"/>
          <w:bottom w:w="28" w:type="dxa"/>
          <w:right w:w="28" w:type="dxa"/>
        </w:tblCellMar>
        <w:tblLook w:val="00A0"/>
      </w:tblPr>
      <w:tblGrid>
        <w:gridCol w:w="829"/>
        <w:gridCol w:w="1042"/>
        <w:gridCol w:w="1350"/>
        <w:gridCol w:w="1276"/>
        <w:gridCol w:w="1309"/>
        <w:gridCol w:w="1464"/>
        <w:gridCol w:w="1156"/>
      </w:tblGrid>
      <w:tr w:rsidR="003670DB" w:rsidRPr="003A39BE" w:rsidTr="00B464F4">
        <w:trPr>
          <w:gridBefore w:val="1"/>
          <w:trHeight w:val="669"/>
        </w:trPr>
        <w:tc>
          <w:tcPr>
            <w:tcW w:w="1042" w:type="dxa"/>
            <w:shd w:val="clear" w:color="auto" w:fill="409DAD"/>
            <w:vAlign w:val="center"/>
          </w:tcPr>
          <w:p w:rsidR="003670DB" w:rsidRPr="00A62C1C" w:rsidRDefault="003670DB" w:rsidP="00B464F4">
            <w:pPr>
              <w:autoSpaceDE w:val="0"/>
              <w:autoSpaceDN w:val="0"/>
              <w:spacing w:line="360" w:lineRule="auto"/>
              <w:jc w:val="center"/>
              <w:rPr>
                <w:rFonts w:ascii="MinionPro-Regular" w:hAnsi="MinionPro-Regular"/>
                <w:color w:val="FFFFFF"/>
                <w:sz w:val="16"/>
                <w:szCs w:val="24"/>
                <w:lang w:val="es-ES_tradnl"/>
              </w:rPr>
            </w:pPr>
            <w:r w:rsidRPr="00A62C1C">
              <w:rPr>
                <w:rFonts w:ascii="MinionPro-Regular" w:hAnsi="MinionPro-Regular"/>
                <w:color w:val="FFFFFF"/>
                <w:sz w:val="16"/>
                <w:szCs w:val="24"/>
                <w:lang w:val="es-ES_tradnl"/>
              </w:rPr>
              <w:t>VAB sector (miles de euros)</w:t>
            </w:r>
          </w:p>
        </w:tc>
        <w:tc>
          <w:tcPr>
            <w:tcW w:w="1350" w:type="dxa"/>
            <w:shd w:val="clear" w:color="auto" w:fill="409DAD"/>
            <w:vAlign w:val="center"/>
          </w:tcPr>
          <w:p w:rsidR="003670DB" w:rsidRPr="00A62C1C" w:rsidRDefault="003670DB" w:rsidP="00B464F4">
            <w:pPr>
              <w:autoSpaceDE w:val="0"/>
              <w:autoSpaceDN w:val="0"/>
              <w:spacing w:line="360" w:lineRule="auto"/>
              <w:jc w:val="center"/>
              <w:rPr>
                <w:rFonts w:ascii="MinionPro-Regular" w:hAnsi="MinionPro-Regular"/>
                <w:color w:val="FFFFFF"/>
                <w:sz w:val="16"/>
                <w:szCs w:val="24"/>
                <w:lang w:val="es-ES_tradnl"/>
              </w:rPr>
            </w:pPr>
            <w:r w:rsidRPr="00A62C1C">
              <w:rPr>
                <w:rFonts w:ascii="MinionPro-Regular" w:hAnsi="MinionPro-Regular"/>
                <w:color w:val="FFFFFF"/>
                <w:sz w:val="16"/>
                <w:szCs w:val="24"/>
                <w:lang w:val="es-ES_tradnl"/>
              </w:rPr>
              <w:t>VAB pequeñas empresas sector (miles de euros) en España</w:t>
            </w:r>
          </w:p>
        </w:tc>
        <w:tc>
          <w:tcPr>
            <w:tcW w:w="1276" w:type="dxa"/>
            <w:shd w:val="clear" w:color="auto" w:fill="409DAD"/>
            <w:vAlign w:val="center"/>
          </w:tcPr>
          <w:p w:rsidR="003670DB" w:rsidRPr="00A62C1C" w:rsidRDefault="003670DB" w:rsidP="00B464F4">
            <w:pPr>
              <w:autoSpaceDE w:val="0"/>
              <w:autoSpaceDN w:val="0"/>
              <w:spacing w:line="360" w:lineRule="auto"/>
              <w:jc w:val="center"/>
              <w:rPr>
                <w:rFonts w:ascii="MinionPro-Regular" w:hAnsi="MinionPro-Regular"/>
                <w:color w:val="FFFFFF"/>
                <w:sz w:val="16"/>
                <w:szCs w:val="24"/>
                <w:lang w:val="es-ES_tradnl"/>
              </w:rPr>
            </w:pPr>
            <w:r w:rsidRPr="00A62C1C">
              <w:rPr>
                <w:rFonts w:ascii="MinionPro-Regular" w:hAnsi="MinionPro-Regular"/>
                <w:color w:val="FFFFFF"/>
                <w:sz w:val="16"/>
                <w:szCs w:val="24"/>
                <w:lang w:val="es-ES_tradnl"/>
              </w:rPr>
              <w:t>Media ponderada del VAB de ambos sectores (euros)</w:t>
            </w:r>
          </w:p>
        </w:tc>
        <w:tc>
          <w:tcPr>
            <w:tcW w:w="1309" w:type="dxa"/>
            <w:shd w:val="clear" w:color="auto" w:fill="409DAD"/>
            <w:vAlign w:val="center"/>
          </w:tcPr>
          <w:p w:rsidR="003670DB" w:rsidRPr="00A62C1C" w:rsidRDefault="003670DB" w:rsidP="00B464F4">
            <w:pPr>
              <w:autoSpaceDE w:val="0"/>
              <w:autoSpaceDN w:val="0"/>
              <w:spacing w:line="360" w:lineRule="auto"/>
              <w:jc w:val="center"/>
              <w:rPr>
                <w:rFonts w:ascii="MinionPro-Regular" w:hAnsi="MinionPro-Regular"/>
                <w:color w:val="FFFFFF"/>
                <w:sz w:val="16"/>
                <w:szCs w:val="24"/>
                <w:lang w:val="es-ES_tradnl"/>
              </w:rPr>
            </w:pPr>
            <w:r w:rsidRPr="00A62C1C">
              <w:rPr>
                <w:rFonts w:ascii="MinionPro-Regular" w:hAnsi="MinionPro-Regular"/>
                <w:color w:val="FFFFFF"/>
                <w:sz w:val="16"/>
                <w:szCs w:val="24"/>
                <w:lang w:val="es-ES_tradnl"/>
              </w:rPr>
              <w:t>VAB personas sin discapacidad en centros especiales de empleo (euros)</w:t>
            </w:r>
          </w:p>
        </w:tc>
        <w:tc>
          <w:tcPr>
            <w:tcW w:w="1464" w:type="dxa"/>
            <w:shd w:val="clear" w:color="auto" w:fill="409DAD"/>
            <w:vAlign w:val="center"/>
          </w:tcPr>
          <w:p w:rsidR="003670DB" w:rsidRPr="00A62C1C" w:rsidRDefault="003670DB" w:rsidP="00B464F4">
            <w:pPr>
              <w:autoSpaceDE w:val="0"/>
              <w:autoSpaceDN w:val="0"/>
              <w:spacing w:line="360" w:lineRule="auto"/>
              <w:jc w:val="center"/>
              <w:rPr>
                <w:rFonts w:ascii="MinionPro-Regular" w:hAnsi="MinionPro-Regular"/>
                <w:color w:val="FFFFFF"/>
                <w:sz w:val="16"/>
                <w:szCs w:val="24"/>
                <w:lang w:val="es-ES_tradnl"/>
              </w:rPr>
            </w:pPr>
            <w:r w:rsidRPr="00A62C1C">
              <w:rPr>
                <w:rFonts w:ascii="MinionPro-Regular" w:hAnsi="MinionPro-Regular"/>
                <w:color w:val="FFFFFF"/>
                <w:sz w:val="16"/>
                <w:szCs w:val="24"/>
                <w:lang w:val="es-ES_tradnl"/>
              </w:rPr>
              <w:t>VAB personas con discapacidad en centros especiales de empleo (euros)</w:t>
            </w:r>
          </w:p>
        </w:tc>
        <w:tc>
          <w:tcPr>
            <w:tcW w:w="1156" w:type="dxa"/>
            <w:shd w:val="clear" w:color="auto" w:fill="409DAD"/>
            <w:vAlign w:val="center"/>
          </w:tcPr>
          <w:p w:rsidR="003670DB" w:rsidRPr="00A62C1C" w:rsidRDefault="003670DB" w:rsidP="00B464F4">
            <w:pPr>
              <w:autoSpaceDE w:val="0"/>
              <w:autoSpaceDN w:val="0"/>
              <w:spacing w:line="360" w:lineRule="auto"/>
              <w:jc w:val="center"/>
              <w:rPr>
                <w:rFonts w:ascii="MinionPro-Regular" w:hAnsi="MinionPro-Regular"/>
                <w:color w:val="FFFFFF"/>
                <w:sz w:val="16"/>
                <w:szCs w:val="24"/>
                <w:lang w:val="es-ES_tradnl"/>
              </w:rPr>
            </w:pPr>
            <w:r w:rsidRPr="00A62C1C">
              <w:rPr>
                <w:rFonts w:ascii="MinionPro-Regular" w:hAnsi="MinionPro-Regular"/>
                <w:color w:val="FFFFFF"/>
                <w:sz w:val="16"/>
                <w:szCs w:val="24"/>
                <w:lang w:val="es-ES_tradnl"/>
              </w:rPr>
              <w:t>Total VAB centros especiales de empleo (euros)</w:t>
            </w:r>
          </w:p>
        </w:tc>
      </w:tr>
      <w:tr w:rsidR="003670DB" w:rsidRPr="007949F6" w:rsidTr="00B464F4">
        <w:trPr>
          <w:trHeight w:val="297"/>
        </w:trPr>
        <w:tc>
          <w:tcPr>
            <w:tcW w:w="829" w:type="dxa"/>
            <w:vAlign w:val="center"/>
          </w:tcPr>
          <w:p w:rsidR="003670DB" w:rsidRPr="00A62C1C" w:rsidRDefault="003670DB" w:rsidP="00B464F4">
            <w:pPr>
              <w:autoSpaceDE w:val="0"/>
              <w:autoSpaceDN w:val="0"/>
              <w:spacing w:line="360" w:lineRule="auto"/>
              <w:jc w:val="center"/>
              <w:rPr>
                <w:rFonts w:ascii="MinionPro-Regular" w:hAnsi="MinionPro-Regular"/>
                <w:sz w:val="16"/>
                <w:szCs w:val="24"/>
                <w:lang w:val="es-ES_tradnl"/>
              </w:rPr>
            </w:pPr>
            <w:r w:rsidRPr="00A62C1C">
              <w:rPr>
                <w:rFonts w:ascii="MinionPro-Regular" w:hAnsi="MinionPro-Regular"/>
                <w:sz w:val="16"/>
                <w:szCs w:val="24"/>
                <w:lang w:val="es-ES_tradnl"/>
              </w:rPr>
              <w:t>Servicios</w:t>
            </w:r>
          </w:p>
        </w:tc>
        <w:tc>
          <w:tcPr>
            <w:tcW w:w="1042" w:type="dxa"/>
            <w:noWrap/>
            <w:vAlign w:val="center"/>
          </w:tcPr>
          <w:p w:rsidR="003670DB" w:rsidRPr="00A62C1C" w:rsidRDefault="003670DB" w:rsidP="00B464F4">
            <w:pPr>
              <w:autoSpaceDE w:val="0"/>
              <w:autoSpaceDN w:val="0"/>
              <w:spacing w:line="360" w:lineRule="auto"/>
              <w:jc w:val="center"/>
              <w:rPr>
                <w:rFonts w:ascii="MinionPro-Regular" w:hAnsi="MinionPro-Regular"/>
                <w:sz w:val="16"/>
                <w:szCs w:val="24"/>
                <w:lang w:val="es-ES_tradnl"/>
              </w:rPr>
            </w:pPr>
            <w:r w:rsidRPr="00A62C1C">
              <w:rPr>
                <w:rFonts w:ascii="MinionPro-Regular" w:hAnsi="MinionPro-Regular"/>
                <w:sz w:val="16"/>
                <w:szCs w:val="24"/>
                <w:lang w:val="es-ES_tradnl"/>
              </w:rPr>
              <w:t>68,39</w:t>
            </w:r>
          </w:p>
        </w:tc>
        <w:tc>
          <w:tcPr>
            <w:tcW w:w="1350" w:type="dxa"/>
            <w:noWrap/>
            <w:vAlign w:val="center"/>
          </w:tcPr>
          <w:p w:rsidR="003670DB" w:rsidRPr="00A62C1C" w:rsidRDefault="003670DB" w:rsidP="00B464F4">
            <w:pPr>
              <w:autoSpaceDE w:val="0"/>
              <w:autoSpaceDN w:val="0"/>
              <w:spacing w:line="360" w:lineRule="auto"/>
              <w:jc w:val="center"/>
              <w:rPr>
                <w:rFonts w:ascii="MinionPro-Regular" w:hAnsi="MinionPro-Regular"/>
                <w:sz w:val="16"/>
                <w:szCs w:val="24"/>
                <w:lang w:val="es-ES_tradnl"/>
              </w:rPr>
            </w:pPr>
            <w:r w:rsidRPr="00A62C1C">
              <w:rPr>
                <w:rFonts w:ascii="MinionPro-Regular" w:hAnsi="MinionPro-Regular"/>
                <w:sz w:val="16"/>
                <w:szCs w:val="24"/>
                <w:lang w:val="es-ES_tradnl"/>
              </w:rPr>
              <w:t>47,87</w:t>
            </w:r>
          </w:p>
        </w:tc>
        <w:tc>
          <w:tcPr>
            <w:tcW w:w="1276" w:type="dxa"/>
            <w:vMerge w:val="restart"/>
            <w:noWrap/>
            <w:vAlign w:val="center"/>
          </w:tcPr>
          <w:p w:rsidR="003670DB" w:rsidRPr="00A62C1C" w:rsidRDefault="003670DB" w:rsidP="00B464F4">
            <w:pPr>
              <w:autoSpaceDE w:val="0"/>
              <w:autoSpaceDN w:val="0"/>
              <w:spacing w:line="360" w:lineRule="auto"/>
              <w:jc w:val="center"/>
              <w:rPr>
                <w:rFonts w:ascii="MinionPro-Regular" w:hAnsi="MinionPro-Regular"/>
                <w:sz w:val="16"/>
                <w:szCs w:val="24"/>
                <w:lang w:val="es-ES_tradnl"/>
              </w:rPr>
            </w:pPr>
            <w:r w:rsidRPr="00A62C1C">
              <w:rPr>
                <w:rFonts w:ascii="MinionPro-Regular" w:hAnsi="MinionPro-Regular"/>
                <w:sz w:val="16"/>
                <w:szCs w:val="24"/>
                <w:lang w:val="es-ES_tradnl"/>
              </w:rPr>
              <w:t>41.876</w:t>
            </w:r>
          </w:p>
        </w:tc>
        <w:tc>
          <w:tcPr>
            <w:tcW w:w="1309" w:type="dxa"/>
            <w:vMerge w:val="restart"/>
            <w:noWrap/>
            <w:vAlign w:val="center"/>
          </w:tcPr>
          <w:p w:rsidR="003670DB" w:rsidRPr="00A62C1C" w:rsidRDefault="003670DB" w:rsidP="00B464F4">
            <w:pPr>
              <w:autoSpaceDE w:val="0"/>
              <w:autoSpaceDN w:val="0"/>
              <w:spacing w:line="360" w:lineRule="auto"/>
              <w:jc w:val="center"/>
              <w:rPr>
                <w:rFonts w:ascii="MinionPro-Regular" w:hAnsi="MinionPro-Regular"/>
                <w:sz w:val="16"/>
                <w:szCs w:val="24"/>
                <w:lang w:val="es-ES_tradnl"/>
              </w:rPr>
            </w:pPr>
            <w:r w:rsidRPr="00A62C1C">
              <w:rPr>
                <w:rFonts w:ascii="MinionPro-Regular" w:hAnsi="MinionPro-Regular"/>
                <w:sz w:val="16"/>
                <w:szCs w:val="24"/>
                <w:lang w:val="es-ES_tradnl"/>
              </w:rPr>
              <w:t>310.897.640</w:t>
            </w:r>
          </w:p>
        </w:tc>
        <w:tc>
          <w:tcPr>
            <w:tcW w:w="1464" w:type="dxa"/>
            <w:vMerge w:val="restart"/>
            <w:noWrap/>
            <w:vAlign w:val="center"/>
          </w:tcPr>
          <w:p w:rsidR="003670DB" w:rsidRPr="00A62C1C" w:rsidRDefault="003670DB" w:rsidP="00B464F4">
            <w:pPr>
              <w:autoSpaceDE w:val="0"/>
              <w:autoSpaceDN w:val="0"/>
              <w:spacing w:line="360" w:lineRule="auto"/>
              <w:jc w:val="center"/>
              <w:rPr>
                <w:rFonts w:ascii="MinionPro-Regular" w:hAnsi="MinionPro-Regular"/>
                <w:sz w:val="16"/>
                <w:szCs w:val="24"/>
                <w:lang w:val="es-ES_tradnl"/>
              </w:rPr>
            </w:pPr>
            <w:r w:rsidRPr="00A62C1C">
              <w:rPr>
                <w:rFonts w:ascii="MinionPro-Regular" w:hAnsi="MinionPro-Regular"/>
                <w:sz w:val="16"/>
                <w:szCs w:val="24"/>
                <w:lang w:val="es-ES_tradnl"/>
              </w:rPr>
              <w:t>2.291.992.063</w:t>
            </w:r>
          </w:p>
        </w:tc>
        <w:tc>
          <w:tcPr>
            <w:tcW w:w="1156" w:type="dxa"/>
            <w:vMerge w:val="restart"/>
            <w:noWrap/>
            <w:vAlign w:val="center"/>
          </w:tcPr>
          <w:p w:rsidR="003670DB" w:rsidRPr="00A62C1C" w:rsidRDefault="003670DB" w:rsidP="00B464F4">
            <w:pPr>
              <w:autoSpaceDE w:val="0"/>
              <w:autoSpaceDN w:val="0"/>
              <w:spacing w:line="360" w:lineRule="auto"/>
              <w:jc w:val="center"/>
              <w:rPr>
                <w:rFonts w:ascii="MinionPro-Regular" w:hAnsi="MinionPro-Regular"/>
                <w:sz w:val="16"/>
                <w:szCs w:val="24"/>
                <w:lang w:val="es-ES_tradnl"/>
              </w:rPr>
            </w:pPr>
            <w:r w:rsidRPr="00A62C1C">
              <w:rPr>
                <w:rFonts w:ascii="MinionPro-Regular" w:hAnsi="MinionPro-Regular"/>
                <w:sz w:val="16"/>
                <w:szCs w:val="24"/>
                <w:lang w:val="es-ES_tradnl"/>
              </w:rPr>
              <w:t>2.602.889.702</w:t>
            </w:r>
          </w:p>
        </w:tc>
      </w:tr>
      <w:tr w:rsidR="003670DB" w:rsidRPr="007949F6" w:rsidTr="00B464F4">
        <w:trPr>
          <w:trHeight w:val="297"/>
        </w:trPr>
        <w:tc>
          <w:tcPr>
            <w:tcW w:w="829" w:type="dxa"/>
            <w:tcBorders>
              <w:bottom w:val="single" w:sz="12" w:space="0" w:color="409DAD"/>
            </w:tcBorders>
            <w:vAlign w:val="center"/>
          </w:tcPr>
          <w:p w:rsidR="003670DB" w:rsidRPr="00A62C1C" w:rsidRDefault="003670DB" w:rsidP="00B464F4">
            <w:pPr>
              <w:autoSpaceDE w:val="0"/>
              <w:autoSpaceDN w:val="0"/>
              <w:spacing w:line="360" w:lineRule="auto"/>
              <w:jc w:val="center"/>
              <w:rPr>
                <w:rFonts w:ascii="MinionPro-Regular" w:hAnsi="MinionPro-Regular"/>
                <w:sz w:val="16"/>
                <w:szCs w:val="24"/>
                <w:lang w:val="es-ES_tradnl"/>
              </w:rPr>
            </w:pPr>
            <w:r w:rsidRPr="00A62C1C">
              <w:rPr>
                <w:rFonts w:ascii="MinionPro-Regular" w:hAnsi="MinionPro-Regular"/>
                <w:sz w:val="16"/>
                <w:szCs w:val="24"/>
                <w:lang w:val="es-ES_tradnl"/>
              </w:rPr>
              <w:t>Industria</w:t>
            </w:r>
          </w:p>
        </w:tc>
        <w:tc>
          <w:tcPr>
            <w:tcW w:w="1042" w:type="dxa"/>
            <w:tcBorders>
              <w:bottom w:val="single" w:sz="12" w:space="0" w:color="409DAD"/>
            </w:tcBorders>
            <w:noWrap/>
            <w:vAlign w:val="center"/>
          </w:tcPr>
          <w:p w:rsidR="003670DB" w:rsidRPr="00A62C1C" w:rsidRDefault="003670DB" w:rsidP="00B464F4">
            <w:pPr>
              <w:autoSpaceDE w:val="0"/>
              <w:autoSpaceDN w:val="0"/>
              <w:spacing w:line="360" w:lineRule="auto"/>
              <w:jc w:val="center"/>
              <w:rPr>
                <w:rFonts w:ascii="MinionPro-Regular" w:hAnsi="MinionPro-Regular"/>
                <w:sz w:val="16"/>
                <w:szCs w:val="24"/>
                <w:lang w:val="es-ES_tradnl"/>
              </w:rPr>
            </w:pPr>
            <w:r w:rsidRPr="00A62C1C">
              <w:rPr>
                <w:rFonts w:ascii="MinionPro-Regular" w:hAnsi="MinionPro-Regular"/>
                <w:sz w:val="16"/>
                <w:szCs w:val="24"/>
                <w:lang w:val="es-ES_tradnl"/>
              </w:rPr>
              <w:t>42,80</w:t>
            </w:r>
          </w:p>
        </w:tc>
        <w:tc>
          <w:tcPr>
            <w:tcW w:w="1350" w:type="dxa"/>
            <w:tcBorders>
              <w:bottom w:val="single" w:sz="12" w:space="0" w:color="409DAD"/>
            </w:tcBorders>
            <w:noWrap/>
            <w:vAlign w:val="center"/>
          </w:tcPr>
          <w:p w:rsidR="003670DB" w:rsidRPr="00A62C1C" w:rsidRDefault="003670DB" w:rsidP="00B464F4">
            <w:pPr>
              <w:autoSpaceDE w:val="0"/>
              <w:autoSpaceDN w:val="0"/>
              <w:spacing w:line="360" w:lineRule="auto"/>
              <w:jc w:val="center"/>
              <w:rPr>
                <w:rFonts w:ascii="Calibri" w:hAnsi="Calibri" w:cs="Calibri"/>
                <w:color w:val="000000"/>
                <w:sz w:val="16"/>
                <w:szCs w:val="16"/>
                <w:lang w:val="en-US"/>
              </w:rPr>
            </w:pPr>
            <w:r w:rsidRPr="00A62C1C">
              <w:rPr>
                <w:rFonts w:ascii="MinionPro-Regular" w:hAnsi="MinionPro-Regular"/>
                <w:sz w:val="16"/>
                <w:szCs w:val="24"/>
                <w:lang w:val="es-ES_tradnl"/>
              </w:rPr>
              <w:t>29,96</w:t>
            </w:r>
          </w:p>
        </w:tc>
        <w:tc>
          <w:tcPr>
            <w:tcW w:w="1276" w:type="dxa"/>
            <w:vMerge/>
            <w:tcBorders>
              <w:bottom w:val="single" w:sz="12" w:space="0" w:color="409DAD"/>
            </w:tcBorders>
            <w:vAlign w:val="center"/>
          </w:tcPr>
          <w:p w:rsidR="003670DB" w:rsidRPr="00A62C1C" w:rsidRDefault="003670DB" w:rsidP="00B464F4">
            <w:pPr>
              <w:spacing w:line="180" w:lineRule="atLeast"/>
              <w:rPr>
                <w:rFonts w:ascii="Calibri" w:hAnsi="Calibri" w:cs="Calibri"/>
                <w:color w:val="000000"/>
                <w:sz w:val="16"/>
                <w:szCs w:val="16"/>
                <w:lang w:val="en-US"/>
              </w:rPr>
            </w:pPr>
          </w:p>
        </w:tc>
        <w:tc>
          <w:tcPr>
            <w:tcW w:w="1309" w:type="dxa"/>
            <w:vMerge/>
            <w:tcBorders>
              <w:bottom w:val="single" w:sz="12" w:space="0" w:color="409DAD"/>
            </w:tcBorders>
            <w:vAlign w:val="center"/>
          </w:tcPr>
          <w:p w:rsidR="003670DB" w:rsidRPr="00A62C1C" w:rsidRDefault="003670DB" w:rsidP="00B464F4">
            <w:pPr>
              <w:spacing w:line="180" w:lineRule="atLeast"/>
              <w:rPr>
                <w:rFonts w:ascii="Calibri" w:hAnsi="Calibri" w:cs="Calibri"/>
                <w:color w:val="000000"/>
                <w:sz w:val="16"/>
                <w:szCs w:val="16"/>
                <w:lang w:val="en-US"/>
              </w:rPr>
            </w:pPr>
          </w:p>
        </w:tc>
        <w:tc>
          <w:tcPr>
            <w:tcW w:w="1464" w:type="dxa"/>
            <w:vMerge/>
            <w:tcBorders>
              <w:bottom w:val="single" w:sz="12" w:space="0" w:color="409DAD"/>
            </w:tcBorders>
            <w:vAlign w:val="center"/>
          </w:tcPr>
          <w:p w:rsidR="003670DB" w:rsidRPr="00A62C1C" w:rsidRDefault="003670DB" w:rsidP="00B464F4">
            <w:pPr>
              <w:spacing w:line="180" w:lineRule="atLeast"/>
              <w:rPr>
                <w:rFonts w:ascii="Calibri" w:hAnsi="Calibri" w:cs="Calibri"/>
                <w:color w:val="000000"/>
                <w:sz w:val="16"/>
                <w:szCs w:val="16"/>
                <w:lang w:val="en-US"/>
              </w:rPr>
            </w:pPr>
          </w:p>
        </w:tc>
        <w:tc>
          <w:tcPr>
            <w:tcW w:w="1156" w:type="dxa"/>
            <w:vMerge/>
            <w:tcBorders>
              <w:bottom w:val="single" w:sz="12" w:space="0" w:color="409DAD"/>
            </w:tcBorders>
            <w:vAlign w:val="center"/>
          </w:tcPr>
          <w:p w:rsidR="003670DB" w:rsidRPr="00A62C1C" w:rsidRDefault="003670DB" w:rsidP="00B464F4">
            <w:pPr>
              <w:spacing w:line="180" w:lineRule="atLeast"/>
              <w:rPr>
                <w:rFonts w:ascii="Calibri" w:hAnsi="Calibri" w:cs="Calibri"/>
                <w:b/>
                <w:bCs/>
                <w:color w:val="000000"/>
                <w:sz w:val="16"/>
                <w:szCs w:val="16"/>
                <w:lang w:val="en-US"/>
              </w:rPr>
            </w:pPr>
          </w:p>
        </w:tc>
      </w:tr>
    </w:tbl>
    <w:p w:rsidR="003670DB" w:rsidRPr="007949F6" w:rsidRDefault="003670DB" w:rsidP="003670DB">
      <w:pPr>
        <w:pBdr>
          <w:bottom w:val="single" w:sz="4" w:space="1" w:color="auto"/>
        </w:pBdr>
        <w:autoSpaceDE w:val="0"/>
        <w:autoSpaceDN w:val="0"/>
        <w:spacing w:line="360" w:lineRule="auto"/>
        <w:jc w:val="both"/>
        <w:rPr>
          <w:rFonts w:ascii="MinionPro-Regular" w:hAnsi="MinionPro-Regular"/>
          <w:sz w:val="24"/>
          <w:szCs w:val="24"/>
          <w:lang w:val="es-ES_tradnl"/>
        </w:rPr>
      </w:pPr>
      <w:r w:rsidRPr="007949F6">
        <w:rPr>
          <w:rFonts w:ascii="MinionPro-Regular" w:hAnsi="MinionPro-Regular"/>
          <w:sz w:val="20"/>
          <w:szCs w:val="24"/>
          <w:lang w:val="es-ES_tradnl"/>
        </w:rPr>
        <w:lastRenderedPageBreak/>
        <w:t>Fuente: Elaboración propia</w:t>
      </w:r>
      <w:r>
        <w:rPr>
          <w:rFonts w:ascii="MinionPro-Regular" w:hAnsi="MinionPro-Regular"/>
          <w:sz w:val="20"/>
          <w:szCs w:val="24"/>
          <w:lang w:val="es-ES_tradnl"/>
        </w:rPr>
        <w:t xml:space="preserve"> a partir de datos de Eurostat</w:t>
      </w:r>
    </w:p>
    <w:p w:rsidR="003670DB" w:rsidRDefault="003670DB">
      <w:pPr>
        <w:autoSpaceDE w:val="0"/>
        <w:autoSpaceDN w:val="0"/>
        <w:spacing w:line="360" w:lineRule="auto"/>
        <w:jc w:val="both"/>
        <w:rPr>
          <w:rFonts w:ascii="MinionPro-Regular" w:hAnsi="MinionPro-Regular"/>
          <w:sz w:val="24"/>
          <w:szCs w:val="24"/>
          <w:lang w:val="es-ES_tradnl"/>
        </w:rPr>
      </w:pPr>
    </w:p>
    <w:p w:rsidR="001A686C" w:rsidRDefault="001A686C" w:rsidP="001A686C">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La economía social supone el 10% del PIB</w:t>
      </w:r>
      <w:r>
        <w:rPr>
          <w:rStyle w:val="Refdenotaalpie"/>
          <w:rFonts w:ascii="MinionPro-Regular" w:hAnsi="MinionPro-Regular"/>
          <w:sz w:val="24"/>
          <w:szCs w:val="24"/>
          <w:lang w:val="es-ES_tradnl"/>
        </w:rPr>
        <w:footnoteReference w:id="58"/>
      </w:r>
      <w:r>
        <w:rPr>
          <w:rFonts w:ascii="MinionPro-Regular" w:hAnsi="MinionPro-Regular"/>
          <w:sz w:val="24"/>
          <w:szCs w:val="24"/>
          <w:lang w:val="es-ES_tradnl"/>
        </w:rPr>
        <w:t xml:space="preserve"> en España, por lo que los centros especiales de empleo, como parte de la misma, supondrían un 3% del total de los conceptos de economía social. Partiendo de esta base, resulta especialmente relevante, el hecho de que el 12%</w:t>
      </w:r>
      <w:r w:rsidR="008115E4">
        <w:rPr>
          <w:rStyle w:val="Refdenotaalpie"/>
          <w:rFonts w:ascii="MinionPro-Regular" w:hAnsi="MinionPro-Regular"/>
          <w:sz w:val="24"/>
          <w:szCs w:val="24"/>
          <w:lang w:val="es-ES_tradnl"/>
        </w:rPr>
        <w:footnoteReference w:id="59"/>
      </w:r>
      <w:r>
        <w:rPr>
          <w:rFonts w:ascii="MinionPro-Regular" w:hAnsi="MinionPro-Regular"/>
          <w:sz w:val="24"/>
          <w:szCs w:val="24"/>
          <w:lang w:val="es-ES_tradnl"/>
        </w:rPr>
        <w:t xml:space="preserve"> del empleo generado en la economía social se </w:t>
      </w:r>
      <w:r w:rsidR="008115E4">
        <w:rPr>
          <w:rFonts w:ascii="MinionPro-Regular" w:hAnsi="MinionPro-Regular"/>
          <w:sz w:val="24"/>
          <w:szCs w:val="24"/>
          <w:lang w:val="es-ES_tradnl"/>
        </w:rPr>
        <w:t>produzca</w:t>
      </w:r>
      <w:r>
        <w:rPr>
          <w:rFonts w:ascii="MinionPro-Regular" w:hAnsi="MinionPro-Regular"/>
          <w:sz w:val="24"/>
          <w:szCs w:val="24"/>
          <w:lang w:val="es-ES_tradnl"/>
        </w:rPr>
        <w:t xml:space="preserve"> en centros especiales de empleo.</w:t>
      </w:r>
      <w:r w:rsidR="008115E4" w:rsidRPr="008115E4">
        <w:rPr>
          <w:rFonts w:ascii="MinionPro-Regular" w:hAnsi="MinionPro-Regular"/>
          <w:sz w:val="24"/>
          <w:szCs w:val="24"/>
          <w:lang w:val="es-ES_tradnl"/>
        </w:rPr>
        <w:t xml:space="preserve"> </w:t>
      </w:r>
      <w:r w:rsidR="008115E4">
        <w:rPr>
          <w:rFonts w:ascii="MinionPro-Regular" w:hAnsi="MinionPro-Regular"/>
          <w:sz w:val="24"/>
          <w:szCs w:val="24"/>
          <w:lang w:val="es-ES_tradnl"/>
        </w:rPr>
        <w:t>Algo parecido ocurre con el global de la economía española ya que el 0,3% del PIB que supone la actividad de los centros especiales de empleo, genera el 0,4%</w:t>
      </w:r>
      <w:r w:rsidR="008115E4">
        <w:rPr>
          <w:rStyle w:val="Refdenotaalpie"/>
          <w:rFonts w:ascii="MinionPro-Regular" w:hAnsi="MinionPro-Regular"/>
          <w:sz w:val="24"/>
          <w:szCs w:val="24"/>
          <w:lang w:val="es-ES_tradnl"/>
        </w:rPr>
        <w:footnoteReference w:id="60"/>
      </w:r>
      <w:r w:rsidR="008115E4">
        <w:rPr>
          <w:rFonts w:ascii="MinionPro-Regular" w:hAnsi="MinionPro-Regular"/>
          <w:sz w:val="24"/>
          <w:szCs w:val="24"/>
          <w:lang w:val="es-ES_tradnl"/>
        </w:rPr>
        <w:t xml:space="preserve"> del empleo estatal.</w:t>
      </w:r>
    </w:p>
    <w:p w:rsidR="001A686C" w:rsidRDefault="001A686C">
      <w:pPr>
        <w:autoSpaceDE w:val="0"/>
        <w:autoSpaceDN w:val="0"/>
        <w:spacing w:line="360" w:lineRule="auto"/>
        <w:jc w:val="both"/>
        <w:rPr>
          <w:rFonts w:ascii="MinionPro-Regular" w:hAnsi="MinionPro-Regular"/>
          <w:sz w:val="24"/>
          <w:szCs w:val="24"/>
          <w:lang w:val="es-ES_tradnl"/>
        </w:rPr>
      </w:pPr>
    </w:p>
    <w:p w:rsidR="00444298" w:rsidRDefault="00444298">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Si comparamos los 528 millones de euros que los centros especiales recibieron en 2011 por parte de la administración pública con los 7.322</w:t>
      </w:r>
      <w:r w:rsidR="00523F72">
        <w:rPr>
          <w:rStyle w:val="Refdenotaalpie"/>
          <w:rFonts w:ascii="MinionPro-Regular" w:hAnsi="MinionPro-Regular"/>
          <w:sz w:val="24"/>
          <w:szCs w:val="24"/>
          <w:lang w:val="es-ES_tradnl"/>
        </w:rPr>
        <w:footnoteReference w:id="61"/>
      </w:r>
      <w:r>
        <w:rPr>
          <w:rFonts w:ascii="MinionPro-Regular" w:hAnsi="MinionPro-Regular"/>
          <w:sz w:val="24"/>
          <w:szCs w:val="24"/>
          <w:lang w:val="es-ES_tradnl"/>
        </w:rPr>
        <w:t xml:space="preserve"> millones presupuestados en este mismo ejercicio a políticas activas de empleo, se observa que las ayudas a los centros especiales de empleo supusieron el 7% del total.</w:t>
      </w:r>
      <w:r w:rsidR="008115E4">
        <w:rPr>
          <w:rFonts w:ascii="MinionPro-Regular" w:hAnsi="MinionPro-Regular"/>
          <w:sz w:val="24"/>
          <w:szCs w:val="24"/>
          <w:lang w:val="es-ES_tradnl"/>
        </w:rPr>
        <w:t xml:space="preserve"> </w:t>
      </w:r>
    </w:p>
    <w:p w:rsidR="00E2336B" w:rsidRDefault="00E2336B" w:rsidP="0007541A">
      <w:pPr>
        <w:pStyle w:val="Ttulo2"/>
        <w:numPr>
          <w:ilvl w:val="1"/>
          <w:numId w:val="3"/>
        </w:numPr>
        <w:ind w:left="0"/>
        <w:rPr>
          <w:sz w:val="32"/>
        </w:rPr>
      </w:pPr>
      <w:bookmarkStart w:id="458" w:name="_Toc351665104"/>
      <w:bookmarkStart w:id="459" w:name="_Toc339902851"/>
      <w:bookmarkStart w:id="460" w:name="_Toc352773601"/>
      <w:bookmarkStart w:id="461" w:name="_Toc340340576"/>
      <w:bookmarkEnd w:id="458"/>
      <w:bookmarkEnd w:id="459"/>
      <w:r>
        <w:t>La importancia de la convergencia salarial y la estructura de las ayudas para los retornos a la administración pública</w:t>
      </w:r>
      <w:bookmarkEnd w:id="460"/>
    </w:p>
    <w:p w:rsidR="00E2336B" w:rsidRDefault="00E2336B" w:rsidP="001D2EFC">
      <w:pPr>
        <w:autoSpaceDE w:val="0"/>
        <w:autoSpaceDN w:val="0"/>
        <w:spacing w:line="360" w:lineRule="auto"/>
        <w:jc w:val="both"/>
        <w:rPr>
          <w:rFonts w:ascii="MinionPro-Regular" w:hAnsi="MinionPro-Regular"/>
          <w:sz w:val="24"/>
          <w:szCs w:val="24"/>
          <w:lang w:val="es-ES_tradnl"/>
        </w:rPr>
      </w:pPr>
    </w:p>
    <w:p w:rsidR="00E2336B" w:rsidRDefault="00E2336B" w:rsidP="001D2EFC">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 xml:space="preserve">La convergencia salarial está relacionada positivamente con los retornos que los centros especiales de empleo ofrecen a la administración pública. Por su parte, la convergencia salarial depende de la productividad, que a su vez depende de la competitividad, de la eficiencia  y de la capacidad de innovar de los centros especiales de empleo. Es, por lo tanto, en el interés de la administración pública contar con un esquema de ayudas que </w:t>
      </w:r>
      <w:r>
        <w:rPr>
          <w:rFonts w:ascii="MinionPro-Regular" w:hAnsi="MinionPro-Regular"/>
          <w:sz w:val="24"/>
          <w:szCs w:val="24"/>
          <w:lang w:val="es-ES_tradnl"/>
        </w:rPr>
        <w:lastRenderedPageBreak/>
        <w:t xml:space="preserve">incida en aquellos ámbitos que propician la convergencia salarial entre las personas con y sin discapacidad. </w:t>
      </w:r>
    </w:p>
    <w:p w:rsidR="00E2336B" w:rsidRDefault="00E2336B" w:rsidP="001C6641">
      <w:pPr>
        <w:spacing w:line="360" w:lineRule="auto"/>
        <w:jc w:val="both"/>
        <w:rPr>
          <w:rFonts w:ascii="MinionPro-Regular" w:hAnsi="MinionPro-Regular"/>
          <w:sz w:val="24"/>
          <w:szCs w:val="24"/>
          <w:lang w:val="es-ES_tradnl"/>
        </w:rPr>
      </w:pPr>
    </w:p>
    <w:p w:rsidR="00E2336B" w:rsidRDefault="00E2336B" w:rsidP="001C6641">
      <w:pPr>
        <w:spacing w:line="360" w:lineRule="auto"/>
        <w:jc w:val="both"/>
        <w:rPr>
          <w:rFonts w:ascii="MinionPro-Regular" w:hAnsi="MinionPro-Regular"/>
          <w:sz w:val="24"/>
          <w:szCs w:val="24"/>
          <w:lang w:val="es-ES_tradnl"/>
        </w:rPr>
      </w:pPr>
      <w:r>
        <w:rPr>
          <w:rFonts w:ascii="MinionPro-Regular" w:hAnsi="MinionPro-Regular"/>
          <w:sz w:val="24"/>
          <w:szCs w:val="24"/>
          <w:lang w:val="es-ES_tradnl"/>
        </w:rPr>
        <w:t>Para entender la importancia de la convergencia, podemos dibujar tres escenarios.</w:t>
      </w:r>
    </w:p>
    <w:p w:rsidR="00E2336B" w:rsidRDefault="00E2336B" w:rsidP="001C6641">
      <w:pPr>
        <w:spacing w:line="360" w:lineRule="auto"/>
        <w:jc w:val="both"/>
        <w:rPr>
          <w:rFonts w:ascii="MinionPro-Regular" w:hAnsi="MinionPro-Regular"/>
          <w:sz w:val="24"/>
          <w:szCs w:val="24"/>
          <w:lang w:val="es-ES_tradnl"/>
        </w:rPr>
      </w:pPr>
    </w:p>
    <w:p w:rsidR="00E2336B" w:rsidRDefault="00E2336B" w:rsidP="0007541A">
      <w:pPr>
        <w:pStyle w:val="Prrafodelista"/>
        <w:numPr>
          <w:ilvl w:val="0"/>
          <w:numId w:val="14"/>
        </w:numPr>
        <w:spacing w:after="200" w:line="360" w:lineRule="auto"/>
        <w:jc w:val="both"/>
        <w:rPr>
          <w:rFonts w:ascii="MinionPro-Regular" w:hAnsi="MinionPro-Regular"/>
          <w:sz w:val="24"/>
          <w:szCs w:val="24"/>
          <w:lang w:val="es-ES_tradnl"/>
        </w:rPr>
      </w:pPr>
      <w:r>
        <w:rPr>
          <w:rFonts w:ascii="MinionPro-Regular" w:hAnsi="MinionPro-Regular"/>
          <w:sz w:val="24"/>
          <w:szCs w:val="24"/>
          <w:lang w:val="es-ES_tradnl"/>
        </w:rPr>
        <w:t>El primero, en el que en el año 2020 persiste el diferencial salarial existente entre personas con y sin discapacidad que existe en la actualidad. Los salarios medios de los colectivos de personas con y sin discapacidad aumentan, hasta el año 2020, conforme la media del IPC de los últimos diez años.</w:t>
      </w:r>
    </w:p>
    <w:p w:rsidR="00E2336B" w:rsidRDefault="00E2336B">
      <w:pPr>
        <w:pStyle w:val="Prrafodelista"/>
        <w:spacing w:after="200" w:line="360" w:lineRule="auto"/>
        <w:ind w:left="340"/>
        <w:jc w:val="both"/>
        <w:rPr>
          <w:rFonts w:ascii="MinionPro-Regular" w:hAnsi="MinionPro-Regular"/>
          <w:sz w:val="24"/>
          <w:szCs w:val="24"/>
          <w:lang w:val="es-ES_tradnl"/>
        </w:rPr>
      </w:pPr>
    </w:p>
    <w:p w:rsidR="00E2336B" w:rsidRPr="00740B5C" w:rsidRDefault="00E2336B" w:rsidP="0007541A">
      <w:pPr>
        <w:pStyle w:val="Prrafodelista"/>
        <w:numPr>
          <w:ilvl w:val="0"/>
          <w:numId w:val="14"/>
        </w:numPr>
        <w:spacing w:after="200" w:line="360" w:lineRule="auto"/>
        <w:jc w:val="both"/>
        <w:rPr>
          <w:rFonts w:ascii="MinionPro-Regular" w:hAnsi="MinionPro-Regular"/>
          <w:sz w:val="24"/>
          <w:szCs w:val="24"/>
          <w:lang w:val="es-ES_tradnl"/>
        </w:rPr>
      </w:pPr>
      <w:r>
        <w:rPr>
          <w:rFonts w:ascii="MinionPro-Regular" w:hAnsi="MinionPro-Regular"/>
          <w:sz w:val="24"/>
          <w:szCs w:val="24"/>
          <w:lang w:val="es-ES_tradnl"/>
        </w:rPr>
        <w:t xml:space="preserve">El tercero de los escenarios prevé una reducción del 50% en el diferencial salarial existente en 2010 entre las personas con y sin discapacidad. Este escenario supone un incremento salarial de las personas con discapacidad superior al de las personas sin discapacidad, aunque menos intenso que en el escenario de convergencia absoluta. </w:t>
      </w:r>
    </w:p>
    <w:p w:rsidR="00E2336B" w:rsidRDefault="00E2336B" w:rsidP="001C6641">
      <w:pPr>
        <w:pStyle w:val="Prrafodelista"/>
        <w:spacing w:line="360" w:lineRule="auto"/>
        <w:ind w:left="340"/>
        <w:jc w:val="both"/>
        <w:rPr>
          <w:rFonts w:ascii="MinionPro-Regular" w:hAnsi="MinionPro-Regular"/>
          <w:sz w:val="24"/>
          <w:szCs w:val="24"/>
          <w:lang w:val="es-ES_tradnl"/>
        </w:rPr>
      </w:pPr>
    </w:p>
    <w:p w:rsidR="00E2336B" w:rsidRDefault="00E2336B" w:rsidP="0007541A">
      <w:pPr>
        <w:pStyle w:val="Prrafodelista"/>
        <w:numPr>
          <w:ilvl w:val="0"/>
          <w:numId w:val="14"/>
        </w:numPr>
        <w:spacing w:after="200" w:line="360" w:lineRule="auto"/>
        <w:jc w:val="both"/>
        <w:rPr>
          <w:rFonts w:ascii="MinionPro-Regular" w:hAnsi="MinionPro-Regular"/>
          <w:sz w:val="24"/>
          <w:szCs w:val="24"/>
          <w:lang w:val="es-ES_tradnl"/>
        </w:rPr>
      </w:pPr>
      <w:r>
        <w:rPr>
          <w:rFonts w:ascii="MinionPro-Regular" w:hAnsi="MinionPro-Regular"/>
          <w:sz w:val="24"/>
          <w:szCs w:val="24"/>
          <w:lang w:val="es-ES_tradnl"/>
        </w:rPr>
        <w:t xml:space="preserve">En el segundo de los escenarios se produce una convergencia absoluta entre los salarios de las personas con y sin discapacidad, de manera que queda eliminado por completo el diferencial existente en el año 2010 entre las personas con y sin discapacidad. Esto supone un efecto convergencia y un incremento salarial para las personas con discapacidad porcentualmente superior al de las personas sin discapacidad. </w:t>
      </w:r>
    </w:p>
    <w:p w:rsidR="002959F0" w:rsidRDefault="002959F0">
      <w:pPr>
        <w:pStyle w:val="Prrafodelista"/>
        <w:rPr>
          <w:rFonts w:ascii="MinionPro-Regular" w:hAnsi="MinionPro-Regular"/>
          <w:sz w:val="24"/>
          <w:szCs w:val="24"/>
          <w:lang w:val="es-ES_tradnl"/>
        </w:rPr>
      </w:pPr>
    </w:p>
    <w:p w:rsidR="00E2336B" w:rsidRDefault="00E2336B" w:rsidP="001D2EFC">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De acuerdo a los datos del Instituto Nacional de Estadística, el salario medio de las personas con discapacidad en España es alrededor de un 50% inferior</w:t>
      </w:r>
      <w:r w:rsidRPr="00FF123C">
        <w:rPr>
          <w:rStyle w:val="Refdenotaalpie"/>
          <w:rFonts w:ascii="MinionPro-Regular" w:hAnsi="MinionPro-Regular"/>
          <w:sz w:val="24"/>
          <w:szCs w:val="24"/>
          <w:lang w:val="es-ES_tradnl"/>
        </w:rPr>
        <w:footnoteReference w:id="62"/>
      </w:r>
      <w:r>
        <w:rPr>
          <w:rFonts w:ascii="MinionPro-Regular" w:hAnsi="MinionPro-Regular"/>
          <w:sz w:val="24"/>
          <w:szCs w:val="24"/>
          <w:lang w:val="es-ES_tradnl"/>
        </w:rPr>
        <w:t xml:space="preserve"> al de las </w:t>
      </w:r>
      <w:r>
        <w:rPr>
          <w:rFonts w:ascii="MinionPro-Regular" w:hAnsi="MinionPro-Regular"/>
          <w:sz w:val="24"/>
          <w:szCs w:val="24"/>
          <w:lang w:val="es-ES_tradnl"/>
        </w:rPr>
        <w:lastRenderedPageBreak/>
        <w:t>personas sin discapacidad</w:t>
      </w:r>
      <w:r w:rsidRPr="007949F6">
        <w:rPr>
          <w:rStyle w:val="Refdenotaalpie"/>
          <w:rFonts w:ascii="MinionPro-Regular" w:hAnsi="MinionPro-Regular"/>
          <w:sz w:val="24"/>
          <w:szCs w:val="24"/>
          <w:lang w:val="es-ES_tradnl"/>
        </w:rPr>
        <w:footnoteReference w:id="63"/>
      </w:r>
      <w:r w:rsidRPr="007949F6">
        <w:rPr>
          <w:rFonts w:ascii="MinionPro-Regular" w:hAnsi="MinionPro-Regular"/>
          <w:sz w:val="24"/>
          <w:szCs w:val="24"/>
          <w:lang w:val="es-ES_tradnl"/>
        </w:rPr>
        <w:t xml:space="preserve">.  </w:t>
      </w:r>
      <w:r>
        <w:rPr>
          <w:rFonts w:ascii="MinionPro-Regular" w:hAnsi="MinionPro-Regular"/>
          <w:sz w:val="24"/>
          <w:szCs w:val="24"/>
          <w:lang w:val="es-ES_tradnl"/>
        </w:rPr>
        <w:t>Los datos de las personas con discapacidad señalan que, a pesar del mayor coste de la vida para este colectivo, sus salarios en España están un 20% por debajo de la media de los trabajadores sin titulación, colectivo cuyo salario tiene una penalización de aproximadamente el 30% sobre el salario medio.</w:t>
      </w:r>
    </w:p>
    <w:p w:rsidR="00C01B87" w:rsidRDefault="00C01B87" w:rsidP="001D2EFC">
      <w:pPr>
        <w:autoSpaceDE w:val="0"/>
        <w:autoSpaceDN w:val="0"/>
        <w:spacing w:line="360" w:lineRule="auto"/>
        <w:jc w:val="both"/>
        <w:rPr>
          <w:rFonts w:ascii="MinionPro-Regular" w:hAnsi="MinionPro-Regular"/>
          <w:sz w:val="24"/>
          <w:szCs w:val="24"/>
          <w:lang w:val="es-ES_tradnl"/>
        </w:rPr>
      </w:pPr>
    </w:p>
    <w:p w:rsidR="00E2336B" w:rsidRPr="00367EED" w:rsidRDefault="00E2336B" w:rsidP="001D2EFC">
      <w:pPr>
        <w:pBdr>
          <w:top w:val="single" w:sz="4" w:space="1" w:color="auto"/>
        </w:pBdr>
        <w:autoSpaceDE w:val="0"/>
        <w:autoSpaceDN w:val="0"/>
        <w:spacing w:line="360" w:lineRule="auto"/>
        <w:jc w:val="both"/>
        <w:rPr>
          <w:rFonts w:ascii="MinionPro-Regular" w:hAnsi="MinionPro-Regular"/>
          <w:sz w:val="20"/>
          <w:szCs w:val="24"/>
          <w:lang w:val="es-ES_tradnl"/>
        </w:rPr>
      </w:pPr>
      <w:r w:rsidRPr="00367EED">
        <w:rPr>
          <w:rFonts w:ascii="MinionPro-Regular" w:hAnsi="MinionPro-Regular"/>
          <w:sz w:val="20"/>
          <w:szCs w:val="24"/>
          <w:lang w:val="es-ES_tradnl"/>
        </w:rPr>
        <w:t>Gráfico de los escenarios de convergencia salarial diseñados</w:t>
      </w:r>
    </w:p>
    <w:p w:rsidR="00E2336B" w:rsidRPr="007949F6" w:rsidRDefault="00E1516B" w:rsidP="001D2EFC">
      <w:pPr>
        <w:autoSpaceDE w:val="0"/>
        <w:autoSpaceDN w:val="0"/>
        <w:spacing w:line="360" w:lineRule="auto"/>
        <w:rPr>
          <w:rFonts w:ascii="MinionPro-Regular" w:hAnsi="MinionPro-Regular"/>
          <w:sz w:val="24"/>
          <w:szCs w:val="24"/>
          <w:lang w:val="es-ES_tradnl"/>
        </w:rPr>
      </w:pPr>
      <w:r>
        <w:rPr>
          <w:rFonts w:ascii="MinionPro-Regular" w:hAnsi="MinionPro-Regular"/>
          <w:noProof/>
          <w:sz w:val="24"/>
          <w:szCs w:val="24"/>
          <w:lang w:eastAsia="es-ES"/>
        </w:rPr>
        <w:drawing>
          <wp:inline distT="0" distB="0" distL="0" distR="0">
            <wp:extent cx="4451350" cy="2795270"/>
            <wp:effectExtent l="0" t="0" r="0" b="0"/>
            <wp:docPr id="110" name="Picture 1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2"/>
              </a:graphicData>
            </a:graphic>
          </wp:inline>
        </w:drawing>
      </w:r>
    </w:p>
    <w:p w:rsidR="00E2336B" w:rsidRDefault="00E2336B" w:rsidP="001D2EFC">
      <w:pPr>
        <w:pBdr>
          <w:bottom w:val="single" w:sz="4" w:space="1" w:color="auto"/>
        </w:pBdr>
        <w:autoSpaceDE w:val="0"/>
        <w:autoSpaceDN w:val="0"/>
        <w:spacing w:line="360" w:lineRule="auto"/>
        <w:jc w:val="both"/>
        <w:rPr>
          <w:rFonts w:ascii="MinionPro-Regular" w:hAnsi="MinionPro-Regular"/>
          <w:sz w:val="20"/>
          <w:szCs w:val="24"/>
          <w:lang w:val="es-ES_tradnl"/>
        </w:rPr>
      </w:pPr>
      <w:r w:rsidRPr="007949F6">
        <w:rPr>
          <w:rFonts w:ascii="MinionPro-Regular" w:hAnsi="MinionPro-Regular"/>
          <w:sz w:val="20"/>
          <w:szCs w:val="24"/>
          <w:lang w:val="es-ES_tradnl"/>
        </w:rPr>
        <w:t>Fuente: Elaboración propia a partir de datos del</w:t>
      </w:r>
      <w:r>
        <w:rPr>
          <w:rFonts w:ascii="MinionPro-Regular" w:hAnsi="MinionPro-Regular"/>
          <w:sz w:val="20"/>
          <w:szCs w:val="24"/>
          <w:lang w:val="es-ES_tradnl"/>
        </w:rPr>
        <w:t xml:space="preserve"> Instituto Nacional de Estadística</w:t>
      </w:r>
    </w:p>
    <w:p w:rsidR="00E2336B" w:rsidRDefault="00E2336B" w:rsidP="001D2EFC">
      <w:pPr>
        <w:pBdr>
          <w:bottom w:val="single" w:sz="4" w:space="1" w:color="auto"/>
        </w:pBdr>
        <w:autoSpaceDE w:val="0"/>
        <w:autoSpaceDN w:val="0"/>
        <w:spacing w:line="360" w:lineRule="auto"/>
        <w:jc w:val="both"/>
        <w:rPr>
          <w:rFonts w:ascii="MinionPro-Regular" w:hAnsi="MinionPro-Regular"/>
          <w:sz w:val="20"/>
          <w:szCs w:val="24"/>
          <w:lang w:val="es-ES_tradnl"/>
        </w:rPr>
      </w:pPr>
    </w:p>
    <w:p w:rsidR="00E2336B" w:rsidRDefault="00E2336B" w:rsidP="001D2EFC">
      <w:pPr>
        <w:pBdr>
          <w:bottom w:val="single" w:sz="4" w:space="1" w:color="auto"/>
        </w:pBdr>
        <w:autoSpaceDE w:val="0"/>
        <w:autoSpaceDN w:val="0"/>
        <w:spacing w:line="360" w:lineRule="auto"/>
        <w:jc w:val="both"/>
        <w:rPr>
          <w:rFonts w:ascii="MinionPro-Regular" w:hAnsi="MinionPro-Regular"/>
          <w:sz w:val="20"/>
          <w:szCs w:val="24"/>
          <w:lang w:val="es-ES_tradnl"/>
        </w:rPr>
      </w:pPr>
      <w:r>
        <w:rPr>
          <w:rFonts w:ascii="MinionPro-Regular" w:hAnsi="MinionPro-Regular"/>
          <w:sz w:val="20"/>
          <w:szCs w:val="24"/>
          <w:lang w:val="es-ES_tradnl"/>
        </w:rPr>
        <w:t>Nota explicativa de la gráfica: Eje vertical, salario en euros. Eje horizontal, año 2011 y año 2020. Los datos son: en el año 2011, salario de las personas sin discapacidad 22.511 euros, salario de las personas con discapacidad, 12.000 euros. Datos a 2020: salario personas sin discapacidad 28.611, personas con discapacidad, salario en el escenario 1: 15.252 euros; escenario 2: 21.931 euros; escenario 3: 28.611 euros.</w:t>
      </w:r>
    </w:p>
    <w:p w:rsidR="00E2336B" w:rsidRDefault="00E2336B" w:rsidP="001D2EFC">
      <w:pPr>
        <w:autoSpaceDE w:val="0"/>
        <w:autoSpaceDN w:val="0"/>
        <w:spacing w:line="360" w:lineRule="auto"/>
        <w:jc w:val="both"/>
        <w:rPr>
          <w:rFonts w:ascii="MinionPro-Regular" w:hAnsi="MinionPro-Regular"/>
          <w:sz w:val="20"/>
          <w:szCs w:val="24"/>
          <w:lang w:val="es-ES_tradnl"/>
        </w:rPr>
      </w:pPr>
    </w:p>
    <w:p w:rsidR="00E2336B" w:rsidRDefault="00E2336B" w:rsidP="001D2EFC">
      <w:pPr>
        <w:autoSpaceDE w:val="0"/>
        <w:autoSpaceDN w:val="0"/>
        <w:spacing w:line="360" w:lineRule="auto"/>
        <w:jc w:val="both"/>
        <w:rPr>
          <w:rFonts w:ascii="MinionPro-Regular" w:hAnsi="MinionPro-Regular"/>
          <w:sz w:val="24"/>
          <w:szCs w:val="24"/>
          <w:lang w:val="es-ES_tradnl"/>
        </w:rPr>
      </w:pPr>
      <w:r w:rsidRPr="00BB607D">
        <w:rPr>
          <w:rFonts w:ascii="MinionPro-Regular" w:hAnsi="MinionPro-Regular"/>
          <w:sz w:val="24"/>
          <w:szCs w:val="24"/>
          <w:lang w:val="es-ES_tradnl"/>
        </w:rPr>
        <w:t xml:space="preserve">El siguiente </w:t>
      </w:r>
      <w:r>
        <w:rPr>
          <w:rFonts w:ascii="MinionPro-Regular" w:hAnsi="MinionPro-Regular"/>
          <w:sz w:val="24"/>
          <w:szCs w:val="24"/>
          <w:lang w:val="es-ES_tradnl"/>
        </w:rPr>
        <w:t>asunto a considerar</w:t>
      </w:r>
      <w:r w:rsidRPr="00BB607D">
        <w:rPr>
          <w:rFonts w:ascii="MinionPro-Regular" w:hAnsi="MinionPro-Regular"/>
          <w:sz w:val="24"/>
          <w:szCs w:val="24"/>
          <w:lang w:val="es-ES_tradnl"/>
        </w:rPr>
        <w:t xml:space="preserve"> es la ocupación de las personas con discapacidad. Para ello, se </w:t>
      </w:r>
      <w:r>
        <w:rPr>
          <w:rFonts w:ascii="MinionPro-Regular" w:hAnsi="MinionPro-Regular"/>
          <w:sz w:val="24"/>
          <w:szCs w:val="24"/>
          <w:lang w:val="es-ES_tradnl"/>
        </w:rPr>
        <w:t>ha considerado</w:t>
      </w:r>
      <w:r w:rsidRPr="00BB607D">
        <w:rPr>
          <w:rFonts w:ascii="MinionPro-Regular" w:hAnsi="MinionPro-Regular"/>
          <w:sz w:val="24"/>
          <w:szCs w:val="24"/>
          <w:lang w:val="es-ES_tradnl"/>
        </w:rPr>
        <w:t xml:space="preserve"> el objetivo </w:t>
      </w:r>
      <w:r>
        <w:rPr>
          <w:rFonts w:ascii="MinionPro-Regular" w:hAnsi="MinionPro-Regular"/>
          <w:sz w:val="24"/>
          <w:szCs w:val="24"/>
          <w:lang w:val="es-ES_tradnl"/>
        </w:rPr>
        <w:t>de cumplimiento de la estrategia europea 2020, que establece que el 75</w:t>
      </w:r>
      <w:r w:rsidRPr="00BB607D">
        <w:rPr>
          <w:rFonts w:ascii="MinionPro-Regular" w:hAnsi="MinionPro-Regular"/>
          <w:sz w:val="24"/>
          <w:szCs w:val="24"/>
          <w:lang w:val="es-ES_tradnl"/>
        </w:rPr>
        <w:t xml:space="preserve">% de la población </w:t>
      </w:r>
      <w:r>
        <w:rPr>
          <w:rFonts w:ascii="MinionPro-Regular" w:hAnsi="MinionPro-Regular"/>
          <w:sz w:val="24"/>
          <w:szCs w:val="24"/>
          <w:lang w:val="es-ES_tradnl"/>
        </w:rPr>
        <w:t xml:space="preserve">estará </w:t>
      </w:r>
      <w:r w:rsidRPr="00BB607D">
        <w:rPr>
          <w:rFonts w:ascii="MinionPro-Regular" w:hAnsi="MinionPro-Regular"/>
          <w:sz w:val="24"/>
          <w:szCs w:val="24"/>
          <w:lang w:val="es-ES_tradnl"/>
        </w:rPr>
        <w:t>ocupada en 2020</w:t>
      </w:r>
      <w:r>
        <w:rPr>
          <w:rFonts w:ascii="MinionPro-Regular" w:hAnsi="MinionPro-Regular"/>
          <w:sz w:val="24"/>
          <w:szCs w:val="24"/>
          <w:lang w:val="es-ES_tradnl"/>
        </w:rPr>
        <w:t xml:space="preserve">. Este objetivo vendría a </w:t>
      </w:r>
      <w:r>
        <w:rPr>
          <w:rFonts w:ascii="MinionPro-Regular" w:hAnsi="MinionPro-Regular"/>
          <w:sz w:val="24"/>
          <w:szCs w:val="24"/>
          <w:lang w:val="es-ES_tradnl"/>
        </w:rPr>
        <w:lastRenderedPageBreak/>
        <w:t>suponer un crecimiento de la población con discapacidad ocupada superior al 10% anual y está alineado con las metas del Programa Nacional de Reformas</w:t>
      </w:r>
      <w:r>
        <w:rPr>
          <w:rStyle w:val="Refdenotaalpie"/>
          <w:rFonts w:ascii="MinionPro-Regular" w:hAnsi="MinionPro-Regular"/>
          <w:sz w:val="24"/>
          <w:szCs w:val="24"/>
          <w:lang w:val="es-ES_tradnl"/>
        </w:rPr>
        <w:footnoteReference w:id="64"/>
      </w:r>
      <w:r>
        <w:rPr>
          <w:rFonts w:ascii="MinionPro-Regular" w:hAnsi="MinionPro-Regular"/>
          <w:sz w:val="24"/>
          <w:szCs w:val="24"/>
          <w:lang w:val="es-ES_tradnl"/>
        </w:rPr>
        <w:t xml:space="preserve"> de España 2011.</w:t>
      </w:r>
    </w:p>
    <w:p w:rsidR="00E2336B" w:rsidRPr="00BB607D" w:rsidRDefault="00E2336B" w:rsidP="001D2EFC">
      <w:pPr>
        <w:autoSpaceDE w:val="0"/>
        <w:autoSpaceDN w:val="0"/>
        <w:spacing w:line="360" w:lineRule="auto"/>
        <w:jc w:val="both"/>
        <w:rPr>
          <w:rFonts w:ascii="MinionPro-Regular" w:hAnsi="MinionPro-Regular"/>
          <w:sz w:val="24"/>
          <w:szCs w:val="24"/>
          <w:lang w:val="es-ES_tradnl"/>
        </w:rPr>
      </w:pPr>
    </w:p>
    <w:p w:rsidR="00E2336B" w:rsidRDefault="00E2336B" w:rsidP="001D2EFC">
      <w:pPr>
        <w:autoSpaceDE w:val="0"/>
        <w:autoSpaceDN w:val="0"/>
        <w:spacing w:line="360" w:lineRule="auto"/>
        <w:jc w:val="both"/>
        <w:rPr>
          <w:rFonts w:ascii="MinionPro-Regular" w:hAnsi="MinionPro-Regular"/>
          <w:sz w:val="24"/>
          <w:szCs w:val="24"/>
          <w:lang w:val="es-ES_tradnl"/>
        </w:rPr>
      </w:pPr>
      <w:r w:rsidRPr="00BB607D">
        <w:rPr>
          <w:rFonts w:ascii="MinionPro-Regular" w:hAnsi="MinionPro-Regular"/>
          <w:sz w:val="24"/>
          <w:szCs w:val="24"/>
          <w:lang w:val="es-ES_tradnl"/>
        </w:rPr>
        <w:t xml:space="preserve">Esta tasa de ocupación implicaría que </w:t>
      </w:r>
      <w:r>
        <w:rPr>
          <w:rFonts w:ascii="MinionPro-Regular" w:hAnsi="MinionPro-Regular"/>
          <w:sz w:val="24"/>
          <w:szCs w:val="24"/>
          <w:lang w:val="es-ES_tradnl"/>
        </w:rPr>
        <w:t>alrededor de un millón de</w:t>
      </w:r>
      <w:r w:rsidRPr="00BB607D">
        <w:rPr>
          <w:rFonts w:ascii="MinionPro-Regular" w:hAnsi="MinionPro-Regular"/>
          <w:sz w:val="24"/>
          <w:szCs w:val="24"/>
          <w:lang w:val="es-ES_tradnl"/>
        </w:rPr>
        <w:t xml:space="preserve"> personas con discapacidad deberían estar trabajando en 2020. Este cálculo se ha realizado teniendo en cuenta los datos del crecimiento de la población que </w:t>
      </w:r>
      <w:r>
        <w:rPr>
          <w:rFonts w:ascii="MinionPro-Regular" w:hAnsi="MinionPro-Regular"/>
          <w:sz w:val="24"/>
          <w:szCs w:val="24"/>
          <w:lang w:val="es-ES_tradnl"/>
        </w:rPr>
        <w:t>considera el “European Demographic Research Papers”</w:t>
      </w:r>
      <w:r>
        <w:rPr>
          <w:rStyle w:val="Refdenotaalpie"/>
          <w:rFonts w:ascii="MinionPro-Regular" w:hAnsi="MinionPro-Regular"/>
          <w:sz w:val="24"/>
          <w:szCs w:val="24"/>
          <w:lang w:val="es-ES_tradnl"/>
        </w:rPr>
        <w:footnoteReference w:id="65"/>
      </w:r>
      <w:r>
        <w:rPr>
          <w:rFonts w:ascii="MinionPro-Regular" w:hAnsi="MinionPro-Regular"/>
          <w:sz w:val="24"/>
          <w:szCs w:val="24"/>
          <w:lang w:val="es-ES_tradnl"/>
        </w:rPr>
        <w:t xml:space="preserve">. Teniendo en cuenta las previsiones establecidas en el documento mencionado, </w:t>
      </w:r>
      <w:r w:rsidRPr="00BB607D">
        <w:rPr>
          <w:rFonts w:ascii="MinionPro-Regular" w:hAnsi="MinionPro-Regular"/>
          <w:sz w:val="24"/>
          <w:szCs w:val="24"/>
          <w:lang w:val="es-ES_tradnl"/>
        </w:rPr>
        <w:t xml:space="preserve">se puede estimar que en 2020 </w:t>
      </w:r>
      <w:r>
        <w:rPr>
          <w:rFonts w:ascii="MinionPro-Regular" w:hAnsi="MinionPro-Regular"/>
          <w:sz w:val="24"/>
          <w:szCs w:val="24"/>
          <w:lang w:val="es-ES_tradnl"/>
        </w:rPr>
        <w:t>las personas activas con discapacidad serán alrededor de 1,2</w:t>
      </w:r>
      <w:r w:rsidRPr="00BB607D">
        <w:rPr>
          <w:rFonts w:ascii="MinionPro-Regular" w:hAnsi="MinionPro-Regular"/>
          <w:sz w:val="24"/>
          <w:szCs w:val="24"/>
          <w:lang w:val="es-ES_tradnl"/>
        </w:rPr>
        <w:t xml:space="preserve"> millones.</w:t>
      </w:r>
    </w:p>
    <w:p w:rsidR="00E2336B" w:rsidRDefault="00E2336B" w:rsidP="001D2EFC">
      <w:pPr>
        <w:autoSpaceDE w:val="0"/>
        <w:autoSpaceDN w:val="0"/>
        <w:spacing w:line="360" w:lineRule="auto"/>
        <w:jc w:val="both"/>
        <w:rPr>
          <w:rFonts w:ascii="MinionPro-Regular" w:hAnsi="MinionPro-Regular"/>
          <w:sz w:val="24"/>
          <w:szCs w:val="24"/>
          <w:lang w:val="es-ES_tradnl"/>
        </w:rPr>
      </w:pPr>
    </w:p>
    <w:p w:rsidR="00E2336B" w:rsidRDefault="00E2336B" w:rsidP="001D2EFC">
      <w:pPr>
        <w:autoSpaceDE w:val="0"/>
        <w:autoSpaceDN w:val="0"/>
        <w:spacing w:line="360" w:lineRule="auto"/>
        <w:jc w:val="both"/>
        <w:rPr>
          <w:rFonts w:ascii="MinionPro-Regular" w:hAnsi="MinionPro-Regular"/>
          <w:sz w:val="24"/>
          <w:szCs w:val="24"/>
          <w:lang w:val="es-ES_tradnl"/>
        </w:rPr>
      </w:pPr>
      <w:r w:rsidRPr="00D30141">
        <w:rPr>
          <w:rFonts w:ascii="MinionPro-Regular" w:hAnsi="MinionPro-Regular"/>
          <w:sz w:val="24"/>
          <w:szCs w:val="24"/>
          <w:lang w:val="es-ES_tradnl"/>
        </w:rPr>
        <w:t xml:space="preserve">A partir de los datos de la población </w:t>
      </w:r>
      <w:r>
        <w:rPr>
          <w:rFonts w:ascii="MinionPro-Regular" w:hAnsi="MinionPro-Regular"/>
          <w:sz w:val="24"/>
          <w:szCs w:val="24"/>
          <w:lang w:val="es-ES_tradnl"/>
        </w:rPr>
        <w:t>activa</w:t>
      </w:r>
      <w:r w:rsidRPr="00D30141">
        <w:rPr>
          <w:rFonts w:ascii="MinionPro-Regular" w:hAnsi="MinionPro-Regular"/>
          <w:sz w:val="24"/>
          <w:szCs w:val="24"/>
          <w:lang w:val="es-ES_tradnl"/>
        </w:rPr>
        <w:t xml:space="preserve">, se ha estimado la población que deberá trabajar en centros especiales de empleo, considerando que, tal y como ocurrió en 2011, </w:t>
      </w:r>
      <w:r>
        <w:rPr>
          <w:rFonts w:ascii="MinionPro-Regular" w:hAnsi="MinionPro-Regular"/>
          <w:sz w:val="24"/>
          <w:szCs w:val="24"/>
          <w:lang w:val="es-ES_tradnl"/>
        </w:rPr>
        <w:t>alrededor d</w:t>
      </w:r>
      <w:r w:rsidRPr="00D30141">
        <w:rPr>
          <w:rFonts w:ascii="MinionPro-Regular" w:hAnsi="MinionPro-Regular"/>
          <w:sz w:val="24"/>
          <w:szCs w:val="24"/>
          <w:lang w:val="es-ES_tradnl"/>
        </w:rPr>
        <w:t xml:space="preserve">el </w:t>
      </w:r>
      <w:r>
        <w:rPr>
          <w:rFonts w:ascii="MinionPro-Regular" w:hAnsi="MinionPro-Regular"/>
          <w:sz w:val="24"/>
          <w:szCs w:val="24"/>
          <w:lang w:val="es-ES_tradnl"/>
        </w:rPr>
        <w:t>20</w:t>
      </w:r>
      <w:r w:rsidRPr="00D30141">
        <w:rPr>
          <w:rFonts w:ascii="MinionPro-Regular" w:hAnsi="MinionPro-Regular"/>
          <w:sz w:val="24"/>
          <w:szCs w:val="24"/>
          <w:lang w:val="es-ES_tradnl"/>
        </w:rPr>
        <w:t xml:space="preserve">% de </w:t>
      </w:r>
      <w:r>
        <w:rPr>
          <w:rFonts w:ascii="MinionPro-Regular" w:hAnsi="MinionPro-Regular"/>
          <w:sz w:val="24"/>
          <w:szCs w:val="24"/>
          <w:lang w:val="es-ES_tradnl"/>
        </w:rPr>
        <w:t xml:space="preserve">este colectivo </w:t>
      </w:r>
      <w:r w:rsidRPr="00D30141">
        <w:rPr>
          <w:rFonts w:ascii="MinionPro-Regular" w:hAnsi="MinionPro-Regular"/>
          <w:sz w:val="24"/>
          <w:szCs w:val="24"/>
          <w:lang w:val="es-ES_tradnl"/>
        </w:rPr>
        <w:t>trabajará</w:t>
      </w:r>
      <w:r>
        <w:rPr>
          <w:rFonts w:ascii="MinionPro-Regular" w:hAnsi="MinionPro-Regular"/>
          <w:sz w:val="24"/>
          <w:szCs w:val="24"/>
          <w:lang w:val="es-ES_tradnl"/>
        </w:rPr>
        <w:t>n</w:t>
      </w:r>
      <w:r w:rsidRPr="00D30141">
        <w:rPr>
          <w:rFonts w:ascii="MinionPro-Regular" w:hAnsi="MinionPro-Regular"/>
          <w:sz w:val="24"/>
          <w:szCs w:val="24"/>
          <w:lang w:val="es-ES_tradnl"/>
        </w:rPr>
        <w:t xml:space="preserve"> en centros especiales de empleo.</w:t>
      </w:r>
    </w:p>
    <w:p w:rsidR="00E2336B" w:rsidRDefault="00E2336B" w:rsidP="001D2EFC">
      <w:pPr>
        <w:autoSpaceDE w:val="0"/>
        <w:autoSpaceDN w:val="0"/>
        <w:spacing w:line="360" w:lineRule="auto"/>
        <w:rPr>
          <w:rFonts w:ascii="MinionPro-Regular" w:hAnsi="MinionPro-Regular"/>
          <w:sz w:val="24"/>
          <w:szCs w:val="24"/>
          <w:lang w:val="es-ES_tradnl"/>
        </w:rPr>
      </w:pPr>
    </w:p>
    <w:p w:rsidR="00E2336B" w:rsidRPr="007D565F" w:rsidRDefault="00E2336B" w:rsidP="001D2EFC">
      <w:pPr>
        <w:pBdr>
          <w:top w:val="single" w:sz="4" w:space="1" w:color="auto"/>
        </w:pBdr>
        <w:autoSpaceDE w:val="0"/>
        <w:autoSpaceDN w:val="0"/>
        <w:spacing w:line="360" w:lineRule="auto"/>
        <w:rPr>
          <w:rFonts w:ascii="MinionPro-Regular" w:hAnsi="MinionPro-Regular"/>
          <w:sz w:val="20"/>
          <w:szCs w:val="24"/>
          <w:lang w:val="es-ES_tradnl"/>
        </w:rPr>
      </w:pPr>
      <w:r w:rsidRPr="007D565F">
        <w:rPr>
          <w:rFonts w:ascii="MinionPro-Regular" w:hAnsi="MinionPro-Regular"/>
          <w:sz w:val="20"/>
          <w:szCs w:val="24"/>
          <w:lang w:val="es-ES_tradnl"/>
        </w:rPr>
        <w:t>Estimación de las personas con y sin discapacidad en centros especiales de empleo en 2010</w:t>
      </w:r>
    </w:p>
    <w:tbl>
      <w:tblPr>
        <w:tblW w:w="0" w:type="auto"/>
        <w:tblBorders>
          <w:bottom w:val="single" w:sz="12" w:space="0" w:color="409DAD"/>
        </w:tblBorders>
        <w:tblCellMar>
          <w:top w:w="28" w:type="dxa"/>
          <w:left w:w="28" w:type="dxa"/>
          <w:bottom w:w="28" w:type="dxa"/>
          <w:right w:w="28" w:type="dxa"/>
        </w:tblCellMar>
        <w:tblLook w:val="00A0"/>
      </w:tblPr>
      <w:tblGrid>
        <w:gridCol w:w="2861"/>
        <w:gridCol w:w="2849"/>
        <w:gridCol w:w="2851"/>
      </w:tblGrid>
      <w:tr w:rsidR="00E2336B" w:rsidRPr="00D30141" w:rsidTr="00A62C1C">
        <w:tc>
          <w:tcPr>
            <w:tcW w:w="2907" w:type="dxa"/>
            <w:shd w:val="clear" w:color="auto" w:fill="409DAD"/>
            <w:vAlign w:val="center"/>
          </w:tcPr>
          <w:p w:rsidR="00E2336B" w:rsidRPr="00A62C1C" w:rsidRDefault="00E2336B" w:rsidP="00A62C1C">
            <w:pPr>
              <w:autoSpaceDE w:val="0"/>
              <w:autoSpaceDN w:val="0"/>
              <w:spacing w:line="360" w:lineRule="auto"/>
              <w:rPr>
                <w:rFonts w:ascii="MinionPro-Regular" w:hAnsi="MinionPro-Regular"/>
                <w:color w:val="FFFFFF"/>
                <w:sz w:val="20"/>
                <w:szCs w:val="24"/>
                <w:lang w:val="es-ES_tradnl"/>
              </w:rPr>
            </w:pPr>
          </w:p>
        </w:tc>
        <w:tc>
          <w:tcPr>
            <w:tcW w:w="2907" w:type="dxa"/>
            <w:shd w:val="clear" w:color="auto" w:fill="409DAD"/>
            <w:vAlign w:val="center"/>
          </w:tcPr>
          <w:p w:rsidR="00E2336B" w:rsidRPr="00A62C1C" w:rsidRDefault="00E2336B" w:rsidP="00A62C1C">
            <w:pPr>
              <w:autoSpaceDE w:val="0"/>
              <w:autoSpaceDN w:val="0"/>
              <w:spacing w:line="360" w:lineRule="auto"/>
              <w:jc w:val="center"/>
              <w:rPr>
                <w:rFonts w:ascii="MinionPro-Regular" w:hAnsi="MinionPro-Regular"/>
                <w:color w:val="FFFFFF"/>
                <w:sz w:val="20"/>
                <w:szCs w:val="24"/>
                <w:lang w:val="es-ES_tradnl"/>
              </w:rPr>
            </w:pPr>
            <w:r w:rsidRPr="00A62C1C">
              <w:rPr>
                <w:rFonts w:ascii="MinionPro-Regular" w:hAnsi="MinionPro-Regular"/>
                <w:color w:val="FFFFFF"/>
                <w:sz w:val="20"/>
                <w:szCs w:val="24"/>
                <w:lang w:val="es-ES_tradnl"/>
              </w:rPr>
              <w:t>2011</w:t>
            </w:r>
          </w:p>
        </w:tc>
        <w:tc>
          <w:tcPr>
            <w:tcW w:w="2907" w:type="dxa"/>
            <w:shd w:val="clear" w:color="auto" w:fill="409DAD"/>
            <w:vAlign w:val="center"/>
          </w:tcPr>
          <w:p w:rsidR="00E2336B" w:rsidRPr="00A62C1C" w:rsidRDefault="00E2336B" w:rsidP="00A62C1C">
            <w:pPr>
              <w:autoSpaceDE w:val="0"/>
              <w:autoSpaceDN w:val="0"/>
              <w:spacing w:line="360" w:lineRule="auto"/>
              <w:jc w:val="center"/>
              <w:rPr>
                <w:rFonts w:ascii="MinionPro-Regular" w:hAnsi="MinionPro-Regular"/>
                <w:color w:val="FFFFFF"/>
                <w:sz w:val="20"/>
                <w:szCs w:val="24"/>
                <w:lang w:val="es-ES_tradnl"/>
              </w:rPr>
            </w:pPr>
            <w:r w:rsidRPr="00A62C1C">
              <w:rPr>
                <w:rFonts w:ascii="MinionPro-Regular" w:hAnsi="MinionPro-Regular"/>
                <w:color w:val="FFFFFF"/>
                <w:sz w:val="20"/>
                <w:szCs w:val="24"/>
                <w:lang w:val="es-ES_tradnl"/>
              </w:rPr>
              <w:t>2020</w:t>
            </w:r>
          </w:p>
        </w:tc>
      </w:tr>
      <w:tr w:rsidR="00E2336B" w:rsidRPr="00D30141" w:rsidTr="00A62C1C">
        <w:tc>
          <w:tcPr>
            <w:tcW w:w="2907" w:type="dxa"/>
            <w:vAlign w:val="center"/>
          </w:tcPr>
          <w:p w:rsidR="00E2336B" w:rsidRPr="00A62C1C" w:rsidRDefault="00E2336B" w:rsidP="00A62C1C">
            <w:pPr>
              <w:autoSpaceDE w:val="0"/>
              <w:autoSpaceDN w:val="0"/>
              <w:spacing w:line="360" w:lineRule="auto"/>
              <w:rPr>
                <w:rFonts w:ascii="MinionPro-Regular" w:hAnsi="MinionPro-Regular"/>
                <w:sz w:val="20"/>
                <w:szCs w:val="24"/>
                <w:lang w:val="es-ES_tradnl"/>
              </w:rPr>
            </w:pPr>
            <w:r w:rsidRPr="00A62C1C">
              <w:rPr>
                <w:rFonts w:ascii="MinionPro-Regular" w:hAnsi="MinionPro-Regular"/>
                <w:sz w:val="20"/>
                <w:szCs w:val="24"/>
                <w:lang w:val="es-ES_tradnl"/>
              </w:rPr>
              <w:t>Personas con discapacidad en centros especiales de empleo</w:t>
            </w:r>
          </w:p>
        </w:tc>
        <w:tc>
          <w:tcPr>
            <w:tcW w:w="2907" w:type="dxa"/>
            <w:vAlign w:val="center"/>
          </w:tcPr>
          <w:p w:rsidR="00E2336B" w:rsidRPr="00A62C1C" w:rsidRDefault="00E2336B" w:rsidP="00A62C1C">
            <w:pPr>
              <w:autoSpaceDE w:val="0"/>
              <w:autoSpaceDN w:val="0"/>
              <w:spacing w:line="360" w:lineRule="auto"/>
              <w:jc w:val="center"/>
              <w:rPr>
                <w:rFonts w:ascii="MinionPro-Regular" w:hAnsi="MinionPro-Regular"/>
                <w:sz w:val="20"/>
                <w:szCs w:val="24"/>
                <w:lang w:val="es-ES_tradnl"/>
              </w:rPr>
            </w:pPr>
            <w:r w:rsidRPr="00A62C1C">
              <w:rPr>
                <w:rFonts w:ascii="MinionPro-Regular" w:hAnsi="MinionPro-Regular"/>
                <w:sz w:val="20"/>
                <w:szCs w:val="24"/>
                <w:lang w:val="es-ES_tradnl"/>
              </w:rPr>
              <w:t>64.391</w:t>
            </w:r>
          </w:p>
        </w:tc>
        <w:tc>
          <w:tcPr>
            <w:tcW w:w="2907" w:type="dxa"/>
            <w:vAlign w:val="center"/>
          </w:tcPr>
          <w:p w:rsidR="00E2336B" w:rsidRPr="00A62C1C" w:rsidRDefault="00E2336B" w:rsidP="00A62C1C">
            <w:pPr>
              <w:autoSpaceDE w:val="0"/>
              <w:autoSpaceDN w:val="0"/>
              <w:spacing w:line="360" w:lineRule="auto"/>
              <w:jc w:val="center"/>
              <w:rPr>
                <w:rFonts w:ascii="MinionPro-Regular" w:hAnsi="MinionPro-Regular"/>
                <w:sz w:val="20"/>
                <w:szCs w:val="24"/>
                <w:lang w:val="es-ES_tradnl"/>
              </w:rPr>
            </w:pPr>
            <w:r w:rsidRPr="00A62C1C">
              <w:rPr>
                <w:rFonts w:ascii="MinionPro-Regular" w:hAnsi="MinionPro-Regular"/>
                <w:sz w:val="20"/>
                <w:szCs w:val="24"/>
                <w:lang w:val="es-ES_tradnl"/>
              </w:rPr>
              <w:t>182.410</w:t>
            </w:r>
          </w:p>
        </w:tc>
      </w:tr>
      <w:tr w:rsidR="00E2336B" w:rsidRPr="00D30141" w:rsidTr="00A62C1C">
        <w:tc>
          <w:tcPr>
            <w:tcW w:w="2907" w:type="dxa"/>
            <w:vAlign w:val="center"/>
          </w:tcPr>
          <w:p w:rsidR="00E2336B" w:rsidRPr="00A62C1C" w:rsidRDefault="00E2336B" w:rsidP="00A62C1C">
            <w:pPr>
              <w:autoSpaceDE w:val="0"/>
              <w:autoSpaceDN w:val="0"/>
              <w:spacing w:line="360" w:lineRule="auto"/>
              <w:rPr>
                <w:rFonts w:ascii="MinionPro-Regular" w:hAnsi="MinionPro-Regular"/>
                <w:sz w:val="20"/>
                <w:szCs w:val="24"/>
                <w:lang w:val="es-ES_tradnl"/>
              </w:rPr>
            </w:pPr>
            <w:r w:rsidRPr="00A62C1C">
              <w:rPr>
                <w:rFonts w:ascii="MinionPro-Regular" w:hAnsi="MinionPro-Regular"/>
                <w:sz w:val="20"/>
                <w:szCs w:val="24"/>
                <w:lang w:val="es-ES_tradnl"/>
              </w:rPr>
              <w:t>Porcentaje de personas con discapacidad en centros especiales de empleo con respecto del total de personas con discapacidad ocupadas</w:t>
            </w:r>
          </w:p>
        </w:tc>
        <w:tc>
          <w:tcPr>
            <w:tcW w:w="2907" w:type="dxa"/>
            <w:vAlign w:val="center"/>
          </w:tcPr>
          <w:p w:rsidR="00E2336B" w:rsidRPr="00A62C1C" w:rsidRDefault="00E2336B" w:rsidP="00A62C1C">
            <w:pPr>
              <w:autoSpaceDE w:val="0"/>
              <w:autoSpaceDN w:val="0"/>
              <w:spacing w:line="360" w:lineRule="auto"/>
              <w:jc w:val="center"/>
              <w:rPr>
                <w:rFonts w:ascii="MinionPro-Regular" w:hAnsi="MinionPro-Regular"/>
                <w:sz w:val="20"/>
                <w:szCs w:val="24"/>
                <w:lang w:val="es-ES_tradnl"/>
              </w:rPr>
            </w:pPr>
            <w:r w:rsidRPr="00A62C1C">
              <w:rPr>
                <w:rFonts w:ascii="MinionPro-Regular" w:hAnsi="MinionPro-Regular"/>
                <w:sz w:val="20"/>
                <w:szCs w:val="24"/>
                <w:lang w:val="es-ES_tradnl"/>
              </w:rPr>
              <w:t>20%</w:t>
            </w:r>
          </w:p>
        </w:tc>
        <w:tc>
          <w:tcPr>
            <w:tcW w:w="2907" w:type="dxa"/>
            <w:vAlign w:val="center"/>
          </w:tcPr>
          <w:p w:rsidR="00E2336B" w:rsidRPr="00A62C1C" w:rsidRDefault="00E2336B" w:rsidP="00A62C1C">
            <w:pPr>
              <w:autoSpaceDE w:val="0"/>
              <w:autoSpaceDN w:val="0"/>
              <w:spacing w:line="360" w:lineRule="auto"/>
              <w:jc w:val="center"/>
              <w:rPr>
                <w:rFonts w:ascii="MinionPro-Regular" w:hAnsi="MinionPro-Regular"/>
                <w:sz w:val="20"/>
                <w:szCs w:val="24"/>
                <w:lang w:val="es-ES_tradnl"/>
              </w:rPr>
            </w:pPr>
            <w:r w:rsidRPr="00A62C1C">
              <w:rPr>
                <w:rFonts w:ascii="MinionPro-Regular" w:hAnsi="MinionPro-Regular"/>
                <w:sz w:val="20"/>
                <w:szCs w:val="24"/>
                <w:lang w:val="es-ES_tradnl"/>
              </w:rPr>
              <w:t>20%</w:t>
            </w:r>
          </w:p>
        </w:tc>
      </w:tr>
      <w:tr w:rsidR="00E2336B" w:rsidRPr="00D30141" w:rsidTr="00A62C1C">
        <w:tc>
          <w:tcPr>
            <w:tcW w:w="2907" w:type="dxa"/>
            <w:tcBorders>
              <w:bottom w:val="single" w:sz="12" w:space="0" w:color="409DAD"/>
            </w:tcBorders>
            <w:vAlign w:val="center"/>
          </w:tcPr>
          <w:p w:rsidR="00E2336B" w:rsidRPr="00A62C1C" w:rsidRDefault="00E2336B" w:rsidP="00A62C1C">
            <w:pPr>
              <w:autoSpaceDE w:val="0"/>
              <w:autoSpaceDN w:val="0"/>
              <w:spacing w:line="360" w:lineRule="auto"/>
              <w:rPr>
                <w:rFonts w:ascii="MinionPro-Regular" w:hAnsi="MinionPro-Regular"/>
                <w:sz w:val="20"/>
                <w:szCs w:val="24"/>
                <w:lang w:val="es-ES_tradnl"/>
              </w:rPr>
            </w:pPr>
            <w:r w:rsidRPr="00A62C1C">
              <w:rPr>
                <w:rFonts w:ascii="MinionPro-Regular" w:hAnsi="MinionPro-Regular"/>
                <w:sz w:val="20"/>
                <w:szCs w:val="24"/>
                <w:lang w:val="es-ES_tradnl"/>
              </w:rPr>
              <w:lastRenderedPageBreak/>
              <w:t>Personas sin discapacidad en centros especiales de empleo</w:t>
            </w:r>
          </w:p>
        </w:tc>
        <w:tc>
          <w:tcPr>
            <w:tcW w:w="2907" w:type="dxa"/>
            <w:tcBorders>
              <w:bottom w:val="single" w:sz="12" w:space="0" w:color="409DAD"/>
            </w:tcBorders>
            <w:vAlign w:val="center"/>
          </w:tcPr>
          <w:p w:rsidR="00E2336B" w:rsidRPr="00A62C1C" w:rsidRDefault="00E2336B" w:rsidP="00A62C1C">
            <w:pPr>
              <w:autoSpaceDE w:val="0"/>
              <w:autoSpaceDN w:val="0"/>
              <w:spacing w:line="360" w:lineRule="auto"/>
              <w:jc w:val="center"/>
              <w:rPr>
                <w:rFonts w:ascii="MinionPro-Regular" w:hAnsi="MinionPro-Regular"/>
                <w:sz w:val="20"/>
                <w:szCs w:val="24"/>
                <w:lang w:val="es-ES_tradnl"/>
              </w:rPr>
            </w:pPr>
            <w:r w:rsidRPr="00A62C1C">
              <w:rPr>
                <w:rFonts w:ascii="MinionPro-Regular" w:hAnsi="MinionPro-Regular"/>
                <w:sz w:val="20"/>
                <w:szCs w:val="24"/>
                <w:lang w:val="es-ES_tradnl"/>
              </w:rPr>
              <w:t>7.424</w:t>
            </w:r>
          </w:p>
        </w:tc>
        <w:tc>
          <w:tcPr>
            <w:tcW w:w="2907" w:type="dxa"/>
            <w:tcBorders>
              <w:bottom w:val="single" w:sz="12" w:space="0" w:color="409DAD"/>
            </w:tcBorders>
            <w:vAlign w:val="center"/>
          </w:tcPr>
          <w:p w:rsidR="00E2336B" w:rsidRPr="00A62C1C" w:rsidRDefault="00E2336B" w:rsidP="00A62C1C">
            <w:pPr>
              <w:autoSpaceDE w:val="0"/>
              <w:autoSpaceDN w:val="0"/>
              <w:spacing w:line="360" w:lineRule="auto"/>
              <w:jc w:val="center"/>
              <w:rPr>
                <w:rFonts w:ascii="MinionPro-Regular" w:hAnsi="MinionPro-Regular"/>
                <w:sz w:val="20"/>
                <w:szCs w:val="24"/>
                <w:lang w:val="es-ES_tradnl"/>
              </w:rPr>
            </w:pPr>
            <w:r w:rsidRPr="00A62C1C">
              <w:rPr>
                <w:rFonts w:ascii="MinionPro-Regular" w:hAnsi="MinionPro-Regular"/>
                <w:sz w:val="20"/>
                <w:szCs w:val="24"/>
                <w:lang w:val="es-ES_tradnl"/>
              </w:rPr>
              <w:t>21.031</w:t>
            </w:r>
          </w:p>
        </w:tc>
      </w:tr>
    </w:tbl>
    <w:p w:rsidR="00E2336B" w:rsidRDefault="00E2336B" w:rsidP="001D2EFC">
      <w:pPr>
        <w:pBdr>
          <w:top w:val="single" w:sz="4" w:space="1" w:color="auto"/>
          <w:bottom w:val="single" w:sz="4" w:space="1" w:color="auto"/>
        </w:pBdr>
        <w:autoSpaceDE w:val="0"/>
        <w:autoSpaceDN w:val="0"/>
        <w:spacing w:line="360" w:lineRule="auto"/>
        <w:rPr>
          <w:rFonts w:ascii="MinionPro-Regular" w:hAnsi="MinionPro-Regular"/>
          <w:sz w:val="20"/>
          <w:szCs w:val="24"/>
          <w:lang w:val="es-ES_tradnl"/>
        </w:rPr>
      </w:pPr>
      <w:r w:rsidRPr="007949F6">
        <w:rPr>
          <w:rFonts w:ascii="MinionPro-Regular" w:hAnsi="MinionPro-Regular"/>
          <w:sz w:val="20"/>
          <w:szCs w:val="24"/>
          <w:lang w:val="es-ES_tradnl"/>
        </w:rPr>
        <w:t>Fuente: Elaboración propia a partir de datos del SPEE, estimación.</w:t>
      </w:r>
    </w:p>
    <w:p w:rsidR="00E2336B" w:rsidRDefault="00E2336B" w:rsidP="001D2EFC">
      <w:pPr>
        <w:autoSpaceDE w:val="0"/>
        <w:autoSpaceDN w:val="0"/>
        <w:spacing w:line="360" w:lineRule="auto"/>
        <w:jc w:val="both"/>
        <w:rPr>
          <w:rFonts w:ascii="MinionPro-Regular" w:hAnsi="MinionPro-Regular"/>
          <w:sz w:val="24"/>
          <w:szCs w:val="24"/>
          <w:lang w:val="es-ES_tradnl"/>
        </w:rPr>
      </w:pPr>
    </w:p>
    <w:p w:rsidR="00E2336B" w:rsidRDefault="00E2336B" w:rsidP="001D2EFC">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A continuación se muestra el impacto de los centros especiales de empleo en términos de los retornos ofrecidos a la administración pública en cada uno de los escenarios en  el año 2020.</w:t>
      </w:r>
    </w:p>
    <w:p w:rsidR="003E019F" w:rsidRDefault="003E019F" w:rsidP="001D2EFC">
      <w:pPr>
        <w:autoSpaceDE w:val="0"/>
        <w:autoSpaceDN w:val="0"/>
        <w:spacing w:line="360" w:lineRule="auto"/>
        <w:jc w:val="both"/>
        <w:rPr>
          <w:rFonts w:ascii="MinionPro-Regular" w:hAnsi="MinionPro-Regular"/>
          <w:sz w:val="24"/>
          <w:szCs w:val="24"/>
          <w:lang w:val="es-ES_tradnl"/>
        </w:rPr>
      </w:pPr>
    </w:p>
    <w:p w:rsidR="00E2336B" w:rsidRDefault="00E2336B">
      <w:pPr>
        <w:rPr>
          <w:rFonts w:ascii="MinionPro-Regular" w:hAnsi="MinionPro-Regular"/>
          <w:sz w:val="20"/>
          <w:szCs w:val="24"/>
          <w:lang w:val="es-ES_tradnl"/>
        </w:rPr>
      </w:pPr>
    </w:p>
    <w:p w:rsidR="00E2336B" w:rsidRPr="00E25099" w:rsidRDefault="00E2336B" w:rsidP="00E25099">
      <w:pPr>
        <w:pBdr>
          <w:top w:val="single" w:sz="4" w:space="1" w:color="auto"/>
        </w:pBdr>
        <w:autoSpaceDE w:val="0"/>
        <w:autoSpaceDN w:val="0"/>
        <w:spacing w:line="360" w:lineRule="auto"/>
        <w:rPr>
          <w:rFonts w:ascii="MinionPro-Regular" w:hAnsi="MinionPro-Regular"/>
          <w:sz w:val="20"/>
          <w:szCs w:val="24"/>
          <w:lang w:val="es-ES_tradnl"/>
        </w:rPr>
      </w:pPr>
      <w:r w:rsidRPr="003C5DF9">
        <w:rPr>
          <w:rFonts w:ascii="MinionPro-Regular" w:hAnsi="MinionPro-Regular"/>
          <w:sz w:val="20"/>
          <w:szCs w:val="24"/>
          <w:lang w:val="es-ES_tradnl"/>
        </w:rPr>
        <w:t>Cuadro resumen con las variables de ayudas y retornos que se han tenido en cuenta en el análisis de la proyección del impacto de los centros especiales de empleo a 2020.</w:t>
      </w:r>
    </w:p>
    <w:tbl>
      <w:tblPr>
        <w:tblW w:w="0" w:type="auto"/>
        <w:tblBorders>
          <w:bottom w:val="single" w:sz="12" w:space="0" w:color="409DAD"/>
        </w:tblBorders>
        <w:tblCellMar>
          <w:top w:w="28" w:type="dxa"/>
          <w:left w:w="28" w:type="dxa"/>
          <w:bottom w:w="28" w:type="dxa"/>
          <w:right w:w="28" w:type="dxa"/>
        </w:tblCellMar>
        <w:tblLook w:val="00A0"/>
      </w:tblPr>
      <w:tblGrid>
        <w:gridCol w:w="4424"/>
        <w:gridCol w:w="4019"/>
      </w:tblGrid>
      <w:tr w:rsidR="00E2336B" w:rsidRPr="002D6B19" w:rsidTr="00A62C1C">
        <w:trPr>
          <w:trHeight w:val="597"/>
        </w:trPr>
        <w:tc>
          <w:tcPr>
            <w:tcW w:w="4424" w:type="dxa"/>
            <w:tcBorders>
              <w:bottom w:val="nil"/>
            </w:tcBorders>
            <w:shd w:val="clear" w:color="auto" w:fill="409DAD"/>
            <w:vAlign w:val="center"/>
          </w:tcPr>
          <w:p w:rsidR="00E2336B" w:rsidRPr="00A62C1C" w:rsidRDefault="00E2336B" w:rsidP="00A62C1C">
            <w:pPr>
              <w:spacing w:line="180" w:lineRule="atLeast"/>
              <w:jc w:val="center"/>
              <w:rPr>
                <w:rFonts w:ascii="MinionPro-Regular" w:hAnsi="MinionPro-Regular"/>
                <w:b/>
                <w:color w:val="FFFFFF"/>
                <w:lang w:val="es-ES_tradnl"/>
              </w:rPr>
            </w:pPr>
            <w:r w:rsidRPr="00A62C1C">
              <w:rPr>
                <w:rFonts w:ascii="MinionPro-Regular" w:hAnsi="MinionPro-Regular"/>
                <w:b/>
                <w:color w:val="FFFFFF"/>
                <w:lang w:val="es-ES_tradnl"/>
              </w:rPr>
              <w:t>Ayudas de la administración pública</w:t>
            </w:r>
          </w:p>
        </w:tc>
        <w:tc>
          <w:tcPr>
            <w:tcW w:w="4019" w:type="dxa"/>
            <w:tcBorders>
              <w:bottom w:val="nil"/>
            </w:tcBorders>
            <w:shd w:val="clear" w:color="auto" w:fill="409DAD"/>
            <w:vAlign w:val="center"/>
          </w:tcPr>
          <w:p w:rsidR="00E2336B" w:rsidRPr="00A62C1C" w:rsidRDefault="00E2336B" w:rsidP="00A62C1C">
            <w:pPr>
              <w:spacing w:line="180" w:lineRule="atLeast"/>
              <w:jc w:val="center"/>
              <w:rPr>
                <w:rFonts w:ascii="MinionPro-Regular" w:hAnsi="MinionPro-Regular"/>
                <w:b/>
                <w:color w:val="FFFFFF"/>
                <w:lang w:val="es-ES_tradnl"/>
              </w:rPr>
            </w:pPr>
            <w:r w:rsidRPr="00A62C1C">
              <w:rPr>
                <w:rFonts w:ascii="MinionPro-Regular" w:hAnsi="MinionPro-Regular"/>
                <w:b/>
                <w:color w:val="FFFFFF"/>
                <w:lang w:val="es-ES_tradnl"/>
              </w:rPr>
              <w:t>Retorno de los centros especiales de empleo</w:t>
            </w:r>
          </w:p>
        </w:tc>
      </w:tr>
      <w:tr w:rsidR="00E2336B" w:rsidRPr="005158FF" w:rsidTr="00A62C1C">
        <w:trPr>
          <w:trHeight w:val="290"/>
        </w:trPr>
        <w:tc>
          <w:tcPr>
            <w:tcW w:w="8443" w:type="dxa"/>
            <w:gridSpan w:val="2"/>
            <w:tcBorders>
              <w:bottom w:val="single" w:sz="4" w:space="0" w:color="auto"/>
            </w:tcBorders>
            <w:vAlign w:val="center"/>
          </w:tcPr>
          <w:p w:rsidR="00E2336B" w:rsidRPr="00A62C1C" w:rsidRDefault="00E2336B" w:rsidP="00A62C1C">
            <w:pPr>
              <w:spacing w:line="180" w:lineRule="atLeast"/>
              <w:jc w:val="center"/>
              <w:rPr>
                <w:rFonts w:ascii="MinionPro-Regular" w:hAnsi="MinionPro-Regular"/>
                <w:b/>
                <w:lang w:val="es-ES_tradnl"/>
              </w:rPr>
            </w:pPr>
            <w:r w:rsidRPr="00A62C1C">
              <w:rPr>
                <w:rFonts w:ascii="MinionPro-Regular" w:hAnsi="MinionPro-Regular"/>
                <w:b/>
                <w:lang w:val="es-ES_tradnl"/>
              </w:rPr>
              <w:t>Con salida de efectivo</w:t>
            </w:r>
          </w:p>
        </w:tc>
      </w:tr>
      <w:tr w:rsidR="00E2336B" w:rsidRPr="005158FF" w:rsidTr="00A62C1C">
        <w:trPr>
          <w:trHeight w:val="290"/>
        </w:trPr>
        <w:tc>
          <w:tcPr>
            <w:tcW w:w="4424" w:type="dxa"/>
            <w:vMerge w:val="restart"/>
            <w:tcBorders>
              <w:top w:val="single" w:sz="4" w:space="0" w:color="auto"/>
            </w:tcBorders>
            <w:vAlign w:val="center"/>
          </w:tcPr>
          <w:p w:rsidR="00E2336B" w:rsidRPr="00A62C1C" w:rsidRDefault="00E2336B" w:rsidP="00A62C1C">
            <w:pPr>
              <w:spacing w:line="180" w:lineRule="atLeast"/>
              <w:rPr>
                <w:rFonts w:ascii="MinionPro-Regular" w:hAnsi="MinionPro-Regular"/>
                <w:b/>
                <w:lang w:val="es-ES_tradnl"/>
              </w:rPr>
            </w:pPr>
            <w:r w:rsidRPr="00A62C1C">
              <w:rPr>
                <w:rFonts w:ascii="MinionPro-Regular" w:hAnsi="MinionPro-Regular"/>
                <w:b/>
                <w:lang w:val="es-ES_tradnl"/>
              </w:rPr>
              <w:t>Compromiso de gasto para centros especiales de empleo</w:t>
            </w:r>
          </w:p>
        </w:tc>
        <w:tc>
          <w:tcPr>
            <w:tcW w:w="4019" w:type="dxa"/>
            <w:tcBorders>
              <w:top w:val="single" w:sz="4" w:space="0" w:color="auto"/>
            </w:tcBorders>
            <w:vAlign w:val="center"/>
          </w:tcPr>
          <w:p w:rsidR="00E2336B" w:rsidRPr="00A62C1C" w:rsidRDefault="00E2336B" w:rsidP="00A62C1C">
            <w:pPr>
              <w:spacing w:line="180" w:lineRule="atLeast"/>
              <w:rPr>
                <w:rFonts w:ascii="MinionPro-Regular" w:hAnsi="MinionPro-Regular"/>
                <w:lang w:val="es-ES_tradnl"/>
              </w:rPr>
            </w:pPr>
            <w:r w:rsidRPr="00A62C1C">
              <w:rPr>
                <w:rFonts w:ascii="MinionPro-Regular" w:hAnsi="MinionPro-Regular"/>
                <w:lang w:val="es-ES_tradnl"/>
              </w:rPr>
              <w:t>IRPF y seguridad social</w:t>
            </w:r>
          </w:p>
        </w:tc>
      </w:tr>
      <w:tr w:rsidR="00E2336B" w:rsidRPr="005158FF" w:rsidTr="00A62C1C">
        <w:trPr>
          <w:trHeight w:val="164"/>
        </w:trPr>
        <w:tc>
          <w:tcPr>
            <w:tcW w:w="4424" w:type="dxa"/>
            <w:vMerge/>
            <w:vAlign w:val="center"/>
          </w:tcPr>
          <w:p w:rsidR="00E2336B" w:rsidRPr="00A62C1C" w:rsidRDefault="00E2336B" w:rsidP="00A62C1C">
            <w:pPr>
              <w:spacing w:line="180" w:lineRule="atLeast"/>
              <w:rPr>
                <w:rFonts w:ascii="MinionPro-Regular" w:hAnsi="MinionPro-Regular"/>
                <w:b/>
                <w:lang w:val="es-ES_tradnl"/>
              </w:rPr>
            </w:pPr>
          </w:p>
        </w:tc>
        <w:tc>
          <w:tcPr>
            <w:tcW w:w="4019" w:type="dxa"/>
            <w:vAlign w:val="center"/>
          </w:tcPr>
          <w:p w:rsidR="00E2336B" w:rsidRPr="00A62C1C" w:rsidRDefault="00E2336B" w:rsidP="00A62C1C">
            <w:pPr>
              <w:spacing w:line="180" w:lineRule="atLeast"/>
              <w:rPr>
                <w:rFonts w:ascii="MinionPro-Regular" w:hAnsi="MinionPro-Regular"/>
                <w:lang w:val="es-ES_tradnl"/>
              </w:rPr>
            </w:pPr>
            <w:r w:rsidRPr="00A62C1C">
              <w:rPr>
                <w:rFonts w:ascii="MinionPro-Regular" w:hAnsi="MinionPro-Regular"/>
                <w:lang w:val="es-ES_tradnl"/>
              </w:rPr>
              <w:t>Impuestos indirectos (IVA)</w:t>
            </w:r>
          </w:p>
        </w:tc>
      </w:tr>
      <w:tr w:rsidR="00E2336B" w:rsidRPr="005158FF" w:rsidTr="00A62C1C">
        <w:trPr>
          <w:trHeight w:val="164"/>
        </w:trPr>
        <w:tc>
          <w:tcPr>
            <w:tcW w:w="4424" w:type="dxa"/>
            <w:vMerge/>
            <w:tcBorders>
              <w:bottom w:val="nil"/>
            </w:tcBorders>
            <w:vAlign w:val="center"/>
          </w:tcPr>
          <w:p w:rsidR="00E2336B" w:rsidRPr="00A62C1C" w:rsidRDefault="00E2336B" w:rsidP="00A62C1C">
            <w:pPr>
              <w:spacing w:line="180" w:lineRule="atLeast"/>
              <w:rPr>
                <w:rFonts w:ascii="MinionPro-Regular" w:hAnsi="MinionPro-Regular"/>
                <w:lang w:val="es-ES_tradnl"/>
              </w:rPr>
            </w:pPr>
          </w:p>
        </w:tc>
        <w:tc>
          <w:tcPr>
            <w:tcW w:w="4019" w:type="dxa"/>
            <w:tcBorders>
              <w:bottom w:val="nil"/>
            </w:tcBorders>
            <w:vAlign w:val="center"/>
          </w:tcPr>
          <w:p w:rsidR="00E2336B" w:rsidRPr="00A62C1C" w:rsidRDefault="00E2336B" w:rsidP="00A62C1C">
            <w:pPr>
              <w:spacing w:line="180" w:lineRule="atLeast"/>
              <w:rPr>
                <w:rFonts w:ascii="MinionPro-Regular" w:hAnsi="MinionPro-Regular"/>
                <w:lang w:val="es-ES_tradnl"/>
              </w:rPr>
            </w:pPr>
            <w:r w:rsidRPr="00A62C1C">
              <w:rPr>
                <w:rFonts w:ascii="MinionPro-Regular" w:hAnsi="MinionPro-Regular"/>
                <w:lang w:val="es-ES_tradnl"/>
              </w:rPr>
              <w:t>Impuesto de sociedades</w:t>
            </w:r>
          </w:p>
        </w:tc>
      </w:tr>
      <w:tr w:rsidR="00E2336B" w:rsidRPr="005158FF" w:rsidTr="00A62C1C">
        <w:trPr>
          <w:trHeight w:val="307"/>
        </w:trPr>
        <w:tc>
          <w:tcPr>
            <w:tcW w:w="8443" w:type="dxa"/>
            <w:gridSpan w:val="2"/>
            <w:tcBorders>
              <w:bottom w:val="single" w:sz="4" w:space="0" w:color="auto"/>
            </w:tcBorders>
            <w:vAlign w:val="center"/>
          </w:tcPr>
          <w:p w:rsidR="00E2336B" w:rsidRPr="00A62C1C" w:rsidRDefault="00E2336B" w:rsidP="00A62C1C">
            <w:pPr>
              <w:spacing w:line="180" w:lineRule="atLeast"/>
              <w:jc w:val="center"/>
              <w:rPr>
                <w:rFonts w:ascii="MinionPro-Regular" w:hAnsi="MinionPro-Regular"/>
                <w:b/>
                <w:lang w:val="es-ES_tradnl"/>
              </w:rPr>
            </w:pPr>
            <w:r w:rsidRPr="00A62C1C">
              <w:rPr>
                <w:rFonts w:ascii="MinionPro-Regular" w:hAnsi="MinionPro-Regular"/>
                <w:b/>
                <w:lang w:val="es-ES_tradnl"/>
              </w:rPr>
              <w:t>Sin salida de efectivo</w:t>
            </w:r>
          </w:p>
        </w:tc>
      </w:tr>
      <w:tr w:rsidR="00C01B87" w:rsidRPr="005158FF" w:rsidTr="00A62C1C">
        <w:trPr>
          <w:trHeight w:val="290"/>
        </w:trPr>
        <w:tc>
          <w:tcPr>
            <w:tcW w:w="4424" w:type="dxa"/>
            <w:vMerge w:val="restart"/>
            <w:tcBorders>
              <w:top w:val="single" w:sz="4" w:space="0" w:color="auto"/>
            </w:tcBorders>
            <w:vAlign w:val="center"/>
          </w:tcPr>
          <w:p w:rsidR="00C01B87" w:rsidRPr="00A62C1C" w:rsidRDefault="00C01B87" w:rsidP="00A62C1C">
            <w:pPr>
              <w:spacing w:line="180" w:lineRule="atLeast"/>
              <w:rPr>
                <w:rFonts w:ascii="MinionPro-Regular" w:hAnsi="MinionPro-Regular"/>
                <w:b/>
                <w:lang w:val="es-ES_tradnl"/>
              </w:rPr>
            </w:pPr>
            <w:r w:rsidRPr="00A62C1C">
              <w:rPr>
                <w:rFonts w:ascii="MinionPro-Regular" w:hAnsi="MinionPro-Regular"/>
                <w:b/>
                <w:lang w:val="es-ES_tradnl"/>
              </w:rPr>
              <w:t>Bonificación 100% cuota empresarial de la seguridad social</w:t>
            </w:r>
          </w:p>
        </w:tc>
        <w:tc>
          <w:tcPr>
            <w:tcW w:w="4019" w:type="dxa"/>
            <w:tcBorders>
              <w:top w:val="single" w:sz="4" w:space="0" w:color="auto"/>
            </w:tcBorders>
            <w:vAlign w:val="center"/>
          </w:tcPr>
          <w:p w:rsidR="00C01B87" w:rsidRPr="00A62C1C" w:rsidRDefault="00C01B87" w:rsidP="00A62C1C">
            <w:pPr>
              <w:spacing w:line="180" w:lineRule="atLeast"/>
              <w:rPr>
                <w:rFonts w:ascii="MinionPro-Regular" w:hAnsi="MinionPro-Regular"/>
                <w:lang w:val="es-ES_tradnl"/>
              </w:rPr>
            </w:pPr>
            <w:r w:rsidRPr="00A62C1C">
              <w:rPr>
                <w:rFonts w:ascii="MinionPro-Regular" w:hAnsi="MinionPro-Regular"/>
                <w:lang w:val="es-ES_tradnl"/>
              </w:rPr>
              <w:t>Ayudas LISMI</w:t>
            </w:r>
          </w:p>
        </w:tc>
      </w:tr>
      <w:tr w:rsidR="00C01B87" w:rsidRPr="005158FF" w:rsidTr="00A62C1C">
        <w:trPr>
          <w:trHeight w:val="164"/>
        </w:trPr>
        <w:tc>
          <w:tcPr>
            <w:tcW w:w="4424" w:type="dxa"/>
            <w:vMerge/>
            <w:vAlign w:val="center"/>
          </w:tcPr>
          <w:p w:rsidR="00C01B87" w:rsidRPr="00A62C1C" w:rsidRDefault="00C01B87" w:rsidP="00A62C1C">
            <w:pPr>
              <w:spacing w:line="180" w:lineRule="atLeast"/>
              <w:rPr>
                <w:rFonts w:ascii="MinionPro-Regular" w:hAnsi="MinionPro-Regular"/>
                <w:lang w:val="es-ES_tradnl"/>
              </w:rPr>
            </w:pPr>
          </w:p>
        </w:tc>
        <w:tc>
          <w:tcPr>
            <w:tcW w:w="4019" w:type="dxa"/>
            <w:vAlign w:val="center"/>
          </w:tcPr>
          <w:p w:rsidR="00C01B87" w:rsidRPr="00A62C1C" w:rsidRDefault="00C01B87" w:rsidP="00A62C1C">
            <w:pPr>
              <w:spacing w:line="180" w:lineRule="atLeast"/>
              <w:rPr>
                <w:rFonts w:ascii="MinionPro-Regular" w:hAnsi="MinionPro-Regular"/>
                <w:lang w:val="es-ES_tradnl"/>
              </w:rPr>
            </w:pPr>
            <w:r w:rsidRPr="00A62C1C">
              <w:rPr>
                <w:rFonts w:ascii="MinionPro-Regular" w:hAnsi="MinionPro-Regular"/>
                <w:lang w:val="es-ES_tradnl"/>
              </w:rPr>
              <w:t>Pensiones no contributivas</w:t>
            </w:r>
          </w:p>
        </w:tc>
      </w:tr>
      <w:tr w:rsidR="00C01B87" w:rsidRPr="005158FF" w:rsidTr="00A62C1C">
        <w:trPr>
          <w:trHeight w:val="164"/>
        </w:trPr>
        <w:tc>
          <w:tcPr>
            <w:tcW w:w="4424" w:type="dxa"/>
            <w:vMerge/>
            <w:vAlign w:val="center"/>
          </w:tcPr>
          <w:p w:rsidR="00C01B87" w:rsidRPr="00A62C1C" w:rsidRDefault="00C01B87" w:rsidP="00A62C1C">
            <w:pPr>
              <w:spacing w:line="180" w:lineRule="atLeast"/>
              <w:rPr>
                <w:rFonts w:ascii="MinionPro-Regular" w:hAnsi="MinionPro-Regular"/>
                <w:b/>
                <w:lang w:val="es-ES_tradnl"/>
              </w:rPr>
            </w:pPr>
          </w:p>
        </w:tc>
        <w:tc>
          <w:tcPr>
            <w:tcW w:w="4019" w:type="dxa"/>
            <w:vAlign w:val="center"/>
          </w:tcPr>
          <w:p w:rsidR="00C01B87" w:rsidRPr="00A62C1C" w:rsidRDefault="00C01B87" w:rsidP="00A62C1C">
            <w:pPr>
              <w:spacing w:line="180" w:lineRule="atLeast"/>
              <w:rPr>
                <w:rFonts w:ascii="MinionPro-Regular" w:hAnsi="MinionPro-Regular"/>
                <w:lang w:val="es-ES_tradnl"/>
              </w:rPr>
            </w:pPr>
            <w:r w:rsidRPr="00A62C1C">
              <w:rPr>
                <w:rFonts w:ascii="MinionPro-Regular" w:hAnsi="MinionPro-Regular"/>
                <w:lang w:val="es-ES_tradnl"/>
              </w:rPr>
              <w:t>Pensiones contributivas</w:t>
            </w:r>
          </w:p>
        </w:tc>
      </w:tr>
      <w:tr w:rsidR="00C01B87" w:rsidRPr="005158FF" w:rsidTr="00C01B87">
        <w:trPr>
          <w:trHeight w:val="164"/>
        </w:trPr>
        <w:tc>
          <w:tcPr>
            <w:tcW w:w="4424" w:type="dxa"/>
            <w:vMerge/>
            <w:vAlign w:val="center"/>
          </w:tcPr>
          <w:p w:rsidR="00C01B87" w:rsidRPr="00A62C1C" w:rsidRDefault="00C01B87" w:rsidP="00A62C1C">
            <w:pPr>
              <w:spacing w:line="180" w:lineRule="atLeast"/>
              <w:rPr>
                <w:rFonts w:ascii="MinionPro-Regular" w:hAnsi="MinionPro-Regular"/>
                <w:lang w:val="es-ES_tradnl"/>
              </w:rPr>
            </w:pPr>
          </w:p>
        </w:tc>
        <w:tc>
          <w:tcPr>
            <w:tcW w:w="4019" w:type="dxa"/>
            <w:vAlign w:val="center"/>
          </w:tcPr>
          <w:p w:rsidR="00C01B87" w:rsidRPr="00A62C1C" w:rsidRDefault="00C01B87" w:rsidP="00A62C1C">
            <w:pPr>
              <w:spacing w:line="180" w:lineRule="atLeast"/>
              <w:rPr>
                <w:rFonts w:ascii="MinionPro-Regular" w:hAnsi="MinionPro-Regular"/>
                <w:lang w:val="es-ES_tradnl"/>
              </w:rPr>
            </w:pPr>
            <w:r w:rsidRPr="00A62C1C">
              <w:rPr>
                <w:rFonts w:ascii="MinionPro-Regular" w:hAnsi="MinionPro-Regular"/>
                <w:lang w:val="es-ES_tradnl"/>
              </w:rPr>
              <w:t>Ahorro en gasto sanitario</w:t>
            </w:r>
          </w:p>
        </w:tc>
      </w:tr>
      <w:tr w:rsidR="00C01B87" w:rsidRPr="005158FF" w:rsidTr="00A62C1C">
        <w:trPr>
          <w:trHeight w:val="164"/>
        </w:trPr>
        <w:tc>
          <w:tcPr>
            <w:tcW w:w="4424" w:type="dxa"/>
            <w:vMerge/>
            <w:tcBorders>
              <w:bottom w:val="single" w:sz="12" w:space="0" w:color="409DAD"/>
            </w:tcBorders>
            <w:vAlign w:val="center"/>
          </w:tcPr>
          <w:p w:rsidR="00C01B87" w:rsidRPr="00A62C1C" w:rsidRDefault="00C01B87" w:rsidP="00A62C1C">
            <w:pPr>
              <w:spacing w:line="180" w:lineRule="atLeast"/>
              <w:rPr>
                <w:rFonts w:ascii="MinionPro-Regular" w:hAnsi="MinionPro-Regular"/>
                <w:lang w:val="es-ES_tradnl"/>
              </w:rPr>
            </w:pPr>
          </w:p>
        </w:tc>
        <w:tc>
          <w:tcPr>
            <w:tcW w:w="4019" w:type="dxa"/>
            <w:tcBorders>
              <w:bottom w:val="single" w:sz="12" w:space="0" w:color="409DAD"/>
            </w:tcBorders>
            <w:vAlign w:val="center"/>
          </w:tcPr>
          <w:p w:rsidR="00C01B87" w:rsidRPr="00A62C1C" w:rsidRDefault="00C01B87" w:rsidP="00A62C1C">
            <w:pPr>
              <w:spacing w:line="180" w:lineRule="atLeast"/>
              <w:rPr>
                <w:rFonts w:ascii="MinionPro-Regular" w:hAnsi="MinionPro-Regular"/>
                <w:lang w:val="es-ES_tradnl"/>
              </w:rPr>
            </w:pPr>
            <w:r>
              <w:rPr>
                <w:rFonts w:ascii="MinionPro-Regular" w:hAnsi="MinionPro-Regular"/>
                <w:lang w:val="es-ES_tradnl"/>
              </w:rPr>
              <w:t>Ahorro en plazas ocupacionales</w:t>
            </w:r>
          </w:p>
        </w:tc>
      </w:tr>
    </w:tbl>
    <w:p w:rsidR="00E2336B" w:rsidRDefault="00E2336B" w:rsidP="00E25099">
      <w:pPr>
        <w:pStyle w:val="Ttulo2"/>
        <w:pBdr>
          <w:bottom w:val="single" w:sz="4" w:space="0" w:color="auto"/>
        </w:pBdr>
        <w:tabs>
          <w:tab w:val="clear" w:pos="643"/>
        </w:tabs>
        <w:ind w:left="0" w:firstLine="0"/>
        <w:rPr>
          <w:rFonts w:ascii="MinionPro-Regular" w:hAnsi="MinionPro-Regular"/>
          <w:lang w:val="es-ES_tradnl"/>
        </w:rPr>
      </w:pPr>
    </w:p>
    <w:p w:rsidR="00E2336B" w:rsidRDefault="00E2336B" w:rsidP="0007541A">
      <w:pPr>
        <w:pStyle w:val="Ttulo2"/>
        <w:numPr>
          <w:ilvl w:val="1"/>
          <w:numId w:val="3"/>
        </w:numPr>
        <w:ind w:left="0"/>
        <w:rPr>
          <w:rFonts w:ascii="MinionPro-Regular" w:hAnsi="MinionPro-Regular"/>
          <w:sz w:val="20"/>
          <w:szCs w:val="24"/>
          <w:lang w:val="es-ES_tradnl"/>
        </w:rPr>
      </w:pPr>
      <w:bookmarkStart w:id="462" w:name="_Toc352773602"/>
      <w:r w:rsidRPr="00816C05">
        <w:rPr>
          <w:rFonts w:ascii="MinionPro-Regular" w:hAnsi="MinionPro-Regular"/>
          <w:lang w:val="es-ES_tradnl"/>
        </w:rPr>
        <w:t xml:space="preserve">Estimación </w:t>
      </w:r>
      <w:r>
        <w:rPr>
          <w:rFonts w:ascii="MinionPro-Regular" w:hAnsi="MinionPro-Regular"/>
          <w:lang w:val="es-ES_tradnl"/>
        </w:rPr>
        <w:t xml:space="preserve">a </w:t>
      </w:r>
      <w:r w:rsidRPr="00816C05">
        <w:rPr>
          <w:rFonts w:ascii="MinionPro-Regular" w:hAnsi="MinionPro-Regular"/>
          <w:lang w:val="es-ES_tradnl"/>
        </w:rPr>
        <w:t>2020 de las ayudas de la administración pública que implican salida de efectivo</w:t>
      </w:r>
      <w:bookmarkEnd w:id="462"/>
    </w:p>
    <w:p w:rsidR="00E2336B" w:rsidRDefault="00E2336B" w:rsidP="001D2EFC">
      <w:pPr>
        <w:autoSpaceDE w:val="0"/>
        <w:autoSpaceDN w:val="0"/>
        <w:spacing w:line="360" w:lineRule="auto"/>
        <w:jc w:val="both"/>
        <w:rPr>
          <w:rFonts w:ascii="MinionPro-Regular" w:hAnsi="MinionPro-Regular"/>
          <w:sz w:val="24"/>
          <w:szCs w:val="24"/>
          <w:lang w:val="es-ES_tradnl"/>
        </w:rPr>
      </w:pPr>
    </w:p>
    <w:p w:rsidR="00E2336B" w:rsidRDefault="00E2336B" w:rsidP="001E0871">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lastRenderedPageBreak/>
        <w:t xml:space="preserve">La estimación de las ayudas a 2020, tiene en cuenta un incremento alineado con el del Índice de Precios al Consumo y un aumento de las personas ocupadas en centros especiales de empleo que permita el cumplimiento de la estrategia europea. </w:t>
      </w:r>
    </w:p>
    <w:p w:rsidR="001E0871" w:rsidRDefault="001E0871" w:rsidP="001E0871">
      <w:pPr>
        <w:autoSpaceDE w:val="0"/>
        <w:autoSpaceDN w:val="0"/>
        <w:spacing w:line="360" w:lineRule="auto"/>
        <w:jc w:val="both"/>
        <w:rPr>
          <w:rFonts w:ascii="MinionPro-Regular" w:hAnsi="MinionPro-Regular"/>
          <w:sz w:val="24"/>
          <w:szCs w:val="24"/>
          <w:lang w:val="es-ES_tradnl"/>
        </w:rPr>
      </w:pPr>
    </w:p>
    <w:p w:rsidR="001E0871" w:rsidRDefault="001E0871" w:rsidP="001E0871">
      <w:pPr>
        <w:autoSpaceDE w:val="0"/>
        <w:autoSpaceDN w:val="0"/>
        <w:spacing w:line="360" w:lineRule="auto"/>
        <w:jc w:val="both"/>
        <w:rPr>
          <w:rFonts w:ascii="MinionPro-Regular" w:hAnsi="MinionPro-Regular"/>
          <w:sz w:val="24"/>
          <w:szCs w:val="24"/>
          <w:lang w:val="es-ES_tradnl"/>
        </w:rPr>
      </w:pPr>
    </w:p>
    <w:p w:rsidR="001E0871" w:rsidRPr="001E0871" w:rsidRDefault="001E0871" w:rsidP="001E0871">
      <w:pPr>
        <w:autoSpaceDE w:val="0"/>
        <w:autoSpaceDN w:val="0"/>
        <w:spacing w:line="360" w:lineRule="auto"/>
        <w:jc w:val="both"/>
        <w:rPr>
          <w:rFonts w:ascii="MinionPro-Regular" w:hAnsi="MinionPro-Regular"/>
          <w:sz w:val="24"/>
          <w:szCs w:val="24"/>
          <w:lang w:val="es-ES_tradnl"/>
        </w:rPr>
      </w:pPr>
    </w:p>
    <w:p w:rsidR="00E2336B" w:rsidRPr="00A564D5" w:rsidRDefault="00E2336B" w:rsidP="0007541A">
      <w:pPr>
        <w:pStyle w:val="Ttulo2"/>
        <w:numPr>
          <w:ilvl w:val="1"/>
          <w:numId w:val="3"/>
        </w:numPr>
        <w:ind w:left="0"/>
        <w:rPr>
          <w:sz w:val="20"/>
          <w:szCs w:val="24"/>
          <w:lang w:val="es-ES_tradnl"/>
        </w:rPr>
      </w:pPr>
      <w:bookmarkStart w:id="463" w:name="_Toc352773603"/>
      <w:r>
        <w:rPr>
          <w:lang w:val="es-ES_tradnl"/>
        </w:rPr>
        <w:t>Estimación a 2020 de las a</w:t>
      </w:r>
      <w:r w:rsidRPr="00A60A5D">
        <w:rPr>
          <w:lang w:val="es-ES_tradnl"/>
        </w:rPr>
        <w:t>yudas de la administración pública que no implican salida de efectivo</w:t>
      </w:r>
      <w:bookmarkEnd w:id="463"/>
    </w:p>
    <w:p w:rsidR="00E2336B" w:rsidRDefault="00E2336B" w:rsidP="001D2EFC">
      <w:pPr>
        <w:autoSpaceDE w:val="0"/>
        <w:autoSpaceDN w:val="0"/>
        <w:spacing w:line="360" w:lineRule="auto"/>
        <w:jc w:val="both"/>
        <w:rPr>
          <w:rFonts w:ascii="MinionPro-Regular" w:hAnsi="MinionPro-Regular"/>
          <w:sz w:val="24"/>
          <w:szCs w:val="24"/>
          <w:lang w:val="es-ES_tradnl"/>
        </w:rPr>
      </w:pPr>
    </w:p>
    <w:p w:rsidR="00E2336B" w:rsidRDefault="00E2336B" w:rsidP="001D2EFC">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 xml:space="preserve">Se </w:t>
      </w:r>
      <w:r w:rsidRPr="008C67FC">
        <w:rPr>
          <w:rFonts w:ascii="MinionPro-Regular" w:hAnsi="MinionPro-Regular"/>
          <w:sz w:val="24"/>
          <w:szCs w:val="24"/>
          <w:lang w:val="es-ES_tradnl"/>
        </w:rPr>
        <w:t xml:space="preserve">considera ayuda pública que </w:t>
      </w:r>
      <w:r>
        <w:rPr>
          <w:rFonts w:ascii="MinionPro-Regular" w:hAnsi="MinionPro-Regular"/>
          <w:sz w:val="24"/>
          <w:szCs w:val="24"/>
          <w:lang w:val="es-ES_tradnl"/>
        </w:rPr>
        <w:t>no supone</w:t>
      </w:r>
      <w:r w:rsidRPr="008C67FC">
        <w:rPr>
          <w:rFonts w:ascii="MinionPro-Regular" w:hAnsi="MinionPro-Regular"/>
          <w:sz w:val="24"/>
          <w:szCs w:val="24"/>
          <w:lang w:val="es-ES_tradnl"/>
        </w:rPr>
        <w:t xml:space="preserve"> </w:t>
      </w:r>
      <w:r>
        <w:rPr>
          <w:rFonts w:ascii="MinionPro-Regular" w:hAnsi="MinionPro-Regular"/>
          <w:sz w:val="24"/>
          <w:szCs w:val="24"/>
          <w:lang w:val="es-ES_tradnl"/>
        </w:rPr>
        <w:t xml:space="preserve">una </w:t>
      </w:r>
      <w:r w:rsidRPr="008C67FC">
        <w:rPr>
          <w:rFonts w:ascii="MinionPro-Regular" w:hAnsi="MinionPro-Regular"/>
          <w:sz w:val="24"/>
          <w:szCs w:val="24"/>
          <w:lang w:val="es-ES_tradnl"/>
        </w:rPr>
        <w:t xml:space="preserve">salida de efectivo a la bonificación del 100% de la cuota empresarial a la seguridad social para las personas con discapacidad que trabajan en </w:t>
      </w:r>
      <w:r>
        <w:rPr>
          <w:rFonts w:ascii="MinionPro-Regular" w:hAnsi="MinionPro-Regular"/>
          <w:sz w:val="24"/>
          <w:szCs w:val="24"/>
          <w:lang w:val="es-ES_tradnl"/>
        </w:rPr>
        <w:t>los</w:t>
      </w:r>
      <w:r w:rsidRPr="008C67FC">
        <w:rPr>
          <w:rFonts w:ascii="MinionPro-Regular" w:hAnsi="MinionPro-Regular"/>
          <w:sz w:val="24"/>
          <w:szCs w:val="24"/>
          <w:lang w:val="es-ES_tradnl"/>
        </w:rPr>
        <w:t xml:space="preserve"> </w:t>
      </w:r>
      <w:r>
        <w:rPr>
          <w:rFonts w:ascii="MinionPro-Regular" w:hAnsi="MinionPro-Regular"/>
          <w:sz w:val="24"/>
          <w:szCs w:val="24"/>
          <w:lang w:val="es-ES_tradnl"/>
        </w:rPr>
        <w:t>centros especiales de empleo</w:t>
      </w:r>
      <w:r w:rsidRPr="008C67FC">
        <w:rPr>
          <w:rFonts w:ascii="MinionPro-Regular" w:hAnsi="MinionPro-Regular"/>
          <w:sz w:val="24"/>
          <w:szCs w:val="24"/>
          <w:lang w:val="es-ES_tradnl"/>
        </w:rPr>
        <w:t>.</w:t>
      </w:r>
    </w:p>
    <w:p w:rsidR="003E019F" w:rsidRDefault="003E019F" w:rsidP="001D2EFC">
      <w:pPr>
        <w:autoSpaceDE w:val="0"/>
        <w:autoSpaceDN w:val="0"/>
        <w:spacing w:line="360" w:lineRule="auto"/>
        <w:jc w:val="both"/>
        <w:rPr>
          <w:rFonts w:ascii="MinionPro-Regular" w:hAnsi="MinionPro-Regular"/>
          <w:sz w:val="24"/>
          <w:szCs w:val="24"/>
          <w:lang w:val="es-ES_tradnl"/>
        </w:rPr>
      </w:pPr>
    </w:p>
    <w:p w:rsidR="00E2336B" w:rsidRDefault="00E2336B" w:rsidP="0007541A">
      <w:pPr>
        <w:pStyle w:val="Ttulo2"/>
        <w:numPr>
          <w:ilvl w:val="1"/>
          <w:numId w:val="3"/>
        </w:numPr>
        <w:ind w:left="0"/>
        <w:rPr>
          <w:lang w:val="es-ES_tradnl"/>
        </w:rPr>
      </w:pPr>
      <w:bookmarkStart w:id="464" w:name="_Toc352773604"/>
      <w:r w:rsidRPr="00A60A5D">
        <w:rPr>
          <w:lang w:val="es-ES_tradnl"/>
        </w:rPr>
        <w:t>Retornos</w:t>
      </w:r>
      <w:r>
        <w:rPr>
          <w:lang w:val="es-ES_tradnl"/>
        </w:rPr>
        <w:t xml:space="preserve"> a</w:t>
      </w:r>
      <w:r w:rsidRPr="00A60A5D">
        <w:rPr>
          <w:lang w:val="es-ES_tradnl"/>
        </w:rPr>
        <w:t xml:space="preserve"> </w:t>
      </w:r>
      <w:r>
        <w:rPr>
          <w:lang w:val="es-ES_tradnl"/>
        </w:rPr>
        <w:t xml:space="preserve">2020 </w:t>
      </w:r>
      <w:r w:rsidRPr="00A60A5D">
        <w:rPr>
          <w:lang w:val="es-ES_tradnl"/>
        </w:rPr>
        <w:t>de los centros especiales de empleo que implican salida de efectivo hacia las arcas públicas</w:t>
      </w:r>
      <w:r>
        <w:rPr>
          <w:lang w:val="es-ES_tradnl"/>
        </w:rPr>
        <w:t>, en función de los escenarios</w:t>
      </w:r>
      <w:bookmarkEnd w:id="464"/>
    </w:p>
    <w:p w:rsidR="00E2336B" w:rsidRPr="001B6439" w:rsidRDefault="00E2336B" w:rsidP="001D2EFC">
      <w:pPr>
        <w:pStyle w:val="Textoindependiente"/>
        <w:rPr>
          <w:lang w:val="es-ES_tradnl"/>
        </w:rPr>
      </w:pPr>
    </w:p>
    <w:p w:rsidR="00E2336B" w:rsidRDefault="00E2336B" w:rsidP="001D2EFC">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 xml:space="preserve">Siguiendo la metodología utilizada anteriormente, se consideran los retornos a la administración pública en función de los tres escenarios de convergencia salarial descritos.  </w:t>
      </w:r>
    </w:p>
    <w:p w:rsidR="00E2336B" w:rsidRDefault="00E2336B" w:rsidP="001D2EFC">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 xml:space="preserve">En 2020 los retornos de los centros especiales de empleo continuarán siendo mayores que las ayudas percibidas. Lógicamente, el diferencial entre lo recibido y lo pagado será mayor cuanto mayor sea la convergencia salarial entre las personas con y sin discapacidad. </w:t>
      </w:r>
    </w:p>
    <w:p w:rsidR="00E2336B" w:rsidRDefault="00E2336B" w:rsidP="001D2EFC">
      <w:pPr>
        <w:autoSpaceDE w:val="0"/>
        <w:autoSpaceDN w:val="0"/>
        <w:spacing w:line="360" w:lineRule="auto"/>
        <w:jc w:val="both"/>
        <w:rPr>
          <w:rFonts w:ascii="MinionPro-Regular" w:hAnsi="MinionPro-Regular"/>
          <w:sz w:val="24"/>
          <w:szCs w:val="24"/>
          <w:lang w:val="es-ES_tradnl"/>
        </w:rPr>
      </w:pPr>
    </w:p>
    <w:p w:rsidR="00E2336B" w:rsidRDefault="00E2336B" w:rsidP="001D2EFC">
      <w:pPr>
        <w:pBdr>
          <w:top w:val="single" w:sz="4" w:space="1" w:color="auto"/>
        </w:pBdr>
        <w:autoSpaceDE w:val="0"/>
        <w:autoSpaceDN w:val="0"/>
        <w:spacing w:line="360" w:lineRule="auto"/>
        <w:jc w:val="both"/>
        <w:rPr>
          <w:rFonts w:ascii="MinionPro-Regular" w:hAnsi="MinionPro-Regular"/>
          <w:sz w:val="24"/>
          <w:szCs w:val="24"/>
          <w:lang w:val="es-ES_tradnl"/>
        </w:rPr>
      </w:pPr>
    </w:p>
    <w:tbl>
      <w:tblPr>
        <w:tblW w:w="0" w:type="auto"/>
        <w:tblBorders>
          <w:bottom w:val="single" w:sz="12" w:space="0" w:color="409DAD"/>
        </w:tblBorders>
        <w:tblCellMar>
          <w:top w:w="28" w:type="dxa"/>
          <w:left w:w="28" w:type="dxa"/>
          <w:bottom w:w="28" w:type="dxa"/>
          <w:right w:w="28" w:type="dxa"/>
        </w:tblCellMar>
        <w:tblLook w:val="00A0"/>
      </w:tblPr>
      <w:tblGrid>
        <w:gridCol w:w="2394"/>
        <w:gridCol w:w="2409"/>
        <w:gridCol w:w="3102"/>
      </w:tblGrid>
      <w:tr w:rsidR="00E2336B" w:rsidRPr="0040771D" w:rsidTr="00A62C1C">
        <w:tc>
          <w:tcPr>
            <w:tcW w:w="7905" w:type="dxa"/>
            <w:gridSpan w:val="3"/>
            <w:shd w:val="clear" w:color="auto" w:fill="409DAD"/>
            <w:vAlign w:val="center"/>
          </w:tcPr>
          <w:p w:rsidR="00E2336B" w:rsidRPr="00A62C1C" w:rsidRDefault="00E2336B" w:rsidP="00A62C1C">
            <w:pPr>
              <w:spacing w:line="180" w:lineRule="atLeast"/>
              <w:jc w:val="center"/>
              <w:rPr>
                <w:rFonts w:ascii="MinionPro-Regular" w:hAnsi="MinionPro-Regular"/>
                <w:color w:val="FFFFFF"/>
                <w:szCs w:val="24"/>
                <w:lang w:val="es-ES_tradnl"/>
              </w:rPr>
            </w:pPr>
            <w:r w:rsidRPr="00A62C1C">
              <w:rPr>
                <w:rFonts w:ascii="MinionPro-Regular" w:hAnsi="MinionPro-Regular"/>
                <w:color w:val="FFFFFF"/>
                <w:szCs w:val="24"/>
                <w:lang w:val="es-ES_tradnl"/>
              </w:rPr>
              <w:lastRenderedPageBreak/>
              <w:t>Retorno de ayudas que implican salida de efectivo</w:t>
            </w:r>
          </w:p>
        </w:tc>
      </w:tr>
      <w:tr w:rsidR="00E2336B" w:rsidRPr="0040771D" w:rsidTr="00A62C1C">
        <w:tc>
          <w:tcPr>
            <w:tcW w:w="2394" w:type="dxa"/>
            <w:vAlign w:val="center"/>
          </w:tcPr>
          <w:p w:rsidR="00E2336B" w:rsidRPr="00A62C1C" w:rsidRDefault="00E2336B" w:rsidP="00A62C1C">
            <w:pPr>
              <w:spacing w:line="180" w:lineRule="atLeast"/>
              <w:jc w:val="center"/>
              <w:rPr>
                <w:rFonts w:ascii="MinionPro-Regular" w:hAnsi="MinionPro-Regular"/>
                <w:b/>
                <w:szCs w:val="24"/>
                <w:lang w:val="es-ES_tradnl"/>
              </w:rPr>
            </w:pPr>
            <w:r w:rsidRPr="00A62C1C">
              <w:rPr>
                <w:rFonts w:ascii="MinionPro-Regular" w:hAnsi="MinionPro-Regular"/>
                <w:b/>
                <w:szCs w:val="24"/>
                <w:lang w:val="es-ES_tradnl"/>
              </w:rPr>
              <w:t>2011</w:t>
            </w:r>
          </w:p>
        </w:tc>
        <w:tc>
          <w:tcPr>
            <w:tcW w:w="5511" w:type="dxa"/>
            <w:gridSpan w:val="2"/>
            <w:vAlign w:val="center"/>
          </w:tcPr>
          <w:p w:rsidR="00E2336B" w:rsidRPr="00A62C1C" w:rsidRDefault="00E2336B" w:rsidP="00A62C1C">
            <w:pPr>
              <w:spacing w:line="180" w:lineRule="atLeast"/>
              <w:jc w:val="center"/>
              <w:rPr>
                <w:rFonts w:ascii="MinionPro-Regular" w:hAnsi="MinionPro-Regular"/>
                <w:b/>
                <w:szCs w:val="24"/>
                <w:lang w:val="es-ES_tradnl"/>
              </w:rPr>
            </w:pPr>
            <w:r w:rsidRPr="00A62C1C">
              <w:rPr>
                <w:rFonts w:ascii="MinionPro-Regular" w:hAnsi="MinionPro-Regular"/>
                <w:b/>
                <w:szCs w:val="24"/>
                <w:lang w:val="es-ES_tradnl"/>
              </w:rPr>
              <w:t>2020</w:t>
            </w:r>
          </w:p>
        </w:tc>
      </w:tr>
      <w:tr w:rsidR="00E2336B" w:rsidRPr="0040771D" w:rsidTr="00A62C1C">
        <w:tc>
          <w:tcPr>
            <w:tcW w:w="2394" w:type="dxa"/>
            <w:vAlign w:val="center"/>
          </w:tcPr>
          <w:p w:rsidR="00E2336B" w:rsidRPr="00A62C1C" w:rsidRDefault="00E2336B" w:rsidP="00A62C1C">
            <w:pPr>
              <w:jc w:val="center"/>
              <w:rPr>
                <w:rFonts w:ascii="MinionPro-Regular" w:hAnsi="MinionPro-Regular"/>
                <w:szCs w:val="24"/>
                <w:lang w:val="es-ES_tradnl"/>
              </w:rPr>
            </w:pPr>
            <w:r w:rsidRPr="00A62C1C">
              <w:rPr>
                <w:rFonts w:ascii="MinionPro-Regular" w:hAnsi="MinionPro-Regular"/>
                <w:szCs w:val="24"/>
                <w:lang w:val="es-ES_tradnl"/>
              </w:rPr>
              <w:t>142%</w:t>
            </w:r>
          </w:p>
        </w:tc>
        <w:tc>
          <w:tcPr>
            <w:tcW w:w="2409" w:type="dxa"/>
            <w:vAlign w:val="center"/>
          </w:tcPr>
          <w:p w:rsidR="00E2336B" w:rsidRPr="00A62C1C" w:rsidRDefault="00E2336B" w:rsidP="00B0480F">
            <w:pPr>
              <w:jc w:val="center"/>
              <w:rPr>
                <w:rFonts w:ascii="MinionPro-Regular" w:hAnsi="MinionPro-Regular"/>
                <w:szCs w:val="24"/>
                <w:lang w:val="es-ES_tradnl"/>
              </w:rPr>
            </w:pPr>
            <w:r w:rsidRPr="00A62C1C">
              <w:rPr>
                <w:rFonts w:ascii="MinionPro-Regular" w:hAnsi="MinionPro-Regular"/>
                <w:szCs w:val="24"/>
                <w:lang w:val="es-ES_tradnl"/>
              </w:rPr>
              <w:t>17</w:t>
            </w:r>
            <w:r w:rsidR="00B0480F">
              <w:rPr>
                <w:rFonts w:ascii="MinionPro-Regular" w:hAnsi="MinionPro-Regular"/>
                <w:szCs w:val="24"/>
                <w:lang w:val="es-ES_tradnl"/>
              </w:rPr>
              <w:t>6</w:t>
            </w:r>
            <w:r w:rsidRPr="00A62C1C">
              <w:rPr>
                <w:rFonts w:ascii="MinionPro-Regular" w:hAnsi="MinionPro-Regular"/>
                <w:szCs w:val="24"/>
                <w:lang w:val="es-ES_tradnl"/>
              </w:rPr>
              <w:t>%</w:t>
            </w:r>
          </w:p>
        </w:tc>
        <w:tc>
          <w:tcPr>
            <w:tcW w:w="3102" w:type="dxa"/>
            <w:vAlign w:val="center"/>
          </w:tcPr>
          <w:p w:rsidR="00E2336B" w:rsidRPr="00A62C1C" w:rsidRDefault="00E2336B" w:rsidP="00A62C1C">
            <w:pPr>
              <w:spacing w:line="180" w:lineRule="atLeast"/>
              <w:rPr>
                <w:rFonts w:ascii="MinionPro-Regular" w:hAnsi="MinionPro-Regular"/>
                <w:szCs w:val="24"/>
                <w:lang w:val="es-ES_tradnl"/>
              </w:rPr>
            </w:pPr>
            <w:r w:rsidRPr="00A62C1C">
              <w:rPr>
                <w:rFonts w:ascii="MinionPro-Regular" w:hAnsi="MinionPro-Regular"/>
                <w:szCs w:val="24"/>
                <w:lang w:val="es-ES_tradnl"/>
              </w:rPr>
              <w:t>Escenario 1 - tendencia actual</w:t>
            </w:r>
          </w:p>
        </w:tc>
      </w:tr>
      <w:tr w:rsidR="00E2336B" w:rsidRPr="0040771D" w:rsidTr="00A62C1C">
        <w:tc>
          <w:tcPr>
            <w:tcW w:w="2394" w:type="dxa"/>
            <w:vAlign w:val="center"/>
          </w:tcPr>
          <w:p w:rsidR="00E2336B" w:rsidRPr="00A62C1C" w:rsidRDefault="00E2336B" w:rsidP="00A62C1C">
            <w:pPr>
              <w:jc w:val="center"/>
              <w:rPr>
                <w:rFonts w:ascii="MinionPro-Regular" w:hAnsi="MinionPro-Regular"/>
                <w:szCs w:val="24"/>
                <w:lang w:val="es-ES_tradnl"/>
              </w:rPr>
            </w:pPr>
            <w:r w:rsidRPr="00A62C1C">
              <w:rPr>
                <w:rFonts w:ascii="MinionPro-Regular" w:hAnsi="MinionPro-Regular"/>
                <w:szCs w:val="24"/>
                <w:lang w:val="es-ES_tradnl"/>
              </w:rPr>
              <w:t>142%</w:t>
            </w:r>
          </w:p>
        </w:tc>
        <w:tc>
          <w:tcPr>
            <w:tcW w:w="2409" w:type="dxa"/>
            <w:vAlign w:val="center"/>
          </w:tcPr>
          <w:p w:rsidR="00E2336B" w:rsidRPr="00C64718" w:rsidRDefault="00E2336B" w:rsidP="00B0480F">
            <w:pPr>
              <w:jc w:val="center"/>
              <w:rPr>
                <w:rFonts w:ascii="MinionPro-Regular" w:hAnsi="MinionPro-Regular"/>
                <w:szCs w:val="24"/>
                <w:lang w:val="es-ES_tradnl"/>
              </w:rPr>
            </w:pPr>
            <w:r w:rsidRPr="00C64718">
              <w:rPr>
                <w:rFonts w:ascii="MinionPro-Regular" w:hAnsi="MinionPro-Regular"/>
                <w:szCs w:val="24"/>
                <w:lang w:val="es-ES_tradnl"/>
              </w:rPr>
              <w:t>1</w:t>
            </w:r>
            <w:r w:rsidR="00B0480F">
              <w:rPr>
                <w:rFonts w:ascii="MinionPro-Regular" w:hAnsi="MinionPro-Regular"/>
                <w:szCs w:val="24"/>
                <w:lang w:val="es-ES_tradnl"/>
              </w:rPr>
              <w:t>89</w:t>
            </w:r>
            <w:r w:rsidRPr="00C64718">
              <w:rPr>
                <w:rFonts w:ascii="MinionPro-Regular" w:hAnsi="MinionPro-Regular"/>
                <w:szCs w:val="24"/>
                <w:lang w:val="es-ES_tradnl"/>
              </w:rPr>
              <w:t>%</w:t>
            </w:r>
          </w:p>
        </w:tc>
        <w:tc>
          <w:tcPr>
            <w:tcW w:w="3102" w:type="dxa"/>
            <w:vAlign w:val="center"/>
          </w:tcPr>
          <w:p w:rsidR="00E2336B" w:rsidRPr="00A62C1C" w:rsidRDefault="00E2336B" w:rsidP="00A62C1C">
            <w:pPr>
              <w:spacing w:line="180" w:lineRule="atLeast"/>
              <w:rPr>
                <w:rFonts w:ascii="MinionPro-Regular" w:hAnsi="MinionPro-Regular"/>
                <w:szCs w:val="24"/>
                <w:lang w:val="es-ES_tradnl"/>
              </w:rPr>
            </w:pPr>
            <w:r w:rsidRPr="00A62C1C">
              <w:rPr>
                <w:rFonts w:ascii="MinionPro-Regular" w:hAnsi="MinionPro-Regular"/>
                <w:szCs w:val="24"/>
                <w:lang w:val="es-ES_tradnl"/>
              </w:rPr>
              <w:t>Escenario 2 - moderado</w:t>
            </w:r>
          </w:p>
        </w:tc>
      </w:tr>
      <w:tr w:rsidR="00E2336B" w:rsidRPr="0040771D" w:rsidTr="00A62C1C">
        <w:tc>
          <w:tcPr>
            <w:tcW w:w="2394" w:type="dxa"/>
            <w:tcBorders>
              <w:bottom w:val="single" w:sz="12" w:space="0" w:color="409DAD"/>
            </w:tcBorders>
            <w:vAlign w:val="center"/>
          </w:tcPr>
          <w:p w:rsidR="00E2336B" w:rsidRPr="00A62C1C" w:rsidRDefault="00E2336B" w:rsidP="00A62C1C">
            <w:pPr>
              <w:jc w:val="center"/>
              <w:rPr>
                <w:rFonts w:ascii="MinionPro-Regular" w:hAnsi="MinionPro-Regular"/>
                <w:szCs w:val="24"/>
                <w:lang w:val="es-ES_tradnl"/>
              </w:rPr>
            </w:pPr>
            <w:r w:rsidRPr="00A62C1C">
              <w:rPr>
                <w:rFonts w:ascii="MinionPro-Regular" w:hAnsi="MinionPro-Regular"/>
                <w:szCs w:val="24"/>
                <w:lang w:val="es-ES_tradnl"/>
              </w:rPr>
              <w:t>142%</w:t>
            </w:r>
          </w:p>
        </w:tc>
        <w:tc>
          <w:tcPr>
            <w:tcW w:w="2409" w:type="dxa"/>
            <w:tcBorders>
              <w:bottom w:val="single" w:sz="12" w:space="0" w:color="409DAD"/>
            </w:tcBorders>
            <w:vAlign w:val="center"/>
          </w:tcPr>
          <w:p w:rsidR="00E2336B" w:rsidRPr="00C64718" w:rsidRDefault="00E2336B" w:rsidP="00B0480F">
            <w:pPr>
              <w:jc w:val="center"/>
              <w:rPr>
                <w:rFonts w:ascii="MinionPro-Regular" w:hAnsi="MinionPro-Regular"/>
                <w:szCs w:val="24"/>
                <w:lang w:val="es-ES_tradnl"/>
              </w:rPr>
            </w:pPr>
            <w:r w:rsidRPr="00C64718">
              <w:rPr>
                <w:rFonts w:ascii="MinionPro-Regular" w:hAnsi="MinionPro-Regular"/>
                <w:szCs w:val="24"/>
                <w:lang w:val="es-ES_tradnl"/>
              </w:rPr>
              <w:t>20</w:t>
            </w:r>
            <w:r w:rsidR="00B0480F">
              <w:rPr>
                <w:rFonts w:ascii="MinionPro-Regular" w:hAnsi="MinionPro-Regular"/>
                <w:szCs w:val="24"/>
                <w:lang w:val="es-ES_tradnl"/>
              </w:rPr>
              <w:t>2</w:t>
            </w:r>
            <w:r w:rsidRPr="00C64718">
              <w:rPr>
                <w:rFonts w:ascii="MinionPro-Regular" w:hAnsi="MinionPro-Regular"/>
                <w:szCs w:val="24"/>
                <w:lang w:val="es-ES_tradnl"/>
              </w:rPr>
              <w:t>%</w:t>
            </w:r>
          </w:p>
        </w:tc>
        <w:tc>
          <w:tcPr>
            <w:tcW w:w="3102" w:type="dxa"/>
            <w:tcBorders>
              <w:bottom w:val="single" w:sz="12" w:space="0" w:color="409DAD"/>
            </w:tcBorders>
            <w:vAlign w:val="center"/>
          </w:tcPr>
          <w:p w:rsidR="00E2336B" w:rsidRPr="00A62C1C" w:rsidRDefault="00E2336B" w:rsidP="00A62C1C">
            <w:pPr>
              <w:spacing w:line="180" w:lineRule="atLeast"/>
              <w:rPr>
                <w:rFonts w:ascii="MinionPro-Regular" w:hAnsi="MinionPro-Regular"/>
                <w:szCs w:val="24"/>
                <w:lang w:val="es-ES_tradnl"/>
              </w:rPr>
            </w:pPr>
            <w:r w:rsidRPr="00A62C1C">
              <w:rPr>
                <w:rFonts w:ascii="MinionPro-Regular" w:hAnsi="MinionPro-Regular"/>
                <w:szCs w:val="24"/>
                <w:lang w:val="es-ES_tradnl"/>
              </w:rPr>
              <w:t>Escenario 3 - convergencia total</w:t>
            </w:r>
          </w:p>
        </w:tc>
      </w:tr>
    </w:tbl>
    <w:p w:rsidR="00E2336B" w:rsidRPr="0040771D" w:rsidRDefault="00E2336B" w:rsidP="001D2EFC">
      <w:pPr>
        <w:pBdr>
          <w:bottom w:val="single" w:sz="4" w:space="1" w:color="auto"/>
        </w:pBdr>
        <w:rPr>
          <w:rFonts w:ascii="MinionPro-Regular" w:hAnsi="MinionPro-Regular"/>
          <w:sz w:val="24"/>
          <w:szCs w:val="24"/>
          <w:lang w:val="es-ES_tradnl"/>
        </w:rPr>
      </w:pPr>
      <w:r w:rsidRPr="0040771D">
        <w:rPr>
          <w:rFonts w:ascii="MinionPro-Regular" w:hAnsi="MinionPro-Regular"/>
          <w:sz w:val="20"/>
          <w:szCs w:val="24"/>
          <w:lang w:val="es-ES_tradnl"/>
        </w:rPr>
        <w:t>Fuente: Elaboración propia</w:t>
      </w:r>
    </w:p>
    <w:p w:rsidR="00E2336B" w:rsidRDefault="00E2336B" w:rsidP="001D2EFC">
      <w:pPr>
        <w:rPr>
          <w:rFonts w:ascii="MinionPro-Regular" w:hAnsi="MinionPro-Regular"/>
          <w:sz w:val="24"/>
          <w:szCs w:val="24"/>
          <w:highlight w:val="cyan"/>
          <w:lang w:val="es-ES_tradnl"/>
        </w:rPr>
      </w:pPr>
    </w:p>
    <w:p w:rsidR="00B0480F" w:rsidRDefault="00E2336B" w:rsidP="001E0871">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Con el fin de mostrar los resultados de una forma comprensible, a continuación se muestran gráficamente los retornos y las ayudas para 2011 y para 2020 para cada uno de los escenarios considerados.</w:t>
      </w:r>
    </w:p>
    <w:p w:rsidR="001E0871" w:rsidRPr="001E0871" w:rsidRDefault="001E0871" w:rsidP="001E0871">
      <w:pPr>
        <w:autoSpaceDE w:val="0"/>
        <w:autoSpaceDN w:val="0"/>
        <w:spacing w:line="360" w:lineRule="auto"/>
        <w:jc w:val="both"/>
        <w:rPr>
          <w:rFonts w:ascii="MinionPro-Regular" w:hAnsi="MinionPro-Regular"/>
          <w:sz w:val="24"/>
          <w:szCs w:val="24"/>
          <w:lang w:val="es-ES_tradnl"/>
        </w:rPr>
      </w:pPr>
    </w:p>
    <w:p w:rsidR="003E019F" w:rsidRDefault="003E019F" w:rsidP="001D2EFC">
      <w:pPr>
        <w:rPr>
          <w:rFonts w:ascii="MinionPro-Regular" w:hAnsi="MinionPro-Regular"/>
          <w:sz w:val="24"/>
          <w:szCs w:val="24"/>
          <w:highlight w:val="cyan"/>
          <w:lang w:val="es-ES_tradnl"/>
        </w:rPr>
      </w:pPr>
    </w:p>
    <w:p w:rsidR="00E2336B" w:rsidRDefault="00E2336B" w:rsidP="00891BAF">
      <w:pPr>
        <w:pBdr>
          <w:top w:val="single" w:sz="4" w:space="1" w:color="auto"/>
        </w:pBdr>
        <w:autoSpaceDE w:val="0"/>
        <w:autoSpaceDN w:val="0"/>
        <w:spacing w:line="360" w:lineRule="auto"/>
        <w:jc w:val="both"/>
        <w:rPr>
          <w:rFonts w:ascii="MinionPro-Regular" w:hAnsi="MinionPro-Regular"/>
          <w:sz w:val="20"/>
          <w:szCs w:val="24"/>
          <w:lang w:val="es-ES_tradnl"/>
        </w:rPr>
      </w:pPr>
      <w:r w:rsidRPr="00213730">
        <w:rPr>
          <w:rFonts w:ascii="MinionPro-Regular" w:hAnsi="MinionPro-Regular"/>
          <w:sz w:val="20"/>
          <w:lang w:val="es-ES_tradnl"/>
        </w:rPr>
        <w:t>Escenario 1. Estimación</w:t>
      </w:r>
      <w:r w:rsidRPr="00E86575">
        <w:rPr>
          <w:rFonts w:ascii="MinionPro-Regular" w:hAnsi="MinionPro-Regular"/>
          <w:sz w:val="20"/>
          <w:szCs w:val="24"/>
          <w:lang w:val="es-ES_tradnl"/>
        </w:rPr>
        <w:t xml:space="preserve"> total de los retornos de los centros especiales de empleo que implican salida de efectivo hacia las arcas públicas frente al total de las ayudas que también implican una salida de efectivo</w:t>
      </w:r>
      <w:r>
        <w:rPr>
          <w:rFonts w:ascii="MinionPro-Regular" w:hAnsi="MinionPro-Regular"/>
          <w:sz w:val="20"/>
          <w:szCs w:val="24"/>
          <w:lang w:val="es-ES_tradnl"/>
        </w:rPr>
        <w:t xml:space="preserve">. </w:t>
      </w:r>
    </w:p>
    <w:p w:rsidR="00E2336B" w:rsidRPr="00E86575" w:rsidRDefault="00E1516B" w:rsidP="001D2EFC">
      <w:pPr>
        <w:pBdr>
          <w:top w:val="single" w:sz="4" w:space="1" w:color="auto"/>
        </w:pBdr>
        <w:rPr>
          <w:rFonts w:ascii="MinionPro-Regular" w:hAnsi="MinionPro-Regular"/>
          <w:sz w:val="20"/>
          <w:szCs w:val="24"/>
          <w:lang w:val="es-ES_tradnl"/>
        </w:rPr>
      </w:pPr>
      <w:r>
        <w:rPr>
          <w:rFonts w:ascii="MinionPro-Regular" w:hAnsi="MinionPro-Regular"/>
          <w:noProof/>
          <w:sz w:val="20"/>
          <w:szCs w:val="24"/>
          <w:lang w:eastAsia="es-ES"/>
        </w:rPr>
        <w:drawing>
          <wp:inline distT="0" distB="0" distL="0" distR="0">
            <wp:extent cx="5089585" cy="3485071"/>
            <wp:effectExtent l="0" t="0" r="0" b="0"/>
            <wp:docPr id="111" name="Picture 111"/>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138094" cy="6078869"/>
                      <a:chOff x="1043608" y="764704"/>
                      <a:chExt cx="8138094" cy="6078869"/>
                    </a:xfrm>
                  </a:grpSpPr>
                  <a:graphicFrame>
                    <a:nvGraphicFramePr>
                      <a:cNvPr id="4" name="Chart 3"/>
                      <a:cNvGraphicFramePr/>
                    </a:nvGraphicFramePr>
                    <a:graphic>
                      <a:graphicData uri="http://schemas.openxmlformats.org/drawingml/2006/chart">
                        <c:chart xmlns:c="http://schemas.openxmlformats.org/drawingml/2006/chart" xmlns:r="http://schemas.openxmlformats.org/officeDocument/2006/relationships" r:id="rId133"/>
                      </a:graphicData>
                    </a:graphic>
                    <a:xfrm>
                      <a:off x="1259632" y="764704"/>
                      <a:ext cx="4968552" cy="5157922"/>
                    </a:xfrm>
                  </a:graphicFrame>
                  <a:sp>
                    <a:nvSpPr>
                      <a:cNvPr id="5" name="Rectangle 4"/>
                      <a:cNvSpPr/>
                    </a:nvSpPr>
                    <a:spPr>
                      <a:xfrm>
                        <a:off x="1043608" y="908720"/>
                        <a:ext cx="1440160" cy="261610"/>
                      </a:xfrm>
                      <a:prstGeom prst="rect">
                        <a:avLst/>
                      </a:prstGeom>
                    </a:spPr>
                    <a:txSp>
                      <a:txBody>
                        <a:bodyPr wrap="square">
                          <a:spAutoFit/>
                        </a:bodyPr>
                        <a:lstStyle>
                          <a:defPPr>
                            <a:defRPr lang="es-E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s-ES" sz="1100" b="1" dirty="0" smtClean="0">
                              <a:latin typeface="MinionPro-Regular"/>
                            </a:rPr>
                            <a:t>ESCENARIO 1</a:t>
                          </a:r>
                          <a:endParaRPr lang="es-ES" sz="1100" b="1" dirty="0">
                            <a:latin typeface="MinionPro-Regular"/>
                          </a:endParaRPr>
                        </a:p>
                      </a:txBody>
                      <a:useSpRect/>
                    </a:txSp>
                  </a:sp>
                  <a:cxnSp>
                    <a:nvCxnSpPr>
                      <a:cNvPr id="7" name="Straight Connector 6"/>
                      <a:cNvCxnSpPr/>
                    </a:nvCxnSpPr>
                    <a:spPr>
                      <a:xfrm>
                        <a:off x="1547664" y="5445224"/>
                        <a:ext cx="4536504" cy="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sp>
                    <a:nvSpPr>
                      <a:cNvPr id="8" name="Rectangle 7"/>
                      <a:cNvSpPr/>
                    </a:nvSpPr>
                    <a:spPr>
                      <a:xfrm>
                        <a:off x="1763688" y="5589240"/>
                        <a:ext cx="1008112" cy="784830"/>
                      </a:xfrm>
                      <a:prstGeom prst="rect">
                        <a:avLst/>
                      </a:prstGeom>
                    </a:spPr>
                    <a:txSp>
                      <a:txBody>
                        <a:bodyPr wrap="square">
                          <a:spAutoFit/>
                        </a:bodyPr>
                        <a:lstStyle>
                          <a:defPPr>
                            <a:defRPr lang="es-E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s-ES" sz="900" dirty="0" smtClean="0">
                              <a:latin typeface="MinionPro-Regular"/>
                            </a:rPr>
                            <a:t>Estimación total de los retornos que implican salida de efectivo</a:t>
                          </a:r>
                          <a:endParaRPr lang="es-ES" sz="900" dirty="0">
                            <a:latin typeface="MinionPro-Regular"/>
                          </a:endParaRPr>
                        </a:p>
                      </a:txBody>
                      <a:useSpRect/>
                    </a:txSp>
                  </a:sp>
                  <a:sp>
                    <a:nvSpPr>
                      <a:cNvPr id="9" name="Rectangle 8"/>
                      <a:cNvSpPr/>
                    </a:nvSpPr>
                    <a:spPr>
                      <a:xfrm>
                        <a:off x="3779912" y="5589240"/>
                        <a:ext cx="1008112" cy="784830"/>
                      </a:xfrm>
                      <a:prstGeom prst="rect">
                        <a:avLst/>
                      </a:prstGeom>
                    </a:spPr>
                    <a:txSp>
                      <a:txBody>
                        <a:bodyPr wrap="square">
                          <a:spAutoFit/>
                        </a:bodyPr>
                        <a:lstStyle>
                          <a:defPPr>
                            <a:defRPr lang="es-E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s-ES" sz="900" dirty="0" smtClean="0">
                              <a:latin typeface="MinionPro-Regular"/>
                            </a:rPr>
                            <a:t>Estimación total de los retornos que implican salida de efectivo</a:t>
                          </a:r>
                          <a:endParaRPr lang="es-ES" sz="900" dirty="0">
                            <a:latin typeface="MinionPro-Regular"/>
                          </a:endParaRPr>
                        </a:p>
                      </a:txBody>
                      <a:useSpRect/>
                    </a:txSp>
                  </a:sp>
                  <a:sp>
                    <a:nvSpPr>
                      <a:cNvPr id="10" name="Rectangle 9"/>
                      <a:cNvSpPr/>
                    </a:nvSpPr>
                    <a:spPr>
                      <a:xfrm>
                        <a:off x="2699792" y="5517232"/>
                        <a:ext cx="1080120" cy="784830"/>
                      </a:xfrm>
                      <a:prstGeom prst="rect">
                        <a:avLst/>
                      </a:prstGeom>
                    </a:spPr>
                    <a:txSp>
                      <a:txBody>
                        <a:bodyPr wrap="square">
                          <a:spAutoFit/>
                        </a:bodyPr>
                        <a:lstStyle>
                          <a:defPPr>
                            <a:defRPr lang="es-E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s-ES" sz="900" dirty="0" smtClean="0">
                              <a:latin typeface="MinionPro-Regular"/>
                            </a:rPr>
                            <a:t>Ayudas de la administración pública que implican salida de caja</a:t>
                          </a:r>
                          <a:endParaRPr lang="es-ES" sz="900" dirty="0">
                            <a:latin typeface="MinionPro-Regular"/>
                          </a:endParaRPr>
                        </a:p>
                      </a:txBody>
                      <a:useSpRect/>
                    </a:txSp>
                  </a:sp>
                  <a:sp>
                    <a:nvSpPr>
                      <a:cNvPr id="11" name="Rectangle 10"/>
                      <a:cNvSpPr/>
                    </a:nvSpPr>
                    <a:spPr>
                      <a:xfrm>
                        <a:off x="4716016" y="5517232"/>
                        <a:ext cx="1080120" cy="784830"/>
                      </a:xfrm>
                      <a:prstGeom prst="rect">
                        <a:avLst/>
                      </a:prstGeom>
                    </a:spPr>
                    <a:txSp>
                      <a:txBody>
                        <a:bodyPr wrap="square">
                          <a:spAutoFit/>
                        </a:bodyPr>
                        <a:lstStyle>
                          <a:defPPr>
                            <a:defRPr lang="es-E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s-ES" sz="900" dirty="0" smtClean="0">
                              <a:latin typeface="MinionPro-Regular"/>
                            </a:rPr>
                            <a:t>Ayudas de la administración pública que implican salida de caja</a:t>
                          </a:r>
                          <a:endParaRPr lang="es-ES" sz="900" dirty="0">
                            <a:latin typeface="MinionPro-Regular"/>
                          </a:endParaRPr>
                        </a:p>
                      </a:txBody>
                      <a:useSpRect/>
                    </a:txSp>
                  </a:sp>
                  <a:cxnSp>
                    <a:nvCxnSpPr>
                      <a:cNvPr id="12" name="Straight Connector 11"/>
                      <a:cNvCxnSpPr/>
                    </a:nvCxnSpPr>
                    <a:spPr>
                      <a:xfrm flipV="1">
                        <a:off x="1691904" y="6525344"/>
                        <a:ext cx="2016000" cy="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13" name="Straight Connector 12"/>
                      <a:cNvCxnSpPr/>
                    </a:nvCxnSpPr>
                    <a:spPr>
                      <a:xfrm flipV="1">
                        <a:off x="3851920" y="6525344"/>
                        <a:ext cx="2016000" cy="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sp>
                    <a:nvSpPr>
                      <a:cNvPr id="14" name="Rectangle 13"/>
                      <a:cNvSpPr/>
                    </a:nvSpPr>
                    <a:spPr>
                      <a:xfrm>
                        <a:off x="2123728" y="6597352"/>
                        <a:ext cx="1152128" cy="246221"/>
                      </a:xfrm>
                      <a:prstGeom prst="rect">
                        <a:avLst/>
                      </a:prstGeom>
                    </a:spPr>
                    <a:txSp>
                      <a:txBody>
                        <a:bodyPr wrap="square">
                          <a:spAutoFit/>
                        </a:bodyPr>
                        <a:lstStyle>
                          <a:defPPr>
                            <a:defRPr lang="es-E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s-ES_tradnl" sz="1000" b="1" dirty="0" smtClean="0">
                              <a:latin typeface="Arial"/>
                              <a:cs typeface="Arial"/>
                            </a:rPr>
                            <a:t>2011</a:t>
                          </a:r>
                          <a:endParaRPr lang="es-ES" sz="1000" b="1" dirty="0">
                            <a:latin typeface="MinionPro-Regular"/>
                          </a:endParaRPr>
                        </a:p>
                      </a:txBody>
                      <a:useSpRect/>
                    </a:txSp>
                  </a:sp>
                  <a:sp>
                    <a:nvSpPr>
                      <a:cNvPr id="15" name="Rectangle 14"/>
                      <a:cNvSpPr/>
                    </a:nvSpPr>
                    <a:spPr>
                      <a:xfrm>
                        <a:off x="3707904" y="6597352"/>
                        <a:ext cx="2016224" cy="246221"/>
                      </a:xfrm>
                      <a:prstGeom prst="rect">
                        <a:avLst/>
                      </a:prstGeom>
                    </a:spPr>
                    <a:txSp>
                      <a:txBody>
                        <a:bodyPr wrap="square">
                          <a:spAutoFit/>
                        </a:bodyPr>
                        <a:lstStyle>
                          <a:defPPr>
                            <a:defRPr lang="es-E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s-ES_tradnl" sz="1000" b="1" dirty="0" smtClean="0">
                              <a:latin typeface="Arial"/>
                              <a:cs typeface="Arial"/>
                            </a:rPr>
                            <a:t>Proyección 2020</a:t>
                          </a:r>
                          <a:endParaRPr lang="es-ES" sz="1000" b="1" dirty="0">
                            <a:latin typeface="MinionPro-Regular"/>
                          </a:endParaRPr>
                        </a:p>
                      </a:txBody>
                      <a:useSpRect/>
                    </a:txSp>
                  </a:sp>
                  <a:sp>
                    <a:nvSpPr>
                      <a:cNvPr id="17" name="Rectangle 16"/>
                      <a:cNvSpPr/>
                    </a:nvSpPr>
                    <a:spPr>
                      <a:xfrm>
                        <a:off x="6137920" y="2636912"/>
                        <a:ext cx="1741118" cy="276999"/>
                      </a:xfrm>
                      <a:prstGeom prst="rect">
                        <a:avLst/>
                      </a:prstGeom>
                    </a:spPr>
                    <a:txSp>
                      <a:txBody>
                        <a:bodyPr wrap="none">
                          <a:spAutoFit/>
                        </a:bodyPr>
                        <a:lstStyle>
                          <a:defPPr>
                            <a:defRPr lang="es-E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s-ES" sz="1200" dirty="0" smtClean="0"/>
                            <a:t>Retorno derivado del IVA</a:t>
                          </a:r>
                          <a:endParaRPr lang="es-ES" sz="1200" dirty="0"/>
                        </a:p>
                      </a:txBody>
                      <a:useSpRect/>
                    </a:txSp>
                  </a:sp>
                  <a:sp>
                    <a:nvSpPr>
                      <a:cNvPr id="18" name="Rectangle 17"/>
                      <a:cNvSpPr/>
                    </a:nvSpPr>
                    <a:spPr>
                      <a:xfrm>
                        <a:off x="6003032" y="2701827"/>
                        <a:ext cx="144016" cy="144016"/>
                      </a:xfrm>
                      <a:prstGeom prst="rect">
                        <a:avLst/>
                      </a:prstGeom>
                      <a:solidFill>
                        <a:srgbClr val="B6646B"/>
                      </a:solidFill>
                      <a:ln>
                        <a:noFill/>
                      </a:ln>
                    </a:spPr>
                    <a:txSp>
                      <a:txBody>
                        <a:bodyPr rtlCol="0" anchor="ctr"/>
                        <a:lstStyle>
                          <a:defPPr>
                            <a:defRPr lang="es-E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s-ES"/>
                        </a:p>
                      </a:txBody>
                      <a:useSpRect/>
                    </a:txSp>
                    <a:style>
                      <a:lnRef idx="2">
                        <a:schemeClr val="accent1">
                          <a:shade val="50000"/>
                        </a:schemeClr>
                      </a:lnRef>
                      <a:fillRef idx="1">
                        <a:schemeClr val="accent1"/>
                      </a:fillRef>
                      <a:effectRef idx="0">
                        <a:schemeClr val="accent1"/>
                      </a:effectRef>
                      <a:fontRef idx="minor">
                        <a:schemeClr val="lt1"/>
                      </a:fontRef>
                    </a:style>
                  </a:sp>
                  <a:sp>
                    <a:nvSpPr>
                      <a:cNvPr id="19" name="Rectangle 18"/>
                      <a:cNvSpPr/>
                    </a:nvSpPr>
                    <a:spPr>
                      <a:xfrm>
                        <a:off x="6003032" y="3429000"/>
                        <a:ext cx="144016" cy="144016"/>
                      </a:xfrm>
                      <a:prstGeom prst="rect">
                        <a:avLst/>
                      </a:prstGeom>
                      <a:solidFill>
                        <a:srgbClr val="7AB800"/>
                      </a:solidFill>
                      <a:ln>
                        <a:noFill/>
                      </a:ln>
                    </a:spPr>
                    <a:txSp>
                      <a:txBody>
                        <a:bodyPr rtlCol="0" anchor="ctr"/>
                        <a:lstStyle>
                          <a:defPPr>
                            <a:defRPr lang="es-E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s-ES"/>
                        </a:p>
                      </a:txBody>
                      <a:useSpRect/>
                    </a:txSp>
                    <a:style>
                      <a:lnRef idx="2">
                        <a:schemeClr val="accent1">
                          <a:shade val="50000"/>
                        </a:schemeClr>
                      </a:lnRef>
                      <a:fillRef idx="1">
                        <a:schemeClr val="accent1"/>
                      </a:fillRef>
                      <a:effectRef idx="0">
                        <a:schemeClr val="accent1"/>
                      </a:effectRef>
                      <a:fontRef idx="minor">
                        <a:schemeClr val="lt1"/>
                      </a:fontRef>
                    </a:style>
                  </a:sp>
                  <a:sp>
                    <a:nvSpPr>
                      <a:cNvPr id="21" name="Rectangle 20"/>
                      <a:cNvSpPr/>
                    </a:nvSpPr>
                    <a:spPr>
                      <a:xfrm>
                        <a:off x="6137920" y="2204864"/>
                        <a:ext cx="2250504" cy="461665"/>
                      </a:xfrm>
                      <a:prstGeom prst="rect">
                        <a:avLst/>
                      </a:prstGeom>
                    </a:spPr>
                    <a:txSp>
                      <a:txBody>
                        <a:bodyPr wrap="square">
                          <a:spAutoFit/>
                        </a:bodyPr>
                        <a:lstStyle>
                          <a:defPPr>
                            <a:defRPr lang="es-E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s-ES" sz="1200" dirty="0" smtClean="0"/>
                            <a:t>Retorno derivado del IRPF y Seguridad Social</a:t>
                          </a:r>
                          <a:endParaRPr lang="es-ES" sz="1200" dirty="0"/>
                        </a:p>
                      </a:txBody>
                      <a:useSpRect/>
                    </a:txSp>
                  </a:sp>
                  <a:sp>
                    <a:nvSpPr>
                      <a:cNvPr id="22" name="Rectangle 21"/>
                      <a:cNvSpPr/>
                    </a:nvSpPr>
                    <a:spPr>
                      <a:xfrm>
                        <a:off x="6137920" y="3284984"/>
                        <a:ext cx="2592288" cy="461665"/>
                      </a:xfrm>
                      <a:prstGeom prst="rect">
                        <a:avLst/>
                      </a:prstGeom>
                    </a:spPr>
                    <a:txSp>
                      <a:txBody>
                        <a:bodyPr wrap="square">
                          <a:spAutoFit/>
                        </a:bodyPr>
                        <a:lstStyle>
                          <a:defPPr>
                            <a:defRPr lang="es-E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s-ES" sz="1200" dirty="0" smtClean="0"/>
                            <a:t>Ayudas de la administración con salida de efectivo</a:t>
                          </a:r>
                          <a:endParaRPr lang="es-ES" sz="1200" dirty="0"/>
                        </a:p>
                      </a:txBody>
                      <a:useSpRect/>
                    </a:txSp>
                  </a:sp>
                  <a:sp>
                    <a:nvSpPr>
                      <a:cNvPr id="24" name="Rectangle 23"/>
                      <a:cNvSpPr/>
                    </a:nvSpPr>
                    <a:spPr>
                      <a:xfrm>
                        <a:off x="6003032" y="2348880"/>
                        <a:ext cx="144016" cy="144016"/>
                      </a:xfrm>
                      <a:prstGeom prst="rect">
                        <a:avLst/>
                      </a:prstGeom>
                      <a:solidFill>
                        <a:srgbClr val="409DAD"/>
                      </a:solidFill>
                      <a:ln>
                        <a:noFill/>
                      </a:ln>
                    </a:spPr>
                    <a:txSp>
                      <a:txBody>
                        <a:bodyPr rtlCol="0" anchor="ctr"/>
                        <a:lstStyle>
                          <a:defPPr>
                            <a:defRPr lang="es-E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s-ES"/>
                        </a:p>
                      </a:txBody>
                      <a:useSpRect/>
                    </a:txSp>
                    <a:style>
                      <a:lnRef idx="2">
                        <a:schemeClr val="accent1">
                          <a:shade val="50000"/>
                        </a:schemeClr>
                      </a:lnRef>
                      <a:fillRef idx="1">
                        <a:schemeClr val="accent1"/>
                      </a:fillRef>
                      <a:effectRef idx="0">
                        <a:schemeClr val="accent1"/>
                      </a:effectRef>
                      <a:fontRef idx="minor">
                        <a:schemeClr val="lt1"/>
                      </a:fontRef>
                    </a:style>
                  </a:sp>
                  <a:sp>
                    <a:nvSpPr>
                      <a:cNvPr id="25" name="Rectangle 24"/>
                      <a:cNvSpPr/>
                    </a:nvSpPr>
                    <a:spPr>
                      <a:xfrm>
                        <a:off x="6141318" y="2953519"/>
                        <a:ext cx="3040384" cy="276999"/>
                      </a:xfrm>
                      <a:prstGeom prst="rect">
                        <a:avLst/>
                      </a:prstGeom>
                    </a:spPr>
                    <a:txSp>
                      <a:txBody>
                        <a:bodyPr wrap="none">
                          <a:spAutoFit/>
                        </a:bodyPr>
                        <a:lstStyle>
                          <a:defPPr>
                            <a:defRPr lang="es-E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s-ES" sz="1200" dirty="0" smtClean="0"/>
                            <a:t>Retorno derivado del impuesto de sociedades</a:t>
                          </a:r>
                          <a:endParaRPr lang="es-ES" sz="1200" dirty="0"/>
                        </a:p>
                      </a:txBody>
                      <a:useSpRect/>
                    </a:txSp>
                  </a:sp>
                  <a:sp>
                    <a:nvSpPr>
                      <a:cNvPr id="26" name="Rectangle 25"/>
                      <a:cNvSpPr/>
                    </a:nvSpPr>
                    <a:spPr>
                      <a:xfrm>
                        <a:off x="6003032" y="3018434"/>
                        <a:ext cx="144016" cy="144016"/>
                      </a:xfrm>
                      <a:prstGeom prst="rect">
                        <a:avLst/>
                      </a:prstGeom>
                      <a:solidFill>
                        <a:srgbClr val="747678"/>
                      </a:solidFill>
                      <a:ln>
                        <a:noFill/>
                      </a:ln>
                    </a:spPr>
                    <a:txSp>
                      <a:txBody>
                        <a:bodyPr rtlCol="0" anchor="ctr"/>
                        <a:lstStyle>
                          <a:defPPr>
                            <a:defRPr lang="es-E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s-ES"/>
                        </a:p>
                      </a:txBody>
                      <a:useSpRect/>
                    </a:txSp>
                    <a:style>
                      <a:lnRef idx="2">
                        <a:schemeClr val="accent1">
                          <a:shade val="50000"/>
                        </a:schemeClr>
                      </a:lnRef>
                      <a:fillRef idx="1">
                        <a:schemeClr val="accent1"/>
                      </a:fillRef>
                      <a:effectRef idx="0">
                        <a:schemeClr val="accent1"/>
                      </a:effectRef>
                      <a:fontRef idx="minor">
                        <a:schemeClr val="lt1"/>
                      </a:fontRef>
                    </a:style>
                  </a:sp>
                </lc:lockedCanvas>
              </a:graphicData>
            </a:graphic>
          </wp:inline>
        </w:drawing>
      </w:r>
    </w:p>
    <w:p w:rsidR="00E2336B" w:rsidRDefault="00E2336B" w:rsidP="001D2EFC">
      <w:pPr>
        <w:rPr>
          <w:rFonts w:ascii="MinionPro-Regular" w:hAnsi="MinionPro-Regular"/>
          <w:sz w:val="24"/>
          <w:szCs w:val="24"/>
          <w:highlight w:val="cyan"/>
          <w:lang w:val="es-ES_tradnl"/>
        </w:rPr>
      </w:pPr>
    </w:p>
    <w:p w:rsidR="00E2336B" w:rsidRPr="00891BAF" w:rsidRDefault="00E2336B" w:rsidP="00891BAF">
      <w:pPr>
        <w:pBdr>
          <w:bottom w:val="single" w:sz="4" w:space="1" w:color="auto"/>
        </w:pBdr>
        <w:autoSpaceDE w:val="0"/>
        <w:autoSpaceDN w:val="0"/>
        <w:spacing w:line="360" w:lineRule="auto"/>
        <w:jc w:val="both"/>
        <w:rPr>
          <w:rFonts w:ascii="MinionPro-Regular" w:hAnsi="MinionPro-Regular"/>
          <w:sz w:val="20"/>
          <w:szCs w:val="24"/>
          <w:lang w:val="es-ES_tradnl"/>
        </w:rPr>
      </w:pPr>
      <w:r w:rsidRPr="00891BAF">
        <w:rPr>
          <w:rFonts w:ascii="MinionPro-Regular" w:hAnsi="MinionPro-Regular"/>
          <w:sz w:val="20"/>
          <w:szCs w:val="24"/>
          <w:lang w:val="es-ES_tradnl"/>
        </w:rPr>
        <w:t>Fuente: Elaboración propia</w:t>
      </w:r>
    </w:p>
    <w:p w:rsidR="00E2336B" w:rsidRPr="000149AA" w:rsidRDefault="00E2336B" w:rsidP="000149AA">
      <w:pPr>
        <w:pBdr>
          <w:bottom w:val="single" w:sz="4" w:space="1" w:color="auto"/>
        </w:pBdr>
        <w:autoSpaceDE w:val="0"/>
        <w:autoSpaceDN w:val="0"/>
        <w:spacing w:line="360" w:lineRule="auto"/>
        <w:jc w:val="both"/>
        <w:rPr>
          <w:rFonts w:ascii="MinionPro-Regular" w:hAnsi="MinionPro-Regular"/>
          <w:sz w:val="20"/>
          <w:lang w:val="es-ES_tradnl"/>
        </w:rPr>
      </w:pPr>
      <w:r w:rsidRPr="00455028">
        <w:rPr>
          <w:rFonts w:ascii="MinionPro-Regular" w:hAnsi="MinionPro-Regular"/>
          <w:sz w:val="20"/>
          <w:szCs w:val="24"/>
          <w:lang w:val="es-ES_tradnl"/>
        </w:rPr>
        <w:lastRenderedPageBreak/>
        <w:t xml:space="preserve">Nota explicativa de la gráfica: El eje horizontal se constituye de cuatro columnas. Las dos primeras representa la estimación total del retorno que implica salida de efectivo </w:t>
      </w:r>
      <w:r w:rsidRPr="00891BAF">
        <w:rPr>
          <w:rFonts w:ascii="MinionPro-Regular" w:hAnsi="MinionPro-Regular"/>
          <w:sz w:val="20"/>
          <w:szCs w:val="24"/>
          <w:lang w:val="es-ES_tradnl"/>
        </w:rPr>
        <w:t>frente</w:t>
      </w:r>
      <w:r w:rsidRPr="00455028">
        <w:rPr>
          <w:rFonts w:ascii="MinionPro-Regular" w:hAnsi="MinionPro-Regular"/>
          <w:sz w:val="20"/>
          <w:szCs w:val="24"/>
          <w:lang w:val="es-ES_tradnl"/>
        </w:rPr>
        <w:t xml:space="preserve"> a las ayudas de la administración pública, en el año 2011</w:t>
      </w:r>
      <w:r w:rsidR="005D4BB9">
        <w:rPr>
          <w:rFonts w:ascii="MinionPro-Regular" w:hAnsi="MinionPro-Regular"/>
          <w:sz w:val="20"/>
          <w:szCs w:val="24"/>
          <w:lang w:val="es-ES_tradnl"/>
        </w:rPr>
        <w:t>, que suponen un 42% de retorno</w:t>
      </w:r>
      <w:r w:rsidRPr="00455028">
        <w:rPr>
          <w:rFonts w:ascii="MinionPro-Regular" w:hAnsi="MinionPro-Regular"/>
          <w:sz w:val="20"/>
          <w:szCs w:val="24"/>
          <w:lang w:val="es-ES_tradnl"/>
        </w:rPr>
        <w:t xml:space="preserve">. </w:t>
      </w:r>
      <w:r>
        <w:rPr>
          <w:rFonts w:ascii="MinionPro-Regular" w:hAnsi="MinionPro-Regular"/>
          <w:sz w:val="20"/>
          <w:lang w:val="es-ES_tradnl"/>
        </w:rPr>
        <w:t>Las siguientes dos columnas indican la proyección a 2020 teniendo en cuenta las mismas variable</w:t>
      </w:r>
      <w:r w:rsidR="005D4BB9">
        <w:rPr>
          <w:rFonts w:ascii="MinionPro-Regular" w:hAnsi="MinionPro-Regular"/>
          <w:sz w:val="20"/>
          <w:lang w:val="es-ES_tradnl"/>
        </w:rPr>
        <w:t xml:space="preserve">s, llegando al </w:t>
      </w:r>
      <w:r w:rsidR="00313BDF">
        <w:rPr>
          <w:rFonts w:ascii="MinionPro-Regular" w:hAnsi="MinionPro-Regular"/>
          <w:sz w:val="20"/>
          <w:lang w:val="es-ES_tradnl"/>
        </w:rPr>
        <w:t>1</w:t>
      </w:r>
      <w:r w:rsidR="005D4BB9">
        <w:rPr>
          <w:rFonts w:ascii="MinionPro-Regular" w:hAnsi="MinionPro-Regular"/>
          <w:sz w:val="20"/>
          <w:lang w:val="es-ES_tradnl"/>
        </w:rPr>
        <w:t>76% de retorno</w:t>
      </w:r>
      <w:r>
        <w:rPr>
          <w:rFonts w:ascii="MinionPro-Regular" w:hAnsi="MinionPro-Regular"/>
          <w:sz w:val="20"/>
          <w:lang w:val="es-ES_tradnl"/>
        </w:rPr>
        <w:t>.</w:t>
      </w:r>
    </w:p>
    <w:p w:rsidR="00E2336B" w:rsidRDefault="00E2336B" w:rsidP="001D2EFC">
      <w:pPr>
        <w:rPr>
          <w:rFonts w:ascii="MinionPro-Regular" w:hAnsi="MinionPro-Regular"/>
          <w:sz w:val="24"/>
          <w:szCs w:val="24"/>
          <w:highlight w:val="cyan"/>
          <w:lang w:val="es-ES_tradnl"/>
        </w:rPr>
      </w:pPr>
    </w:p>
    <w:p w:rsidR="00B0480F" w:rsidRDefault="00B0480F" w:rsidP="001D2EFC">
      <w:pPr>
        <w:rPr>
          <w:rFonts w:ascii="MinionPro-Regular" w:hAnsi="MinionPro-Regular"/>
          <w:sz w:val="24"/>
          <w:szCs w:val="24"/>
          <w:highlight w:val="cyan"/>
          <w:lang w:val="es-ES_tradnl"/>
        </w:rPr>
      </w:pPr>
    </w:p>
    <w:p w:rsidR="00B0480F" w:rsidRDefault="00B0480F" w:rsidP="001D2EFC">
      <w:pPr>
        <w:rPr>
          <w:rFonts w:ascii="MinionPro-Regular" w:hAnsi="MinionPro-Regular"/>
          <w:sz w:val="24"/>
          <w:szCs w:val="24"/>
          <w:highlight w:val="cyan"/>
          <w:lang w:val="es-ES_tradnl"/>
        </w:rPr>
      </w:pPr>
    </w:p>
    <w:p w:rsidR="00B0480F" w:rsidRDefault="00B0480F" w:rsidP="001D2EFC">
      <w:pPr>
        <w:rPr>
          <w:rFonts w:ascii="MinionPro-Regular" w:hAnsi="MinionPro-Regular"/>
          <w:sz w:val="24"/>
          <w:szCs w:val="24"/>
          <w:highlight w:val="cyan"/>
          <w:lang w:val="es-ES_tradnl"/>
        </w:rPr>
      </w:pPr>
    </w:p>
    <w:p w:rsidR="00B0480F" w:rsidRDefault="00B0480F" w:rsidP="001D2EFC">
      <w:pPr>
        <w:rPr>
          <w:rFonts w:ascii="MinionPro-Regular" w:hAnsi="MinionPro-Regular"/>
          <w:sz w:val="24"/>
          <w:szCs w:val="24"/>
          <w:highlight w:val="cyan"/>
          <w:lang w:val="es-ES_tradnl"/>
        </w:rPr>
      </w:pPr>
    </w:p>
    <w:p w:rsidR="00B0480F" w:rsidRDefault="00B0480F" w:rsidP="001D2EFC">
      <w:pPr>
        <w:rPr>
          <w:rFonts w:ascii="MinionPro-Regular" w:hAnsi="MinionPro-Regular"/>
          <w:sz w:val="24"/>
          <w:szCs w:val="24"/>
          <w:highlight w:val="cyan"/>
          <w:lang w:val="es-ES_tradnl"/>
        </w:rPr>
      </w:pPr>
    </w:p>
    <w:p w:rsidR="00B0480F" w:rsidRDefault="00B0480F" w:rsidP="001D2EFC">
      <w:pPr>
        <w:rPr>
          <w:rFonts w:ascii="MinionPro-Regular" w:hAnsi="MinionPro-Regular"/>
          <w:sz w:val="24"/>
          <w:szCs w:val="24"/>
          <w:highlight w:val="cyan"/>
          <w:lang w:val="es-ES_tradnl"/>
        </w:rPr>
      </w:pPr>
    </w:p>
    <w:p w:rsidR="00B0480F" w:rsidRDefault="00B0480F" w:rsidP="001D2EFC">
      <w:pPr>
        <w:rPr>
          <w:rFonts w:ascii="MinionPro-Regular" w:hAnsi="MinionPro-Regular"/>
          <w:sz w:val="24"/>
          <w:szCs w:val="24"/>
          <w:highlight w:val="cyan"/>
          <w:lang w:val="es-ES_tradnl"/>
        </w:rPr>
      </w:pPr>
    </w:p>
    <w:p w:rsidR="00B0480F" w:rsidRDefault="00B0480F" w:rsidP="001D2EFC">
      <w:pPr>
        <w:rPr>
          <w:rFonts w:ascii="MinionPro-Regular" w:hAnsi="MinionPro-Regular"/>
          <w:sz w:val="24"/>
          <w:szCs w:val="24"/>
          <w:highlight w:val="cyan"/>
          <w:lang w:val="es-ES_tradnl"/>
        </w:rPr>
      </w:pPr>
    </w:p>
    <w:p w:rsidR="00B0480F" w:rsidRDefault="00B0480F" w:rsidP="001D2EFC">
      <w:pPr>
        <w:rPr>
          <w:rFonts w:ascii="MinionPro-Regular" w:hAnsi="MinionPro-Regular"/>
          <w:sz w:val="24"/>
          <w:szCs w:val="24"/>
          <w:highlight w:val="cyan"/>
          <w:lang w:val="es-ES_tradnl"/>
        </w:rPr>
      </w:pPr>
    </w:p>
    <w:p w:rsidR="00B0480F" w:rsidRDefault="00B0480F" w:rsidP="001D2EFC">
      <w:pPr>
        <w:rPr>
          <w:rFonts w:ascii="MinionPro-Regular" w:hAnsi="MinionPro-Regular"/>
          <w:sz w:val="24"/>
          <w:szCs w:val="24"/>
          <w:highlight w:val="cyan"/>
          <w:lang w:val="es-ES_tradnl"/>
        </w:rPr>
      </w:pPr>
    </w:p>
    <w:p w:rsidR="00B0480F" w:rsidRDefault="00B0480F" w:rsidP="001D2EFC">
      <w:pPr>
        <w:rPr>
          <w:rFonts w:ascii="MinionPro-Regular" w:hAnsi="MinionPro-Regular"/>
          <w:sz w:val="24"/>
          <w:szCs w:val="24"/>
          <w:highlight w:val="cyan"/>
          <w:lang w:val="es-ES_tradnl"/>
        </w:rPr>
      </w:pPr>
    </w:p>
    <w:p w:rsidR="00B0480F" w:rsidRDefault="00B0480F" w:rsidP="001D2EFC">
      <w:pPr>
        <w:rPr>
          <w:rFonts w:ascii="MinionPro-Regular" w:hAnsi="MinionPro-Regular"/>
          <w:sz w:val="24"/>
          <w:szCs w:val="24"/>
          <w:highlight w:val="cyan"/>
          <w:lang w:val="es-ES_tradnl"/>
        </w:rPr>
      </w:pPr>
    </w:p>
    <w:p w:rsidR="00E2336B" w:rsidRPr="00213730" w:rsidRDefault="00E2336B" w:rsidP="00213730">
      <w:pPr>
        <w:pBdr>
          <w:top w:val="single" w:sz="4" w:space="1" w:color="auto"/>
        </w:pBdr>
        <w:autoSpaceDE w:val="0"/>
        <w:autoSpaceDN w:val="0"/>
        <w:spacing w:line="360" w:lineRule="auto"/>
        <w:jc w:val="both"/>
        <w:rPr>
          <w:rFonts w:ascii="MinionPro-Regular" w:hAnsi="MinionPro-Regular"/>
          <w:sz w:val="20"/>
          <w:lang w:val="es-ES_tradnl"/>
        </w:rPr>
      </w:pPr>
      <w:r w:rsidRPr="00213730">
        <w:rPr>
          <w:rFonts w:ascii="MinionPro-Regular" w:hAnsi="MinionPro-Regular"/>
          <w:sz w:val="20"/>
          <w:lang w:val="es-ES_tradnl"/>
        </w:rPr>
        <w:t>Escenario 2. Estimación total de los retornos de los centros especiales de empleo que implican salida de efectivo hacia las arcas públicas frente al total de las ayudas que también implican una salida de efectivo</w:t>
      </w:r>
    </w:p>
    <w:p w:rsidR="00E2336B" w:rsidRPr="00213730" w:rsidRDefault="00E1516B" w:rsidP="00213730">
      <w:pPr>
        <w:pBdr>
          <w:top w:val="single" w:sz="4" w:space="1" w:color="auto"/>
        </w:pBdr>
        <w:autoSpaceDE w:val="0"/>
        <w:autoSpaceDN w:val="0"/>
        <w:spacing w:line="360" w:lineRule="auto"/>
        <w:jc w:val="both"/>
        <w:rPr>
          <w:rFonts w:ascii="MinionPro-Regular" w:hAnsi="MinionPro-Regular"/>
          <w:sz w:val="20"/>
          <w:lang w:val="es-ES_tradnl"/>
        </w:rPr>
      </w:pPr>
      <w:r>
        <w:rPr>
          <w:rFonts w:ascii="MinionPro-Regular" w:hAnsi="MinionPro-Regular"/>
          <w:noProof/>
          <w:sz w:val="20"/>
          <w:lang w:eastAsia="es-ES"/>
        </w:rPr>
        <w:lastRenderedPageBreak/>
        <w:drawing>
          <wp:inline distT="0" distB="0" distL="0" distR="0">
            <wp:extent cx="5400040" cy="3726815"/>
            <wp:effectExtent l="0" t="0" r="0" b="0"/>
            <wp:docPr id="112" name="Picture 112"/>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9001000" cy="6336704"/>
                      <a:chOff x="827584" y="548680"/>
                      <a:chExt cx="9001000" cy="6336704"/>
                    </a:xfrm>
                  </a:grpSpPr>
                  <a:graphicFrame>
                    <a:nvGraphicFramePr>
                      <a:cNvPr id="21" name="Chart 20"/>
                      <a:cNvGraphicFramePr/>
                    </a:nvGraphicFramePr>
                    <a:graphic>
                      <a:graphicData uri="http://schemas.openxmlformats.org/drawingml/2006/chart">
                        <c:chart xmlns:c="http://schemas.openxmlformats.org/drawingml/2006/chart" xmlns:r="http://schemas.openxmlformats.org/officeDocument/2006/relationships" r:id="rId134"/>
                      </a:graphicData>
                    </a:graphic>
                    <a:xfrm>
                      <a:off x="827584" y="548680"/>
                      <a:ext cx="6294344" cy="5733987"/>
                    </a:xfrm>
                  </a:graphicFrame>
                  <a:sp>
                    <a:nvSpPr>
                      <a:cNvPr id="5" name="Rectangle 4"/>
                      <a:cNvSpPr/>
                    </a:nvSpPr>
                    <a:spPr>
                      <a:xfrm>
                        <a:off x="1403648" y="980728"/>
                        <a:ext cx="1440160" cy="261610"/>
                      </a:xfrm>
                      <a:prstGeom prst="rect">
                        <a:avLst/>
                      </a:prstGeom>
                    </a:spPr>
                    <a:txSp>
                      <a:txBody>
                        <a:bodyPr wrap="square">
                          <a:spAutoFit/>
                        </a:bodyPr>
                        <a:lstStyle>
                          <a:defPPr>
                            <a:defRPr lang="es-E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s-ES" sz="1100" b="1" dirty="0" smtClean="0">
                              <a:latin typeface="MinionPro-Regular"/>
                            </a:rPr>
                            <a:t>ESCENARIO 2</a:t>
                          </a:r>
                          <a:endParaRPr lang="es-ES" sz="1100" b="1" dirty="0">
                            <a:latin typeface="MinionPro-Regular"/>
                          </a:endParaRPr>
                        </a:p>
                      </a:txBody>
                      <a:useSpRect/>
                    </a:txSp>
                  </a:sp>
                  <a:cxnSp>
                    <a:nvCxnSpPr>
                      <a:cNvPr id="8" name="Straight Connector 7"/>
                      <a:cNvCxnSpPr/>
                    </a:nvCxnSpPr>
                    <a:spPr>
                      <a:xfrm>
                        <a:off x="1969963" y="5730264"/>
                        <a:ext cx="4464496" cy="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sp>
                    <a:nvSpPr>
                      <a:cNvPr id="10" name="Rectangle 9"/>
                      <a:cNvSpPr/>
                    </a:nvSpPr>
                    <a:spPr>
                      <a:xfrm>
                        <a:off x="2065853" y="5812522"/>
                        <a:ext cx="1008112" cy="784830"/>
                      </a:xfrm>
                      <a:prstGeom prst="rect">
                        <a:avLst/>
                      </a:prstGeom>
                    </a:spPr>
                    <a:txSp>
                      <a:txBody>
                        <a:bodyPr wrap="square">
                          <a:spAutoFit/>
                        </a:bodyPr>
                        <a:lstStyle>
                          <a:defPPr>
                            <a:defRPr lang="es-E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s-ES" sz="900" dirty="0" smtClean="0">
                              <a:latin typeface="MinionPro-Regular"/>
                            </a:rPr>
                            <a:t>Estimación total de los retornos que implican salida de efectivo</a:t>
                          </a:r>
                          <a:endParaRPr lang="es-ES" sz="900" dirty="0">
                            <a:latin typeface="MinionPro-Regular"/>
                          </a:endParaRPr>
                        </a:p>
                      </a:txBody>
                      <a:useSpRect/>
                    </a:txSp>
                  </a:sp>
                  <a:sp>
                    <a:nvSpPr>
                      <a:cNvPr id="11" name="Rectangle 10"/>
                      <a:cNvSpPr/>
                    </a:nvSpPr>
                    <a:spPr>
                      <a:xfrm>
                        <a:off x="4298101" y="5740514"/>
                        <a:ext cx="1008112" cy="784830"/>
                      </a:xfrm>
                      <a:prstGeom prst="rect">
                        <a:avLst/>
                      </a:prstGeom>
                    </a:spPr>
                    <a:txSp>
                      <a:txBody>
                        <a:bodyPr wrap="square">
                          <a:spAutoFit/>
                        </a:bodyPr>
                        <a:lstStyle>
                          <a:defPPr>
                            <a:defRPr lang="es-E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s-ES" sz="900" dirty="0" smtClean="0">
                              <a:latin typeface="MinionPro-Regular"/>
                            </a:rPr>
                            <a:t>Estimación total de los retornos que implican salida de efectivo</a:t>
                          </a:r>
                          <a:endParaRPr lang="es-ES" sz="900" dirty="0">
                            <a:latin typeface="MinionPro-Regular"/>
                          </a:endParaRPr>
                        </a:p>
                      </a:txBody>
                      <a:useSpRect/>
                    </a:txSp>
                  </a:sp>
                  <a:sp>
                    <a:nvSpPr>
                      <a:cNvPr id="12" name="Rectangle 11"/>
                      <a:cNvSpPr/>
                    </a:nvSpPr>
                    <a:spPr>
                      <a:xfrm>
                        <a:off x="3145973" y="5740514"/>
                        <a:ext cx="1080120" cy="784830"/>
                      </a:xfrm>
                      <a:prstGeom prst="rect">
                        <a:avLst/>
                      </a:prstGeom>
                    </a:spPr>
                    <a:txSp>
                      <a:txBody>
                        <a:bodyPr wrap="square">
                          <a:spAutoFit/>
                        </a:bodyPr>
                        <a:lstStyle>
                          <a:defPPr>
                            <a:defRPr lang="es-E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s-ES" sz="900" dirty="0" smtClean="0">
                              <a:latin typeface="MinionPro-Regular"/>
                            </a:rPr>
                            <a:t>Ayudas de la administración pública que implican salida de caja</a:t>
                          </a:r>
                          <a:endParaRPr lang="es-ES" sz="900" dirty="0">
                            <a:latin typeface="MinionPro-Regular"/>
                          </a:endParaRPr>
                        </a:p>
                      </a:txBody>
                      <a:useSpRect/>
                    </a:txSp>
                  </a:sp>
                  <a:sp>
                    <a:nvSpPr>
                      <a:cNvPr id="13" name="Rectangle 12"/>
                      <a:cNvSpPr/>
                    </a:nvSpPr>
                    <a:spPr>
                      <a:xfrm>
                        <a:off x="5378221" y="5724450"/>
                        <a:ext cx="1080120" cy="784830"/>
                      </a:xfrm>
                      <a:prstGeom prst="rect">
                        <a:avLst/>
                      </a:prstGeom>
                    </a:spPr>
                    <a:txSp>
                      <a:txBody>
                        <a:bodyPr wrap="square">
                          <a:spAutoFit/>
                        </a:bodyPr>
                        <a:lstStyle>
                          <a:defPPr>
                            <a:defRPr lang="es-E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s-ES" sz="900" dirty="0" smtClean="0">
                              <a:latin typeface="MinionPro-Regular"/>
                            </a:rPr>
                            <a:t>Ayudas de la administración pública que implican salida de caja</a:t>
                          </a:r>
                          <a:endParaRPr lang="es-ES" sz="900" dirty="0">
                            <a:latin typeface="MinionPro-Regular"/>
                          </a:endParaRPr>
                        </a:p>
                      </a:txBody>
                      <a:useSpRect/>
                    </a:txSp>
                  </a:sp>
                  <a:cxnSp>
                    <a:nvCxnSpPr>
                      <a:cNvPr id="14" name="Straight Connector 13"/>
                      <a:cNvCxnSpPr/>
                    </a:nvCxnSpPr>
                    <a:spPr>
                      <a:xfrm flipV="1">
                        <a:off x="1907704" y="6581460"/>
                        <a:ext cx="2016000" cy="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15" name="Straight Connector 14"/>
                      <a:cNvCxnSpPr/>
                    </a:nvCxnSpPr>
                    <a:spPr>
                      <a:xfrm flipV="1">
                        <a:off x="4067720" y="6581460"/>
                        <a:ext cx="2016000" cy="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sp>
                    <a:nvSpPr>
                      <a:cNvPr id="16" name="Rectangle 15"/>
                      <a:cNvSpPr/>
                    </a:nvSpPr>
                    <a:spPr>
                      <a:xfrm>
                        <a:off x="2339528" y="6639163"/>
                        <a:ext cx="1152128" cy="246221"/>
                      </a:xfrm>
                      <a:prstGeom prst="rect">
                        <a:avLst/>
                      </a:prstGeom>
                    </a:spPr>
                    <a:txSp>
                      <a:txBody>
                        <a:bodyPr wrap="square">
                          <a:spAutoFit/>
                        </a:bodyPr>
                        <a:lstStyle>
                          <a:defPPr>
                            <a:defRPr lang="es-E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s-ES_tradnl" sz="1000" b="1" dirty="0" smtClean="0">
                              <a:latin typeface="Arial"/>
                              <a:cs typeface="Arial"/>
                            </a:rPr>
                            <a:t>2011</a:t>
                          </a:r>
                          <a:endParaRPr lang="es-ES" sz="1000" b="1" dirty="0">
                            <a:latin typeface="MinionPro-Regular"/>
                          </a:endParaRPr>
                        </a:p>
                      </a:txBody>
                      <a:useSpRect/>
                    </a:txSp>
                  </a:sp>
                  <a:sp>
                    <a:nvSpPr>
                      <a:cNvPr id="17" name="Rectangle 16"/>
                      <a:cNvSpPr/>
                    </a:nvSpPr>
                    <a:spPr>
                      <a:xfrm>
                        <a:off x="3923704" y="6639163"/>
                        <a:ext cx="2016224" cy="246221"/>
                      </a:xfrm>
                      <a:prstGeom prst="rect">
                        <a:avLst/>
                      </a:prstGeom>
                    </a:spPr>
                    <a:txSp>
                      <a:txBody>
                        <a:bodyPr wrap="square">
                          <a:spAutoFit/>
                        </a:bodyPr>
                        <a:lstStyle>
                          <a:defPPr>
                            <a:defRPr lang="es-E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s-ES_tradnl" sz="1000" b="1" dirty="0" smtClean="0">
                              <a:latin typeface="Arial"/>
                              <a:cs typeface="Arial"/>
                            </a:rPr>
                            <a:t>Proyección 2020</a:t>
                          </a:r>
                          <a:endParaRPr lang="es-ES" sz="1000" b="1" dirty="0">
                            <a:latin typeface="MinionPro-Regular"/>
                          </a:endParaRPr>
                        </a:p>
                      </a:txBody>
                      <a:useSpRect/>
                    </a:txSp>
                  </a:sp>
                  <a:sp>
                    <a:nvSpPr>
                      <a:cNvPr id="20" name="Rectangle 19"/>
                      <a:cNvSpPr/>
                    </a:nvSpPr>
                    <a:spPr>
                      <a:xfrm>
                        <a:off x="6784802" y="3039343"/>
                        <a:ext cx="1741118" cy="276999"/>
                      </a:xfrm>
                      <a:prstGeom prst="rect">
                        <a:avLst/>
                      </a:prstGeom>
                    </a:spPr>
                    <a:txSp>
                      <a:txBody>
                        <a:bodyPr wrap="none">
                          <a:spAutoFit/>
                        </a:bodyPr>
                        <a:lstStyle>
                          <a:defPPr>
                            <a:defRPr lang="es-E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s-ES" sz="1200" dirty="0" smtClean="0"/>
                            <a:t>Retorno derivado del IVA</a:t>
                          </a:r>
                          <a:endParaRPr lang="es-ES" sz="1200" dirty="0"/>
                        </a:p>
                      </a:txBody>
                      <a:useSpRect/>
                    </a:txSp>
                  </a:sp>
                  <a:sp>
                    <a:nvSpPr>
                      <a:cNvPr id="22" name="Rectangle 21"/>
                      <a:cNvSpPr/>
                    </a:nvSpPr>
                    <a:spPr>
                      <a:xfrm>
                        <a:off x="6649914" y="3104258"/>
                        <a:ext cx="144016" cy="144016"/>
                      </a:xfrm>
                      <a:prstGeom prst="rect">
                        <a:avLst/>
                      </a:prstGeom>
                      <a:solidFill>
                        <a:srgbClr val="B6646B"/>
                      </a:solidFill>
                      <a:ln>
                        <a:noFill/>
                      </a:ln>
                    </a:spPr>
                    <a:txSp>
                      <a:txBody>
                        <a:bodyPr rtlCol="0" anchor="ctr"/>
                        <a:lstStyle>
                          <a:defPPr>
                            <a:defRPr lang="es-E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s-ES"/>
                        </a:p>
                      </a:txBody>
                      <a:useSpRect/>
                    </a:txSp>
                    <a:style>
                      <a:lnRef idx="2">
                        <a:schemeClr val="accent1">
                          <a:shade val="50000"/>
                        </a:schemeClr>
                      </a:lnRef>
                      <a:fillRef idx="1">
                        <a:schemeClr val="accent1"/>
                      </a:fillRef>
                      <a:effectRef idx="0">
                        <a:schemeClr val="accent1"/>
                      </a:effectRef>
                      <a:fontRef idx="minor">
                        <a:schemeClr val="lt1"/>
                      </a:fontRef>
                    </a:style>
                  </a:sp>
                  <a:sp>
                    <a:nvSpPr>
                      <a:cNvPr id="23" name="Rectangle 22"/>
                      <a:cNvSpPr/>
                    </a:nvSpPr>
                    <a:spPr>
                      <a:xfrm>
                        <a:off x="6649914" y="3831431"/>
                        <a:ext cx="144016" cy="144016"/>
                      </a:xfrm>
                      <a:prstGeom prst="rect">
                        <a:avLst/>
                      </a:prstGeom>
                      <a:solidFill>
                        <a:srgbClr val="7AB800"/>
                      </a:solidFill>
                      <a:ln>
                        <a:noFill/>
                      </a:ln>
                    </a:spPr>
                    <a:txSp>
                      <a:txBody>
                        <a:bodyPr rtlCol="0" anchor="ctr"/>
                        <a:lstStyle>
                          <a:defPPr>
                            <a:defRPr lang="es-E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s-ES"/>
                        </a:p>
                      </a:txBody>
                      <a:useSpRect/>
                    </a:txSp>
                    <a:style>
                      <a:lnRef idx="2">
                        <a:schemeClr val="accent1">
                          <a:shade val="50000"/>
                        </a:schemeClr>
                      </a:lnRef>
                      <a:fillRef idx="1">
                        <a:schemeClr val="accent1"/>
                      </a:fillRef>
                      <a:effectRef idx="0">
                        <a:schemeClr val="accent1"/>
                      </a:effectRef>
                      <a:fontRef idx="minor">
                        <a:schemeClr val="lt1"/>
                      </a:fontRef>
                    </a:style>
                  </a:sp>
                  <a:sp>
                    <a:nvSpPr>
                      <a:cNvPr id="24" name="Rectangle 23"/>
                      <a:cNvSpPr/>
                    </a:nvSpPr>
                    <a:spPr>
                      <a:xfrm>
                        <a:off x="6784802" y="2607295"/>
                        <a:ext cx="2250504" cy="461665"/>
                      </a:xfrm>
                      <a:prstGeom prst="rect">
                        <a:avLst/>
                      </a:prstGeom>
                    </a:spPr>
                    <a:txSp>
                      <a:txBody>
                        <a:bodyPr wrap="square">
                          <a:spAutoFit/>
                        </a:bodyPr>
                        <a:lstStyle>
                          <a:defPPr>
                            <a:defRPr lang="es-E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s-ES" sz="1200" dirty="0" smtClean="0"/>
                            <a:t>Retorno derivado del IRPF y Seguridad Social</a:t>
                          </a:r>
                          <a:endParaRPr lang="es-ES" sz="1200" dirty="0"/>
                        </a:p>
                      </a:txBody>
                      <a:useSpRect/>
                    </a:txSp>
                  </a:sp>
                  <a:sp>
                    <a:nvSpPr>
                      <a:cNvPr id="25" name="Rectangle 24"/>
                      <a:cNvSpPr/>
                    </a:nvSpPr>
                    <a:spPr>
                      <a:xfrm>
                        <a:off x="6784802" y="3687415"/>
                        <a:ext cx="2592288" cy="461665"/>
                      </a:xfrm>
                      <a:prstGeom prst="rect">
                        <a:avLst/>
                      </a:prstGeom>
                    </a:spPr>
                    <a:txSp>
                      <a:txBody>
                        <a:bodyPr wrap="square">
                          <a:spAutoFit/>
                        </a:bodyPr>
                        <a:lstStyle>
                          <a:defPPr>
                            <a:defRPr lang="es-E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s-ES" sz="1200" dirty="0" smtClean="0"/>
                            <a:t>Ayudas de la administración con salida de efectivo</a:t>
                          </a:r>
                          <a:endParaRPr lang="es-ES" sz="1200" dirty="0"/>
                        </a:p>
                      </a:txBody>
                      <a:useSpRect/>
                    </a:txSp>
                  </a:sp>
                  <a:sp>
                    <a:nvSpPr>
                      <a:cNvPr id="26" name="Rectangle 25"/>
                      <a:cNvSpPr/>
                    </a:nvSpPr>
                    <a:spPr>
                      <a:xfrm>
                        <a:off x="6649914" y="2751311"/>
                        <a:ext cx="144016" cy="144016"/>
                      </a:xfrm>
                      <a:prstGeom prst="rect">
                        <a:avLst/>
                      </a:prstGeom>
                      <a:solidFill>
                        <a:srgbClr val="409DAD"/>
                      </a:solidFill>
                      <a:ln>
                        <a:noFill/>
                      </a:ln>
                    </a:spPr>
                    <a:txSp>
                      <a:txBody>
                        <a:bodyPr rtlCol="0" anchor="ctr"/>
                        <a:lstStyle>
                          <a:defPPr>
                            <a:defRPr lang="es-E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s-ES"/>
                        </a:p>
                      </a:txBody>
                      <a:useSpRect/>
                    </a:txSp>
                    <a:style>
                      <a:lnRef idx="2">
                        <a:schemeClr val="accent1">
                          <a:shade val="50000"/>
                        </a:schemeClr>
                      </a:lnRef>
                      <a:fillRef idx="1">
                        <a:schemeClr val="accent1"/>
                      </a:fillRef>
                      <a:effectRef idx="0">
                        <a:schemeClr val="accent1"/>
                      </a:effectRef>
                      <a:fontRef idx="minor">
                        <a:schemeClr val="lt1"/>
                      </a:fontRef>
                    </a:style>
                  </a:sp>
                  <a:sp>
                    <a:nvSpPr>
                      <a:cNvPr id="27" name="Rectangle 26"/>
                      <a:cNvSpPr/>
                    </a:nvSpPr>
                    <a:spPr>
                      <a:xfrm>
                        <a:off x="6788200" y="3355950"/>
                        <a:ext cx="3040384" cy="276999"/>
                      </a:xfrm>
                      <a:prstGeom prst="rect">
                        <a:avLst/>
                      </a:prstGeom>
                    </a:spPr>
                    <a:txSp>
                      <a:txBody>
                        <a:bodyPr wrap="none">
                          <a:spAutoFit/>
                        </a:bodyPr>
                        <a:lstStyle>
                          <a:defPPr>
                            <a:defRPr lang="es-E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s-ES" sz="1200" dirty="0" smtClean="0"/>
                            <a:t>Retorno derivado del impuesto de sociedades</a:t>
                          </a:r>
                          <a:endParaRPr lang="es-ES" sz="1200" dirty="0"/>
                        </a:p>
                      </a:txBody>
                      <a:useSpRect/>
                    </a:txSp>
                  </a:sp>
                  <a:sp>
                    <a:nvSpPr>
                      <a:cNvPr id="28" name="Rectangle 27"/>
                      <a:cNvSpPr/>
                    </a:nvSpPr>
                    <a:spPr>
                      <a:xfrm>
                        <a:off x="6649914" y="3420865"/>
                        <a:ext cx="144016" cy="144016"/>
                      </a:xfrm>
                      <a:prstGeom prst="rect">
                        <a:avLst/>
                      </a:prstGeom>
                      <a:solidFill>
                        <a:srgbClr val="747678"/>
                      </a:solidFill>
                      <a:ln>
                        <a:noFill/>
                      </a:ln>
                    </a:spPr>
                    <a:txSp>
                      <a:txBody>
                        <a:bodyPr rtlCol="0" anchor="ctr"/>
                        <a:lstStyle>
                          <a:defPPr>
                            <a:defRPr lang="es-E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s-ES"/>
                        </a:p>
                      </a:txBody>
                      <a:useSpRect/>
                    </a:txSp>
                    <a:style>
                      <a:lnRef idx="2">
                        <a:schemeClr val="accent1">
                          <a:shade val="50000"/>
                        </a:schemeClr>
                      </a:lnRef>
                      <a:fillRef idx="1">
                        <a:schemeClr val="accent1"/>
                      </a:fillRef>
                      <a:effectRef idx="0">
                        <a:schemeClr val="accent1"/>
                      </a:effectRef>
                      <a:fontRef idx="minor">
                        <a:schemeClr val="lt1"/>
                      </a:fontRef>
                    </a:style>
                  </a:sp>
                </lc:lockedCanvas>
              </a:graphicData>
            </a:graphic>
          </wp:inline>
        </w:drawing>
      </w:r>
    </w:p>
    <w:p w:rsidR="00E2336B" w:rsidRPr="00E86575" w:rsidRDefault="00E2336B" w:rsidP="001D2EFC">
      <w:pPr>
        <w:pBdr>
          <w:top w:val="single" w:sz="4" w:space="1" w:color="auto"/>
        </w:pBdr>
        <w:rPr>
          <w:rFonts w:ascii="MinionPro-Regular" w:hAnsi="MinionPro-Regular"/>
          <w:sz w:val="20"/>
          <w:szCs w:val="24"/>
          <w:lang w:val="es-ES_tradnl"/>
        </w:rPr>
      </w:pPr>
    </w:p>
    <w:p w:rsidR="00E2336B" w:rsidRDefault="00E2336B" w:rsidP="00213730">
      <w:pPr>
        <w:pBdr>
          <w:bottom w:val="single" w:sz="4" w:space="1" w:color="auto"/>
        </w:pBdr>
        <w:autoSpaceDE w:val="0"/>
        <w:autoSpaceDN w:val="0"/>
        <w:spacing w:line="360" w:lineRule="auto"/>
        <w:jc w:val="both"/>
        <w:rPr>
          <w:rFonts w:ascii="MinionPro-Regular" w:hAnsi="MinionPro-Regular"/>
          <w:sz w:val="20"/>
          <w:lang w:val="es-ES_tradnl"/>
        </w:rPr>
      </w:pPr>
      <w:r w:rsidRPr="00213730">
        <w:rPr>
          <w:rFonts w:ascii="MinionPro-Regular" w:hAnsi="MinionPro-Regular"/>
          <w:sz w:val="20"/>
          <w:lang w:val="es-ES_tradnl"/>
        </w:rPr>
        <w:t>Fuente: Elaboración propia</w:t>
      </w:r>
    </w:p>
    <w:p w:rsidR="00E2336B" w:rsidRPr="00213730" w:rsidRDefault="00E2336B" w:rsidP="00213730">
      <w:pPr>
        <w:pBdr>
          <w:bottom w:val="single" w:sz="4" w:space="1" w:color="auto"/>
        </w:pBdr>
        <w:autoSpaceDE w:val="0"/>
        <w:autoSpaceDN w:val="0"/>
        <w:spacing w:line="360" w:lineRule="auto"/>
        <w:jc w:val="both"/>
        <w:rPr>
          <w:rFonts w:ascii="MinionPro-Regular" w:hAnsi="MinionPro-Regular"/>
          <w:sz w:val="20"/>
          <w:lang w:val="es-ES_tradnl"/>
        </w:rPr>
      </w:pPr>
    </w:p>
    <w:p w:rsidR="00E2336B" w:rsidRPr="00213730" w:rsidRDefault="00E2336B" w:rsidP="00213730">
      <w:pPr>
        <w:pBdr>
          <w:bottom w:val="single" w:sz="4" w:space="1" w:color="auto"/>
        </w:pBdr>
        <w:autoSpaceDE w:val="0"/>
        <w:autoSpaceDN w:val="0"/>
        <w:spacing w:line="360" w:lineRule="auto"/>
        <w:jc w:val="both"/>
        <w:rPr>
          <w:rFonts w:ascii="MinionPro-Regular" w:hAnsi="MinionPro-Regular"/>
          <w:sz w:val="20"/>
          <w:lang w:val="es-ES_tradnl"/>
        </w:rPr>
      </w:pPr>
      <w:r w:rsidRPr="00213730">
        <w:rPr>
          <w:rFonts w:ascii="MinionPro-Regular" w:hAnsi="MinionPro-Regular"/>
          <w:sz w:val="20"/>
          <w:lang w:val="es-ES_tradnl"/>
        </w:rPr>
        <w:t>Nota explicativa de la gráfica: El eje horizontal se constituye de cuatro columnas. Las dos primeras representa la estimación total del retorno que implica salida de efectivo frente a las ayudas de la administración pública, en el año 2011</w:t>
      </w:r>
      <w:r w:rsidR="005D4BB9">
        <w:rPr>
          <w:rFonts w:ascii="MinionPro-Regular" w:hAnsi="MinionPro-Regular"/>
          <w:sz w:val="20"/>
          <w:lang w:val="es-ES_tradnl"/>
        </w:rPr>
        <w:t xml:space="preserve">, </w:t>
      </w:r>
      <w:r w:rsidR="005D4BB9">
        <w:rPr>
          <w:rFonts w:ascii="MinionPro-Regular" w:hAnsi="MinionPro-Regular"/>
          <w:sz w:val="20"/>
          <w:szCs w:val="24"/>
          <w:lang w:val="es-ES_tradnl"/>
        </w:rPr>
        <w:t>que suponen un 42% de retorno</w:t>
      </w:r>
      <w:r w:rsidR="005D4BB9" w:rsidRPr="00455028">
        <w:rPr>
          <w:rFonts w:ascii="MinionPro-Regular" w:hAnsi="MinionPro-Regular"/>
          <w:sz w:val="20"/>
          <w:szCs w:val="24"/>
          <w:lang w:val="es-ES_tradnl"/>
        </w:rPr>
        <w:t xml:space="preserve">. </w:t>
      </w:r>
      <w:r w:rsidR="005D4BB9">
        <w:rPr>
          <w:rFonts w:ascii="MinionPro-Regular" w:hAnsi="MinionPro-Regular"/>
          <w:sz w:val="20"/>
          <w:lang w:val="es-ES_tradnl"/>
        </w:rPr>
        <w:t xml:space="preserve">Las siguientes dos columnas indican la proyección a 2020 teniendo en cuenta las mismas variables, llegando al </w:t>
      </w:r>
      <w:r w:rsidR="00313BDF">
        <w:rPr>
          <w:rFonts w:ascii="MinionPro-Regular" w:hAnsi="MinionPro-Regular"/>
          <w:sz w:val="20"/>
          <w:lang w:val="es-ES_tradnl"/>
        </w:rPr>
        <w:t>1</w:t>
      </w:r>
      <w:r w:rsidR="005D4BB9">
        <w:rPr>
          <w:rFonts w:ascii="MinionPro-Regular" w:hAnsi="MinionPro-Regular"/>
          <w:sz w:val="20"/>
          <w:lang w:val="es-ES_tradnl"/>
        </w:rPr>
        <w:t>89% de retorno.</w:t>
      </w:r>
    </w:p>
    <w:p w:rsidR="00E2336B" w:rsidRDefault="00E2336B" w:rsidP="001D2EFC">
      <w:pPr>
        <w:rPr>
          <w:rFonts w:ascii="MinionPro-Regular" w:hAnsi="MinionPro-Regular"/>
          <w:sz w:val="24"/>
          <w:szCs w:val="24"/>
          <w:highlight w:val="cyan"/>
          <w:lang w:val="es-ES_tradnl"/>
        </w:rPr>
      </w:pPr>
    </w:p>
    <w:p w:rsidR="00E2336B" w:rsidRDefault="00E2336B" w:rsidP="001D2EFC">
      <w:pPr>
        <w:rPr>
          <w:rFonts w:ascii="MinionPro-Regular" w:hAnsi="MinionPro-Regular"/>
          <w:sz w:val="24"/>
          <w:szCs w:val="24"/>
          <w:highlight w:val="cyan"/>
          <w:lang w:val="es-ES_tradnl"/>
        </w:rPr>
      </w:pPr>
    </w:p>
    <w:p w:rsidR="00E2336B" w:rsidRDefault="00E2336B" w:rsidP="001D2EFC">
      <w:pPr>
        <w:rPr>
          <w:rFonts w:ascii="MinionPro-Regular" w:hAnsi="MinionPro-Regular"/>
          <w:sz w:val="24"/>
          <w:szCs w:val="24"/>
          <w:highlight w:val="cyan"/>
          <w:lang w:val="es-ES_tradnl"/>
        </w:rPr>
      </w:pPr>
    </w:p>
    <w:p w:rsidR="00E2336B" w:rsidRDefault="00E2336B" w:rsidP="001D2EFC">
      <w:pPr>
        <w:rPr>
          <w:rFonts w:ascii="MinionPro-Regular" w:hAnsi="MinionPro-Regular"/>
          <w:sz w:val="24"/>
          <w:szCs w:val="24"/>
          <w:highlight w:val="cyan"/>
          <w:lang w:val="es-ES_tradnl"/>
        </w:rPr>
      </w:pPr>
    </w:p>
    <w:p w:rsidR="00E2336B" w:rsidRDefault="00E2336B" w:rsidP="001D2EFC">
      <w:pPr>
        <w:rPr>
          <w:rFonts w:ascii="MinionPro-Regular" w:hAnsi="MinionPro-Regular"/>
          <w:sz w:val="24"/>
          <w:szCs w:val="24"/>
          <w:highlight w:val="cyan"/>
          <w:lang w:val="es-ES_tradnl"/>
        </w:rPr>
      </w:pPr>
    </w:p>
    <w:p w:rsidR="00E2336B" w:rsidRDefault="00E2336B" w:rsidP="001D2EFC">
      <w:pPr>
        <w:rPr>
          <w:rFonts w:ascii="MinionPro-Regular" w:hAnsi="MinionPro-Regular"/>
          <w:sz w:val="24"/>
          <w:szCs w:val="24"/>
          <w:highlight w:val="cyan"/>
          <w:lang w:val="es-ES_tradnl"/>
        </w:rPr>
      </w:pPr>
    </w:p>
    <w:p w:rsidR="00E2336B" w:rsidRDefault="00E2336B" w:rsidP="001D2EFC">
      <w:pPr>
        <w:rPr>
          <w:rFonts w:ascii="MinionPro-Regular" w:hAnsi="MinionPro-Regular"/>
          <w:sz w:val="24"/>
          <w:szCs w:val="24"/>
          <w:highlight w:val="cyan"/>
          <w:lang w:val="es-ES_tradnl"/>
        </w:rPr>
      </w:pPr>
    </w:p>
    <w:p w:rsidR="00E2336B" w:rsidRDefault="00E2336B" w:rsidP="001D2EFC">
      <w:pPr>
        <w:rPr>
          <w:rFonts w:ascii="MinionPro-Regular" w:hAnsi="MinionPro-Regular"/>
          <w:sz w:val="24"/>
          <w:szCs w:val="24"/>
          <w:highlight w:val="cyan"/>
          <w:lang w:val="es-ES_tradnl"/>
        </w:rPr>
      </w:pPr>
    </w:p>
    <w:p w:rsidR="00E2336B" w:rsidRDefault="00E2336B" w:rsidP="001D2EFC">
      <w:pPr>
        <w:rPr>
          <w:rFonts w:ascii="MinionPro-Regular" w:hAnsi="MinionPro-Regular"/>
          <w:sz w:val="24"/>
          <w:szCs w:val="24"/>
          <w:highlight w:val="cyan"/>
          <w:lang w:val="es-ES_tradnl"/>
        </w:rPr>
      </w:pPr>
    </w:p>
    <w:p w:rsidR="00313BDF" w:rsidRDefault="00313BDF" w:rsidP="001D2EFC">
      <w:pPr>
        <w:rPr>
          <w:rFonts w:ascii="MinionPro-Regular" w:hAnsi="MinionPro-Regular"/>
          <w:sz w:val="24"/>
          <w:szCs w:val="24"/>
          <w:highlight w:val="cyan"/>
          <w:lang w:val="es-ES_tradnl"/>
        </w:rPr>
      </w:pPr>
    </w:p>
    <w:p w:rsidR="00C01B87" w:rsidRDefault="00C01B87" w:rsidP="001D2EFC">
      <w:pPr>
        <w:rPr>
          <w:rFonts w:ascii="MinionPro-Regular" w:hAnsi="MinionPro-Regular"/>
          <w:sz w:val="24"/>
          <w:szCs w:val="24"/>
          <w:highlight w:val="cyan"/>
          <w:lang w:val="es-ES_tradnl"/>
        </w:rPr>
      </w:pPr>
    </w:p>
    <w:p w:rsidR="00E2336B" w:rsidRDefault="00E2336B" w:rsidP="00213730">
      <w:pPr>
        <w:pBdr>
          <w:top w:val="single" w:sz="4" w:space="1" w:color="auto"/>
        </w:pBdr>
        <w:autoSpaceDE w:val="0"/>
        <w:autoSpaceDN w:val="0"/>
        <w:spacing w:line="360" w:lineRule="auto"/>
        <w:jc w:val="both"/>
        <w:rPr>
          <w:rFonts w:ascii="MinionPro-Regular" w:hAnsi="MinionPro-Regular"/>
          <w:sz w:val="20"/>
          <w:lang w:val="es-ES_tradnl"/>
        </w:rPr>
      </w:pPr>
      <w:r w:rsidRPr="00213730">
        <w:rPr>
          <w:rFonts w:ascii="MinionPro-Regular" w:hAnsi="MinionPro-Regular"/>
          <w:sz w:val="20"/>
          <w:lang w:val="es-ES_tradnl"/>
        </w:rPr>
        <w:lastRenderedPageBreak/>
        <w:t>Escenario 3. Estimación total de los retornos de los centros especiales de empleo que implican salida de efectivo hacia las arcas públicas frente al total de las ayudas que también implican una salida de efectivo</w:t>
      </w:r>
      <w:r>
        <w:rPr>
          <w:rFonts w:ascii="MinionPro-Regular" w:hAnsi="MinionPro-Regular"/>
          <w:sz w:val="20"/>
          <w:lang w:val="es-ES_tradnl"/>
        </w:rPr>
        <w:t>.</w:t>
      </w:r>
    </w:p>
    <w:p w:rsidR="003E019F" w:rsidRDefault="003E019F" w:rsidP="00213730">
      <w:pPr>
        <w:pBdr>
          <w:top w:val="single" w:sz="4" w:space="1" w:color="auto"/>
        </w:pBdr>
        <w:autoSpaceDE w:val="0"/>
        <w:autoSpaceDN w:val="0"/>
        <w:spacing w:line="360" w:lineRule="auto"/>
        <w:jc w:val="both"/>
        <w:rPr>
          <w:rFonts w:ascii="MinionPro-Regular" w:hAnsi="MinionPro-Regular"/>
          <w:sz w:val="20"/>
          <w:lang w:val="es-ES_tradnl"/>
        </w:rPr>
      </w:pPr>
      <w:r w:rsidRPr="003E019F">
        <w:rPr>
          <w:noProof/>
          <w:lang w:eastAsia="es-ES"/>
        </w:rPr>
        <w:drawing>
          <wp:inline distT="0" distB="0" distL="0" distR="0">
            <wp:extent cx="5400675" cy="3536898"/>
            <wp:effectExtent l="0" t="0" r="0" b="0"/>
            <wp:docPr id="10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5"/>
                    <a:srcRect/>
                    <a:stretch>
                      <a:fillRect/>
                    </a:stretch>
                  </pic:blipFill>
                  <pic:spPr bwMode="auto">
                    <a:xfrm>
                      <a:off x="0" y="0"/>
                      <a:ext cx="5400675" cy="3536898"/>
                    </a:xfrm>
                    <a:prstGeom prst="rect">
                      <a:avLst/>
                    </a:prstGeom>
                    <a:noFill/>
                    <a:ln w="9525">
                      <a:noFill/>
                      <a:miter lim="800000"/>
                      <a:headEnd/>
                      <a:tailEnd/>
                    </a:ln>
                  </pic:spPr>
                </pic:pic>
              </a:graphicData>
            </a:graphic>
          </wp:inline>
        </w:drawing>
      </w:r>
    </w:p>
    <w:p w:rsidR="003E019F" w:rsidRDefault="003E019F" w:rsidP="00213730">
      <w:pPr>
        <w:pBdr>
          <w:bottom w:val="single" w:sz="4" w:space="1" w:color="auto"/>
        </w:pBdr>
        <w:autoSpaceDE w:val="0"/>
        <w:autoSpaceDN w:val="0"/>
        <w:spacing w:line="360" w:lineRule="auto"/>
        <w:jc w:val="both"/>
        <w:rPr>
          <w:rFonts w:ascii="MinionPro-Regular" w:hAnsi="MinionPro-Regular"/>
          <w:sz w:val="24"/>
          <w:szCs w:val="24"/>
          <w:lang w:val="es-ES_tradnl"/>
        </w:rPr>
      </w:pPr>
    </w:p>
    <w:p w:rsidR="00E2336B" w:rsidRPr="00213730" w:rsidRDefault="00E2336B" w:rsidP="00213730">
      <w:pPr>
        <w:pBdr>
          <w:bottom w:val="single" w:sz="4" w:space="1" w:color="auto"/>
        </w:pBdr>
        <w:autoSpaceDE w:val="0"/>
        <w:autoSpaceDN w:val="0"/>
        <w:spacing w:line="360" w:lineRule="auto"/>
        <w:jc w:val="both"/>
        <w:rPr>
          <w:rFonts w:ascii="MinionPro-Regular" w:hAnsi="MinionPro-Regular"/>
          <w:sz w:val="20"/>
          <w:lang w:val="es-ES_tradnl"/>
        </w:rPr>
      </w:pPr>
      <w:r w:rsidRPr="00213730">
        <w:rPr>
          <w:rFonts w:ascii="MinionPro-Regular" w:hAnsi="MinionPro-Regular"/>
          <w:sz w:val="20"/>
          <w:lang w:val="es-ES_tradnl"/>
        </w:rPr>
        <w:t>Fuente: Elaboración propia</w:t>
      </w:r>
    </w:p>
    <w:p w:rsidR="00E2336B" w:rsidRDefault="00E2336B" w:rsidP="008F0553">
      <w:pPr>
        <w:pBdr>
          <w:bottom w:val="single" w:sz="4" w:space="1" w:color="auto"/>
        </w:pBdr>
        <w:autoSpaceDE w:val="0"/>
        <w:autoSpaceDN w:val="0"/>
        <w:spacing w:line="360" w:lineRule="auto"/>
        <w:jc w:val="both"/>
        <w:rPr>
          <w:rFonts w:ascii="MinionPro-Regular" w:hAnsi="MinionPro-Regular"/>
          <w:sz w:val="24"/>
          <w:szCs w:val="24"/>
          <w:highlight w:val="cyan"/>
          <w:lang w:val="es-ES_tradnl"/>
        </w:rPr>
      </w:pPr>
      <w:r w:rsidRPr="00213730">
        <w:rPr>
          <w:rFonts w:ascii="MinionPro-Regular" w:hAnsi="MinionPro-Regular"/>
          <w:sz w:val="20"/>
          <w:lang w:val="es-ES_tradnl"/>
        </w:rPr>
        <w:t>Nota explicativa de la gráfica: El eje horizontal se constituye de cuatro columnas. Las dos primeras representa la estimación total del retorno que implica salida de efectivo frente a las ayudas de la administración pública, en el año 2011</w:t>
      </w:r>
      <w:r w:rsidR="008F0553" w:rsidRPr="008F0553">
        <w:rPr>
          <w:rFonts w:ascii="MinionPro-Regular" w:hAnsi="MinionPro-Regular"/>
          <w:sz w:val="20"/>
          <w:szCs w:val="24"/>
          <w:lang w:val="es-ES_tradnl"/>
        </w:rPr>
        <w:t xml:space="preserve"> </w:t>
      </w:r>
      <w:r w:rsidR="008F0553">
        <w:rPr>
          <w:rFonts w:ascii="MinionPro-Regular" w:hAnsi="MinionPro-Regular"/>
          <w:sz w:val="20"/>
          <w:szCs w:val="24"/>
          <w:lang w:val="es-ES_tradnl"/>
        </w:rPr>
        <w:t>que suponen un 42% de retorno</w:t>
      </w:r>
      <w:r w:rsidR="008F0553" w:rsidRPr="00455028">
        <w:rPr>
          <w:rFonts w:ascii="MinionPro-Regular" w:hAnsi="MinionPro-Regular"/>
          <w:sz w:val="20"/>
          <w:szCs w:val="24"/>
          <w:lang w:val="es-ES_tradnl"/>
        </w:rPr>
        <w:t xml:space="preserve">. </w:t>
      </w:r>
      <w:r w:rsidR="008F0553">
        <w:rPr>
          <w:rFonts w:ascii="MinionPro-Regular" w:hAnsi="MinionPro-Regular"/>
          <w:sz w:val="20"/>
          <w:lang w:val="es-ES_tradnl"/>
        </w:rPr>
        <w:t xml:space="preserve">Las siguientes dos columnas indican la proyección a 2020 teniendo en cuenta las mismas variables, llegando al </w:t>
      </w:r>
      <w:r w:rsidR="00313BDF">
        <w:rPr>
          <w:rFonts w:ascii="MinionPro-Regular" w:hAnsi="MinionPro-Regular"/>
          <w:sz w:val="20"/>
          <w:lang w:val="es-ES_tradnl"/>
        </w:rPr>
        <w:t>2</w:t>
      </w:r>
      <w:r w:rsidR="008F0553">
        <w:rPr>
          <w:rFonts w:ascii="MinionPro-Regular" w:hAnsi="MinionPro-Regular"/>
          <w:sz w:val="20"/>
          <w:lang w:val="es-ES_tradnl"/>
        </w:rPr>
        <w:t>02% de retorno.</w:t>
      </w:r>
    </w:p>
    <w:p w:rsidR="00E2336B" w:rsidRDefault="00E2336B" w:rsidP="001D2EFC">
      <w:pPr>
        <w:rPr>
          <w:rFonts w:ascii="MinionPro-Regular" w:hAnsi="MinionPro-Regular"/>
          <w:sz w:val="24"/>
          <w:szCs w:val="24"/>
          <w:highlight w:val="cyan"/>
          <w:lang w:val="es-ES_tradnl"/>
        </w:rPr>
      </w:pPr>
    </w:p>
    <w:p w:rsidR="00E2336B" w:rsidRDefault="00E2336B" w:rsidP="001D2EFC">
      <w:pPr>
        <w:rPr>
          <w:rFonts w:ascii="MinionPro-Regular" w:hAnsi="MinionPro-Regular"/>
          <w:sz w:val="24"/>
          <w:szCs w:val="24"/>
          <w:highlight w:val="cyan"/>
          <w:lang w:val="es-ES_tradnl"/>
        </w:rPr>
      </w:pPr>
    </w:p>
    <w:p w:rsidR="00E2336B" w:rsidRDefault="00E2336B" w:rsidP="001D2EFC">
      <w:pPr>
        <w:rPr>
          <w:rFonts w:ascii="MinionPro-Regular" w:hAnsi="MinionPro-Regular"/>
          <w:sz w:val="24"/>
          <w:szCs w:val="24"/>
          <w:highlight w:val="cyan"/>
          <w:lang w:val="es-ES_tradnl"/>
        </w:rPr>
      </w:pPr>
    </w:p>
    <w:p w:rsidR="00E2336B" w:rsidRDefault="00E2336B" w:rsidP="001D2EFC">
      <w:pPr>
        <w:rPr>
          <w:rFonts w:ascii="MinionPro-Regular" w:hAnsi="MinionPro-Regular"/>
          <w:sz w:val="24"/>
          <w:szCs w:val="24"/>
          <w:highlight w:val="cyan"/>
          <w:lang w:val="es-ES_tradnl"/>
        </w:rPr>
      </w:pPr>
    </w:p>
    <w:p w:rsidR="00E2336B" w:rsidRDefault="00E2336B" w:rsidP="001D2EFC">
      <w:pPr>
        <w:rPr>
          <w:rFonts w:ascii="MinionPro-Regular" w:hAnsi="MinionPro-Regular"/>
          <w:sz w:val="24"/>
          <w:szCs w:val="24"/>
          <w:highlight w:val="cyan"/>
          <w:lang w:val="es-ES_tradnl"/>
        </w:rPr>
      </w:pPr>
    </w:p>
    <w:p w:rsidR="00E2336B" w:rsidRDefault="00E2336B" w:rsidP="001D2EFC">
      <w:pPr>
        <w:rPr>
          <w:rFonts w:ascii="MinionPro-Regular" w:hAnsi="MinionPro-Regular"/>
          <w:sz w:val="24"/>
          <w:szCs w:val="24"/>
          <w:highlight w:val="cyan"/>
          <w:lang w:val="es-ES_tradnl"/>
        </w:rPr>
      </w:pPr>
    </w:p>
    <w:p w:rsidR="00E2336B" w:rsidRDefault="00E2336B" w:rsidP="001D2EFC">
      <w:pPr>
        <w:rPr>
          <w:rFonts w:ascii="MinionPro-Regular" w:hAnsi="MinionPro-Regular"/>
          <w:sz w:val="24"/>
          <w:szCs w:val="24"/>
          <w:highlight w:val="cyan"/>
          <w:lang w:val="es-ES_tradnl"/>
        </w:rPr>
      </w:pPr>
    </w:p>
    <w:p w:rsidR="00313BDF" w:rsidRDefault="00313BDF" w:rsidP="001D2EFC">
      <w:pPr>
        <w:rPr>
          <w:rFonts w:ascii="MinionPro-Regular" w:hAnsi="MinionPro-Regular"/>
          <w:sz w:val="24"/>
          <w:szCs w:val="24"/>
          <w:highlight w:val="cyan"/>
          <w:lang w:val="es-ES_tradnl"/>
        </w:rPr>
      </w:pPr>
    </w:p>
    <w:p w:rsidR="00E2336B" w:rsidRDefault="00E2336B" w:rsidP="001D2EFC">
      <w:pPr>
        <w:rPr>
          <w:rFonts w:ascii="MinionPro-Regular" w:hAnsi="MinionPro-Regular"/>
          <w:sz w:val="24"/>
          <w:szCs w:val="24"/>
          <w:highlight w:val="cyan"/>
          <w:lang w:val="es-ES_tradnl"/>
        </w:rPr>
      </w:pPr>
    </w:p>
    <w:p w:rsidR="003E019F" w:rsidRDefault="003E019F" w:rsidP="001D2EFC">
      <w:pPr>
        <w:rPr>
          <w:rFonts w:ascii="MinionPro-Regular" w:hAnsi="MinionPro-Regular"/>
          <w:sz w:val="24"/>
          <w:szCs w:val="24"/>
          <w:highlight w:val="cyan"/>
          <w:lang w:val="es-ES_tradnl"/>
        </w:rPr>
      </w:pPr>
    </w:p>
    <w:p w:rsidR="00E2336B" w:rsidRPr="00A60A5D" w:rsidRDefault="00E2336B" w:rsidP="0007541A">
      <w:pPr>
        <w:pStyle w:val="Ttulo2"/>
        <w:numPr>
          <w:ilvl w:val="1"/>
          <w:numId w:val="3"/>
        </w:numPr>
        <w:ind w:left="0"/>
        <w:rPr>
          <w:rFonts w:ascii="MinionPro-Regular" w:hAnsi="MinionPro-Regular"/>
          <w:lang w:val="es-ES_tradnl"/>
        </w:rPr>
      </w:pPr>
      <w:bookmarkStart w:id="465" w:name="_Toc352773605"/>
      <w:r w:rsidRPr="00A60A5D">
        <w:rPr>
          <w:rFonts w:ascii="MinionPro-Regular" w:hAnsi="MinionPro-Regular"/>
          <w:lang w:val="es-ES_tradnl"/>
        </w:rPr>
        <w:lastRenderedPageBreak/>
        <w:t>Retornos</w:t>
      </w:r>
      <w:r>
        <w:rPr>
          <w:rFonts w:ascii="MinionPro-Regular" w:hAnsi="MinionPro-Regular"/>
          <w:lang w:val="es-ES_tradnl"/>
        </w:rPr>
        <w:t xml:space="preserve"> a</w:t>
      </w:r>
      <w:r w:rsidRPr="00A60A5D">
        <w:rPr>
          <w:rFonts w:ascii="MinionPro-Regular" w:hAnsi="MinionPro-Regular"/>
          <w:lang w:val="es-ES_tradnl"/>
        </w:rPr>
        <w:t xml:space="preserve"> </w:t>
      </w:r>
      <w:r>
        <w:rPr>
          <w:rFonts w:ascii="MinionPro-Regular" w:hAnsi="MinionPro-Regular"/>
          <w:lang w:val="es-ES_tradnl"/>
        </w:rPr>
        <w:t xml:space="preserve">2020 </w:t>
      </w:r>
      <w:r w:rsidRPr="00A60A5D">
        <w:rPr>
          <w:rFonts w:ascii="MinionPro-Regular" w:hAnsi="MinionPro-Regular"/>
          <w:lang w:val="es-ES_tradnl"/>
        </w:rPr>
        <w:t>de los centros especiales de empleo que</w:t>
      </w:r>
      <w:r>
        <w:rPr>
          <w:rFonts w:ascii="MinionPro-Regular" w:hAnsi="MinionPro-Regular"/>
          <w:lang w:val="es-ES_tradnl"/>
        </w:rPr>
        <w:t xml:space="preserve"> no</w:t>
      </w:r>
      <w:r w:rsidRPr="00A60A5D">
        <w:rPr>
          <w:rFonts w:ascii="MinionPro-Regular" w:hAnsi="MinionPro-Regular"/>
          <w:lang w:val="es-ES_tradnl"/>
        </w:rPr>
        <w:t xml:space="preserve"> implican salida de efectivo</w:t>
      </w:r>
      <w:bookmarkEnd w:id="465"/>
    </w:p>
    <w:p w:rsidR="00E2336B" w:rsidRDefault="00E2336B" w:rsidP="001D2EFC">
      <w:pPr>
        <w:rPr>
          <w:rFonts w:ascii="MinionPro-Regular" w:hAnsi="MinionPro-Regular"/>
          <w:sz w:val="24"/>
          <w:szCs w:val="24"/>
          <w:highlight w:val="cyan"/>
          <w:lang w:val="es-ES_tradnl"/>
        </w:rPr>
      </w:pPr>
    </w:p>
    <w:p w:rsidR="00E2336B" w:rsidRDefault="00E2336B" w:rsidP="001D2EFC">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Por otra parte, se ha llevado a cabo una estimación de las ayudas que se deberían otorgar en 2020</w:t>
      </w:r>
      <w:r w:rsidRPr="008C67FC">
        <w:rPr>
          <w:rFonts w:ascii="MinionPro-Regular" w:hAnsi="MinionPro-Regular"/>
          <w:sz w:val="24"/>
          <w:szCs w:val="24"/>
          <w:lang w:val="es-ES_tradnl"/>
        </w:rPr>
        <w:t>.</w:t>
      </w:r>
      <w:r>
        <w:rPr>
          <w:rFonts w:ascii="MinionPro-Regular" w:hAnsi="MinionPro-Regular"/>
          <w:sz w:val="24"/>
          <w:szCs w:val="24"/>
          <w:lang w:val="es-ES_tradnl"/>
        </w:rPr>
        <w:t xml:space="preserve"> Estas ayudas se calculan en relación al número de personas, independientemente del salario que reciban. </w:t>
      </w:r>
    </w:p>
    <w:p w:rsidR="00E2336B" w:rsidRDefault="00E2336B">
      <w:pPr>
        <w:rPr>
          <w:rFonts w:ascii="MinionPro-Regular" w:hAnsi="MinionPro-Regular"/>
          <w:sz w:val="24"/>
          <w:szCs w:val="24"/>
          <w:highlight w:val="cyan"/>
          <w:lang w:val="es-ES_tradnl"/>
        </w:rPr>
      </w:pPr>
    </w:p>
    <w:p w:rsidR="00E2336B" w:rsidRPr="00B76545" w:rsidRDefault="00E2336B" w:rsidP="001D2EFC">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 xml:space="preserve">En este caso, en las tres tipologías de convergencia salarial el retorno se mantiene estable ya que las ayudas son independientes del salario. </w:t>
      </w:r>
    </w:p>
    <w:p w:rsidR="00E2336B" w:rsidRDefault="00E2336B" w:rsidP="001D2EFC">
      <w:pPr>
        <w:pBdr>
          <w:bottom w:val="single" w:sz="4" w:space="1" w:color="auto"/>
        </w:pBdr>
        <w:rPr>
          <w:rFonts w:ascii="MinionPro-Regular" w:hAnsi="MinionPro-Regular"/>
          <w:sz w:val="24"/>
          <w:szCs w:val="24"/>
          <w:highlight w:val="cyan"/>
          <w:lang w:val="es-ES_tradnl"/>
        </w:rPr>
      </w:pPr>
    </w:p>
    <w:p w:rsidR="00E2336B" w:rsidRDefault="00E2336B" w:rsidP="001D2EFC">
      <w:pPr>
        <w:rPr>
          <w:rFonts w:ascii="MinionPro-Regular" w:hAnsi="MinionPro-Regular"/>
          <w:sz w:val="24"/>
          <w:szCs w:val="24"/>
          <w:highlight w:val="cyan"/>
          <w:lang w:val="es-ES_tradnl"/>
        </w:rPr>
      </w:pPr>
    </w:p>
    <w:tbl>
      <w:tblPr>
        <w:tblW w:w="0" w:type="auto"/>
        <w:tblBorders>
          <w:bottom w:val="single" w:sz="12" w:space="0" w:color="409DAD"/>
        </w:tblBorders>
        <w:tblCellMar>
          <w:top w:w="28" w:type="dxa"/>
          <w:left w:w="28" w:type="dxa"/>
          <w:bottom w:w="28" w:type="dxa"/>
          <w:right w:w="28" w:type="dxa"/>
        </w:tblCellMar>
        <w:tblLook w:val="00A0"/>
      </w:tblPr>
      <w:tblGrid>
        <w:gridCol w:w="3811"/>
        <w:gridCol w:w="4094"/>
      </w:tblGrid>
      <w:tr w:rsidR="00E2336B" w:rsidRPr="0040771D" w:rsidTr="00A62C1C">
        <w:tc>
          <w:tcPr>
            <w:tcW w:w="7905" w:type="dxa"/>
            <w:gridSpan w:val="2"/>
            <w:shd w:val="clear" w:color="auto" w:fill="409DAD"/>
            <w:vAlign w:val="center"/>
          </w:tcPr>
          <w:p w:rsidR="00E2336B" w:rsidRPr="00A62C1C" w:rsidRDefault="00E2336B" w:rsidP="00A62C1C">
            <w:pPr>
              <w:spacing w:line="180" w:lineRule="atLeast"/>
              <w:jc w:val="center"/>
              <w:rPr>
                <w:rFonts w:ascii="MinionPro-Regular" w:hAnsi="MinionPro-Regular"/>
                <w:color w:val="FFFFFF"/>
                <w:szCs w:val="24"/>
                <w:lang w:val="es-ES_tradnl"/>
              </w:rPr>
            </w:pPr>
            <w:r w:rsidRPr="00A62C1C">
              <w:rPr>
                <w:rFonts w:ascii="MinionPro-Regular" w:hAnsi="MinionPro-Regular"/>
                <w:color w:val="FFFFFF"/>
                <w:szCs w:val="24"/>
                <w:lang w:val="es-ES_tradnl"/>
              </w:rPr>
              <w:t>Retorno de ayudas que implican salida de efectivo</w:t>
            </w:r>
          </w:p>
        </w:tc>
      </w:tr>
      <w:tr w:rsidR="00E2336B" w:rsidRPr="0040771D" w:rsidTr="00A62C1C">
        <w:tc>
          <w:tcPr>
            <w:tcW w:w="3811" w:type="dxa"/>
            <w:vAlign w:val="center"/>
          </w:tcPr>
          <w:p w:rsidR="00E2336B" w:rsidRPr="00A62C1C" w:rsidRDefault="00E2336B" w:rsidP="00A62C1C">
            <w:pPr>
              <w:spacing w:line="180" w:lineRule="atLeast"/>
              <w:jc w:val="center"/>
              <w:rPr>
                <w:rFonts w:ascii="MinionPro-Regular" w:hAnsi="MinionPro-Regular"/>
                <w:b/>
                <w:szCs w:val="24"/>
                <w:lang w:val="es-ES_tradnl"/>
              </w:rPr>
            </w:pPr>
            <w:r w:rsidRPr="00A62C1C">
              <w:rPr>
                <w:rFonts w:ascii="MinionPro-Regular" w:hAnsi="MinionPro-Regular"/>
                <w:b/>
                <w:szCs w:val="24"/>
                <w:lang w:val="es-ES_tradnl"/>
              </w:rPr>
              <w:t>2011</w:t>
            </w:r>
          </w:p>
        </w:tc>
        <w:tc>
          <w:tcPr>
            <w:tcW w:w="4094" w:type="dxa"/>
            <w:vAlign w:val="center"/>
          </w:tcPr>
          <w:p w:rsidR="00E2336B" w:rsidRPr="00A62C1C" w:rsidRDefault="00E2336B" w:rsidP="00A62C1C">
            <w:pPr>
              <w:spacing w:line="180" w:lineRule="atLeast"/>
              <w:jc w:val="center"/>
              <w:rPr>
                <w:rFonts w:ascii="MinionPro-Regular" w:hAnsi="MinionPro-Regular"/>
                <w:b/>
                <w:szCs w:val="24"/>
                <w:lang w:val="es-ES_tradnl"/>
              </w:rPr>
            </w:pPr>
            <w:r w:rsidRPr="00A62C1C">
              <w:rPr>
                <w:rFonts w:ascii="MinionPro-Regular" w:hAnsi="MinionPro-Regular"/>
                <w:b/>
                <w:szCs w:val="24"/>
                <w:lang w:val="es-ES_tradnl"/>
              </w:rPr>
              <w:t>2020</w:t>
            </w:r>
          </w:p>
        </w:tc>
      </w:tr>
      <w:tr w:rsidR="00E2336B" w:rsidRPr="00807944" w:rsidTr="00A62C1C">
        <w:tc>
          <w:tcPr>
            <w:tcW w:w="3811" w:type="dxa"/>
            <w:tcBorders>
              <w:bottom w:val="single" w:sz="12" w:space="0" w:color="409DAD"/>
            </w:tcBorders>
            <w:vAlign w:val="center"/>
          </w:tcPr>
          <w:p w:rsidR="00E2336B" w:rsidRPr="00807944" w:rsidRDefault="00B970E8" w:rsidP="00B0480F">
            <w:pPr>
              <w:jc w:val="center"/>
              <w:rPr>
                <w:rFonts w:ascii="MinionPro-Regular" w:hAnsi="MinionPro-Regular"/>
                <w:szCs w:val="24"/>
                <w:lang w:val="es-ES_tradnl"/>
              </w:rPr>
            </w:pPr>
            <w:r w:rsidRPr="00807944">
              <w:rPr>
                <w:rFonts w:ascii="MinionPro-Regular" w:hAnsi="MinionPro-Regular"/>
                <w:szCs w:val="24"/>
                <w:lang w:val="es-ES_tradnl"/>
              </w:rPr>
              <w:t>147</w:t>
            </w:r>
            <w:r w:rsidR="00E2336B" w:rsidRPr="00807944">
              <w:rPr>
                <w:rFonts w:ascii="MinionPro-Regular" w:hAnsi="MinionPro-Regular"/>
                <w:szCs w:val="24"/>
                <w:lang w:val="es-ES_tradnl"/>
              </w:rPr>
              <w:t>%</w:t>
            </w:r>
          </w:p>
        </w:tc>
        <w:tc>
          <w:tcPr>
            <w:tcW w:w="4094" w:type="dxa"/>
            <w:tcBorders>
              <w:bottom w:val="single" w:sz="12" w:space="0" w:color="409DAD"/>
            </w:tcBorders>
            <w:vAlign w:val="center"/>
          </w:tcPr>
          <w:p w:rsidR="00E2336B" w:rsidRPr="00807944" w:rsidRDefault="00821548" w:rsidP="00B0480F">
            <w:pPr>
              <w:jc w:val="center"/>
              <w:rPr>
                <w:rFonts w:ascii="MinionPro-Regular" w:hAnsi="MinionPro-Regular"/>
                <w:szCs w:val="24"/>
                <w:lang w:val="es-ES_tradnl"/>
              </w:rPr>
            </w:pPr>
            <w:r w:rsidRPr="00807944">
              <w:rPr>
                <w:rFonts w:ascii="MinionPro-Regular" w:hAnsi="MinionPro-Regular"/>
                <w:szCs w:val="24"/>
                <w:lang w:val="es-ES_tradnl"/>
              </w:rPr>
              <w:t>1</w:t>
            </w:r>
            <w:r w:rsidR="00B0480F" w:rsidRPr="00807944">
              <w:rPr>
                <w:rFonts w:ascii="MinionPro-Regular" w:hAnsi="MinionPro-Regular"/>
                <w:szCs w:val="24"/>
                <w:lang w:val="es-ES_tradnl"/>
              </w:rPr>
              <w:t>49</w:t>
            </w:r>
            <w:r w:rsidR="00E2336B" w:rsidRPr="00807944">
              <w:rPr>
                <w:rFonts w:ascii="MinionPro-Regular" w:hAnsi="MinionPro-Regular"/>
                <w:szCs w:val="24"/>
                <w:lang w:val="es-ES_tradnl"/>
              </w:rPr>
              <w:t>%</w:t>
            </w:r>
          </w:p>
        </w:tc>
      </w:tr>
    </w:tbl>
    <w:p w:rsidR="00E2336B" w:rsidRPr="00807944" w:rsidRDefault="00E2336B" w:rsidP="001D2EFC">
      <w:pPr>
        <w:pBdr>
          <w:bottom w:val="single" w:sz="4" w:space="1" w:color="auto"/>
        </w:pBdr>
        <w:rPr>
          <w:rFonts w:ascii="MinionPro-Regular" w:hAnsi="MinionPro-Regular"/>
          <w:sz w:val="24"/>
          <w:szCs w:val="24"/>
          <w:lang w:val="es-ES_tradnl"/>
        </w:rPr>
      </w:pPr>
      <w:r w:rsidRPr="00807944">
        <w:rPr>
          <w:rFonts w:ascii="MinionPro-Regular" w:hAnsi="MinionPro-Regular"/>
          <w:sz w:val="20"/>
          <w:szCs w:val="24"/>
          <w:lang w:val="es-ES_tradnl"/>
        </w:rPr>
        <w:t>Fuente: Elaboración propia</w:t>
      </w:r>
    </w:p>
    <w:p w:rsidR="00E2336B" w:rsidRDefault="00E2336B" w:rsidP="001D2EFC">
      <w:pPr>
        <w:rPr>
          <w:rFonts w:ascii="MinionPro-Regular" w:hAnsi="MinionPro-Regular"/>
          <w:sz w:val="24"/>
          <w:szCs w:val="24"/>
          <w:highlight w:val="cyan"/>
          <w:lang w:val="es-ES_tradnl"/>
        </w:rPr>
      </w:pPr>
    </w:p>
    <w:p w:rsidR="00E2336B" w:rsidRDefault="00E2336B" w:rsidP="001D2EFC">
      <w:pPr>
        <w:rPr>
          <w:rFonts w:ascii="MinionPro-Regular" w:hAnsi="MinionPro-Regular"/>
          <w:sz w:val="24"/>
          <w:szCs w:val="24"/>
          <w:highlight w:val="cyan"/>
          <w:lang w:val="es-ES_tradnl"/>
        </w:rPr>
      </w:pPr>
    </w:p>
    <w:p w:rsidR="00124996" w:rsidRDefault="00E2336B" w:rsidP="00213730">
      <w:pPr>
        <w:pBdr>
          <w:top w:val="single" w:sz="4" w:space="1" w:color="auto"/>
        </w:pBdr>
        <w:autoSpaceDE w:val="0"/>
        <w:autoSpaceDN w:val="0"/>
        <w:spacing w:line="360" w:lineRule="auto"/>
        <w:jc w:val="both"/>
        <w:rPr>
          <w:rFonts w:ascii="MinionPro-Regular" w:hAnsi="MinionPro-Regular"/>
          <w:color w:val="FF0000"/>
          <w:sz w:val="20"/>
          <w:lang w:val="es-ES_tradnl"/>
        </w:rPr>
      </w:pPr>
      <w:r w:rsidRPr="00213730">
        <w:rPr>
          <w:rFonts w:ascii="MinionPro-Regular" w:hAnsi="MinionPro-Regular"/>
          <w:sz w:val="20"/>
          <w:lang w:val="es-ES_tradnl"/>
        </w:rPr>
        <w:t xml:space="preserve">Escenarios 1, 2 y 3. </w:t>
      </w:r>
      <w:r w:rsidRPr="00223F12">
        <w:rPr>
          <w:rFonts w:ascii="MinionPro-Regular" w:hAnsi="MinionPro-Regular"/>
          <w:sz w:val="20"/>
          <w:lang w:val="es-ES_tradnl"/>
        </w:rPr>
        <w:t>Estimación total de los retornos de los centros especiales de empleo que no implican salida de efectivo hacia las arcas públicas frente al total de las ayudas que tampoco implican una salida de efectivo</w:t>
      </w:r>
      <w:r w:rsidR="00BF1CA4">
        <w:rPr>
          <w:rFonts w:ascii="MinionPro-Regular" w:hAnsi="MinionPro-Regular"/>
          <w:sz w:val="20"/>
          <w:lang w:val="es-ES_tradnl"/>
        </w:rPr>
        <w:t>.</w:t>
      </w:r>
    </w:p>
    <w:p w:rsidR="00BF1CA4" w:rsidRDefault="00BF1CA4" w:rsidP="00213730">
      <w:pPr>
        <w:pBdr>
          <w:top w:val="single" w:sz="4" w:space="1" w:color="auto"/>
        </w:pBdr>
        <w:autoSpaceDE w:val="0"/>
        <w:autoSpaceDN w:val="0"/>
        <w:spacing w:line="360" w:lineRule="auto"/>
        <w:jc w:val="both"/>
        <w:rPr>
          <w:rFonts w:ascii="MinionPro-Regular" w:hAnsi="MinionPro-Regular"/>
          <w:color w:val="FF0000"/>
          <w:sz w:val="20"/>
          <w:lang w:val="es-ES_tradnl"/>
        </w:rPr>
      </w:pPr>
    </w:p>
    <w:p w:rsidR="00821548" w:rsidRDefault="00B0480F" w:rsidP="00213730">
      <w:pPr>
        <w:pBdr>
          <w:top w:val="single" w:sz="4" w:space="1" w:color="auto"/>
        </w:pBdr>
        <w:autoSpaceDE w:val="0"/>
        <w:autoSpaceDN w:val="0"/>
        <w:spacing w:line="360" w:lineRule="auto"/>
        <w:jc w:val="both"/>
        <w:rPr>
          <w:rFonts w:ascii="MinionPro-Regular" w:hAnsi="MinionPro-Regular"/>
          <w:sz w:val="20"/>
          <w:lang w:val="es-ES_tradnl"/>
        </w:rPr>
      </w:pPr>
      <w:r w:rsidRPr="00B0480F">
        <w:rPr>
          <w:rFonts w:ascii="MinionPro-Regular" w:hAnsi="MinionPro-Regular"/>
          <w:noProof/>
          <w:sz w:val="20"/>
          <w:lang w:eastAsia="es-ES"/>
        </w:rPr>
        <w:lastRenderedPageBreak/>
        <w:drawing>
          <wp:inline distT="0" distB="0" distL="0" distR="0">
            <wp:extent cx="5003320" cy="3174520"/>
            <wp:effectExtent l="0" t="0" r="0" b="0"/>
            <wp:docPr id="86" name="Object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717647" cy="5788088"/>
                      <a:chOff x="678889" y="476673"/>
                      <a:chExt cx="8717647" cy="5788088"/>
                    </a:xfrm>
                  </a:grpSpPr>
                  <a:grpSp>
                    <a:nvGrpSpPr>
                      <a:cNvPr id="27" name="Group 26"/>
                      <a:cNvGrpSpPr/>
                    </a:nvGrpSpPr>
                    <a:grpSpPr>
                      <a:xfrm>
                        <a:off x="678889" y="476673"/>
                        <a:ext cx="8717647" cy="5788088"/>
                        <a:chOff x="678889" y="476673"/>
                        <a:chExt cx="8717647" cy="5788088"/>
                      </a:xfrm>
                    </a:grpSpPr>
                    <a:graphicFrame>
                      <a:nvGraphicFramePr>
                        <a:cNvPr id="4" name="Chart 3"/>
                        <a:cNvGraphicFramePr/>
                      </a:nvGraphicFramePr>
                      <a:graphic>
                        <a:graphicData uri="http://schemas.openxmlformats.org/drawingml/2006/chart">
                          <c:chart xmlns:c="http://schemas.openxmlformats.org/drawingml/2006/chart" xmlns:r="http://schemas.openxmlformats.org/officeDocument/2006/relationships" r:id="rId136"/>
                        </a:graphicData>
                      </a:graphic>
                      <a:xfrm>
                        <a:off x="678889" y="476673"/>
                        <a:ext cx="6053352" cy="5042020"/>
                      </a:xfrm>
                    </a:graphicFrame>
                    <a:sp>
                      <a:nvSpPr>
                        <a:cNvPr id="5" name="Rectangle 4"/>
                        <a:cNvSpPr/>
                      </a:nvSpPr>
                      <a:spPr>
                        <a:xfrm>
                          <a:off x="6794525" y="3452807"/>
                          <a:ext cx="1859805" cy="276999"/>
                        </a:xfrm>
                        <a:prstGeom prst="rect">
                          <a:avLst/>
                        </a:prstGeom>
                      </a:spPr>
                      <a:txSp>
                        <a:txBody>
                          <a:bodyPr wrap="none">
                            <a:spAutoFit/>
                          </a:bodyPr>
                          <a:lstStyle>
                            <a:defPPr>
                              <a:defRPr lang="es-E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s-ES" sz="1200" dirty="0" smtClean="0"/>
                              <a:t>Pensiones no contributivas</a:t>
                            </a:r>
                            <a:endParaRPr lang="es-ES" sz="1200" dirty="0"/>
                          </a:p>
                        </a:txBody>
                        <a:useSpRect/>
                      </a:txSp>
                    </a:sp>
                    <a:sp>
                      <a:nvSpPr>
                        <a:cNvPr id="6" name="Rectangle 5"/>
                        <a:cNvSpPr/>
                      </a:nvSpPr>
                      <a:spPr>
                        <a:xfrm>
                          <a:off x="6659637" y="3519298"/>
                          <a:ext cx="144016" cy="144016"/>
                        </a:xfrm>
                        <a:prstGeom prst="rect">
                          <a:avLst/>
                        </a:prstGeom>
                        <a:solidFill>
                          <a:srgbClr val="8099C6"/>
                        </a:solidFill>
                        <a:ln>
                          <a:noFill/>
                        </a:ln>
                      </a:spPr>
                      <a:txSp>
                        <a:txBody>
                          <a:bodyPr rtlCol="0" anchor="ctr"/>
                          <a:lstStyle>
                            <a:defPPr>
                              <a:defRPr lang="es-E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s-ES"/>
                          </a:p>
                        </a:txBody>
                        <a:useSpRect/>
                      </a:txSp>
                      <a:style>
                        <a:lnRef idx="2">
                          <a:schemeClr val="accent1">
                            <a:shade val="50000"/>
                          </a:schemeClr>
                        </a:lnRef>
                        <a:fillRef idx="1">
                          <a:schemeClr val="accent1"/>
                        </a:fillRef>
                        <a:effectRef idx="0">
                          <a:schemeClr val="accent1"/>
                        </a:effectRef>
                        <a:fontRef idx="minor">
                          <a:schemeClr val="lt1"/>
                        </a:fontRef>
                      </a:style>
                    </a:sp>
                    <a:sp>
                      <a:nvSpPr>
                        <a:cNvPr id="7" name="Rectangle 6"/>
                        <a:cNvSpPr/>
                      </a:nvSpPr>
                      <a:spPr>
                        <a:xfrm>
                          <a:off x="6659637" y="4196987"/>
                          <a:ext cx="144016" cy="144016"/>
                        </a:xfrm>
                        <a:prstGeom prst="rect">
                          <a:avLst/>
                        </a:prstGeom>
                        <a:solidFill>
                          <a:srgbClr val="E5EAF3"/>
                        </a:solidFill>
                        <a:ln>
                          <a:noFill/>
                        </a:ln>
                      </a:spPr>
                      <a:txSp>
                        <a:txBody>
                          <a:bodyPr rtlCol="0" anchor="ctr"/>
                          <a:lstStyle>
                            <a:defPPr>
                              <a:defRPr lang="es-E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s-ES"/>
                          </a:p>
                        </a:txBody>
                        <a:useSpRect/>
                      </a:txSp>
                      <a:style>
                        <a:lnRef idx="2">
                          <a:schemeClr val="accent1">
                            <a:shade val="50000"/>
                          </a:schemeClr>
                        </a:lnRef>
                        <a:fillRef idx="1">
                          <a:schemeClr val="accent1"/>
                        </a:fillRef>
                        <a:effectRef idx="0">
                          <a:schemeClr val="accent1"/>
                        </a:effectRef>
                        <a:fontRef idx="minor">
                          <a:schemeClr val="lt1"/>
                        </a:fontRef>
                      </a:style>
                    </a:sp>
                    <a:sp>
                      <a:nvSpPr>
                        <a:cNvPr id="8" name="Rectangle 7"/>
                        <a:cNvSpPr/>
                      </a:nvSpPr>
                      <a:spPr>
                        <a:xfrm>
                          <a:off x="6794525" y="3133417"/>
                          <a:ext cx="2250504" cy="276999"/>
                        </a:xfrm>
                        <a:prstGeom prst="rect">
                          <a:avLst/>
                        </a:prstGeom>
                      </a:spPr>
                      <a:txSp>
                        <a:txBody>
                          <a:bodyPr wrap="square">
                            <a:spAutoFit/>
                          </a:bodyPr>
                          <a:lstStyle>
                            <a:defPPr>
                              <a:defRPr lang="es-E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s-ES" sz="1200" dirty="0" smtClean="0"/>
                              <a:t>LISMI</a:t>
                            </a:r>
                            <a:endParaRPr lang="es-ES" sz="1200" dirty="0"/>
                          </a:p>
                        </a:txBody>
                        <a:useSpRect/>
                      </a:txSp>
                    </a:sp>
                    <a:sp>
                      <a:nvSpPr>
                        <a:cNvPr id="9" name="Rectangle 8"/>
                        <a:cNvSpPr/>
                      </a:nvSpPr>
                      <a:spPr>
                        <a:xfrm>
                          <a:off x="6794525" y="4130496"/>
                          <a:ext cx="2592288" cy="276999"/>
                        </a:xfrm>
                        <a:prstGeom prst="rect">
                          <a:avLst/>
                        </a:prstGeom>
                      </a:spPr>
                      <a:txSp>
                        <a:txBody>
                          <a:bodyPr wrap="square">
                            <a:spAutoFit/>
                          </a:bodyPr>
                          <a:lstStyle>
                            <a:defPPr>
                              <a:defRPr lang="es-E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s-ES" sz="1200" dirty="0" smtClean="0"/>
                              <a:t>Ahorro sanitario</a:t>
                            </a:r>
                            <a:endParaRPr lang="es-ES" sz="1200" dirty="0"/>
                          </a:p>
                        </a:txBody>
                        <a:useSpRect/>
                      </a:txSp>
                    </a:sp>
                    <a:sp>
                      <a:nvSpPr>
                        <a:cNvPr id="10" name="Rectangle 9"/>
                        <a:cNvSpPr/>
                      </a:nvSpPr>
                      <a:spPr>
                        <a:xfrm>
                          <a:off x="6659637" y="3199908"/>
                          <a:ext cx="144016" cy="144016"/>
                        </a:xfrm>
                        <a:prstGeom prst="rect">
                          <a:avLst/>
                        </a:prstGeom>
                        <a:solidFill>
                          <a:srgbClr val="4066AA"/>
                        </a:solidFill>
                        <a:ln>
                          <a:noFill/>
                        </a:ln>
                      </a:spPr>
                      <a:txSp>
                        <a:txBody>
                          <a:bodyPr rtlCol="0" anchor="ctr"/>
                          <a:lstStyle>
                            <a:defPPr>
                              <a:defRPr lang="es-E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s-ES"/>
                          </a:p>
                        </a:txBody>
                        <a:useSpRect/>
                      </a:txSp>
                      <a:style>
                        <a:lnRef idx="2">
                          <a:schemeClr val="accent1">
                            <a:shade val="50000"/>
                          </a:schemeClr>
                        </a:lnRef>
                        <a:fillRef idx="1">
                          <a:schemeClr val="accent1"/>
                        </a:fillRef>
                        <a:effectRef idx="0">
                          <a:schemeClr val="accent1"/>
                        </a:effectRef>
                        <a:fontRef idx="minor">
                          <a:schemeClr val="lt1"/>
                        </a:fontRef>
                      </a:style>
                    </a:sp>
                    <a:sp>
                      <a:nvSpPr>
                        <a:cNvPr id="11" name="Rectangle 10"/>
                        <a:cNvSpPr/>
                      </a:nvSpPr>
                      <a:spPr>
                        <a:xfrm>
                          <a:off x="6794525" y="3769414"/>
                          <a:ext cx="1662635" cy="276999"/>
                        </a:xfrm>
                        <a:prstGeom prst="rect">
                          <a:avLst/>
                        </a:prstGeom>
                      </a:spPr>
                      <a:txSp>
                        <a:txBody>
                          <a:bodyPr wrap="none">
                            <a:spAutoFit/>
                          </a:bodyPr>
                          <a:lstStyle>
                            <a:defPPr>
                              <a:defRPr lang="es-E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s-ES" sz="1200" dirty="0" smtClean="0"/>
                              <a:t>Pensiones contributivas</a:t>
                            </a:r>
                            <a:endParaRPr lang="es-ES" sz="1200" dirty="0"/>
                          </a:p>
                        </a:txBody>
                        <a:useSpRect/>
                      </a:txSp>
                    </a:sp>
                    <a:sp>
                      <a:nvSpPr>
                        <a:cNvPr id="12" name="Rectangle 11"/>
                        <a:cNvSpPr/>
                      </a:nvSpPr>
                      <a:spPr>
                        <a:xfrm>
                          <a:off x="6659637" y="3835905"/>
                          <a:ext cx="144016" cy="144016"/>
                        </a:xfrm>
                        <a:prstGeom prst="rect">
                          <a:avLst/>
                        </a:prstGeom>
                        <a:solidFill>
                          <a:srgbClr val="BFCCE3"/>
                        </a:solidFill>
                        <a:ln>
                          <a:noFill/>
                        </a:ln>
                      </a:spPr>
                      <a:txSp>
                        <a:txBody>
                          <a:bodyPr rtlCol="0" anchor="ctr"/>
                          <a:lstStyle>
                            <a:defPPr>
                              <a:defRPr lang="es-E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s-ES"/>
                          </a:p>
                        </a:txBody>
                        <a:useSpRect/>
                      </a:txSp>
                      <a:style>
                        <a:lnRef idx="2">
                          <a:schemeClr val="accent1">
                            <a:shade val="50000"/>
                          </a:schemeClr>
                        </a:lnRef>
                        <a:fillRef idx="1">
                          <a:schemeClr val="accent1"/>
                        </a:fillRef>
                        <a:effectRef idx="0">
                          <a:schemeClr val="accent1"/>
                        </a:effectRef>
                        <a:fontRef idx="minor">
                          <a:schemeClr val="lt1"/>
                        </a:fontRef>
                      </a:style>
                    </a:sp>
                    <a:sp>
                      <a:nvSpPr>
                        <a:cNvPr id="13" name="Rectangle 12"/>
                        <a:cNvSpPr/>
                      </a:nvSpPr>
                      <a:spPr>
                        <a:xfrm>
                          <a:off x="6660232" y="4536702"/>
                          <a:ext cx="144016" cy="144016"/>
                        </a:xfrm>
                        <a:prstGeom prst="rect">
                          <a:avLst/>
                        </a:prstGeom>
                        <a:solidFill>
                          <a:srgbClr val="7AB800"/>
                        </a:solidFill>
                        <a:ln>
                          <a:noFill/>
                        </a:ln>
                      </a:spPr>
                      <a:txSp>
                        <a:txBody>
                          <a:bodyPr rtlCol="0" anchor="ctr"/>
                          <a:lstStyle>
                            <a:defPPr>
                              <a:defRPr lang="es-E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s-ES"/>
                          </a:p>
                        </a:txBody>
                        <a:useSpRect/>
                      </a:txSp>
                      <a:style>
                        <a:lnRef idx="2">
                          <a:schemeClr val="accent1">
                            <a:shade val="50000"/>
                          </a:schemeClr>
                        </a:lnRef>
                        <a:fillRef idx="1">
                          <a:schemeClr val="accent1"/>
                        </a:fillRef>
                        <a:effectRef idx="0">
                          <a:schemeClr val="accent1"/>
                        </a:effectRef>
                        <a:fontRef idx="minor">
                          <a:schemeClr val="lt1"/>
                        </a:fontRef>
                      </a:style>
                    </a:sp>
                    <a:sp>
                      <a:nvSpPr>
                        <a:cNvPr id="14" name="Rectangle 13"/>
                        <a:cNvSpPr/>
                      </a:nvSpPr>
                      <a:spPr>
                        <a:xfrm>
                          <a:off x="6804248" y="4407495"/>
                          <a:ext cx="2592288" cy="461665"/>
                        </a:xfrm>
                        <a:prstGeom prst="rect">
                          <a:avLst/>
                        </a:prstGeom>
                      </a:spPr>
                      <a:txSp>
                        <a:txBody>
                          <a:bodyPr wrap="square">
                            <a:spAutoFit/>
                          </a:bodyPr>
                          <a:lstStyle>
                            <a:defPPr>
                              <a:defRPr lang="es-E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s-ES" sz="1200" dirty="0" smtClean="0"/>
                              <a:t>Ayudas de la administración que no implican salida de efectivo</a:t>
                            </a:r>
                            <a:endParaRPr lang="es-ES" sz="1200" dirty="0"/>
                          </a:p>
                        </a:txBody>
                        <a:useSpRect/>
                      </a:txSp>
                    </a:sp>
                    <a:sp>
                      <a:nvSpPr>
                        <a:cNvPr id="16" name="Rectangle 15"/>
                        <a:cNvSpPr/>
                      </a:nvSpPr>
                      <a:spPr>
                        <a:xfrm>
                          <a:off x="6804248" y="2823319"/>
                          <a:ext cx="2592288" cy="276999"/>
                        </a:xfrm>
                        <a:prstGeom prst="rect">
                          <a:avLst/>
                        </a:prstGeom>
                      </a:spPr>
                      <a:txSp>
                        <a:txBody>
                          <a:bodyPr wrap="square">
                            <a:spAutoFit/>
                          </a:bodyPr>
                          <a:lstStyle>
                            <a:defPPr>
                              <a:defRPr lang="es-E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s-ES" sz="1200" dirty="0" smtClean="0"/>
                              <a:t>Ahorro plazas ocupacionales</a:t>
                            </a:r>
                            <a:endParaRPr lang="es-ES" sz="1200" dirty="0"/>
                          </a:p>
                        </a:txBody>
                        <a:useSpRect/>
                      </a:txSp>
                    </a:sp>
                    <a:sp>
                      <a:nvSpPr>
                        <a:cNvPr id="17" name="Rectangle 16"/>
                        <a:cNvSpPr/>
                      </a:nvSpPr>
                      <a:spPr>
                        <a:xfrm>
                          <a:off x="1763688" y="5085184"/>
                          <a:ext cx="1008112" cy="784830"/>
                        </a:xfrm>
                        <a:prstGeom prst="rect">
                          <a:avLst/>
                        </a:prstGeom>
                      </a:spPr>
                      <a:txSp>
                        <a:txBody>
                          <a:bodyPr wrap="square">
                            <a:spAutoFit/>
                          </a:bodyPr>
                          <a:lstStyle>
                            <a:defPPr>
                              <a:defRPr lang="es-E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s-ES" sz="900" dirty="0" smtClean="0">
                                <a:latin typeface="MinionPro-Regular"/>
                              </a:rPr>
                              <a:t>Estimación total de los retornos que no implican salida de efectivo</a:t>
                            </a:r>
                            <a:endParaRPr lang="es-ES" sz="900" dirty="0">
                              <a:latin typeface="MinionPro-Regular"/>
                            </a:endParaRPr>
                          </a:p>
                        </a:txBody>
                        <a:useSpRect/>
                      </a:txSp>
                    </a:sp>
                    <a:sp>
                      <a:nvSpPr>
                        <a:cNvPr id="18" name="Rectangle 17"/>
                        <a:cNvSpPr/>
                      </a:nvSpPr>
                      <a:spPr>
                        <a:xfrm>
                          <a:off x="4067944" y="5085184"/>
                          <a:ext cx="1008112" cy="784830"/>
                        </a:xfrm>
                        <a:prstGeom prst="rect">
                          <a:avLst/>
                        </a:prstGeom>
                      </a:spPr>
                      <a:txSp>
                        <a:txBody>
                          <a:bodyPr wrap="square">
                            <a:spAutoFit/>
                          </a:bodyPr>
                          <a:lstStyle>
                            <a:defPPr>
                              <a:defRPr lang="es-E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s-ES" sz="900" dirty="0" smtClean="0">
                                <a:latin typeface="MinionPro-Regular"/>
                              </a:rPr>
                              <a:t>Estimación total de los retornos que no implican salida de efectivo</a:t>
                            </a:r>
                            <a:endParaRPr lang="es-ES" sz="900" dirty="0">
                              <a:latin typeface="MinionPro-Regular"/>
                            </a:endParaRPr>
                          </a:p>
                        </a:txBody>
                        <a:useSpRect/>
                      </a:txSp>
                    </a:sp>
                    <a:sp>
                      <a:nvSpPr>
                        <a:cNvPr id="19" name="Rectangle 18"/>
                        <a:cNvSpPr/>
                      </a:nvSpPr>
                      <a:spPr>
                        <a:xfrm>
                          <a:off x="2843808" y="5089522"/>
                          <a:ext cx="1080120" cy="784830"/>
                        </a:xfrm>
                        <a:prstGeom prst="rect">
                          <a:avLst/>
                        </a:prstGeom>
                      </a:spPr>
                      <a:txSp>
                        <a:txBody>
                          <a:bodyPr wrap="square">
                            <a:spAutoFit/>
                          </a:bodyPr>
                          <a:lstStyle>
                            <a:defPPr>
                              <a:defRPr lang="es-E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s-ES" sz="900" dirty="0" smtClean="0">
                                <a:latin typeface="MinionPro-Regular"/>
                              </a:rPr>
                              <a:t>Ayudas de la administración pública que no implican salida de caja</a:t>
                            </a:r>
                            <a:endParaRPr lang="es-ES" sz="900" dirty="0">
                              <a:latin typeface="MinionPro-Regular"/>
                            </a:endParaRPr>
                          </a:p>
                        </a:txBody>
                        <a:useSpRect/>
                      </a:txSp>
                    </a:sp>
                    <a:sp>
                      <a:nvSpPr>
                        <a:cNvPr id="20" name="Rectangle 19"/>
                        <a:cNvSpPr/>
                      </a:nvSpPr>
                      <a:spPr>
                        <a:xfrm>
                          <a:off x="5148064" y="5102222"/>
                          <a:ext cx="1080120" cy="784830"/>
                        </a:xfrm>
                        <a:prstGeom prst="rect">
                          <a:avLst/>
                        </a:prstGeom>
                      </a:spPr>
                      <a:txSp>
                        <a:txBody>
                          <a:bodyPr wrap="square">
                            <a:spAutoFit/>
                          </a:bodyPr>
                          <a:lstStyle>
                            <a:defPPr>
                              <a:defRPr lang="es-E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s-ES" sz="900" dirty="0" smtClean="0">
                                <a:latin typeface="MinionPro-Regular"/>
                              </a:rPr>
                              <a:t>Ayudas de la administración pública que no implican salida de caja</a:t>
                            </a:r>
                            <a:endParaRPr lang="es-ES" sz="900" dirty="0">
                              <a:latin typeface="MinionPro-Regular"/>
                            </a:endParaRPr>
                          </a:p>
                        </a:txBody>
                        <a:useSpRect/>
                      </a:txSp>
                    </a:sp>
                    <a:cxnSp>
                      <a:nvCxnSpPr>
                        <a:cNvPr id="21" name="Straight Connector 20"/>
                        <a:cNvCxnSpPr/>
                      </a:nvCxnSpPr>
                      <a:spPr>
                        <a:xfrm flipV="1">
                          <a:off x="1779775" y="5946532"/>
                          <a:ext cx="2016000" cy="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22" name="Straight Connector 21"/>
                        <a:cNvCxnSpPr/>
                      </a:nvCxnSpPr>
                      <a:spPr>
                        <a:xfrm flipV="1">
                          <a:off x="4071331" y="5946532"/>
                          <a:ext cx="2016000" cy="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sp>
                      <a:nvSpPr>
                        <a:cNvPr id="23" name="Rectangle 22"/>
                        <a:cNvSpPr/>
                      </a:nvSpPr>
                      <a:spPr>
                        <a:xfrm>
                          <a:off x="2195736" y="6018540"/>
                          <a:ext cx="1152128" cy="246221"/>
                        </a:xfrm>
                        <a:prstGeom prst="rect">
                          <a:avLst/>
                        </a:prstGeom>
                      </a:spPr>
                      <a:txSp>
                        <a:txBody>
                          <a:bodyPr wrap="square">
                            <a:spAutoFit/>
                          </a:bodyPr>
                          <a:lstStyle>
                            <a:defPPr>
                              <a:defRPr lang="es-E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s-ES_tradnl" sz="1000" b="1" dirty="0" smtClean="0">
                                <a:latin typeface="Arial"/>
                                <a:cs typeface="Arial"/>
                              </a:rPr>
                              <a:t>2011</a:t>
                            </a:r>
                            <a:endParaRPr lang="es-ES" sz="1000" b="1" dirty="0">
                              <a:latin typeface="MinionPro-Regular"/>
                            </a:endParaRPr>
                          </a:p>
                        </a:txBody>
                        <a:useSpRect/>
                      </a:txSp>
                    </a:sp>
                    <a:sp>
                      <a:nvSpPr>
                        <a:cNvPr id="24" name="Rectangle 23"/>
                        <a:cNvSpPr/>
                      </a:nvSpPr>
                      <a:spPr>
                        <a:xfrm>
                          <a:off x="4139952" y="6018540"/>
                          <a:ext cx="2016224" cy="246221"/>
                        </a:xfrm>
                        <a:prstGeom prst="rect">
                          <a:avLst/>
                        </a:prstGeom>
                      </a:spPr>
                      <a:txSp>
                        <a:txBody>
                          <a:bodyPr wrap="square">
                            <a:spAutoFit/>
                          </a:bodyPr>
                          <a:lstStyle>
                            <a:defPPr>
                              <a:defRPr lang="es-E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s-ES_tradnl" sz="1000" b="1" dirty="0" smtClean="0">
                                <a:latin typeface="Arial"/>
                                <a:cs typeface="Arial"/>
                              </a:rPr>
                              <a:t>Proyección 2020</a:t>
                            </a:r>
                            <a:endParaRPr lang="es-ES" sz="1000" b="1" dirty="0">
                              <a:latin typeface="MinionPro-Regular"/>
                            </a:endParaRPr>
                          </a:p>
                        </a:txBody>
                        <a:useSpRect/>
                      </a:txSp>
                    </a:sp>
                    <a:cxnSp>
                      <a:nvCxnSpPr>
                        <a:cNvPr id="25" name="Straight Connector 24"/>
                        <a:cNvCxnSpPr/>
                      </a:nvCxnSpPr>
                      <a:spPr>
                        <a:xfrm>
                          <a:off x="1619672" y="5013176"/>
                          <a:ext cx="4824536" cy="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sp>
                      <a:nvSpPr>
                        <a:cNvPr id="26" name="Rectangle 25"/>
                        <a:cNvSpPr/>
                      </a:nvSpPr>
                      <a:spPr>
                        <a:xfrm>
                          <a:off x="6660232" y="2895327"/>
                          <a:ext cx="144016" cy="144016"/>
                        </a:xfrm>
                        <a:prstGeom prst="rect">
                          <a:avLst/>
                        </a:prstGeom>
                        <a:solidFill>
                          <a:srgbClr val="558ED5"/>
                        </a:solidFill>
                        <a:ln>
                          <a:noFill/>
                        </a:ln>
                      </a:spPr>
                      <a:txSp>
                        <a:txBody>
                          <a:bodyPr rtlCol="0" anchor="ctr"/>
                          <a:lstStyle>
                            <a:defPPr>
                              <a:defRPr lang="es-E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s-ES"/>
                          </a:p>
                        </a:txBody>
                        <a:useSpRect/>
                      </a:txSp>
                      <a:style>
                        <a:lnRef idx="2">
                          <a:schemeClr val="accent1">
                            <a:shade val="50000"/>
                          </a:schemeClr>
                        </a:lnRef>
                        <a:fillRef idx="1">
                          <a:schemeClr val="accent1"/>
                        </a:fillRef>
                        <a:effectRef idx="0">
                          <a:schemeClr val="accent1"/>
                        </a:effectRef>
                        <a:fontRef idx="minor">
                          <a:schemeClr val="lt1"/>
                        </a:fontRef>
                      </a:style>
                    </a:sp>
                  </a:grpSp>
                </lc:lockedCanvas>
              </a:graphicData>
            </a:graphic>
          </wp:inline>
        </w:drawing>
      </w:r>
    </w:p>
    <w:p w:rsidR="00E2336B" w:rsidRDefault="00E2336B" w:rsidP="00213730">
      <w:pPr>
        <w:rPr>
          <w:rFonts w:ascii="MinionPro-Regular" w:hAnsi="MinionPro-Regular"/>
          <w:sz w:val="20"/>
          <w:lang w:val="es-ES_tradnl"/>
        </w:rPr>
      </w:pPr>
    </w:p>
    <w:p w:rsidR="00E2336B" w:rsidRDefault="00E2336B" w:rsidP="00213730">
      <w:pPr>
        <w:rPr>
          <w:rFonts w:ascii="MinionPro-Regular" w:hAnsi="MinionPro-Regular"/>
          <w:sz w:val="20"/>
          <w:lang w:val="es-ES_tradnl"/>
        </w:rPr>
      </w:pPr>
    </w:p>
    <w:p w:rsidR="00E2336B" w:rsidRDefault="00E2336B" w:rsidP="00213730">
      <w:pPr>
        <w:autoSpaceDE w:val="0"/>
        <w:autoSpaceDN w:val="0"/>
        <w:spacing w:line="360" w:lineRule="auto"/>
        <w:jc w:val="both"/>
        <w:rPr>
          <w:rFonts w:ascii="MinionPro-Regular" w:hAnsi="MinionPro-Regular"/>
          <w:sz w:val="20"/>
          <w:lang w:val="es-ES_tradnl"/>
        </w:rPr>
      </w:pPr>
      <w:r w:rsidRPr="00213730">
        <w:rPr>
          <w:rFonts w:ascii="MinionPro-Regular" w:hAnsi="MinionPro-Regular"/>
          <w:sz w:val="20"/>
          <w:lang w:val="es-ES_tradnl"/>
        </w:rPr>
        <w:t>Fuente: Elaboración propia</w:t>
      </w:r>
    </w:p>
    <w:p w:rsidR="00E2336B" w:rsidRDefault="00E2336B" w:rsidP="00213730">
      <w:pPr>
        <w:autoSpaceDE w:val="0"/>
        <w:autoSpaceDN w:val="0"/>
        <w:spacing w:line="360" w:lineRule="auto"/>
        <w:jc w:val="both"/>
        <w:rPr>
          <w:rFonts w:ascii="MinionPro-Regular" w:hAnsi="MinionPro-Regular"/>
          <w:sz w:val="20"/>
          <w:lang w:val="es-ES_tradnl"/>
        </w:rPr>
      </w:pPr>
    </w:p>
    <w:p w:rsidR="003E019F" w:rsidRDefault="00E2336B" w:rsidP="008F0553">
      <w:pPr>
        <w:pBdr>
          <w:bottom w:val="single" w:sz="4" w:space="1" w:color="auto"/>
        </w:pBdr>
        <w:autoSpaceDE w:val="0"/>
        <w:autoSpaceDN w:val="0"/>
        <w:spacing w:line="360" w:lineRule="auto"/>
        <w:jc w:val="both"/>
        <w:rPr>
          <w:rFonts w:ascii="MinionPro-Regular" w:hAnsi="MinionPro-Regular"/>
          <w:sz w:val="24"/>
          <w:szCs w:val="24"/>
          <w:highlight w:val="cyan"/>
          <w:lang w:val="es-ES_tradnl"/>
        </w:rPr>
      </w:pPr>
      <w:r w:rsidRPr="00213730">
        <w:rPr>
          <w:rFonts w:ascii="MinionPro-Regular" w:hAnsi="MinionPro-Regular"/>
          <w:sz w:val="20"/>
          <w:lang w:val="es-ES_tradnl"/>
        </w:rPr>
        <w:t>Nota explicativa de la gráfica: El eje horizontal se constituye de cuatro columnas. Las dos primeras representa la estimación total del retorno que no implica salida de efectivo frente a las ayudas de la administración pública, en el año 2011</w:t>
      </w:r>
      <w:r w:rsidR="008F0553" w:rsidRPr="008F0553">
        <w:rPr>
          <w:rFonts w:ascii="MinionPro-Regular" w:hAnsi="MinionPro-Regular"/>
          <w:sz w:val="20"/>
          <w:szCs w:val="24"/>
          <w:lang w:val="es-ES_tradnl"/>
        </w:rPr>
        <w:t xml:space="preserve"> </w:t>
      </w:r>
      <w:r w:rsidR="008F0553">
        <w:rPr>
          <w:rFonts w:ascii="MinionPro-Regular" w:hAnsi="MinionPro-Regular"/>
          <w:sz w:val="20"/>
          <w:szCs w:val="24"/>
          <w:lang w:val="es-ES_tradnl"/>
        </w:rPr>
        <w:t>que suponen un 47% de retorno</w:t>
      </w:r>
      <w:r w:rsidR="008F0553" w:rsidRPr="00455028">
        <w:rPr>
          <w:rFonts w:ascii="MinionPro-Regular" w:hAnsi="MinionPro-Regular"/>
          <w:sz w:val="20"/>
          <w:szCs w:val="24"/>
          <w:lang w:val="es-ES_tradnl"/>
        </w:rPr>
        <w:t xml:space="preserve">. </w:t>
      </w:r>
      <w:r w:rsidR="008F0553">
        <w:rPr>
          <w:rFonts w:ascii="MinionPro-Regular" w:hAnsi="MinionPro-Regular"/>
          <w:sz w:val="20"/>
          <w:lang w:val="es-ES_tradnl"/>
        </w:rPr>
        <w:t>Las siguientes dos columnas indican la proyección a 2020 teniendo en cuenta las mismas variables, llegando al 49% de retorno.</w:t>
      </w:r>
    </w:p>
    <w:p w:rsidR="003E019F" w:rsidRDefault="003E019F" w:rsidP="001D2EFC">
      <w:pPr>
        <w:rPr>
          <w:rFonts w:ascii="MinionPro-Regular" w:hAnsi="MinionPro-Regular"/>
          <w:sz w:val="24"/>
          <w:szCs w:val="24"/>
          <w:highlight w:val="cyan"/>
          <w:lang w:val="es-ES_tradnl"/>
        </w:rPr>
      </w:pPr>
    </w:p>
    <w:p w:rsidR="00E2336B" w:rsidRPr="00585535" w:rsidRDefault="00E2336B" w:rsidP="0007541A">
      <w:pPr>
        <w:pStyle w:val="Ttulo2"/>
        <w:numPr>
          <w:ilvl w:val="1"/>
          <w:numId w:val="3"/>
        </w:numPr>
        <w:ind w:left="0"/>
        <w:rPr>
          <w:rFonts w:ascii="MinionPro-Regular" w:hAnsi="MinionPro-Regular"/>
          <w:lang w:val="es-ES_tradnl"/>
        </w:rPr>
      </w:pPr>
      <w:bookmarkStart w:id="466" w:name="_Toc352773606"/>
      <w:r w:rsidRPr="00585535">
        <w:rPr>
          <w:rFonts w:ascii="MinionPro-Regular" w:hAnsi="MinionPro-Regular"/>
          <w:lang w:val="es-ES_tradnl"/>
        </w:rPr>
        <w:t xml:space="preserve">Retornos </w:t>
      </w:r>
      <w:r>
        <w:rPr>
          <w:rFonts w:ascii="MinionPro-Regular" w:hAnsi="MinionPro-Regular"/>
          <w:lang w:val="es-ES_tradnl"/>
        </w:rPr>
        <w:t xml:space="preserve">totales 2020 </w:t>
      </w:r>
      <w:r w:rsidRPr="00585535">
        <w:rPr>
          <w:rFonts w:ascii="MinionPro-Regular" w:hAnsi="MinionPro-Regular"/>
          <w:lang w:val="es-ES_tradnl"/>
        </w:rPr>
        <w:t xml:space="preserve">de </w:t>
      </w:r>
      <w:r>
        <w:rPr>
          <w:rFonts w:ascii="MinionPro-Regular" w:hAnsi="MinionPro-Regular"/>
          <w:lang w:val="es-ES_tradnl"/>
        </w:rPr>
        <w:t xml:space="preserve">las </w:t>
      </w:r>
      <w:r w:rsidRPr="00585535">
        <w:rPr>
          <w:rFonts w:ascii="MinionPro-Regular" w:hAnsi="MinionPro-Regular"/>
          <w:lang w:val="es-ES_tradnl"/>
        </w:rPr>
        <w:t xml:space="preserve">ayudas totales </w:t>
      </w:r>
      <w:r>
        <w:rPr>
          <w:rFonts w:ascii="MinionPro-Regular" w:hAnsi="MinionPro-Regular"/>
          <w:lang w:val="es-ES_tradnl"/>
        </w:rPr>
        <w:t>a</w:t>
      </w:r>
      <w:r w:rsidRPr="00585535">
        <w:rPr>
          <w:rFonts w:ascii="MinionPro-Regular" w:hAnsi="MinionPro-Regular"/>
          <w:lang w:val="es-ES_tradnl"/>
        </w:rPr>
        <w:t xml:space="preserve"> los centros especiales de empleo</w:t>
      </w:r>
      <w:bookmarkEnd w:id="466"/>
    </w:p>
    <w:p w:rsidR="00E2336B" w:rsidRDefault="00E2336B" w:rsidP="001D2EFC">
      <w:pPr>
        <w:autoSpaceDE w:val="0"/>
        <w:autoSpaceDN w:val="0"/>
        <w:spacing w:line="360" w:lineRule="auto"/>
        <w:jc w:val="both"/>
        <w:rPr>
          <w:rFonts w:ascii="MinionPro-Regular" w:hAnsi="MinionPro-Regular"/>
          <w:sz w:val="24"/>
          <w:szCs w:val="24"/>
          <w:lang w:val="es-ES_tradnl"/>
        </w:rPr>
      </w:pPr>
    </w:p>
    <w:p w:rsidR="00E2336B" w:rsidRDefault="00E2336B" w:rsidP="001D2EFC">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Considerando todos los aspectos de ayudas y retornos, independientemente de que exista una entrada y salida de caja</w:t>
      </w:r>
      <w:r w:rsidRPr="007E1DEC">
        <w:rPr>
          <w:rFonts w:ascii="MinionPro-Regular" w:hAnsi="MinionPro-Regular"/>
          <w:sz w:val="24"/>
          <w:szCs w:val="24"/>
          <w:lang w:val="es-ES_tradnl"/>
        </w:rPr>
        <w:t xml:space="preserve">, </w:t>
      </w:r>
      <w:r>
        <w:rPr>
          <w:rFonts w:ascii="MinionPro-Regular" w:hAnsi="MinionPro-Regular"/>
          <w:sz w:val="24"/>
          <w:szCs w:val="24"/>
          <w:lang w:val="es-ES_tradnl"/>
        </w:rPr>
        <w:t>se obtendrían</w:t>
      </w:r>
      <w:r w:rsidRPr="007E1DEC">
        <w:rPr>
          <w:rFonts w:ascii="MinionPro-Regular" w:hAnsi="MinionPro-Regular"/>
          <w:sz w:val="24"/>
          <w:szCs w:val="24"/>
          <w:lang w:val="es-ES_tradnl"/>
        </w:rPr>
        <w:t xml:space="preserve"> los siguientes porcentajes </w:t>
      </w:r>
      <w:r>
        <w:rPr>
          <w:rFonts w:ascii="MinionPro-Regular" w:hAnsi="MinionPro-Regular"/>
          <w:sz w:val="24"/>
          <w:szCs w:val="24"/>
          <w:lang w:val="es-ES_tradnl"/>
        </w:rPr>
        <w:t>para cada uno de los</w:t>
      </w:r>
      <w:r w:rsidRPr="007E1DEC">
        <w:rPr>
          <w:rFonts w:ascii="MinionPro-Regular" w:hAnsi="MinionPro-Regular"/>
          <w:sz w:val="24"/>
          <w:szCs w:val="24"/>
          <w:lang w:val="es-ES_tradnl"/>
        </w:rPr>
        <w:t xml:space="preserve"> escenario</w:t>
      </w:r>
      <w:r>
        <w:rPr>
          <w:rFonts w:ascii="MinionPro-Regular" w:hAnsi="MinionPro-Regular"/>
          <w:sz w:val="24"/>
          <w:szCs w:val="24"/>
          <w:lang w:val="es-ES_tradnl"/>
        </w:rPr>
        <w:t>s planteados para</w:t>
      </w:r>
      <w:r w:rsidRPr="007E1DEC">
        <w:rPr>
          <w:rFonts w:ascii="MinionPro-Regular" w:hAnsi="MinionPro-Regular"/>
          <w:sz w:val="24"/>
          <w:szCs w:val="24"/>
          <w:lang w:val="es-ES_tradnl"/>
        </w:rPr>
        <w:t xml:space="preserve"> </w:t>
      </w:r>
      <w:r>
        <w:rPr>
          <w:rFonts w:ascii="MinionPro-Regular" w:hAnsi="MinionPro-Regular"/>
          <w:sz w:val="24"/>
          <w:szCs w:val="24"/>
          <w:lang w:val="es-ES_tradnl"/>
        </w:rPr>
        <w:t xml:space="preserve">el año </w:t>
      </w:r>
      <w:r w:rsidRPr="007E1DEC">
        <w:rPr>
          <w:rFonts w:ascii="MinionPro-Regular" w:hAnsi="MinionPro-Regular"/>
          <w:sz w:val="24"/>
          <w:szCs w:val="24"/>
          <w:lang w:val="es-ES_tradnl"/>
        </w:rPr>
        <w:t>2020:</w:t>
      </w:r>
    </w:p>
    <w:p w:rsidR="00E2336B" w:rsidRDefault="00E2336B" w:rsidP="0009346A">
      <w:pPr>
        <w:autoSpaceDE w:val="0"/>
        <w:autoSpaceDN w:val="0"/>
        <w:spacing w:line="360" w:lineRule="auto"/>
        <w:jc w:val="both"/>
        <w:rPr>
          <w:rFonts w:ascii="MinionPro-Regular" w:hAnsi="MinionPro-Regular"/>
          <w:sz w:val="24"/>
          <w:szCs w:val="24"/>
          <w:lang w:val="es-ES_tradnl"/>
        </w:rPr>
      </w:pPr>
    </w:p>
    <w:p w:rsidR="00E2336B" w:rsidRDefault="00E2336B" w:rsidP="0009346A">
      <w:pPr>
        <w:pBdr>
          <w:top w:val="single" w:sz="4" w:space="1" w:color="auto"/>
        </w:pBdr>
        <w:rPr>
          <w:rFonts w:ascii="MinionPro-Regular" w:hAnsi="MinionPro-Regular"/>
          <w:sz w:val="24"/>
          <w:szCs w:val="24"/>
          <w:highlight w:val="cyan"/>
          <w:lang w:val="es-ES_tradnl"/>
        </w:rPr>
      </w:pPr>
    </w:p>
    <w:tbl>
      <w:tblPr>
        <w:tblW w:w="0" w:type="auto"/>
        <w:tblBorders>
          <w:bottom w:val="single" w:sz="12" w:space="0" w:color="409DAD"/>
        </w:tblBorders>
        <w:tblCellMar>
          <w:top w:w="28" w:type="dxa"/>
          <w:left w:w="28" w:type="dxa"/>
          <w:bottom w:w="28" w:type="dxa"/>
          <w:right w:w="28" w:type="dxa"/>
        </w:tblCellMar>
        <w:tblLook w:val="00A0"/>
      </w:tblPr>
      <w:tblGrid>
        <w:gridCol w:w="2394"/>
        <w:gridCol w:w="2409"/>
        <w:gridCol w:w="3102"/>
      </w:tblGrid>
      <w:tr w:rsidR="00E2336B" w:rsidRPr="0040771D" w:rsidTr="00A62C1C">
        <w:tc>
          <w:tcPr>
            <w:tcW w:w="7905" w:type="dxa"/>
            <w:gridSpan w:val="3"/>
            <w:shd w:val="clear" w:color="auto" w:fill="409DAD"/>
            <w:vAlign w:val="center"/>
          </w:tcPr>
          <w:p w:rsidR="00E2336B" w:rsidRPr="00A62C1C" w:rsidRDefault="00E2336B" w:rsidP="00A62C1C">
            <w:pPr>
              <w:spacing w:line="180" w:lineRule="atLeast"/>
              <w:jc w:val="center"/>
              <w:rPr>
                <w:rFonts w:ascii="MinionPro-Regular" w:hAnsi="MinionPro-Regular"/>
                <w:color w:val="FFFFFF"/>
                <w:szCs w:val="24"/>
                <w:lang w:val="es-ES_tradnl"/>
              </w:rPr>
            </w:pPr>
            <w:r w:rsidRPr="00A62C1C">
              <w:rPr>
                <w:rFonts w:ascii="MinionPro-Regular" w:hAnsi="MinionPro-Regular"/>
                <w:color w:val="FFFFFF"/>
                <w:szCs w:val="24"/>
                <w:lang w:val="es-ES_tradnl"/>
              </w:rPr>
              <w:lastRenderedPageBreak/>
              <w:t>Retorno de ayudas totales</w:t>
            </w:r>
          </w:p>
        </w:tc>
      </w:tr>
      <w:tr w:rsidR="00E2336B" w:rsidRPr="0040771D" w:rsidTr="00A62C1C">
        <w:tc>
          <w:tcPr>
            <w:tcW w:w="2394" w:type="dxa"/>
            <w:vAlign w:val="center"/>
          </w:tcPr>
          <w:p w:rsidR="00E2336B" w:rsidRPr="00A62C1C" w:rsidRDefault="00E2336B" w:rsidP="00A62C1C">
            <w:pPr>
              <w:spacing w:line="180" w:lineRule="atLeast"/>
              <w:jc w:val="center"/>
              <w:rPr>
                <w:rFonts w:ascii="MinionPro-Regular" w:hAnsi="MinionPro-Regular"/>
                <w:b/>
                <w:szCs w:val="24"/>
                <w:lang w:val="es-ES_tradnl"/>
              </w:rPr>
            </w:pPr>
            <w:r w:rsidRPr="00A62C1C">
              <w:rPr>
                <w:rFonts w:ascii="MinionPro-Regular" w:hAnsi="MinionPro-Regular"/>
                <w:b/>
                <w:szCs w:val="24"/>
                <w:lang w:val="es-ES_tradnl"/>
              </w:rPr>
              <w:t>2011</w:t>
            </w:r>
          </w:p>
        </w:tc>
        <w:tc>
          <w:tcPr>
            <w:tcW w:w="5511" w:type="dxa"/>
            <w:gridSpan w:val="2"/>
            <w:vAlign w:val="center"/>
          </w:tcPr>
          <w:p w:rsidR="00E2336B" w:rsidRPr="00A62C1C" w:rsidRDefault="00E2336B" w:rsidP="00A62C1C">
            <w:pPr>
              <w:spacing w:line="180" w:lineRule="atLeast"/>
              <w:jc w:val="center"/>
              <w:rPr>
                <w:rFonts w:ascii="MinionPro-Regular" w:hAnsi="MinionPro-Regular"/>
                <w:b/>
                <w:szCs w:val="24"/>
                <w:lang w:val="es-ES_tradnl"/>
              </w:rPr>
            </w:pPr>
            <w:r w:rsidRPr="00A62C1C">
              <w:rPr>
                <w:rFonts w:ascii="MinionPro-Regular" w:hAnsi="MinionPro-Regular"/>
                <w:b/>
                <w:szCs w:val="24"/>
                <w:lang w:val="es-ES_tradnl"/>
              </w:rPr>
              <w:t>2020</w:t>
            </w:r>
          </w:p>
        </w:tc>
      </w:tr>
      <w:tr w:rsidR="00E2336B" w:rsidRPr="0040771D" w:rsidTr="00A62C1C">
        <w:tc>
          <w:tcPr>
            <w:tcW w:w="2394" w:type="dxa"/>
            <w:vAlign w:val="center"/>
          </w:tcPr>
          <w:p w:rsidR="00E2336B" w:rsidRPr="00807944" w:rsidRDefault="00C01B87" w:rsidP="00A62C1C">
            <w:pPr>
              <w:jc w:val="center"/>
              <w:rPr>
                <w:rFonts w:ascii="MinionPro-Regular" w:hAnsi="MinionPro-Regular"/>
                <w:szCs w:val="24"/>
                <w:lang w:val="es-ES_tradnl"/>
              </w:rPr>
            </w:pPr>
            <w:r w:rsidRPr="00807944">
              <w:rPr>
                <w:rFonts w:ascii="MinionPro-Regular" w:hAnsi="MinionPro-Regular"/>
                <w:szCs w:val="24"/>
                <w:lang w:val="es-ES_tradnl"/>
              </w:rPr>
              <w:t>144</w:t>
            </w:r>
            <w:r w:rsidR="00E2336B" w:rsidRPr="00807944">
              <w:rPr>
                <w:rFonts w:ascii="MinionPro-Regular" w:hAnsi="MinionPro-Regular"/>
                <w:szCs w:val="24"/>
                <w:lang w:val="es-ES_tradnl"/>
              </w:rPr>
              <w:t>%</w:t>
            </w:r>
          </w:p>
        </w:tc>
        <w:tc>
          <w:tcPr>
            <w:tcW w:w="2409" w:type="dxa"/>
            <w:vAlign w:val="center"/>
          </w:tcPr>
          <w:p w:rsidR="00E2336B" w:rsidRPr="00807944" w:rsidRDefault="00821548" w:rsidP="00B0480F">
            <w:pPr>
              <w:jc w:val="center"/>
              <w:rPr>
                <w:rFonts w:ascii="MinionPro-Regular" w:hAnsi="MinionPro-Regular"/>
                <w:szCs w:val="24"/>
                <w:lang w:val="es-ES_tradnl"/>
              </w:rPr>
            </w:pPr>
            <w:r w:rsidRPr="00807944">
              <w:rPr>
                <w:rFonts w:ascii="MinionPro-Regular" w:hAnsi="MinionPro-Regular"/>
                <w:szCs w:val="24"/>
                <w:lang w:val="es-ES_tradnl"/>
              </w:rPr>
              <w:t>1</w:t>
            </w:r>
            <w:r w:rsidR="00B0480F" w:rsidRPr="00807944">
              <w:rPr>
                <w:rFonts w:ascii="MinionPro-Regular" w:hAnsi="MinionPro-Regular"/>
                <w:szCs w:val="24"/>
                <w:lang w:val="es-ES_tradnl"/>
              </w:rPr>
              <w:t>67</w:t>
            </w:r>
            <w:r w:rsidR="00E2336B" w:rsidRPr="00807944">
              <w:rPr>
                <w:rFonts w:ascii="MinionPro-Regular" w:hAnsi="MinionPro-Regular"/>
                <w:szCs w:val="24"/>
                <w:lang w:val="es-ES_tradnl"/>
              </w:rPr>
              <w:t>%</w:t>
            </w:r>
          </w:p>
        </w:tc>
        <w:tc>
          <w:tcPr>
            <w:tcW w:w="3102" w:type="dxa"/>
            <w:vAlign w:val="center"/>
          </w:tcPr>
          <w:p w:rsidR="00E2336B" w:rsidRPr="00A62C1C" w:rsidRDefault="00E2336B" w:rsidP="00A62C1C">
            <w:pPr>
              <w:spacing w:line="180" w:lineRule="atLeast"/>
              <w:rPr>
                <w:rFonts w:ascii="MinionPro-Regular" w:hAnsi="MinionPro-Regular"/>
                <w:szCs w:val="24"/>
                <w:lang w:val="es-ES_tradnl"/>
              </w:rPr>
            </w:pPr>
            <w:r w:rsidRPr="00A62C1C">
              <w:rPr>
                <w:rFonts w:ascii="MinionPro-Regular" w:hAnsi="MinionPro-Regular"/>
                <w:szCs w:val="24"/>
                <w:lang w:val="es-ES_tradnl"/>
              </w:rPr>
              <w:t>Escenario 1 - tendencia actual</w:t>
            </w:r>
          </w:p>
        </w:tc>
      </w:tr>
      <w:tr w:rsidR="00E2336B" w:rsidRPr="0040771D" w:rsidTr="00A62C1C">
        <w:tc>
          <w:tcPr>
            <w:tcW w:w="2394" w:type="dxa"/>
            <w:vAlign w:val="center"/>
          </w:tcPr>
          <w:p w:rsidR="00E2336B" w:rsidRPr="00807944" w:rsidRDefault="00C01B87" w:rsidP="00A62C1C">
            <w:pPr>
              <w:jc w:val="center"/>
              <w:rPr>
                <w:rFonts w:ascii="MinionPro-Regular" w:hAnsi="MinionPro-Regular"/>
                <w:szCs w:val="24"/>
                <w:lang w:val="es-ES_tradnl"/>
              </w:rPr>
            </w:pPr>
            <w:r w:rsidRPr="00807944">
              <w:rPr>
                <w:rFonts w:ascii="MinionPro-Regular" w:hAnsi="MinionPro-Regular"/>
                <w:szCs w:val="24"/>
                <w:lang w:val="es-ES_tradnl"/>
              </w:rPr>
              <w:t>144%</w:t>
            </w:r>
          </w:p>
        </w:tc>
        <w:tc>
          <w:tcPr>
            <w:tcW w:w="2409" w:type="dxa"/>
            <w:vAlign w:val="center"/>
          </w:tcPr>
          <w:p w:rsidR="00E2336B" w:rsidRPr="00807944" w:rsidRDefault="00821548" w:rsidP="00B0480F">
            <w:pPr>
              <w:jc w:val="center"/>
              <w:rPr>
                <w:rFonts w:ascii="MinionPro-Regular" w:hAnsi="MinionPro-Regular"/>
                <w:szCs w:val="24"/>
                <w:lang w:val="es-ES_tradnl"/>
              </w:rPr>
            </w:pPr>
            <w:r w:rsidRPr="00807944">
              <w:rPr>
                <w:rFonts w:ascii="MinionPro-Regular" w:hAnsi="MinionPro-Regular"/>
                <w:szCs w:val="24"/>
                <w:lang w:val="es-ES_tradnl"/>
              </w:rPr>
              <w:t>1</w:t>
            </w:r>
            <w:r w:rsidR="00B0480F" w:rsidRPr="00807944">
              <w:rPr>
                <w:rFonts w:ascii="MinionPro-Regular" w:hAnsi="MinionPro-Regular"/>
                <w:szCs w:val="24"/>
                <w:lang w:val="es-ES_tradnl"/>
              </w:rPr>
              <w:t>76</w:t>
            </w:r>
            <w:r w:rsidR="00E2336B" w:rsidRPr="00807944">
              <w:rPr>
                <w:rFonts w:ascii="MinionPro-Regular" w:hAnsi="MinionPro-Regular"/>
                <w:szCs w:val="24"/>
                <w:lang w:val="es-ES_tradnl"/>
              </w:rPr>
              <w:t>%</w:t>
            </w:r>
          </w:p>
        </w:tc>
        <w:tc>
          <w:tcPr>
            <w:tcW w:w="3102" w:type="dxa"/>
            <w:vAlign w:val="center"/>
          </w:tcPr>
          <w:p w:rsidR="00E2336B" w:rsidRPr="00A62C1C" w:rsidRDefault="00E2336B" w:rsidP="00A62C1C">
            <w:pPr>
              <w:spacing w:line="180" w:lineRule="atLeast"/>
              <w:rPr>
                <w:rFonts w:ascii="MinionPro-Regular" w:hAnsi="MinionPro-Regular"/>
                <w:szCs w:val="24"/>
                <w:lang w:val="es-ES_tradnl"/>
              </w:rPr>
            </w:pPr>
            <w:r w:rsidRPr="00A62C1C">
              <w:rPr>
                <w:rFonts w:ascii="MinionPro-Regular" w:hAnsi="MinionPro-Regular"/>
                <w:szCs w:val="24"/>
                <w:lang w:val="es-ES_tradnl"/>
              </w:rPr>
              <w:t>Escenario 2 - moderado</w:t>
            </w:r>
          </w:p>
        </w:tc>
      </w:tr>
      <w:tr w:rsidR="00E2336B" w:rsidRPr="0040771D" w:rsidTr="00A62C1C">
        <w:tc>
          <w:tcPr>
            <w:tcW w:w="2394" w:type="dxa"/>
            <w:tcBorders>
              <w:bottom w:val="single" w:sz="12" w:space="0" w:color="409DAD"/>
            </w:tcBorders>
            <w:vAlign w:val="center"/>
          </w:tcPr>
          <w:p w:rsidR="00E2336B" w:rsidRPr="00807944" w:rsidRDefault="00C01B87" w:rsidP="00A62C1C">
            <w:pPr>
              <w:jc w:val="center"/>
              <w:rPr>
                <w:rFonts w:ascii="MinionPro-Regular" w:hAnsi="MinionPro-Regular"/>
                <w:szCs w:val="24"/>
                <w:lang w:val="es-ES_tradnl"/>
              </w:rPr>
            </w:pPr>
            <w:r w:rsidRPr="00807944">
              <w:rPr>
                <w:rFonts w:ascii="MinionPro-Regular" w:hAnsi="MinionPro-Regular"/>
                <w:szCs w:val="24"/>
                <w:lang w:val="es-ES_tradnl"/>
              </w:rPr>
              <w:t>144%</w:t>
            </w:r>
          </w:p>
        </w:tc>
        <w:tc>
          <w:tcPr>
            <w:tcW w:w="2409" w:type="dxa"/>
            <w:tcBorders>
              <w:bottom w:val="single" w:sz="12" w:space="0" w:color="409DAD"/>
            </w:tcBorders>
            <w:vAlign w:val="center"/>
          </w:tcPr>
          <w:p w:rsidR="00E2336B" w:rsidRPr="00807944" w:rsidRDefault="00821548" w:rsidP="00B0480F">
            <w:pPr>
              <w:jc w:val="center"/>
              <w:rPr>
                <w:rFonts w:ascii="MinionPro-Regular" w:hAnsi="MinionPro-Regular"/>
                <w:szCs w:val="24"/>
                <w:lang w:val="es-ES_tradnl"/>
              </w:rPr>
            </w:pPr>
            <w:r w:rsidRPr="00807944">
              <w:rPr>
                <w:rFonts w:ascii="MinionPro-Regular" w:hAnsi="MinionPro-Regular"/>
                <w:szCs w:val="24"/>
                <w:lang w:val="es-ES_tradnl"/>
              </w:rPr>
              <w:t>1</w:t>
            </w:r>
            <w:r w:rsidR="00B0480F" w:rsidRPr="00807944">
              <w:rPr>
                <w:rFonts w:ascii="MinionPro-Regular" w:hAnsi="MinionPro-Regular"/>
                <w:szCs w:val="24"/>
                <w:lang w:val="es-ES_tradnl"/>
              </w:rPr>
              <w:t>84</w:t>
            </w:r>
            <w:r w:rsidR="00E2336B" w:rsidRPr="00807944">
              <w:rPr>
                <w:rFonts w:ascii="MinionPro-Regular" w:hAnsi="MinionPro-Regular"/>
                <w:szCs w:val="24"/>
                <w:lang w:val="es-ES_tradnl"/>
              </w:rPr>
              <w:t>%</w:t>
            </w:r>
          </w:p>
        </w:tc>
        <w:tc>
          <w:tcPr>
            <w:tcW w:w="3102" w:type="dxa"/>
            <w:tcBorders>
              <w:bottom w:val="single" w:sz="12" w:space="0" w:color="409DAD"/>
            </w:tcBorders>
            <w:vAlign w:val="center"/>
          </w:tcPr>
          <w:p w:rsidR="00E2336B" w:rsidRPr="00A62C1C" w:rsidRDefault="00E2336B" w:rsidP="00A62C1C">
            <w:pPr>
              <w:spacing w:line="180" w:lineRule="atLeast"/>
              <w:rPr>
                <w:rFonts w:ascii="MinionPro-Regular" w:hAnsi="MinionPro-Regular"/>
                <w:szCs w:val="24"/>
                <w:lang w:val="es-ES_tradnl"/>
              </w:rPr>
            </w:pPr>
            <w:r w:rsidRPr="00A62C1C">
              <w:rPr>
                <w:rFonts w:ascii="MinionPro-Regular" w:hAnsi="MinionPro-Regular"/>
                <w:szCs w:val="24"/>
                <w:lang w:val="es-ES_tradnl"/>
              </w:rPr>
              <w:t>Escenario 3 - convergencia total</w:t>
            </w:r>
          </w:p>
        </w:tc>
      </w:tr>
    </w:tbl>
    <w:p w:rsidR="00E2336B" w:rsidRPr="0040771D" w:rsidRDefault="00E2336B" w:rsidP="001D2EFC">
      <w:pPr>
        <w:pBdr>
          <w:bottom w:val="single" w:sz="4" w:space="1" w:color="auto"/>
        </w:pBdr>
        <w:rPr>
          <w:rFonts w:ascii="MinionPro-Regular" w:hAnsi="MinionPro-Regular"/>
          <w:sz w:val="24"/>
          <w:szCs w:val="24"/>
          <w:lang w:val="es-ES_tradnl"/>
        </w:rPr>
      </w:pPr>
      <w:r w:rsidRPr="0040771D">
        <w:rPr>
          <w:rFonts w:ascii="MinionPro-Regular" w:hAnsi="MinionPro-Regular"/>
          <w:sz w:val="20"/>
          <w:szCs w:val="24"/>
          <w:lang w:val="es-ES_tradnl"/>
        </w:rPr>
        <w:t>Fuente: Elaboración propia</w:t>
      </w:r>
    </w:p>
    <w:p w:rsidR="00821548" w:rsidRDefault="00821548" w:rsidP="001D2EFC">
      <w:pPr>
        <w:rPr>
          <w:rFonts w:ascii="MinionPro-Regular" w:hAnsi="MinionPro-Regular"/>
          <w:sz w:val="24"/>
          <w:szCs w:val="24"/>
          <w:highlight w:val="cyan"/>
          <w:lang w:val="es-ES_tradnl"/>
        </w:rPr>
      </w:pPr>
    </w:p>
    <w:p w:rsidR="00821548" w:rsidRDefault="00821548" w:rsidP="001D2EFC">
      <w:pPr>
        <w:rPr>
          <w:rFonts w:ascii="MinionPro-Regular" w:hAnsi="MinionPro-Regular"/>
          <w:sz w:val="24"/>
          <w:szCs w:val="24"/>
          <w:highlight w:val="cyan"/>
          <w:lang w:val="es-ES_tradnl"/>
        </w:rPr>
      </w:pPr>
    </w:p>
    <w:p w:rsidR="00BF1CA4" w:rsidRDefault="00BF1CA4" w:rsidP="001D2EFC">
      <w:pPr>
        <w:rPr>
          <w:rFonts w:ascii="MinionPro-Regular" w:hAnsi="MinionPro-Regular"/>
          <w:sz w:val="24"/>
          <w:szCs w:val="24"/>
          <w:highlight w:val="cyan"/>
          <w:lang w:val="es-ES_tradnl"/>
        </w:rPr>
      </w:pPr>
    </w:p>
    <w:p w:rsidR="00BF1CA4" w:rsidRDefault="00BF1CA4" w:rsidP="001D2EFC">
      <w:pPr>
        <w:rPr>
          <w:rFonts w:ascii="MinionPro-Regular" w:hAnsi="MinionPro-Regular"/>
          <w:sz w:val="24"/>
          <w:szCs w:val="24"/>
          <w:highlight w:val="cyan"/>
          <w:lang w:val="es-ES_tradnl"/>
        </w:rPr>
      </w:pPr>
    </w:p>
    <w:p w:rsidR="00BF1CA4" w:rsidRDefault="00BF1CA4" w:rsidP="001D2EFC">
      <w:pPr>
        <w:rPr>
          <w:rFonts w:ascii="MinionPro-Regular" w:hAnsi="MinionPro-Regular"/>
          <w:sz w:val="24"/>
          <w:szCs w:val="24"/>
          <w:highlight w:val="cyan"/>
          <w:lang w:val="es-ES_tradnl"/>
        </w:rPr>
      </w:pPr>
    </w:p>
    <w:p w:rsidR="00BF1CA4" w:rsidRDefault="00BF1CA4" w:rsidP="001D2EFC">
      <w:pPr>
        <w:rPr>
          <w:rFonts w:ascii="MinionPro-Regular" w:hAnsi="MinionPro-Regular"/>
          <w:sz w:val="24"/>
          <w:szCs w:val="24"/>
          <w:highlight w:val="cyan"/>
          <w:lang w:val="es-ES_tradnl"/>
        </w:rPr>
      </w:pPr>
    </w:p>
    <w:p w:rsidR="00BF1CA4" w:rsidRDefault="00BF1CA4" w:rsidP="001D2EFC">
      <w:pPr>
        <w:rPr>
          <w:rFonts w:ascii="MinionPro-Regular" w:hAnsi="MinionPro-Regular"/>
          <w:sz w:val="24"/>
          <w:szCs w:val="24"/>
          <w:highlight w:val="cyan"/>
          <w:lang w:val="es-ES_tradnl"/>
        </w:rPr>
      </w:pPr>
    </w:p>
    <w:p w:rsidR="00BF1CA4" w:rsidRDefault="00BF1CA4" w:rsidP="001D2EFC">
      <w:pPr>
        <w:rPr>
          <w:rFonts w:ascii="MinionPro-Regular" w:hAnsi="MinionPro-Regular"/>
          <w:sz w:val="24"/>
          <w:szCs w:val="24"/>
          <w:highlight w:val="cyan"/>
          <w:lang w:val="es-ES_tradnl"/>
        </w:rPr>
      </w:pPr>
    </w:p>
    <w:p w:rsidR="001E0871" w:rsidRDefault="001E0871" w:rsidP="001D2EFC">
      <w:pPr>
        <w:rPr>
          <w:rFonts w:ascii="MinionPro-Regular" w:hAnsi="MinionPro-Regular"/>
          <w:sz w:val="24"/>
          <w:szCs w:val="24"/>
          <w:highlight w:val="cyan"/>
          <w:lang w:val="es-ES_tradnl"/>
        </w:rPr>
      </w:pPr>
    </w:p>
    <w:p w:rsidR="001E0871" w:rsidRDefault="001E0871" w:rsidP="001D2EFC">
      <w:pPr>
        <w:rPr>
          <w:rFonts w:ascii="MinionPro-Regular" w:hAnsi="MinionPro-Regular"/>
          <w:sz w:val="24"/>
          <w:szCs w:val="24"/>
          <w:highlight w:val="cyan"/>
          <w:lang w:val="es-ES_tradnl"/>
        </w:rPr>
      </w:pPr>
    </w:p>
    <w:p w:rsidR="00BF1CA4" w:rsidRDefault="00BF1CA4" w:rsidP="001D2EFC">
      <w:pPr>
        <w:rPr>
          <w:rFonts w:ascii="MinionPro-Regular" w:hAnsi="MinionPro-Regular"/>
          <w:sz w:val="24"/>
          <w:szCs w:val="24"/>
          <w:highlight w:val="cyan"/>
          <w:lang w:val="es-ES_tradnl"/>
        </w:rPr>
      </w:pPr>
    </w:p>
    <w:p w:rsidR="00BF1CA4" w:rsidRDefault="00BF1CA4" w:rsidP="001D2EFC">
      <w:pPr>
        <w:rPr>
          <w:rFonts w:ascii="MinionPro-Regular" w:hAnsi="MinionPro-Regular"/>
          <w:sz w:val="24"/>
          <w:szCs w:val="24"/>
          <w:highlight w:val="cyan"/>
          <w:lang w:val="es-ES_tradnl"/>
        </w:rPr>
      </w:pPr>
    </w:p>
    <w:p w:rsidR="00BF1CA4" w:rsidRDefault="00BF1CA4" w:rsidP="001D2EFC">
      <w:pPr>
        <w:rPr>
          <w:rFonts w:ascii="MinionPro-Regular" w:hAnsi="MinionPro-Regular"/>
          <w:sz w:val="24"/>
          <w:szCs w:val="24"/>
          <w:highlight w:val="cyan"/>
          <w:lang w:val="es-ES_tradnl"/>
        </w:rPr>
      </w:pPr>
    </w:p>
    <w:p w:rsidR="00BF1CA4" w:rsidRDefault="00BF1CA4" w:rsidP="001D2EFC">
      <w:pPr>
        <w:rPr>
          <w:rFonts w:ascii="MinionPro-Regular" w:hAnsi="MinionPro-Regular"/>
          <w:sz w:val="24"/>
          <w:szCs w:val="24"/>
          <w:highlight w:val="cyan"/>
          <w:lang w:val="es-ES_tradnl"/>
        </w:rPr>
      </w:pPr>
    </w:p>
    <w:p w:rsidR="00BF1CA4" w:rsidRDefault="00BF1CA4" w:rsidP="001D2EFC">
      <w:pPr>
        <w:rPr>
          <w:rFonts w:ascii="MinionPro-Regular" w:hAnsi="MinionPro-Regular"/>
          <w:sz w:val="24"/>
          <w:szCs w:val="24"/>
          <w:highlight w:val="cyan"/>
          <w:lang w:val="es-ES_tradnl"/>
        </w:rPr>
      </w:pPr>
    </w:p>
    <w:p w:rsidR="00BF1CA4" w:rsidRDefault="00BF1CA4" w:rsidP="001D2EFC">
      <w:pPr>
        <w:rPr>
          <w:rFonts w:ascii="MinionPro-Regular" w:hAnsi="MinionPro-Regular"/>
          <w:sz w:val="24"/>
          <w:szCs w:val="24"/>
          <w:highlight w:val="cyan"/>
          <w:lang w:val="es-ES_tradnl"/>
        </w:rPr>
      </w:pPr>
    </w:p>
    <w:p w:rsidR="00E2336B" w:rsidRDefault="00E2336B" w:rsidP="001D2EFC">
      <w:pPr>
        <w:pBdr>
          <w:top w:val="single" w:sz="4" w:space="1" w:color="auto"/>
        </w:pBdr>
        <w:rPr>
          <w:rFonts w:ascii="MinionPro-Regular" w:hAnsi="MinionPro-Regular"/>
          <w:color w:val="FF0000"/>
          <w:sz w:val="20"/>
          <w:lang w:val="es-ES_tradnl"/>
        </w:rPr>
      </w:pPr>
      <w:r>
        <w:rPr>
          <w:rFonts w:ascii="MinionPro-Regular" w:hAnsi="MinionPro-Regular"/>
          <w:sz w:val="20"/>
          <w:szCs w:val="24"/>
          <w:lang w:val="es-ES_tradnl"/>
        </w:rPr>
        <w:t xml:space="preserve">Escenario 1. </w:t>
      </w:r>
      <w:r w:rsidRPr="00223F12">
        <w:rPr>
          <w:rFonts w:ascii="MinionPro-Regular" w:hAnsi="MinionPro-Regular"/>
          <w:sz w:val="20"/>
          <w:lang w:val="es-ES_tradnl"/>
        </w:rPr>
        <w:t>Estimación total de los retornos de los centros especiales de empleo total de las ayudas</w:t>
      </w:r>
      <w:r>
        <w:rPr>
          <w:rFonts w:ascii="MinionPro-Regular" w:hAnsi="MinionPro-Regular"/>
          <w:sz w:val="20"/>
          <w:lang w:val="es-ES_tradnl"/>
        </w:rPr>
        <w:t>.</w:t>
      </w:r>
    </w:p>
    <w:p w:rsidR="00BF1CA4" w:rsidRDefault="00BF1CA4" w:rsidP="001D2EFC">
      <w:pPr>
        <w:pBdr>
          <w:top w:val="single" w:sz="4" w:space="1" w:color="auto"/>
        </w:pBdr>
        <w:rPr>
          <w:rFonts w:ascii="MinionPro-Regular" w:hAnsi="MinionPro-Regular"/>
          <w:color w:val="FF0000"/>
          <w:sz w:val="20"/>
          <w:lang w:val="es-ES_tradnl"/>
        </w:rPr>
      </w:pPr>
    </w:p>
    <w:p w:rsidR="00BF1CA4" w:rsidRDefault="00BF1CA4" w:rsidP="001D2EFC">
      <w:pPr>
        <w:pBdr>
          <w:top w:val="single" w:sz="4" w:space="1" w:color="auto"/>
        </w:pBdr>
        <w:rPr>
          <w:rFonts w:ascii="MinionPro-Regular" w:hAnsi="MinionPro-Regular"/>
          <w:sz w:val="20"/>
          <w:lang w:val="es-ES_tradnl"/>
        </w:rPr>
      </w:pPr>
      <w:r w:rsidRPr="00BF1CA4">
        <w:rPr>
          <w:rFonts w:ascii="MinionPro-Regular" w:hAnsi="MinionPro-Regular"/>
          <w:noProof/>
          <w:sz w:val="20"/>
          <w:lang w:eastAsia="es-ES"/>
        </w:rPr>
        <w:lastRenderedPageBreak/>
        <w:drawing>
          <wp:inline distT="0" distB="0" distL="0" distR="0">
            <wp:extent cx="5400675" cy="3266803"/>
            <wp:effectExtent l="0" t="0" r="0" b="0"/>
            <wp:docPr id="103" name="Object 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928992" cy="5400600"/>
                      <a:chOff x="827584" y="332656"/>
                      <a:chExt cx="8928992" cy="5400600"/>
                    </a:xfrm>
                  </a:grpSpPr>
                  <a:grpSp>
                    <a:nvGrpSpPr>
                      <a:cNvPr id="34" name="Group 33"/>
                      <a:cNvGrpSpPr/>
                    </a:nvGrpSpPr>
                    <a:grpSpPr>
                      <a:xfrm>
                        <a:off x="827584" y="332656"/>
                        <a:ext cx="8928992" cy="5400600"/>
                        <a:chOff x="827584" y="332656"/>
                        <a:chExt cx="8928992" cy="5400600"/>
                      </a:xfrm>
                    </a:grpSpPr>
                    <a:graphicFrame>
                      <a:nvGraphicFramePr>
                        <a:cNvPr id="4" name="Chart 3"/>
                        <a:cNvGraphicFramePr/>
                      </a:nvGraphicFramePr>
                      <a:graphic>
                        <a:graphicData uri="http://schemas.openxmlformats.org/drawingml/2006/chart">
                          <c:chart xmlns:c="http://schemas.openxmlformats.org/drawingml/2006/chart" xmlns:r="http://schemas.openxmlformats.org/officeDocument/2006/relationships" r:id="rId137"/>
                        </a:graphicData>
                      </a:graphic>
                      <a:xfrm>
                        <a:off x="827584" y="332656"/>
                        <a:ext cx="5760640" cy="5040558"/>
                      </a:xfrm>
                    </a:graphicFrame>
                    <a:sp>
                      <a:nvSpPr>
                        <a:cNvPr id="5" name="Rectangle 4"/>
                        <a:cNvSpPr/>
                      </a:nvSpPr>
                      <a:spPr>
                        <a:xfrm>
                          <a:off x="1763688" y="4985576"/>
                          <a:ext cx="1008112" cy="369332"/>
                        </a:xfrm>
                        <a:prstGeom prst="rect">
                          <a:avLst/>
                        </a:prstGeom>
                      </a:spPr>
                      <a:txSp>
                        <a:txBody>
                          <a:bodyPr wrap="square">
                            <a:spAutoFit/>
                          </a:bodyPr>
                          <a:lstStyle>
                            <a:defPPr>
                              <a:defRPr lang="es-E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s-ES" sz="900" dirty="0" smtClean="0">
                                <a:latin typeface="MinionPro-Regular"/>
                              </a:rPr>
                              <a:t>Estimación total de los retornos</a:t>
                            </a:r>
                            <a:endParaRPr lang="es-ES" sz="900" dirty="0">
                              <a:latin typeface="MinionPro-Regular"/>
                            </a:endParaRPr>
                          </a:p>
                        </a:txBody>
                        <a:useSpRect/>
                      </a:txSp>
                    </a:sp>
                    <a:sp>
                      <a:nvSpPr>
                        <a:cNvPr id="6" name="Rectangle 5"/>
                        <a:cNvSpPr/>
                      </a:nvSpPr>
                      <a:spPr>
                        <a:xfrm>
                          <a:off x="3863271" y="4985576"/>
                          <a:ext cx="1008112" cy="369332"/>
                        </a:xfrm>
                        <a:prstGeom prst="rect">
                          <a:avLst/>
                        </a:prstGeom>
                      </a:spPr>
                      <a:txSp>
                        <a:txBody>
                          <a:bodyPr wrap="square">
                            <a:spAutoFit/>
                          </a:bodyPr>
                          <a:lstStyle>
                            <a:defPPr>
                              <a:defRPr lang="es-E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s-ES" sz="900" dirty="0" smtClean="0">
                                <a:latin typeface="MinionPro-Regular"/>
                              </a:rPr>
                              <a:t>Estimación total de los retornos</a:t>
                            </a:r>
                            <a:endParaRPr lang="es-ES" sz="900" dirty="0">
                              <a:latin typeface="MinionPro-Regular"/>
                            </a:endParaRPr>
                          </a:p>
                        </a:txBody>
                        <a:useSpRect/>
                      </a:txSp>
                    </a:sp>
                    <a:sp>
                      <a:nvSpPr>
                        <a:cNvPr id="7" name="Rectangle 6"/>
                        <a:cNvSpPr/>
                      </a:nvSpPr>
                      <a:spPr>
                        <a:xfrm>
                          <a:off x="2783151" y="4913568"/>
                          <a:ext cx="1080120" cy="507831"/>
                        </a:xfrm>
                        <a:prstGeom prst="rect">
                          <a:avLst/>
                        </a:prstGeom>
                      </a:spPr>
                      <a:txSp>
                        <a:txBody>
                          <a:bodyPr wrap="square">
                            <a:spAutoFit/>
                          </a:bodyPr>
                          <a:lstStyle>
                            <a:defPPr>
                              <a:defRPr lang="es-E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s-ES" sz="900" dirty="0" smtClean="0">
                                <a:latin typeface="MinionPro-Regular"/>
                              </a:rPr>
                              <a:t>Ayudas de la administración pública</a:t>
                            </a:r>
                            <a:endParaRPr lang="es-ES" sz="900" dirty="0">
                              <a:latin typeface="MinionPro-Regular"/>
                            </a:endParaRPr>
                          </a:p>
                        </a:txBody>
                        <a:useSpRect/>
                      </a:txSp>
                    </a:sp>
                    <a:sp>
                      <a:nvSpPr>
                        <a:cNvPr id="8" name="Rectangle 7"/>
                        <a:cNvSpPr/>
                      </a:nvSpPr>
                      <a:spPr>
                        <a:xfrm>
                          <a:off x="4932040" y="4913568"/>
                          <a:ext cx="1080120" cy="507831"/>
                        </a:xfrm>
                        <a:prstGeom prst="rect">
                          <a:avLst/>
                        </a:prstGeom>
                      </a:spPr>
                      <a:txSp>
                        <a:txBody>
                          <a:bodyPr wrap="square">
                            <a:spAutoFit/>
                          </a:bodyPr>
                          <a:lstStyle>
                            <a:defPPr>
                              <a:defRPr lang="es-E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s-ES" sz="900" dirty="0" smtClean="0">
                                <a:latin typeface="MinionPro-Regular"/>
                              </a:rPr>
                              <a:t>Ayudas de la administración pública</a:t>
                            </a:r>
                            <a:endParaRPr lang="es-ES" sz="900" dirty="0">
                              <a:latin typeface="MinionPro-Regular"/>
                            </a:endParaRPr>
                          </a:p>
                        </a:txBody>
                        <a:useSpRect/>
                      </a:txSp>
                    </a:sp>
                    <a:cxnSp>
                      <a:nvCxnSpPr>
                        <a:cNvPr id="9" name="Straight Connector 8"/>
                        <a:cNvCxnSpPr/>
                      </a:nvCxnSpPr>
                      <a:spPr>
                        <a:xfrm flipV="1">
                          <a:off x="1835696" y="5415027"/>
                          <a:ext cx="2016000" cy="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10" name="Straight Connector 9"/>
                        <a:cNvCxnSpPr/>
                      </a:nvCxnSpPr>
                      <a:spPr>
                        <a:xfrm flipV="1">
                          <a:off x="3995712" y="5415027"/>
                          <a:ext cx="2016000" cy="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sp>
                      <a:nvSpPr>
                        <a:cNvPr id="11" name="Rectangle 10"/>
                        <a:cNvSpPr/>
                      </a:nvSpPr>
                      <a:spPr>
                        <a:xfrm>
                          <a:off x="2267520" y="5487035"/>
                          <a:ext cx="1152128" cy="246221"/>
                        </a:xfrm>
                        <a:prstGeom prst="rect">
                          <a:avLst/>
                        </a:prstGeom>
                      </a:spPr>
                      <a:txSp>
                        <a:txBody>
                          <a:bodyPr wrap="square">
                            <a:spAutoFit/>
                          </a:bodyPr>
                          <a:lstStyle>
                            <a:defPPr>
                              <a:defRPr lang="es-E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s-ES_tradnl" sz="1000" b="1" dirty="0" smtClean="0">
                                <a:latin typeface="Arial"/>
                                <a:cs typeface="Arial"/>
                              </a:rPr>
                              <a:t>2011</a:t>
                            </a:r>
                            <a:endParaRPr lang="es-ES" sz="1000" b="1" dirty="0">
                              <a:latin typeface="MinionPro-Regular"/>
                            </a:endParaRPr>
                          </a:p>
                        </a:txBody>
                        <a:useSpRect/>
                      </a:txSp>
                    </a:sp>
                    <a:sp>
                      <a:nvSpPr>
                        <a:cNvPr id="12" name="Rectangle 11"/>
                        <a:cNvSpPr/>
                      </a:nvSpPr>
                      <a:spPr>
                        <a:xfrm>
                          <a:off x="3851696" y="5487035"/>
                          <a:ext cx="2016224" cy="246221"/>
                        </a:xfrm>
                        <a:prstGeom prst="rect">
                          <a:avLst/>
                        </a:prstGeom>
                      </a:spPr>
                      <a:txSp>
                        <a:txBody>
                          <a:bodyPr wrap="square">
                            <a:spAutoFit/>
                          </a:bodyPr>
                          <a:lstStyle>
                            <a:defPPr>
                              <a:defRPr lang="es-E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s-ES_tradnl" sz="1000" b="1" dirty="0" smtClean="0">
                                <a:latin typeface="Arial"/>
                                <a:cs typeface="Arial"/>
                              </a:rPr>
                              <a:t>Proyección 2020</a:t>
                            </a:r>
                            <a:endParaRPr lang="es-ES" sz="1000" b="1" dirty="0">
                              <a:latin typeface="MinionPro-Regular"/>
                            </a:endParaRPr>
                          </a:p>
                        </a:txBody>
                        <a:useSpRect/>
                      </a:txSp>
                    </a:sp>
                    <a:cxnSp>
                      <a:nvCxnSpPr>
                        <a:cNvPr id="13" name="Straight Connector 12"/>
                        <a:cNvCxnSpPr/>
                      </a:nvCxnSpPr>
                      <a:spPr>
                        <a:xfrm>
                          <a:off x="1584192" y="4869160"/>
                          <a:ext cx="4716000" cy="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sp>
                      <a:nvSpPr>
                        <a:cNvPr id="14" name="Rectangle 13"/>
                        <a:cNvSpPr/>
                      </a:nvSpPr>
                      <a:spPr>
                        <a:xfrm>
                          <a:off x="6716192" y="2226930"/>
                          <a:ext cx="1741118" cy="276999"/>
                        </a:xfrm>
                        <a:prstGeom prst="rect">
                          <a:avLst/>
                        </a:prstGeom>
                      </a:spPr>
                      <a:txSp>
                        <a:txBody>
                          <a:bodyPr wrap="none">
                            <a:spAutoFit/>
                          </a:bodyPr>
                          <a:lstStyle>
                            <a:defPPr>
                              <a:defRPr lang="es-E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s-ES" sz="1200" dirty="0" smtClean="0"/>
                              <a:t>Retorno derivado del IVA</a:t>
                            </a:r>
                            <a:endParaRPr lang="es-ES" sz="1200" dirty="0"/>
                          </a:p>
                        </a:txBody>
                        <a:useSpRect/>
                      </a:txSp>
                    </a:sp>
                    <a:sp>
                      <a:nvSpPr>
                        <a:cNvPr id="15" name="Rectangle 14"/>
                        <a:cNvSpPr/>
                      </a:nvSpPr>
                      <a:spPr>
                        <a:xfrm>
                          <a:off x="6591027" y="2291845"/>
                          <a:ext cx="144016" cy="144016"/>
                        </a:xfrm>
                        <a:prstGeom prst="rect">
                          <a:avLst/>
                        </a:prstGeom>
                        <a:solidFill>
                          <a:srgbClr val="B6646B"/>
                        </a:solidFill>
                        <a:ln>
                          <a:noFill/>
                        </a:ln>
                      </a:spPr>
                      <a:txSp>
                        <a:txBody>
                          <a:bodyPr rtlCol="0" anchor="ctr"/>
                          <a:lstStyle>
                            <a:defPPr>
                              <a:defRPr lang="es-E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s-ES"/>
                          </a:p>
                        </a:txBody>
                        <a:useSpRect/>
                      </a:txSp>
                      <a:style>
                        <a:lnRef idx="2">
                          <a:schemeClr val="accent1">
                            <a:shade val="50000"/>
                          </a:schemeClr>
                        </a:lnRef>
                        <a:fillRef idx="1">
                          <a:schemeClr val="accent1"/>
                        </a:fillRef>
                        <a:effectRef idx="0">
                          <a:schemeClr val="accent1"/>
                        </a:effectRef>
                        <a:fontRef idx="minor">
                          <a:schemeClr val="lt1"/>
                        </a:fontRef>
                      </a:style>
                    </a:sp>
                    <a:sp>
                      <a:nvSpPr>
                        <a:cNvPr id="16" name="Rectangle 15"/>
                        <a:cNvSpPr/>
                      </a:nvSpPr>
                      <a:spPr>
                        <a:xfrm>
                          <a:off x="6716192" y="1794882"/>
                          <a:ext cx="2250504" cy="461665"/>
                        </a:xfrm>
                        <a:prstGeom prst="rect">
                          <a:avLst/>
                        </a:prstGeom>
                      </a:spPr>
                      <a:txSp>
                        <a:txBody>
                          <a:bodyPr wrap="square">
                            <a:spAutoFit/>
                          </a:bodyPr>
                          <a:lstStyle>
                            <a:defPPr>
                              <a:defRPr lang="es-E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s-ES" sz="1200" dirty="0" smtClean="0"/>
                              <a:t>Retorno derivado del IRPF y Seguridad Social</a:t>
                            </a:r>
                            <a:endParaRPr lang="es-ES" sz="1200" dirty="0"/>
                          </a:p>
                        </a:txBody>
                        <a:useSpRect/>
                      </a:txSp>
                    </a:sp>
                    <a:sp>
                      <a:nvSpPr>
                        <a:cNvPr id="17" name="Rectangle 16"/>
                        <a:cNvSpPr/>
                      </a:nvSpPr>
                      <a:spPr>
                        <a:xfrm>
                          <a:off x="6591027" y="1938898"/>
                          <a:ext cx="144016" cy="144016"/>
                        </a:xfrm>
                        <a:prstGeom prst="rect">
                          <a:avLst/>
                        </a:prstGeom>
                        <a:solidFill>
                          <a:srgbClr val="409DAD"/>
                        </a:solidFill>
                        <a:ln>
                          <a:noFill/>
                        </a:ln>
                      </a:spPr>
                      <a:txSp>
                        <a:txBody>
                          <a:bodyPr rtlCol="0" anchor="ctr"/>
                          <a:lstStyle>
                            <a:defPPr>
                              <a:defRPr lang="es-E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s-ES"/>
                          </a:p>
                        </a:txBody>
                        <a:useSpRect/>
                      </a:txSp>
                      <a:style>
                        <a:lnRef idx="2">
                          <a:schemeClr val="accent1">
                            <a:shade val="50000"/>
                          </a:schemeClr>
                        </a:lnRef>
                        <a:fillRef idx="1">
                          <a:schemeClr val="accent1"/>
                        </a:fillRef>
                        <a:effectRef idx="0">
                          <a:schemeClr val="accent1"/>
                        </a:effectRef>
                        <a:fontRef idx="minor">
                          <a:schemeClr val="lt1"/>
                        </a:fontRef>
                      </a:style>
                    </a:sp>
                    <a:sp>
                      <a:nvSpPr>
                        <a:cNvPr id="18" name="Rectangle 17"/>
                        <a:cNvSpPr/>
                      </a:nvSpPr>
                      <a:spPr>
                        <a:xfrm>
                          <a:off x="6716192" y="2543537"/>
                          <a:ext cx="3040384" cy="276999"/>
                        </a:xfrm>
                        <a:prstGeom prst="rect">
                          <a:avLst/>
                        </a:prstGeom>
                      </a:spPr>
                      <a:txSp>
                        <a:txBody>
                          <a:bodyPr wrap="none">
                            <a:spAutoFit/>
                          </a:bodyPr>
                          <a:lstStyle>
                            <a:defPPr>
                              <a:defRPr lang="es-E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s-ES" sz="1200" dirty="0" smtClean="0"/>
                              <a:t>Retorno derivado del impuesto de sociedades</a:t>
                            </a:r>
                            <a:endParaRPr lang="es-ES" sz="1200" dirty="0"/>
                          </a:p>
                        </a:txBody>
                        <a:useSpRect/>
                      </a:txSp>
                    </a:sp>
                    <a:sp>
                      <a:nvSpPr>
                        <a:cNvPr id="19" name="Rectangle 18"/>
                        <a:cNvSpPr/>
                      </a:nvSpPr>
                      <a:spPr>
                        <a:xfrm>
                          <a:off x="6591027" y="2608452"/>
                          <a:ext cx="144016" cy="144016"/>
                        </a:xfrm>
                        <a:prstGeom prst="rect">
                          <a:avLst/>
                        </a:prstGeom>
                        <a:solidFill>
                          <a:srgbClr val="747678"/>
                        </a:solidFill>
                        <a:ln>
                          <a:noFill/>
                        </a:ln>
                      </a:spPr>
                      <a:txSp>
                        <a:txBody>
                          <a:bodyPr rtlCol="0" anchor="ctr"/>
                          <a:lstStyle>
                            <a:defPPr>
                              <a:defRPr lang="es-E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s-ES"/>
                          </a:p>
                        </a:txBody>
                        <a:useSpRect/>
                      </a:txSp>
                      <a:style>
                        <a:lnRef idx="2">
                          <a:schemeClr val="accent1">
                            <a:shade val="50000"/>
                          </a:schemeClr>
                        </a:lnRef>
                        <a:fillRef idx="1">
                          <a:schemeClr val="accent1"/>
                        </a:fillRef>
                        <a:effectRef idx="0">
                          <a:schemeClr val="accent1"/>
                        </a:effectRef>
                        <a:fontRef idx="minor">
                          <a:schemeClr val="lt1"/>
                        </a:fontRef>
                      </a:style>
                    </a:sp>
                    <a:sp>
                      <a:nvSpPr>
                        <a:cNvPr id="20" name="Rectangle 19"/>
                        <a:cNvSpPr/>
                      </a:nvSpPr>
                      <a:spPr>
                        <a:xfrm>
                          <a:off x="6716192" y="3194392"/>
                          <a:ext cx="1859805" cy="276999"/>
                        </a:xfrm>
                        <a:prstGeom prst="rect">
                          <a:avLst/>
                        </a:prstGeom>
                      </a:spPr>
                      <a:txSp>
                        <a:txBody>
                          <a:bodyPr wrap="none">
                            <a:spAutoFit/>
                          </a:bodyPr>
                          <a:lstStyle>
                            <a:defPPr>
                              <a:defRPr lang="es-E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s-ES" sz="1200" dirty="0" smtClean="0"/>
                              <a:t>Pensiones no contributivas</a:t>
                            </a:r>
                            <a:endParaRPr lang="es-ES" sz="1200" dirty="0"/>
                          </a:p>
                        </a:txBody>
                        <a:useSpRect/>
                      </a:txSp>
                    </a:sp>
                    <a:sp>
                      <a:nvSpPr>
                        <a:cNvPr id="21" name="Rectangle 20"/>
                        <a:cNvSpPr/>
                      </a:nvSpPr>
                      <a:spPr>
                        <a:xfrm>
                          <a:off x="6591027" y="3260883"/>
                          <a:ext cx="144016" cy="144016"/>
                        </a:xfrm>
                        <a:prstGeom prst="rect">
                          <a:avLst/>
                        </a:prstGeom>
                        <a:solidFill>
                          <a:srgbClr val="8099C6"/>
                        </a:solidFill>
                        <a:ln>
                          <a:noFill/>
                        </a:ln>
                      </a:spPr>
                      <a:txSp>
                        <a:txBody>
                          <a:bodyPr rtlCol="0" anchor="ctr"/>
                          <a:lstStyle>
                            <a:defPPr>
                              <a:defRPr lang="es-E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s-ES"/>
                          </a:p>
                        </a:txBody>
                        <a:useSpRect/>
                      </a:txSp>
                      <a:style>
                        <a:lnRef idx="2">
                          <a:schemeClr val="accent1">
                            <a:shade val="50000"/>
                          </a:schemeClr>
                        </a:lnRef>
                        <a:fillRef idx="1">
                          <a:schemeClr val="accent1"/>
                        </a:fillRef>
                        <a:effectRef idx="0">
                          <a:schemeClr val="accent1"/>
                        </a:effectRef>
                        <a:fontRef idx="minor">
                          <a:schemeClr val="lt1"/>
                        </a:fontRef>
                      </a:style>
                    </a:sp>
                    <a:sp>
                      <a:nvSpPr>
                        <a:cNvPr id="22" name="Rectangle 21"/>
                        <a:cNvSpPr/>
                      </a:nvSpPr>
                      <a:spPr>
                        <a:xfrm>
                          <a:off x="6591027" y="3855531"/>
                          <a:ext cx="144016" cy="144016"/>
                        </a:xfrm>
                        <a:prstGeom prst="rect">
                          <a:avLst/>
                        </a:prstGeom>
                        <a:solidFill>
                          <a:srgbClr val="E5EAF3"/>
                        </a:solidFill>
                        <a:ln>
                          <a:noFill/>
                        </a:ln>
                      </a:spPr>
                      <a:txSp>
                        <a:txBody>
                          <a:bodyPr rtlCol="0" anchor="ctr"/>
                          <a:lstStyle>
                            <a:defPPr>
                              <a:defRPr lang="es-E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s-ES"/>
                          </a:p>
                        </a:txBody>
                        <a:useSpRect/>
                      </a:txSp>
                      <a:style>
                        <a:lnRef idx="2">
                          <a:schemeClr val="accent1">
                            <a:shade val="50000"/>
                          </a:schemeClr>
                        </a:lnRef>
                        <a:fillRef idx="1">
                          <a:schemeClr val="accent1"/>
                        </a:fillRef>
                        <a:effectRef idx="0">
                          <a:schemeClr val="accent1"/>
                        </a:effectRef>
                        <a:fontRef idx="minor">
                          <a:schemeClr val="lt1"/>
                        </a:fontRef>
                      </a:style>
                    </a:sp>
                    <a:sp>
                      <a:nvSpPr>
                        <a:cNvPr id="23" name="Rectangle 22"/>
                        <a:cNvSpPr/>
                      </a:nvSpPr>
                      <a:spPr>
                        <a:xfrm>
                          <a:off x="6716192" y="2875002"/>
                          <a:ext cx="2250504" cy="276999"/>
                        </a:xfrm>
                        <a:prstGeom prst="rect">
                          <a:avLst/>
                        </a:prstGeom>
                      </a:spPr>
                      <a:txSp>
                        <a:txBody>
                          <a:bodyPr wrap="square">
                            <a:spAutoFit/>
                          </a:bodyPr>
                          <a:lstStyle>
                            <a:defPPr>
                              <a:defRPr lang="es-E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s-ES" sz="1200" dirty="0" smtClean="0"/>
                              <a:t>LISMI</a:t>
                            </a:r>
                            <a:endParaRPr lang="es-ES" sz="1200" dirty="0"/>
                          </a:p>
                        </a:txBody>
                        <a:useSpRect/>
                      </a:txSp>
                    </a:sp>
                    <a:sp>
                      <a:nvSpPr>
                        <a:cNvPr id="24" name="Rectangle 23"/>
                        <a:cNvSpPr/>
                      </a:nvSpPr>
                      <a:spPr>
                        <a:xfrm>
                          <a:off x="6716192" y="3789040"/>
                          <a:ext cx="2592288" cy="276999"/>
                        </a:xfrm>
                        <a:prstGeom prst="rect">
                          <a:avLst/>
                        </a:prstGeom>
                      </a:spPr>
                      <a:txSp>
                        <a:txBody>
                          <a:bodyPr wrap="square">
                            <a:spAutoFit/>
                          </a:bodyPr>
                          <a:lstStyle>
                            <a:defPPr>
                              <a:defRPr lang="es-E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s-ES" sz="1200" dirty="0" smtClean="0"/>
                              <a:t>Ahorro sanitario</a:t>
                            </a:r>
                            <a:endParaRPr lang="es-ES" sz="1200" dirty="0"/>
                          </a:p>
                        </a:txBody>
                        <a:useSpRect/>
                      </a:txSp>
                    </a:sp>
                    <a:sp>
                      <a:nvSpPr>
                        <a:cNvPr id="25" name="Rectangle 24"/>
                        <a:cNvSpPr/>
                      </a:nvSpPr>
                      <a:spPr>
                        <a:xfrm>
                          <a:off x="6591027" y="2941493"/>
                          <a:ext cx="144016" cy="144016"/>
                        </a:xfrm>
                        <a:prstGeom prst="rect">
                          <a:avLst/>
                        </a:prstGeom>
                        <a:solidFill>
                          <a:srgbClr val="4066AA"/>
                        </a:solidFill>
                        <a:ln>
                          <a:noFill/>
                        </a:ln>
                      </a:spPr>
                      <a:txSp>
                        <a:txBody>
                          <a:bodyPr rtlCol="0" anchor="ctr"/>
                          <a:lstStyle>
                            <a:defPPr>
                              <a:defRPr lang="es-E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s-ES"/>
                          </a:p>
                        </a:txBody>
                        <a:useSpRect/>
                      </a:txSp>
                      <a:style>
                        <a:lnRef idx="2">
                          <a:schemeClr val="accent1">
                            <a:shade val="50000"/>
                          </a:schemeClr>
                        </a:lnRef>
                        <a:fillRef idx="1">
                          <a:schemeClr val="accent1"/>
                        </a:fillRef>
                        <a:effectRef idx="0">
                          <a:schemeClr val="accent1"/>
                        </a:effectRef>
                        <a:fontRef idx="minor">
                          <a:schemeClr val="lt1"/>
                        </a:fontRef>
                      </a:style>
                    </a:sp>
                    <a:sp>
                      <a:nvSpPr>
                        <a:cNvPr id="26" name="Rectangle 25"/>
                        <a:cNvSpPr/>
                      </a:nvSpPr>
                      <a:spPr>
                        <a:xfrm>
                          <a:off x="6716192" y="3510999"/>
                          <a:ext cx="1662635" cy="276999"/>
                        </a:xfrm>
                        <a:prstGeom prst="rect">
                          <a:avLst/>
                        </a:prstGeom>
                      </a:spPr>
                      <a:txSp>
                        <a:txBody>
                          <a:bodyPr wrap="none">
                            <a:spAutoFit/>
                          </a:bodyPr>
                          <a:lstStyle>
                            <a:defPPr>
                              <a:defRPr lang="es-E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s-ES" sz="1200" dirty="0" smtClean="0"/>
                              <a:t>Pensiones contributivas</a:t>
                            </a:r>
                            <a:endParaRPr lang="es-ES" sz="1200" dirty="0"/>
                          </a:p>
                        </a:txBody>
                        <a:useSpRect/>
                      </a:txSp>
                    </a:sp>
                    <a:sp>
                      <a:nvSpPr>
                        <a:cNvPr id="27" name="Rectangle 26"/>
                        <a:cNvSpPr/>
                      </a:nvSpPr>
                      <a:spPr>
                        <a:xfrm>
                          <a:off x="6591027" y="3577490"/>
                          <a:ext cx="144016" cy="144016"/>
                        </a:xfrm>
                        <a:prstGeom prst="rect">
                          <a:avLst/>
                        </a:prstGeom>
                        <a:solidFill>
                          <a:srgbClr val="BFCCE3"/>
                        </a:solidFill>
                        <a:ln>
                          <a:noFill/>
                        </a:ln>
                      </a:spPr>
                      <a:txSp>
                        <a:txBody>
                          <a:bodyPr rtlCol="0" anchor="ctr"/>
                          <a:lstStyle>
                            <a:defPPr>
                              <a:defRPr lang="es-E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s-ES"/>
                          </a:p>
                        </a:txBody>
                        <a:useSpRect/>
                      </a:txSp>
                      <a:style>
                        <a:lnRef idx="2">
                          <a:schemeClr val="accent1">
                            <a:shade val="50000"/>
                          </a:schemeClr>
                        </a:lnRef>
                        <a:fillRef idx="1">
                          <a:schemeClr val="accent1"/>
                        </a:fillRef>
                        <a:effectRef idx="0">
                          <a:schemeClr val="accent1"/>
                        </a:effectRef>
                        <a:fontRef idx="minor">
                          <a:schemeClr val="lt1"/>
                        </a:fontRef>
                      </a:style>
                    </a:sp>
                    <a:sp>
                      <a:nvSpPr>
                        <a:cNvPr id="28" name="Rectangle 27"/>
                        <a:cNvSpPr/>
                      </a:nvSpPr>
                      <a:spPr>
                        <a:xfrm>
                          <a:off x="6591027" y="4667944"/>
                          <a:ext cx="144016" cy="144016"/>
                        </a:xfrm>
                        <a:prstGeom prst="rect">
                          <a:avLst/>
                        </a:prstGeom>
                        <a:solidFill>
                          <a:srgbClr val="9BCA40"/>
                        </a:solidFill>
                        <a:ln>
                          <a:noFill/>
                        </a:ln>
                      </a:spPr>
                      <a:txSp>
                        <a:txBody>
                          <a:bodyPr rtlCol="0" anchor="ctr"/>
                          <a:lstStyle>
                            <a:defPPr>
                              <a:defRPr lang="es-E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s-ES"/>
                          </a:p>
                        </a:txBody>
                        <a:useSpRect/>
                      </a:txSp>
                      <a:style>
                        <a:lnRef idx="2">
                          <a:schemeClr val="accent1">
                            <a:shade val="50000"/>
                          </a:schemeClr>
                        </a:lnRef>
                        <a:fillRef idx="1">
                          <a:schemeClr val="accent1"/>
                        </a:fillRef>
                        <a:effectRef idx="0">
                          <a:schemeClr val="accent1"/>
                        </a:effectRef>
                        <a:fontRef idx="minor">
                          <a:schemeClr val="lt1"/>
                        </a:fontRef>
                      </a:style>
                    </a:sp>
                    <a:sp>
                      <a:nvSpPr>
                        <a:cNvPr id="29" name="Rectangle 28"/>
                        <a:cNvSpPr/>
                      </a:nvSpPr>
                      <a:spPr>
                        <a:xfrm>
                          <a:off x="6716192" y="4509120"/>
                          <a:ext cx="2592288" cy="461665"/>
                        </a:xfrm>
                        <a:prstGeom prst="rect">
                          <a:avLst/>
                        </a:prstGeom>
                      </a:spPr>
                      <a:txSp>
                        <a:txBody>
                          <a:bodyPr wrap="square">
                            <a:spAutoFit/>
                          </a:bodyPr>
                          <a:lstStyle>
                            <a:defPPr>
                              <a:defRPr lang="es-E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s-ES" sz="1200" dirty="0" smtClean="0"/>
                              <a:t>Ayudas de la administración que no implican salida de efectivo</a:t>
                            </a:r>
                            <a:endParaRPr lang="es-ES" sz="1200" dirty="0"/>
                          </a:p>
                        </a:txBody>
                        <a:useSpRect/>
                      </a:txSp>
                    </a:sp>
                    <a:sp>
                      <a:nvSpPr>
                        <a:cNvPr id="30" name="Rectangle 29"/>
                        <a:cNvSpPr/>
                      </a:nvSpPr>
                      <a:spPr>
                        <a:xfrm>
                          <a:off x="6591027" y="4221088"/>
                          <a:ext cx="144016" cy="144016"/>
                        </a:xfrm>
                        <a:prstGeom prst="rect">
                          <a:avLst/>
                        </a:prstGeom>
                        <a:solidFill>
                          <a:srgbClr val="7AB800"/>
                        </a:solidFill>
                        <a:ln>
                          <a:noFill/>
                        </a:ln>
                      </a:spPr>
                      <a:txSp>
                        <a:txBody>
                          <a:bodyPr rtlCol="0" anchor="ctr"/>
                          <a:lstStyle>
                            <a:defPPr>
                              <a:defRPr lang="es-E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s-ES"/>
                          </a:p>
                        </a:txBody>
                        <a:useSpRect/>
                      </a:txSp>
                      <a:style>
                        <a:lnRef idx="2">
                          <a:schemeClr val="accent1">
                            <a:shade val="50000"/>
                          </a:schemeClr>
                        </a:lnRef>
                        <a:fillRef idx="1">
                          <a:schemeClr val="accent1"/>
                        </a:fillRef>
                        <a:effectRef idx="0">
                          <a:schemeClr val="accent1"/>
                        </a:effectRef>
                        <a:fontRef idx="minor">
                          <a:schemeClr val="lt1"/>
                        </a:fontRef>
                      </a:style>
                    </a:sp>
                    <a:sp>
                      <a:nvSpPr>
                        <a:cNvPr id="31" name="Rectangle 30"/>
                        <a:cNvSpPr/>
                      </a:nvSpPr>
                      <a:spPr>
                        <a:xfrm>
                          <a:off x="6716192" y="4077072"/>
                          <a:ext cx="2592288" cy="461665"/>
                        </a:xfrm>
                        <a:prstGeom prst="rect">
                          <a:avLst/>
                        </a:prstGeom>
                      </a:spPr>
                      <a:txSp>
                        <a:txBody>
                          <a:bodyPr wrap="square">
                            <a:spAutoFit/>
                          </a:bodyPr>
                          <a:lstStyle>
                            <a:defPPr>
                              <a:defRPr lang="es-E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s-ES" sz="1200" dirty="0" smtClean="0"/>
                              <a:t>Ayudas de la administración con salida de efectivo</a:t>
                            </a:r>
                            <a:endParaRPr lang="es-ES" sz="1200" dirty="0"/>
                          </a:p>
                        </a:txBody>
                        <a:useSpRect/>
                      </a:txSp>
                    </a:sp>
                    <a:sp>
                      <a:nvSpPr>
                        <a:cNvPr id="32" name="Rectangle 31"/>
                        <a:cNvSpPr/>
                      </a:nvSpPr>
                      <a:spPr>
                        <a:xfrm>
                          <a:off x="6732240" y="1484784"/>
                          <a:ext cx="2592288" cy="276999"/>
                        </a:xfrm>
                        <a:prstGeom prst="rect">
                          <a:avLst/>
                        </a:prstGeom>
                      </a:spPr>
                      <a:txSp>
                        <a:txBody>
                          <a:bodyPr wrap="square">
                            <a:spAutoFit/>
                          </a:bodyPr>
                          <a:lstStyle>
                            <a:defPPr>
                              <a:defRPr lang="es-E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s-ES" sz="1200" dirty="0" smtClean="0"/>
                              <a:t>Ahorro plazas ocupacionales</a:t>
                            </a:r>
                            <a:endParaRPr lang="es-ES" sz="1200" dirty="0"/>
                          </a:p>
                        </a:txBody>
                        <a:useSpRect/>
                      </a:txSp>
                    </a:sp>
                    <a:sp>
                      <a:nvSpPr>
                        <a:cNvPr id="33" name="Rectangle 32"/>
                        <a:cNvSpPr/>
                      </a:nvSpPr>
                      <a:spPr>
                        <a:xfrm>
                          <a:off x="6588224" y="1556792"/>
                          <a:ext cx="144016" cy="144016"/>
                        </a:xfrm>
                        <a:prstGeom prst="rect">
                          <a:avLst/>
                        </a:prstGeom>
                        <a:solidFill>
                          <a:srgbClr val="558ED5"/>
                        </a:solidFill>
                        <a:ln>
                          <a:noFill/>
                        </a:ln>
                      </a:spPr>
                      <a:txSp>
                        <a:txBody>
                          <a:bodyPr rtlCol="0" anchor="ctr"/>
                          <a:lstStyle>
                            <a:defPPr>
                              <a:defRPr lang="es-E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s-ES"/>
                          </a:p>
                        </a:txBody>
                        <a:useSpRect/>
                      </a:txSp>
                      <a:style>
                        <a:lnRef idx="2">
                          <a:schemeClr val="accent1">
                            <a:shade val="50000"/>
                          </a:schemeClr>
                        </a:lnRef>
                        <a:fillRef idx="1">
                          <a:schemeClr val="accent1"/>
                        </a:fillRef>
                        <a:effectRef idx="0">
                          <a:schemeClr val="accent1"/>
                        </a:effectRef>
                        <a:fontRef idx="minor">
                          <a:schemeClr val="lt1"/>
                        </a:fontRef>
                      </a:style>
                    </a:sp>
                  </a:grpSp>
                </lc:lockedCanvas>
              </a:graphicData>
            </a:graphic>
          </wp:inline>
        </w:drawing>
      </w:r>
    </w:p>
    <w:p w:rsidR="00124996" w:rsidRPr="00C64718" w:rsidRDefault="00124996" w:rsidP="001D2EFC">
      <w:pPr>
        <w:pBdr>
          <w:top w:val="single" w:sz="4" w:space="1" w:color="auto"/>
        </w:pBdr>
        <w:rPr>
          <w:rFonts w:ascii="MinionPro-Regular" w:hAnsi="MinionPro-Regular"/>
          <w:color w:val="FF0000"/>
          <w:sz w:val="20"/>
          <w:lang w:val="es-ES_tradnl"/>
        </w:rPr>
      </w:pPr>
    </w:p>
    <w:p w:rsidR="00E2336B" w:rsidRDefault="00E2336B" w:rsidP="001D2EFC">
      <w:pPr>
        <w:pBdr>
          <w:top w:val="single" w:sz="4" w:space="1" w:color="auto"/>
        </w:pBdr>
        <w:rPr>
          <w:rFonts w:ascii="MinionPro-Regular" w:hAnsi="MinionPro-Regular"/>
          <w:sz w:val="20"/>
          <w:lang w:val="es-ES_tradnl"/>
        </w:rPr>
      </w:pPr>
    </w:p>
    <w:p w:rsidR="00E2336B" w:rsidRDefault="00E2336B" w:rsidP="00213730">
      <w:pPr>
        <w:pBdr>
          <w:bottom w:val="single" w:sz="4" w:space="1" w:color="auto"/>
        </w:pBdr>
        <w:autoSpaceDE w:val="0"/>
        <w:autoSpaceDN w:val="0"/>
        <w:spacing w:line="360" w:lineRule="auto"/>
        <w:jc w:val="both"/>
        <w:rPr>
          <w:rFonts w:ascii="MinionPro-Regular" w:hAnsi="MinionPro-Regular"/>
          <w:sz w:val="20"/>
          <w:lang w:val="es-ES_tradnl"/>
        </w:rPr>
      </w:pPr>
      <w:r w:rsidRPr="00213730">
        <w:rPr>
          <w:rFonts w:ascii="MinionPro-Regular" w:hAnsi="MinionPro-Regular"/>
          <w:sz w:val="20"/>
          <w:lang w:val="es-ES_tradnl"/>
        </w:rPr>
        <w:t>Fuente: Elaboración propia</w:t>
      </w:r>
    </w:p>
    <w:p w:rsidR="00E2336B" w:rsidRPr="00213730" w:rsidRDefault="00E2336B" w:rsidP="00213730">
      <w:pPr>
        <w:pBdr>
          <w:bottom w:val="single" w:sz="4" w:space="1" w:color="auto"/>
        </w:pBdr>
        <w:autoSpaceDE w:val="0"/>
        <w:autoSpaceDN w:val="0"/>
        <w:spacing w:line="360" w:lineRule="auto"/>
        <w:jc w:val="both"/>
        <w:rPr>
          <w:rFonts w:ascii="MinionPro-Regular" w:hAnsi="MinionPro-Regular"/>
          <w:sz w:val="20"/>
          <w:lang w:val="es-ES_tradnl"/>
        </w:rPr>
      </w:pPr>
    </w:p>
    <w:p w:rsidR="00E2336B" w:rsidRDefault="00E2336B" w:rsidP="008F0553">
      <w:pPr>
        <w:pBdr>
          <w:bottom w:val="single" w:sz="4" w:space="1" w:color="auto"/>
        </w:pBdr>
        <w:autoSpaceDE w:val="0"/>
        <w:autoSpaceDN w:val="0"/>
        <w:spacing w:line="360" w:lineRule="auto"/>
        <w:jc w:val="both"/>
        <w:rPr>
          <w:rFonts w:ascii="MinionPro-Regular" w:hAnsi="MinionPro-Regular"/>
          <w:sz w:val="24"/>
          <w:szCs w:val="24"/>
          <w:highlight w:val="cyan"/>
          <w:lang w:val="es-ES_tradnl"/>
        </w:rPr>
      </w:pPr>
      <w:r w:rsidRPr="00213730">
        <w:rPr>
          <w:rFonts w:ascii="MinionPro-Regular" w:hAnsi="MinionPro-Regular"/>
          <w:sz w:val="20"/>
          <w:lang w:val="es-ES_tradnl"/>
        </w:rPr>
        <w:t>Nota explicativa de la gráfica: El eje horizontal se constituye de cuatro columnas. Las dos primeras representa la estimación total del retorno de los centros especiales de empleo frente a las ayudas de la administración pública, en el año 2011</w:t>
      </w:r>
      <w:r w:rsidR="008F0553" w:rsidRPr="008F0553">
        <w:rPr>
          <w:rFonts w:ascii="MinionPro-Regular" w:hAnsi="MinionPro-Regular"/>
          <w:sz w:val="20"/>
          <w:szCs w:val="24"/>
          <w:lang w:val="es-ES_tradnl"/>
        </w:rPr>
        <w:t xml:space="preserve"> </w:t>
      </w:r>
      <w:r w:rsidR="008F0553">
        <w:rPr>
          <w:rFonts w:ascii="MinionPro-Regular" w:hAnsi="MinionPro-Regular"/>
          <w:sz w:val="20"/>
          <w:szCs w:val="24"/>
          <w:lang w:val="es-ES_tradnl"/>
        </w:rPr>
        <w:t>que suponen un 44% de retorno</w:t>
      </w:r>
      <w:r w:rsidR="008F0553" w:rsidRPr="00455028">
        <w:rPr>
          <w:rFonts w:ascii="MinionPro-Regular" w:hAnsi="MinionPro-Regular"/>
          <w:sz w:val="20"/>
          <w:szCs w:val="24"/>
          <w:lang w:val="es-ES_tradnl"/>
        </w:rPr>
        <w:t xml:space="preserve">. </w:t>
      </w:r>
      <w:r w:rsidR="008F0553">
        <w:rPr>
          <w:rFonts w:ascii="MinionPro-Regular" w:hAnsi="MinionPro-Regular"/>
          <w:sz w:val="20"/>
          <w:lang w:val="es-ES_tradnl"/>
        </w:rPr>
        <w:t>Las siguientes dos columnas indican la proyección a 2020 teniendo en cuenta las mismas variables, llegando al 67% de retorno.</w:t>
      </w:r>
    </w:p>
    <w:p w:rsidR="00E2336B" w:rsidRDefault="00E2336B" w:rsidP="001D2EFC">
      <w:pPr>
        <w:rPr>
          <w:rFonts w:ascii="MinionPro-Regular" w:hAnsi="MinionPro-Regular"/>
          <w:sz w:val="24"/>
          <w:szCs w:val="24"/>
          <w:highlight w:val="cyan"/>
          <w:lang w:val="es-ES_tradnl"/>
        </w:rPr>
      </w:pPr>
    </w:p>
    <w:p w:rsidR="00531B66" w:rsidRDefault="00531B66" w:rsidP="001D2EFC">
      <w:pPr>
        <w:rPr>
          <w:rFonts w:ascii="MinionPro-Regular" w:hAnsi="MinionPro-Regular"/>
          <w:sz w:val="24"/>
          <w:szCs w:val="24"/>
          <w:highlight w:val="cyan"/>
          <w:lang w:val="es-ES_tradnl"/>
        </w:rPr>
      </w:pPr>
    </w:p>
    <w:p w:rsidR="00BF1CA4" w:rsidRDefault="00BF1CA4" w:rsidP="001D2EFC">
      <w:pPr>
        <w:rPr>
          <w:rFonts w:ascii="MinionPro-Regular" w:hAnsi="MinionPro-Regular"/>
          <w:sz w:val="24"/>
          <w:szCs w:val="24"/>
          <w:highlight w:val="cyan"/>
          <w:lang w:val="es-ES_tradnl"/>
        </w:rPr>
      </w:pPr>
    </w:p>
    <w:p w:rsidR="00BF1CA4" w:rsidRDefault="00BF1CA4" w:rsidP="001D2EFC">
      <w:pPr>
        <w:rPr>
          <w:rFonts w:ascii="MinionPro-Regular" w:hAnsi="MinionPro-Regular"/>
          <w:sz w:val="24"/>
          <w:szCs w:val="24"/>
          <w:highlight w:val="cyan"/>
          <w:lang w:val="es-ES_tradnl"/>
        </w:rPr>
      </w:pPr>
    </w:p>
    <w:p w:rsidR="00BF1CA4" w:rsidRDefault="00BF1CA4" w:rsidP="001D2EFC">
      <w:pPr>
        <w:rPr>
          <w:rFonts w:ascii="MinionPro-Regular" w:hAnsi="MinionPro-Regular"/>
          <w:sz w:val="24"/>
          <w:szCs w:val="24"/>
          <w:highlight w:val="cyan"/>
          <w:lang w:val="es-ES_tradnl"/>
        </w:rPr>
      </w:pPr>
    </w:p>
    <w:p w:rsidR="00BF1CA4" w:rsidRDefault="00BF1CA4" w:rsidP="001D2EFC">
      <w:pPr>
        <w:rPr>
          <w:rFonts w:ascii="MinionPro-Regular" w:hAnsi="MinionPro-Regular"/>
          <w:sz w:val="24"/>
          <w:szCs w:val="24"/>
          <w:highlight w:val="cyan"/>
          <w:lang w:val="es-ES_tradnl"/>
        </w:rPr>
      </w:pPr>
    </w:p>
    <w:p w:rsidR="00BF1CA4" w:rsidRDefault="00BF1CA4" w:rsidP="001D2EFC">
      <w:pPr>
        <w:rPr>
          <w:rFonts w:ascii="MinionPro-Regular" w:hAnsi="MinionPro-Regular"/>
          <w:sz w:val="24"/>
          <w:szCs w:val="24"/>
          <w:highlight w:val="cyan"/>
          <w:lang w:val="es-ES_tradnl"/>
        </w:rPr>
      </w:pPr>
    </w:p>
    <w:p w:rsidR="00BF1CA4" w:rsidRDefault="00BF1CA4" w:rsidP="001D2EFC">
      <w:pPr>
        <w:rPr>
          <w:rFonts w:ascii="MinionPro-Regular" w:hAnsi="MinionPro-Regular"/>
          <w:sz w:val="24"/>
          <w:szCs w:val="24"/>
          <w:highlight w:val="cyan"/>
          <w:lang w:val="es-ES_tradnl"/>
        </w:rPr>
      </w:pPr>
    </w:p>
    <w:p w:rsidR="00BF1CA4" w:rsidRDefault="00BF1CA4" w:rsidP="001D2EFC">
      <w:pPr>
        <w:rPr>
          <w:rFonts w:ascii="MinionPro-Regular" w:hAnsi="MinionPro-Regular"/>
          <w:sz w:val="24"/>
          <w:szCs w:val="24"/>
          <w:highlight w:val="cyan"/>
          <w:lang w:val="es-ES_tradnl"/>
        </w:rPr>
      </w:pPr>
    </w:p>
    <w:p w:rsidR="00BF1CA4" w:rsidRDefault="00BF1CA4" w:rsidP="001D2EFC">
      <w:pPr>
        <w:rPr>
          <w:rFonts w:ascii="MinionPro-Regular" w:hAnsi="MinionPro-Regular"/>
          <w:sz w:val="24"/>
          <w:szCs w:val="24"/>
          <w:highlight w:val="cyan"/>
          <w:lang w:val="es-ES_tradnl"/>
        </w:rPr>
      </w:pPr>
    </w:p>
    <w:p w:rsidR="00BF1CA4" w:rsidRDefault="00BF1CA4" w:rsidP="001D2EFC">
      <w:pPr>
        <w:rPr>
          <w:rFonts w:ascii="MinionPro-Regular" w:hAnsi="MinionPro-Regular"/>
          <w:sz w:val="24"/>
          <w:szCs w:val="24"/>
          <w:highlight w:val="cyan"/>
          <w:lang w:val="es-ES_tradnl"/>
        </w:rPr>
      </w:pPr>
    </w:p>
    <w:p w:rsidR="00BF1CA4" w:rsidRDefault="00BF1CA4" w:rsidP="001D2EFC">
      <w:pPr>
        <w:rPr>
          <w:rFonts w:ascii="MinionPro-Regular" w:hAnsi="MinionPro-Regular"/>
          <w:sz w:val="24"/>
          <w:szCs w:val="24"/>
          <w:highlight w:val="cyan"/>
          <w:lang w:val="es-ES_tradnl"/>
        </w:rPr>
      </w:pPr>
    </w:p>
    <w:p w:rsidR="00BF1CA4" w:rsidRDefault="00BF1CA4" w:rsidP="001D2EFC">
      <w:pPr>
        <w:rPr>
          <w:rFonts w:ascii="MinionPro-Regular" w:hAnsi="MinionPro-Regular"/>
          <w:sz w:val="24"/>
          <w:szCs w:val="24"/>
          <w:highlight w:val="cyan"/>
          <w:lang w:val="es-ES_tradnl"/>
        </w:rPr>
      </w:pPr>
    </w:p>
    <w:p w:rsidR="00BF1CA4" w:rsidRDefault="00BF1CA4" w:rsidP="001D2EFC">
      <w:pPr>
        <w:rPr>
          <w:rFonts w:ascii="MinionPro-Regular" w:hAnsi="MinionPro-Regular"/>
          <w:sz w:val="24"/>
          <w:szCs w:val="24"/>
          <w:highlight w:val="cyan"/>
          <w:lang w:val="es-ES_tradnl"/>
        </w:rPr>
      </w:pPr>
    </w:p>
    <w:p w:rsidR="00BF1CA4" w:rsidRDefault="00BF1CA4" w:rsidP="001D2EFC">
      <w:pPr>
        <w:rPr>
          <w:rFonts w:ascii="MinionPro-Regular" w:hAnsi="MinionPro-Regular"/>
          <w:sz w:val="24"/>
          <w:szCs w:val="24"/>
          <w:highlight w:val="cyan"/>
          <w:lang w:val="es-ES_tradnl"/>
        </w:rPr>
      </w:pPr>
    </w:p>
    <w:p w:rsidR="00C64718" w:rsidRDefault="00E2336B" w:rsidP="00C64718">
      <w:pPr>
        <w:pBdr>
          <w:top w:val="single" w:sz="4" w:space="1" w:color="auto"/>
        </w:pBdr>
        <w:rPr>
          <w:rFonts w:ascii="MinionPro-Regular" w:hAnsi="MinionPro-Regular"/>
          <w:color w:val="FF0000"/>
          <w:sz w:val="20"/>
          <w:lang w:val="es-ES_tradnl"/>
        </w:rPr>
      </w:pPr>
      <w:r>
        <w:rPr>
          <w:rFonts w:ascii="MinionPro-Regular" w:hAnsi="MinionPro-Regular"/>
          <w:sz w:val="20"/>
          <w:szCs w:val="24"/>
          <w:lang w:val="es-ES_tradnl"/>
        </w:rPr>
        <w:t xml:space="preserve">Escenario 2. </w:t>
      </w:r>
      <w:r w:rsidRPr="00223F12">
        <w:rPr>
          <w:rFonts w:ascii="MinionPro-Regular" w:hAnsi="MinionPro-Regular"/>
          <w:sz w:val="20"/>
          <w:lang w:val="es-ES_tradnl"/>
        </w:rPr>
        <w:t>Estimación total de los retornos de los centros especiales de empleo total de las ayudas</w:t>
      </w:r>
      <w:r>
        <w:rPr>
          <w:rFonts w:ascii="MinionPro-Regular" w:hAnsi="MinionPro-Regular"/>
          <w:sz w:val="20"/>
          <w:lang w:val="es-ES_tradnl"/>
        </w:rPr>
        <w:t>.</w:t>
      </w:r>
    </w:p>
    <w:p w:rsidR="00BF1CA4" w:rsidRPr="00C64718" w:rsidRDefault="00BF1CA4" w:rsidP="00C64718">
      <w:pPr>
        <w:pBdr>
          <w:top w:val="single" w:sz="4" w:space="1" w:color="auto"/>
        </w:pBdr>
        <w:rPr>
          <w:rFonts w:ascii="MinionPro-Regular" w:hAnsi="MinionPro-Regular"/>
          <w:color w:val="FF0000"/>
          <w:sz w:val="20"/>
          <w:lang w:val="es-ES_tradnl"/>
        </w:rPr>
      </w:pPr>
    </w:p>
    <w:p w:rsidR="00E2336B" w:rsidRDefault="00BF1CA4" w:rsidP="001D2EFC">
      <w:pPr>
        <w:pBdr>
          <w:top w:val="single" w:sz="4" w:space="1" w:color="auto"/>
        </w:pBdr>
        <w:rPr>
          <w:rFonts w:ascii="MinionPro-Regular" w:hAnsi="MinionPro-Regular"/>
          <w:sz w:val="20"/>
          <w:lang w:val="es-ES_tradnl"/>
        </w:rPr>
      </w:pPr>
      <w:r w:rsidRPr="00BF1CA4">
        <w:rPr>
          <w:rFonts w:ascii="MinionPro-Regular" w:hAnsi="MinionPro-Regular"/>
          <w:noProof/>
          <w:sz w:val="20"/>
          <w:lang w:eastAsia="es-ES"/>
        </w:rPr>
        <w:drawing>
          <wp:inline distT="0" distB="0" distL="0" distR="0">
            <wp:extent cx="5400675" cy="3529565"/>
            <wp:effectExtent l="0" t="0" r="0" b="0"/>
            <wp:docPr id="104" name="Object 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9145016" cy="5976664"/>
                      <a:chOff x="467544" y="620688"/>
                      <a:chExt cx="9145016" cy="5976664"/>
                    </a:xfrm>
                  </a:grpSpPr>
                  <a:grpSp>
                    <a:nvGrpSpPr>
                      <a:cNvPr id="34" name="Group 33"/>
                      <a:cNvGrpSpPr/>
                    </a:nvGrpSpPr>
                    <a:grpSpPr>
                      <a:xfrm>
                        <a:off x="467544" y="620688"/>
                        <a:ext cx="9145016" cy="5976664"/>
                        <a:chOff x="467544" y="620688"/>
                        <a:chExt cx="9145016" cy="5976664"/>
                      </a:xfrm>
                    </a:grpSpPr>
                    <a:graphicFrame>
                      <a:nvGraphicFramePr>
                        <a:cNvPr id="4" name="Chart 3"/>
                        <a:cNvGraphicFramePr/>
                      </a:nvGraphicFramePr>
                      <a:graphic>
                        <a:graphicData uri="http://schemas.openxmlformats.org/drawingml/2006/chart">
                          <c:chart xmlns:c="http://schemas.openxmlformats.org/drawingml/2006/chart" xmlns:r="http://schemas.openxmlformats.org/officeDocument/2006/relationships" r:id="rId138"/>
                        </a:graphicData>
                      </a:graphic>
                      <a:xfrm>
                        <a:off x="467544" y="620688"/>
                        <a:ext cx="6048672" cy="5491309"/>
                      </a:xfrm>
                    </a:graphicFrame>
                    <a:sp>
                      <a:nvSpPr>
                        <a:cNvPr id="5" name="Rectangle 4"/>
                        <a:cNvSpPr/>
                      </a:nvSpPr>
                      <a:spPr>
                        <a:xfrm>
                          <a:off x="6572176" y="2701369"/>
                          <a:ext cx="1741118" cy="276999"/>
                        </a:xfrm>
                        <a:prstGeom prst="rect">
                          <a:avLst/>
                        </a:prstGeom>
                      </a:spPr>
                      <a:txSp>
                        <a:txBody>
                          <a:bodyPr wrap="none">
                            <a:spAutoFit/>
                          </a:bodyPr>
                          <a:lstStyle>
                            <a:defPPr>
                              <a:defRPr lang="es-E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s-ES" sz="1200" dirty="0" smtClean="0"/>
                              <a:t>Retorno derivado del IVA</a:t>
                            </a:r>
                            <a:endParaRPr lang="es-ES" sz="1200" dirty="0"/>
                          </a:p>
                        </a:txBody>
                        <a:useSpRect/>
                      </a:txSp>
                    </a:sp>
                    <a:sp>
                      <a:nvSpPr>
                        <a:cNvPr id="6" name="Rectangle 5"/>
                        <a:cNvSpPr/>
                      </a:nvSpPr>
                      <a:spPr>
                        <a:xfrm>
                          <a:off x="6447011" y="2766284"/>
                          <a:ext cx="144016" cy="144016"/>
                        </a:xfrm>
                        <a:prstGeom prst="rect">
                          <a:avLst/>
                        </a:prstGeom>
                        <a:solidFill>
                          <a:srgbClr val="B6646B"/>
                        </a:solidFill>
                        <a:ln>
                          <a:noFill/>
                        </a:ln>
                      </a:spPr>
                      <a:txSp>
                        <a:txBody>
                          <a:bodyPr rtlCol="0" anchor="ctr"/>
                          <a:lstStyle>
                            <a:defPPr>
                              <a:defRPr lang="es-E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s-ES"/>
                          </a:p>
                        </a:txBody>
                        <a:useSpRect/>
                      </a:txSp>
                      <a:style>
                        <a:lnRef idx="2">
                          <a:schemeClr val="accent1">
                            <a:shade val="50000"/>
                          </a:schemeClr>
                        </a:lnRef>
                        <a:fillRef idx="1">
                          <a:schemeClr val="accent1"/>
                        </a:fillRef>
                        <a:effectRef idx="0">
                          <a:schemeClr val="accent1"/>
                        </a:effectRef>
                        <a:fontRef idx="minor">
                          <a:schemeClr val="lt1"/>
                        </a:fontRef>
                      </a:style>
                    </a:sp>
                    <a:sp>
                      <a:nvSpPr>
                        <a:cNvPr id="7" name="Rectangle 6"/>
                        <a:cNvSpPr/>
                      </a:nvSpPr>
                      <a:spPr>
                        <a:xfrm>
                          <a:off x="6572176" y="2269321"/>
                          <a:ext cx="2250504" cy="461665"/>
                        </a:xfrm>
                        <a:prstGeom prst="rect">
                          <a:avLst/>
                        </a:prstGeom>
                      </a:spPr>
                      <a:txSp>
                        <a:txBody>
                          <a:bodyPr wrap="square">
                            <a:spAutoFit/>
                          </a:bodyPr>
                          <a:lstStyle>
                            <a:defPPr>
                              <a:defRPr lang="es-E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s-ES" sz="1200" dirty="0" smtClean="0"/>
                              <a:t>Retorno derivado del IRPF y Seguridad Social</a:t>
                            </a:r>
                            <a:endParaRPr lang="es-ES" sz="1200" dirty="0"/>
                          </a:p>
                        </a:txBody>
                        <a:useSpRect/>
                      </a:txSp>
                    </a:sp>
                    <a:sp>
                      <a:nvSpPr>
                        <a:cNvPr id="8" name="Rectangle 7"/>
                        <a:cNvSpPr/>
                      </a:nvSpPr>
                      <a:spPr>
                        <a:xfrm>
                          <a:off x="6447011" y="2413337"/>
                          <a:ext cx="144016" cy="144016"/>
                        </a:xfrm>
                        <a:prstGeom prst="rect">
                          <a:avLst/>
                        </a:prstGeom>
                        <a:solidFill>
                          <a:srgbClr val="409DAD"/>
                        </a:solidFill>
                        <a:ln>
                          <a:noFill/>
                        </a:ln>
                      </a:spPr>
                      <a:txSp>
                        <a:txBody>
                          <a:bodyPr rtlCol="0" anchor="ctr"/>
                          <a:lstStyle>
                            <a:defPPr>
                              <a:defRPr lang="es-E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s-ES"/>
                          </a:p>
                        </a:txBody>
                        <a:useSpRect/>
                      </a:txSp>
                      <a:style>
                        <a:lnRef idx="2">
                          <a:schemeClr val="accent1">
                            <a:shade val="50000"/>
                          </a:schemeClr>
                        </a:lnRef>
                        <a:fillRef idx="1">
                          <a:schemeClr val="accent1"/>
                        </a:fillRef>
                        <a:effectRef idx="0">
                          <a:schemeClr val="accent1"/>
                        </a:effectRef>
                        <a:fontRef idx="minor">
                          <a:schemeClr val="lt1"/>
                        </a:fontRef>
                      </a:style>
                    </a:sp>
                    <a:sp>
                      <a:nvSpPr>
                        <a:cNvPr id="9" name="Rectangle 8"/>
                        <a:cNvSpPr/>
                      </a:nvSpPr>
                      <a:spPr>
                        <a:xfrm>
                          <a:off x="6572176" y="3017976"/>
                          <a:ext cx="3040384" cy="276999"/>
                        </a:xfrm>
                        <a:prstGeom prst="rect">
                          <a:avLst/>
                        </a:prstGeom>
                      </a:spPr>
                      <a:txSp>
                        <a:txBody>
                          <a:bodyPr wrap="none">
                            <a:spAutoFit/>
                          </a:bodyPr>
                          <a:lstStyle>
                            <a:defPPr>
                              <a:defRPr lang="es-E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s-ES" sz="1200" dirty="0" smtClean="0"/>
                              <a:t>Retorno derivado del impuesto de sociedades</a:t>
                            </a:r>
                            <a:endParaRPr lang="es-ES" sz="1200" dirty="0"/>
                          </a:p>
                        </a:txBody>
                        <a:useSpRect/>
                      </a:txSp>
                    </a:sp>
                    <a:sp>
                      <a:nvSpPr>
                        <a:cNvPr id="10" name="Rectangle 9"/>
                        <a:cNvSpPr/>
                      </a:nvSpPr>
                      <a:spPr>
                        <a:xfrm>
                          <a:off x="6447011" y="3082891"/>
                          <a:ext cx="144016" cy="144016"/>
                        </a:xfrm>
                        <a:prstGeom prst="rect">
                          <a:avLst/>
                        </a:prstGeom>
                        <a:solidFill>
                          <a:srgbClr val="747678"/>
                        </a:solidFill>
                        <a:ln>
                          <a:noFill/>
                        </a:ln>
                      </a:spPr>
                      <a:txSp>
                        <a:txBody>
                          <a:bodyPr rtlCol="0" anchor="ctr"/>
                          <a:lstStyle>
                            <a:defPPr>
                              <a:defRPr lang="es-E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s-ES"/>
                          </a:p>
                        </a:txBody>
                        <a:useSpRect/>
                      </a:txSp>
                      <a:style>
                        <a:lnRef idx="2">
                          <a:schemeClr val="accent1">
                            <a:shade val="50000"/>
                          </a:schemeClr>
                        </a:lnRef>
                        <a:fillRef idx="1">
                          <a:schemeClr val="accent1"/>
                        </a:fillRef>
                        <a:effectRef idx="0">
                          <a:schemeClr val="accent1"/>
                        </a:effectRef>
                        <a:fontRef idx="minor">
                          <a:schemeClr val="lt1"/>
                        </a:fontRef>
                      </a:style>
                    </a:sp>
                    <a:sp>
                      <a:nvSpPr>
                        <a:cNvPr id="11" name="Rectangle 10"/>
                        <a:cNvSpPr/>
                      </a:nvSpPr>
                      <a:spPr>
                        <a:xfrm>
                          <a:off x="6572176" y="3668831"/>
                          <a:ext cx="1859805" cy="276999"/>
                        </a:xfrm>
                        <a:prstGeom prst="rect">
                          <a:avLst/>
                        </a:prstGeom>
                      </a:spPr>
                      <a:txSp>
                        <a:txBody>
                          <a:bodyPr wrap="none">
                            <a:spAutoFit/>
                          </a:bodyPr>
                          <a:lstStyle>
                            <a:defPPr>
                              <a:defRPr lang="es-E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s-ES" sz="1200" dirty="0" smtClean="0"/>
                              <a:t>Pensiones no contributivas</a:t>
                            </a:r>
                            <a:endParaRPr lang="es-ES" sz="1200" dirty="0"/>
                          </a:p>
                        </a:txBody>
                        <a:useSpRect/>
                      </a:txSp>
                    </a:sp>
                    <a:sp>
                      <a:nvSpPr>
                        <a:cNvPr id="12" name="Rectangle 11"/>
                        <a:cNvSpPr/>
                      </a:nvSpPr>
                      <a:spPr>
                        <a:xfrm>
                          <a:off x="6447011" y="3735322"/>
                          <a:ext cx="144016" cy="144016"/>
                        </a:xfrm>
                        <a:prstGeom prst="rect">
                          <a:avLst/>
                        </a:prstGeom>
                        <a:solidFill>
                          <a:srgbClr val="8099C6"/>
                        </a:solidFill>
                        <a:ln>
                          <a:noFill/>
                        </a:ln>
                      </a:spPr>
                      <a:txSp>
                        <a:txBody>
                          <a:bodyPr rtlCol="0" anchor="ctr"/>
                          <a:lstStyle>
                            <a:defPPr>
                              <a:defRPr lang="es-E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s-ES"/>
                          </a:p>
                        </a:txBody>
                        <a:useSpRect/>
                      </a:txSp>
                      <a:style>
                        <a:lnRef idx="2">
                          <a:schemeClr val="accent1">
                            <a:shade val="50000"/>
                          </a:schemeClr>
                        </a:lnRef>
                        <a:fillRef idx="1">
                          <a:schemeClr val="accent1"/>
                        </a:fillRef>
                        <a:effectRef idx="0">
                          <a:schemeClr val="accent1"/>
                        </a:effectRef>
                        <a:fontRef idx="minor">
                          <a:schemeClr val="lt1"/>
                        </a:fontRef>
                      </a:style>
                    </a:sp>
                    <a:sp>
                      <a:nvSpPr>
                        <a:cNvPr id="13" name="Rectangle 12"/>
                        <a:cNvSpPr/>
                      </a:nvSpPr>
                      <a:spPr>
                        <a:xfrm>
                          <a:off x="6447011" y="4329970"/>
                          <a:ext cx="144016" cy="144016"/>
                        </a:xfrm>
                        <a:prstGeom prst="rect">
                          <a:avLst/>
                        </a:prstGeom>
                        <a:solidFill>
                          <a:srgbClr val="E5EAF3"/>
                        </a:solidFill>
                        <a:ln>
                          <a:noFill/>
                        </a:ln>
                      </a:spPr>
                      <a:txSp>
                        <a:txBody>
                          <a:bodyPr rtlCol="0" anchor="ctr"/>
                          <a:lstStyle>
                            <a:defPPr>
                              <a:defRPr lang="es-E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s-ES"/>
                          </a:p>
                        </a:txBody>
                        <a:useSpRect/>
                      </a:txSp>
                      <a:style>
                        <a:lnRef idx="2">
                          <a:schemeClr val="accent1">
                            <a:shade val="50000"/>
                          </a:schemeClr>
                        </a:lnRef>
                        <a:fillRef idx="1">
                          <a:schemeClr val="accent1"/>
                        </a:fillRef>
                        <a:effectRef idx="0">
                          <a:schemeClr val="accent1"/>
                        </a:effectRef>
                        <a:fontRef idx="minor">
                          <a:schemeClr val="lt1"/>
                        </a:fontRef>
                      </a:style>
                    </a:sp>
                    <a:sp>
                      <a:nvSpPr>
                        <a:cNvPr id="14" name="Rectangle 13"/>
                        <a:cNvSpPr/>
                      </a:nvSpPr>
                      <a:spPr>
                        <a:xfrm>
                          <a:off x="6572176" y="3349441"/>
                          <a:ext cx="2250504" cy="276999"/>
                        </a:xfrm>
                        <a:prstGeom prst="rect">
                          <a:avLst/>
                        </a:prstGeom>
                      </a:spPr>
                      <a:txSp>
                        <a:txBody>
                          <a:bodyPr wrap="square">
                            <a:spAutoFit/>
                          </a:bodyPr>
                          <a:lstStyle>
                            <a:defPPr>
                              <a:defRPr lang="es-E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s-ES" sz="1200" dirty="0" smtClean="0"/>
                              <a:t>LISMI</a:t>
                            </a:r>
                            <a:endParaRPr lang="es-ES" sz="1200" dirty="0"/>
                          </a:p>
                        </a:txBody>
                        <a:useSpRect/>
                      </a:txSp>
                    </a:sp>
                    <a:sp>
                      <a:nvSpPr>
                        <a:cNvPr id="15" name="Rectangle 14"/>
                        <a:cNvSpPr/>
                      </a:nvSpPr>
                      <a:spPr>
                        <a:xfrm>
                          <a:off x="6572176" y="4263479"/>
                          <a:ext cx="2592288" cy="276999"/>
                        </a:xfrm>
                        <a:prstGeom prst="rect">
                          <a:avLst/>
                        </a:prstGeom>
                      </a:spPr>
                      <a:txSp>
                        <a:txBody>
                          <a:bodyPr wrap="square">
                            <a:spAutoFit/>
                          </a:bodyPr>
                          <a:lstStyle>
                            <a:defPPr>
                              <a:defRPr lang="es-E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s-ES" sz="1200" dirty="0" smtClean="0"/>
                              <a:t>Ahorro sanitario</a:t>
                            </a:r>
                            <a:endParaRPr lang="es-ES" sz="1200" dirty="0"/>
                          </a:p>
                        </a:txBody>
                        <a:useSpRect/>
                      </a:txSp>
                    </a:sp>
                    <a:sp>
                      <a:nvSpPr>
                        <a:cNvPr id="16" name="Rectangle 15"/>
                        <a:cNvSpPr/>
                      </a:nvSpPr>
                      <a:spPr>
                        <a:xfrm>
                          <a:off x="6447011" y="3415932"/>
                          <a:ext cx="144016" cy="144016"/>
                        </a:xfrm>
                        <a:prstGeom prst="rect">
                          <a:avLst/>
                        </a:prstGeom>
                        <a:solidFill>
                          <a:srgbClr val="4066AA"/>
                        </a:solidFill>
                        <a:ln>
                          <a:noFill/>
                        </a:ln>
                      </a:spPr>
                      <a:txSp>
                        <a:txBody>
                          <a:bodyPr rtlCol="0" anchor="ctr"/>
                          <a:lstStyle>
                            <a:defPPr>
                              <a:defRPr lang="es-E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s-ES"/>
                          </a:p>
                        </a:txBody>
                        <a:useSpRect/>
                      </a:txSp>
                      <a:style>
                        <a:lnRef idx="2">
                          <a:schemeClr val="accent1">
                            <a:shade val="50000"/>
                          </a:schemeClr>
                        </a:lnRef>
                        <a:fillRef idx="1">
                          <a:schemeClr val="accent1"/>
                        </a:fillRef>
                        <a:effectRef idx="0">
                          <a:schemeClr val="accent1"/>
                        </a:effectRef>
                        <a:fontRef idx="minor">
                          <a:schemeClr val="lt1"/>
                        </a:fontRef>
                      </a:style>
                    </a:sp>
                    <a:sp>
                      <a:nvSpPr>
                        <a:cNvPr id="17" name="Rectangle 16"/>
                        <a:cNvSpPr/>
                      </a:nvSpPr>
                      <a:spPr>
                        <a:xfrm>
                          <a:off x="6572176" y="3985438"/>
                          <a:ext cx="1662635" cy="276999"/>
                        </a:xfrm>
                        <a:prstGeom prst="rect">
                          <a:avLst/>
                        </a:prstGeom>
                      </a:spPr>
                      <a:txSp>
                        <a:txBody>
                          <a:bodyPr wrap="none">
                            <a:spAutoFit/>
                          </a:bodyPr>
                          <a:lstStyle>
                            <a:defPPr>
                              <a:defRPr lang="es-E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s-ES" sz="1200" dirty="0" smtClean="0"/>
                              <a:t>Pensiones contributivas</a:t>
                            </a:r>
                            <a:endParaRPr lang="es-ES" sz="1200" dirty="0"/>
                          </a:p>
                        </a:txBody>
                        <a:useSpRect/>
                      </a:txSp>
                    </a:sp>
                    <a:sp>
                      <a:nvSpPr>
                        <a:cNvPr id="18" name="Rectangle 17"/>
                        <a:cNvSpPr/>
                      </a:nvSpPr>
                      <a:spPr>
                        <a:xfrm>
                          <a:off x="6447011" y="4051929"/>
                          <a:ext cx="144016" cy="144016"/>
                        </a:xfrm>
                        <a:prstGeom prst="rect">
                          <a:avLst/>
                        </a:prstGeom>
                        <a:solidFill>
                          <a:srgbClr val="BFCCE3"/>
                        </a:solidFill>
                        <a:ln>
                          <a:noFill/>
                        </a:ln>
                      </a:spPr>
                      <a:txSp>
                        <a:txBody>
                          <a:bodyPr rtlCol="0" anchor="ctr"/>
                          <a:lstStyle>
                            <a:defPPr>
                              <a:defRPr lang="es-E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s-ES"/>
                          </a:p>
                        </a:txBody>
                        <a:useSpRect/>
                      </a:txSp>
                      <a:style>
                        <a:lnRef idx="2">
                          <a:schemeClr val="accent1">
                            <a:shade val="50000"/>
                          </a:schemeClr>
                        </a:lnRef>
                        <a:fillRef idx="1">
                          <a:schemeClr val="accent1"/>
                        </a:fillRef>
                        <a:effectRef idx="0">
                          <a:schemeClr val="accent1"/>
                        </a:effectRef>
                        <a:fontRef idx="minor">
                          <a:schemeClr val="lt1"/>
                        </a:fontRef>
                      </a:style>
                    </a:sp>
                    <a:sp>
                      <a:nvSpPr>
                        <a:cNvPr id="19" name="Rectangle 18"/>
                        <a:cNvSpPr/>
                      </a:nvSpPr>
                      <a:spPr>
                        <a:xfrm>
                          <a:off x="6447011" y="5142383"/>
                          <a:ext cx="144016" cy="144016"/>
                        </a:xfrm>
                        <a:prstGeom prst="rect">
                          <a:avLst/>
                        </a:prstGeom>
                        <a:solidFill>
                          <a:srgbClr val="9BCA40"/>
                        </a:solidFill>
                        <a:ln>
                          <a:noFill/>
                        </a:ln>
                      </a:spPr>
                      <a:txSp>
                        <a:txBody>
                          <a:bodyPr rtlCol="0" anchor="ctr"/>
                          <a:lstStyle>
                            <a:defPPr>
                              <a:defRPr lang="es-E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s-ES"/>
                          </a:p>
                        </a:txBody>
                        <a:useSpRect/>
                      </a:txSp>
                      <a:style>
                        <a:lnRef idx="2">
                          <a:schemeClr val="accent1">
                            <a:shade val="50000"/>
                          </a:schemeClr>
                        </a:lnRef>
                        <a:fillRef idx="1">
                          <a:schemeClr val="accent1"/>
                        </a:fillRef>
                        <a:effectRef idx="0">
                          <a:schemeClr val="accent1"/>
                        </a:effectRef>
                        <a:fontRef idx="minor">
                          <a:schemeClr val="lt1"/>
                        </a:fontRef>
                      </a:style>
                    </a:sp>
                    <a:sp>
                      <a:nvSpPr>
                        <a:cNvPr id="20" name="Rectangle 19"/>
                        <a:cNvSpPr/>
                      </a:nvSpPr>
                      <a:spPr>
                        <a:xfrm>
                          <a:off x="6572176" y="4983559"/>
                          <a:ext cx="2592288" cy="461665"/>
                        </a:xfrm>
                        <a:prstGeom prst="rect">
                          <a:avLst/>
                        </a:prstGeom>
                      </a:spPr>
                      <a:txSp>
                        <a:txBody>
                          <a:bodyPr wrap="square">
                            <a:spAutoFit/>
                          </a:bodyPr>
                          <a:lstStyle>
                            <a:defPPr>
                              <a:defRPr lang="es-E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s-ES" sz="1200" dirty="0" smtClean="0"/>
                              <a:t>Ayudas de la administración que no implican salida de efectivo</a:t>
                            </a:r>
                            <a:endParaRPr lang="es-ES" sz="1200" dirty="0"/>
                          </a:p>
                        </a:txBody>
                        <a:useSpRect/>
                      </a:txSp>
                    </a:sp>
                    <a:sp>
                      <a:nvSpPr>
                        <a:cNvPr id="21" name="Rectangle 20"/>
                        <a:cNvSpPr/>
                      </a:nvSpPr>
                      <a:spPr>
                        <a:xfrm>
                          <a:off x="6447011" y="4695527"/>
                          <a:ext cx="144016" cy="144016"/>
                        </a:xfrm>
                        <a:prstGeom prst="rect">
                          <a:avLst/>
                        </a:prstGeom>
                        <a:solidFill>
                          <a:srgbClr val="7AB800"/>
                        </a:solidFill>
                        <a:ln>
                          <a:noFill/>
                        </a:ln>
                      </a:spPr>
                      <a:txSp>
                        <a:txBody>
                          <a:bodyPr rtlCol="0" anchor="ctr"/>
                          <a:lstStyle>
                            <a:defPPr>
                              <a:defRPr lang="es-E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s-ES"/>
                          </a:p>
                        </a:txBody>
                        <a:useSpRect/>
                      </a:txSp>
                      <a:style>
                        <a:lnRef idx="2">
                          <a:schemeClr val="accent1">
                            <a:shade val="50000"/>
                          </a:schemeClr>
                        </a:lnRef>
                        <a:fillRef idx="1">
                          <a:schemeClr val="accent1"/>
                        </a:fillRef>
                        <a:effectRef idx="0">
                          <a:schemeClr val="accent1"/>
                        </a:effectRef>
                        <a:fontRef idx="minor">
                          <a:schemeClr val="lt1"/>
                        </a:fontRef>
                      </a:style>
                    </a:sp>
                    <a:sp>
                      <a:nvSpPr>
                        <a:cNvPr id="22" name="Rectangle 21"/>
                        <a:cNvSpPr/>
                      </a:nvSpPr>
                      <a:spPr>
                        <a:xfrm>
                          <a:off x="6572176" y="4551511"/>
                          <a:ext cx="2592288" cy="461665"/>
                        </a:xfrm>
                        <a:prstGeom prst="rect">
                          <a:avLst/>
                        </a:prstGeom>
                      </a:spPr>
                      <a:txSp>
                        <a:txBody>
                          <a:bodyPr wrap="square">
                            <a:spAutoFit/>
                          </a:bodyPr>
                          <a:lstStyle>
                            <a:defPPr>
                              <a:defRPr lang="es-E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s-ES" sz="1200" dirty="0" smtClean="0"/>
                              <a:t>Ayudas de la administración con salida de efectivo</a:t>
                            </a:r>
                            <a:endParaRPr lang="es-ES" sz="1200" dirty="0"/>
                          </a:p>
                        </a:txBody>
                        <a:useSpRect/>
                      </a:txSp>
                    </a:sp>
                    <a:sp>
                      <a:nvSpPr>
                        <a:cNvPr id="23" name="Rectangle 22"/>
                        <a:cNvSpPr/>
                      </a:nvSpPr>
                      <a:spPr>
                        <a:xfrm>
                          <a:off x="6588224" y="1959223"/>
                          <a:ext cx="2592288" cy="276999"/>
                        </a:xfrm>
                        <a:prstGeom prst="rect">
                          <a:avLst/>
                        </a:prstGeom>
                      </a:spPr>
                      <a:txSp>
                        <a:txBody>
                          <a:bodyPr wrap="square">
                            <a:spAutoFit/>
                          </a:bodyPr>
                          <a:lstStyle>
                            <a:defPPr>
                              <a:defRPr lang="es-E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s-ES" sz="1200" dirty="0" smtClean="0"/>
                              <a:t>Ahorro plazas ocupacionales</a:t>
                            </a:r>
                            <a:endParaRPr lang="es-ES" sz="1200" dirty="0"/>
                          </a:p>
                        </a:txBody>
                        <a:useSpRect/>
                      </a:txSp>
                    </a:sp>
                    <a:sp>
                      <a:nvSpPr>
                        <a:cNvPr id="24" name="Rectangle 23"/>
                        <a:cNvSpPr/>
                      </a:nvSpPr>
                      <a:spPr>
                        <a:xfrm>
                          <a:off x="6444208" y="2031231"/>
                          <a:ext cx="144016" cy="144016"/>
                        </a:xfrm>
                        <a:prstGeom prst="rect">
                          <a:avLst/>
                        </a:prstGeom>
                        <a:solidFill>
                          <a:srgbClr val="558ED5"/>
                        </a:solidFill>
                        <a:ln>
                          <a:noFill/>
                        </a:ln>
                      </a:spPr>
                      <a:txSp>
                        <a:txBody>
                          <a:bodyPr rtlCol="0" anchor="ctr"/>
                          <a:lstStyle>
                            <a:defPPr>
                              <a:defRPr lang="es-E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s-ES"/>
                          </a:p>
                        </a:txBody>
                        <a:useSpRect/>
                      </a:txSp>
                      <a:style>
                        <a:lnRef idx="2">
                          <a:schemeClr val="accent1">
                            <a:shade val="50000"/>
                          </a:schemeClr>
                        </a:lnRef>
                        <a:fillRef idx="1">
                          <a:schemeClr val="accent1"/>
                        </a:fillRef>
                        <a:effectRef idx="0">
                          <a:schemeClr val="accent1"/>
                        </a:effectRef>
                        <a:fontRef idx="minor">
                          <a:schemeClr val="lt1"/>
                        </a:fontRef>
                      </a:style>
                    </a:sp>
                    <a:sp>
                      <a:nvSpPr>
                        <a:cNvPr id="25" name="Rectangle 24"/>
                        <a:cNvSpPr/>
                      </a:nvSpPr>
                      <a:spPr>
                        <a:xfrm>
                          <a:off x="1691680" y="5849672"/>
                          <a:ext cx="1008112" cy="369332"/>
                        </a:xfrm>
                        <a:prstGeom prst="rect">
                          <a:avLst/>
                        </a:prstGeom>
                      </a:spPr>
                      <a:txSp>
                        <a:txBody>
                          <a:bodyPr wrap="square">
                            <a:spAutoFit/>
                          </a:bodyPr>
                          <a:lstStyle>
                            <a:defPPr>
                              <a:defRPr lang="es-E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s-ES" sz="900" dirty="0" smtClean="0">
                                <a:latin typeface="MinionPro-Regular"/>
                              </a:rPr>
                              <a:t>Estimación total de los retornos</a:t>
                            </a:r>
                            <a:endParaRPr lang="es-ES" sz="900" dirty="0">
                              <a:latin typeface="MinionPro-Regular"/>
                            </a:endParaRPr>
                          </a:p>
                        </a:txBody>
                        <a:useSpRect/>
                      </a:txSp>
                    </a:sp>
                    <a:sp>
                      <a:nvSpPr>
                        <a:cNvPr id="26" name="Rectangle 25"/>
                        <a:cNvSpPr/>
                      </a:nvSpPr>
                      <a:spPr>
                        <a:xfrm>
                          <a:off x="3791263" y="5849672"/>
                          <a:ext cx="1008112" cy="369332"/>
                        </a:xfrm>
                        <a:prstGeom prst="rect">
                          <a:avLst/>
                        </a:prstGeom>
                      </a:spPr>
                      <a:txSp>
                        <a:txBody>
                          <a:bodyPr wrap="square">
                            <a:spAutoFit/>
                          </a:bodyPr>
                          <a:lstStyle>
                            <a:defPPr>
                              <a:defRPr lang="es-E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s-ES" sz="900" dirty="0" smtClean="0">
                                <a:latin typeface="MinionPro-Regular"/>
                              </a:rPr>
                              <a:t>Estimación total de los retornos</a:t>
                            </a:r>
                            <a:endParaRPr lang="es-ES" sz="900" dirty="0">
                              <a:latin typeface="MinionPro-Regular"/>
                            </a:endParaRPr>
                          </a:p>
                        </a:txBody>
                        <a:useSpRect/>
                      </a:txSp>
                    </a:sp>
                    <a:sp>
                      <a:nvSpPr>
                        <a:cNvPr id="27" name="Rectangle 26"/>
                        <a:cNvSpPr/>
                      </a:nvSpPr>
                      <a:spPr>
                        <a:xfrm>
                          <a:off x="2711143" y="5777664"/>
                          <a:ext cx="1080120" cy="507831"/>
                        </a:xfrm>
                        <a:prstGeom prst="rect">
                          <a:avLst/>
                        </a:prstGeom>
                      </a:spPr>
                      <a:txSp>
                        <a:txBody>
                          <a:bodyPr wrap="square">
                            <a:spAutoFit/>
                          </a:bodyPr>
                          <a:lstStyle>
                            <a:defPPr>
                              <a:defRPr lang="es-E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s-ES" sz="900" dirty="0" smtClean="0">
                                <a:latin typeface="MinionPro-Regular"/>
                              </a:rPr>
                              <a:t>Ayudas de la administración pública</a:t>
                            </a:r>
                            <a:endParaRPr lang="es-ES" sz="900" dirty="0">
                              <a:latin typeface="MinionPro-Regular"/>
                            </a:endParaRPr>
                          </a:p>
                        </a:txBody>
                        <a:useSpRect/>
                      </a:txSp>
                    </a:sp>
                    <a:sp>
                      <a:nvSpPr>
                        <a:cNvPr id="28" name="Rectangle 27"/>
                        <a:cNvSpPr/>
                      </a:nvSpPr>
                      <a:spPr>
                        <a:xfrm>
                          <a:off x="4860032" y="5777664"/>
                          <a:ext cx="1080120" cy="507831"/>
                        </a:xfrm>
                        <a:prstGeom prst="rect">
                          <a:avLst/>
                        </a:prstGeom>
                      </a:spPr>
                      <a:txSp>
                        <a:txBody>
                          <a:bodyPr wrap="square">
                            <a:spAutoFit/>
                          </a:bodyPr>
                          <a:lstStyle>
                            <a:defPPr>
                              <a:defRPr lang="es-E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s-ES" sz="900" dirty="0" smtClean="0">
                                <a:latin typeface="MinionPro-Regular"/>
                              </a:rPr>
                              <a:t>Ayudas de la administración pública</a:t>
                            </a:r>
                            <a:endParaRPr lang="es-ES" sz="900" dirty="0">
                              <a:latin typeface="MinionPro-Regular"/>
                            </a:endParaRPr>
                          </a:p>
                        </a:txBody>
                        <a:useSpRect/>
                      </a:txSp>
                    </a:sp>
                    <a:cxnSp>
                      <a:nvCxnSpPr>
                        <a:cNvPr id="29" name="Straight Connector 28"/>
                        <a:cNvCxnSpPr/>
                      </a:nvCxnSpPr>
                      <a:spPr>
                        <a:xfrm flipV="1">
                          <a:off x="1763688" y="6279123"/>
                          <a:ext cx="2016000" cy="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30" name="Straight Connector 29"/>
                        <a:cNvCxnSpPr/>
                      </a:nvCxnSpPr>
                      <a:spPr>
                        <a:xfrm flipV="1">
                          <a:off x="3923704" y="6279123"/>
                          <a:ext cx="2016000" cy="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sp>
                      <a:nvSpPr>
                        <a:cNvPr id="31" name="Rectangle 30"/>
                        <a:cNvSpPr/>
                      </a:nvSpPr>
                      <a:spPr>
                        <a:xfrm>
                          <a:off x="2195512" y="6351131"/>
                          <a:ext cx="1152128" cy="246221"/>
                        </a:xfrm>
                        <a:prstGeom prst="rect">
                          <a:avLst/>
                        </a:prstGeom>
                      </a:spPr>
                      <a:txSp>
                        <a:txBody>
                          <a:bodyPr wrap="square">
                            <a:spAutoFit/>
                          </a:bodyPr>
                          <a:lstStyle>
                            <a:defPPr>
                              <a:defRPr lang="es-E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s-ES_tradnl" sz="1000" b="1" dirty="0" smtClean="0">
                                <a:latin typeface="Arial"/>
                                <a:cs typeface="Arial"/>
                              </a:rPr>
                              <a:t>2011</a:t>
                            </a:r>
                            <a:endParaRPr lang="es-ES" sz="1000" b="1" dirty="0">
                              <a:latin typeface="MinionPro-Regular"/>
                            </a:endParaRPr>
                          </a:p>
                        </a:txBody>
                        <a:useSpRect/>
                      </a:txSp>
                    </a:sp>
                    <a:sp>
                      <a:nvSpPr>
                        <a:cNvPr id="32" name="Rectangle 31"/>
                        <a:cNvSpPr/>
                      </a:nvSpPr>
                      <a:spPr>
                        <a:xfrm>
                          <a:off x="3779688" y="6351131"/>
                          <a:ext cx="2016224" cy="246221"/>
                        </a:xfrm>
                        <a:prstGeom prst="rect">
                          <a:avLst/>
                        </a:prstGeom>
                      </a:spPr>
                      <a:txSp>
                        <a:txBody>
                          <a:bodyPr wrap="square">
                            <a:spAutoFit/>
                          </a:bodyPr>
                          <a:lstStyle>
                            <a:defPPr>
                              <a:defRPr lang="es-E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s-ES_tradnl" sz="1000" b="1" dirty="0" smtClean="0">
                                <a:latin typeface="Arial"/>
                                <a:cs typeface="Arial"/>
                              </a:rPr>
                              <a:t>Proyección 2020</a:t>
                            </a:r>
                            <a:endParaRPr lang="es-ES" sz="1000" b="1" dirty="0">
                              <a:latin typeface="MinionPro-Regular"/>
                            </a:endParaRPr>
                          </a:p>
                        </a:txBody>
                        <a:useSpRect/>
                      </a:txSp>
                    </a:sp>
                    <a:cxnSp>
                      <a:nvCxnSpPr>
                        <a:cNvPr id="33" name="Straight Connector 32"/>
                        <a:cNvCxnSpPr/>
                      </a:nvCxnSpPr>
                      <a:spPr>
                        <a:xfrm>
                          <a:off x="1512184" y="5733256"/>
                          <a:ext cx="4716000" cy="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grpSp>
                </lc:lockedCanvas>
              </a:graphicData>
            </a:graphic>
          </wp:inline>
        </w:drawing>
      </w:r>
    </w:p>
    <w:p w:rsidR="00E2336B" w:rsidRDefault="00E2336B" w:rsidP="001D2EFC">
      <w:pPr>
        <w:pBdr>
          <w:top w:val="single" w:sz="4" w:space="1" w:color="auto"/>
        </w:pBdr>
        <w:rPr>
          <w:rFonts w:ascii="MinionPro-Regular" w:hAnsi="MinionPro-Regular"/>
          <w:color w:val="FF0000"/>
          <w:sz w:val="20"/>
          <w:lang w:val="es-ES_tradnl"/>
        </w:rPr>
      </w:pPr>
    </w:p>
    <w:p w:rsidR="00E2336B" w:rsidRDefault="00E2336B" w:rsidP="00213730">
      <w:pPr>
        <w:pBdr>
          <w:bottom w:val="single" w:sz="4" w:space="1" w:color="auto"/>
        </w:pBdr>
        <w:autoSpaceDE w:val="0"/>
        <w:autoSpaceDN w:val="0"/>
        <w:spacing w:line="360" w:lineRule="auto"/>
        <w:jc w:val="both"/>
        <w:rPr>
          <w:rFonts w:ascii="MinionPro-Regular" w:hAnsi="MinionPro-Regular"/>
          <w:sz w:val="20"/>
          <w:lang w:val="es-ES_tradnl"/>
        </w:rPr>
      </w:pPr>
      <w:r w:rsidRPr="00213730">
        <w:rPr>
          <w:rFonts w:ascii="MinionPro-Regular" w:hAnsi="MinionPro-Regular"/>
          <w:sz w:val="20"/>
          <w:lang w:val="es-ES_tradnl"/>
        </w:rPr>
        <w:t>Fuente: Elaboración propia</w:t>
      </w:r>
    </w:p>
    <w:p w:rsidR="00E2336B" w:rsidRPr="00213730" w:rsidRDefault="00E2336B" w:rsidP="00213730">
      <w:pPr>
        <w:pBdr>
          <w:bottom w:val="single" w:sz="4" w:space="1" w:color="auto"/>
        </w:pBdr>
        <w:autoSpaceDE w:val="0"/>
        <w:autoSpaceDN w:val="0"/>
        <w:spacing w:line="360" w:lineRule="auto"/>
        <w:jc w:val="both"/>
        <w:rPr>
          <w:rFonts w:ascii="MinionPro-Regular" w:hAnsi="MinionPro-Regular"/>
          <w:sz w:val="20"/>
          <w:lang w:val="es-ES_tradnl"/>
        </w:rPr>
      </w:pPr>
    </w:p>
    <w:p w:rsidR="00E2336B" w:rsidRDefault="00E2336B" w:rsidP="008F0553">
      <w:pPr>
        <w:pBdr>
          <w:bottom w:val="single" w:sz="4" w:space="1" w:color="auto"/>
        </w:pBdr>
        <w:autoSpaceDE w:val="0"/>
        <w:autoSpaceDN w:val="0"/>
        <w:spacing w:line="360" w:lineRule="auto"/>
        <w:jc w:val="both"/>
        <w:rPr>
          <w:rFonts w:ascii="MinionPro-Regular" w:hAnsi="MinionPro-Regular"/>
          <w:sz w:val="24"/>
          <w:szCs w:val="24"/>
          <w:highlight w:val="cyan"/>
          <w:lang w:val="es-ES_tradnl"/>
        </w:rPr>
      </w:pPr>
      <w:r w:rsidRPr="00213730">
        <w:rPr>
          <w:rFonts w:ascii="MinionPro-Regular" w:hAnsi="MinionPro-Regular"/>
          <w:sz w:val="20"/>
          <w:lang w:val="es-ES_tradnl"/>
        </w:rPr>
        <w:t>Nota explicativa de la gráfica: El eje horizontal se constituye de cuatro columnas. Las dos primeras representa la estimación total del retorno de los centros especiales de empleo frente a las ayudas de la administración pública, en el año 2011</w:t>
      </w:r>
      <w:r w:rsidR="008F0553" w:rsidRPr="008F0553">
        <w:rPr>
          <w:rFonts w:ascii="MinionPro-Regular" w:hAnsi="MinionPro-Regular"/>
          <w:sz w:val="20"/>
          <w:szCs w:val="24"/>
          <w:lang w:val="es-ES_tradnl"/>
        </w:rPr>
        <w:t xml:space="preserve"> </w:t>
      </w:r>
      <w:r w:rsidR="008F0553">
        <w:rPr>
          <w:rFonts w:ascii="MinionPro-Regular" w:hAnsi="MinionPro-Regular"/>
          <w:sz w:val="20"/>
          <w:szCs w:val="24"/>
          <w:lang w:val="es-ES_tradnl"/>
        </w:rPr>
        <w:t>que suponen un 44% de retorno</w:t>
      </w:r>
      <w:r w:rsidR="008F0553" w:rsidRPr="00455028">
        <w:rPr>
          <w:rFonts w:ascii="MinionPro-Regular" w:hAnsi="MinionPro-Regular"/>
          <w:sz w:val="20"/>
          <w:szCs w:val="24"/>
          <w:lang w:val="es-ES_tradnl"/>
        </w:rPr>
        <w:t xml:space="preserve">. </w:t>
      </w:r>
      <w:r w:rsidR="008F0553">
        <w:rPr>
          <w:rFonts w:ascii="MinionPro-Regular" w:hAnsi="MinionPro-Regular"/>
          <w:sz w:val="20"/>
          <w:lang w:val="es-ES_tradnl"/>
        </w:rPr>
        <w:t>Las siguientes dos columnas indican la proyección a 2020 teniendo en cuenta las mismas variables, llegando al 76% de retorno.</w:t>
      </w:r>
    </w:p>
    <w:p w:rsidR="00E2336B" w:rsidRDefault="00E2336B" w:rsidP="001D2EFC">
      <w:pPr>
        <w:rPr>
          <w:rFonts w:ascii="MinionPro-Regular" w:hAnsi="MinionPro-Regular"/>
          <w:sz w:val="24"/>
          <w:szCs w:val="24"/>
          <w:highlight w:val="cyan"/>
          <w:lang w:val="es-ES_tradnl"/>
        </w:rPr>
      </w:pPr>
    </w:p>
    <w:p w:rsidR="00E2336B" w:rsidRDefault="00E2336B" w:rsidP="001D2EFC">
      <w:pPr>
        <w:rPr>
          <w:rFonts w:ascii="MinionPro-Regular" w:hAnsi="MinionPro-Regular"/>
          <w:sz w:val="24"/>
          <w:szCs w:val="24"/>
          <w:highlight w:val="cyan"/>
          <w:lang w:val="es-ES_tradnl"/>
        </w:rPr>
      </w:pPr>
    </w:p>
    <w:p w:rsidR="00531B66" w:rsidRDefault="00531B66" w:rsidP="001D2EFC">
      <w:pPr>
        <w:rPr>
          <w:rFonts w:ascii="MinionPro-Regular" w:hAnsi="MinionPro-Regular"/>
          <w:sz w:val="24"/>
          <w:szCs w:val="24"/>
          <w:highlight w:val="cyan"/>
          <w:lang w:val="es-ES_tradnl"/>
        </w:rPr>
      </w:pPr>
    </w:p>
    <w:p w:rsidR="00531B66" w:rsidRDefault="00531B66" w:rsidP="001D2EFC">
      <w:pPr>
        <w:rPr>
          <w:rFonts w:ascii="MinionPro-Regular" w:hAnsi="MinionPro-Regular"/>
          <w:sz w:val="24"/>
          <w:szCs w:val="24"/>
          <w:highlight w:val="cyan"/>
          <w:lang w:val="es-ES_tradnl"/>
        </w:rPr>
      </w:pPr>
    </w:p>
    <w:p w:rsidR="00531B66" w:rsidRDefault="00531B66" w:rsidP="001D2EFC">
      <w:pPr>
        <w:rPr>
          <w:rFonts w:ascii="MinionPro-Regular" w:hAnsi="MinionPro-Regular"/>
          <w:sz w:val="24"/>
          <w:szCs w:val="24"/>
          <w:highlight w:val="cyan"/>
          <w:lang w:val="es-ES_tradnl"/>
        </w:rPr>
      </w:pPr>
    </w:p>
    <w:p w:rsidR="00531B66" w:rsidRDefault="00531B66" w:rsidP="001D2EFC">
      <w:pPr>
        <w:rPr>
          <w:rFonts w:ascii="MinionPro-Regular" w:hAnsi="MinionPro-Regular"/>
          <w:sz w:val="24"/>
          <w:szCs w:val="24"/>
          <w:highlight w:val="cyan"/>
          <w:lang w:val="es-ES_tradnl"/>
        </w:rPr>
      </w:pPr>
    </w:p>
    <w:p w:rsidR="001E0871" w:rsidRDefault="001E0871" w:rsidP="001D2EFC">
      <w:pPr>
        <w:rPr>
          <w:rFonts w:ascii="MinionPro-Regular" w:hAnsi="MinionPro-Regular"/>
          <w:sz w:val="24"/>
          <w:szCs w:val="24"/>
          <w:highlight w:val="cyan"/>
          <w:lang w:val="es-ES_tradnl"/>
        </w:rPr>
      </w:pPr>
    </w:p>
    <w:p w:rsidR="00531B66" w:rsidRDefault="00531B66" w:rsidP="001D2EFC">
      <w:pPr>
        <w:rPr>
          <w:rFonts w:ascii="MinionPro-Regular" w:hAnsi="MinionPro-Regular"/>
          <w:sz w:val="24"/>
          <w:szCs w:val="24"/>
          <w:highlight w:val="cyan"/>
          <w:lang w:val="es-ES_tradnl"/>
        </w:rPr>
      </w:pPr>
    </w:p>
    <w:p w:rsidR="00531B66" w:rsidRDefault="00531B66" w:rsidP="001D2EFC">
      <w:pPr>
        <w:rPr>
          <w:rFonts w:ascii="MinionPro-Regular" w:hAnsi="MinionPro-Regular"/>
          <w:sz w:val="24"/>
          <w:szCs w:val="24"/>
          <w:highlight w:val="cyan"/>
          <w:lang w:val="es-ES_tradnl"/>
        </w:rPr>
      </w:pPr>
    </w:p>
    <w:p w:rsidR="00531B66" w:rsidRDefault="00531B66" w:rsidP="001D2EFC">
      <w:pPr>
        <w:rPr>
          <w:rFonts w:ascii="MinionPro-Regular" w:hAnsi="MinionPro-Regular"/>
          <w:sz w:val="24"/>
          <w:szCs w:val="24"/>
          <w:highlight w:val="cyan"/>
          <w:lang w:val="es-ES_tradnl"/>
        </w:rPr>
      </w:pPr>
    </w:p>
    <w:p w:rsidR="00531B66" w:rsidRDefault="00531B66" w:rsidP="001D2EFC">
      <w:pPr>
        <w:rPr>
          <w:rFonts w:ascii="MinionPro-Regular" w:hAnsi="MinionPro-Regular"/>
          <w:sz w:val="24"/>
          <w:szCs w:val="24"/>
          <w:highlight w:val="cyan"/>
          <w:lang w:val="es-ES_tradnl"/>
        </w:rPr>
      </w:pPr>
    </w:p>
    <w:p w:rsidR="00531B66" w:rsidRDefault="00531B66" w:rsidP="001D2EFC">
      <w:pPr>
        <w:rPr>
          <w:rFonts w:ascii="MinionPro-Regular" w:hAnsi="MinionPro-Regular"/>
          <w:sz w:val="24"/>
          <w:szCs w:val="24"/>
          <w:highlight w:val="cyan"/>
          <w:lang w:val="es-ES_tradnl"/>
        </w:rPr>
      </w:pPr>
    </w:p>
    <w:p w:rsidR="00F17C2A" w:rsidRDefault="00F17C2A" w:rsidP="001D2EFC">
      <w:pPr>
        <w:rPr>
          <w:rFonts w:ascii="MinionPro-Regular" w:hAnsi="MinionPro-Regular"/>
          <w:sz w:val="24"/>
          <w:szCs w:val="24"/>
          <w:highlight w:val="cyan"/>
          <w:lang w:val="es-ES_tradnl"/>
        </w:rPr>
      </w:pPr>
    </w:p>
    <w:p w:rsidR="00093C87" w:rsidRDefault="00093C87" w:rsidP="001D2EFC">
      <w:pPr>
        <w:rPr>
          <w:rFonts w:ascii="MinionPro-Regular" w:hAnsi="MinionPro-Regular"/>
          <w:sz w:val="24"/>
          <w:szCs w:val="24"/>
          <w:highlight w:val="cyan"/>
          <w:lang w:val="es-ES_tradnl"/>
        </w:rPr>
      </w:pPr>
    </w:p>
    <w:p w:rsidR="00E2336B" w:rsidRDefault="00E2336B" w:rsidP="001D2EFC">
      <w:pPr>
        <w:pBdr>
          <w:top w:val="single" w:sz="4" w:space="1" w:color="auto"/>
        </w:pBdr>
        <w:rPr>
          <w:rFonts w:ascii="MinionPro-Regular" w:hAnsi="MinionPro-Regular"/>
          <w:sz w:val="20"/>
          <w:lang w:val="es-ES_tradnl"/>
        </w:rPr>
      </w:pPr>
      <w:r>
        <w:rPr>
          <w:rFonts w:ascii="MinionPro-Regular" w:hAnsi="MinionPro-Regular"/>
          <w:sz w:val="20"/>
          <w:szCs w:val="24"/>
          <w:lang w:val="es-ES_tradnl"/>
        </w:rPr>
        <w:t xml:space="preserve">Escenario 3. </w:t>
      </w:r>
      <w:r w:rsidRPr="00223F12">
        <w:rPr>
          <w:rFonts w:ascii="MinionPro-Regular" w:hAnsi="MinionPro-Regular"/>
          <w:sz w:val="20"/>
          <w:lang w:val="es-ES_tradnl"/>
        </w:rPr>
        <w:t>Estimación total de los retornos de los centros especiales de empleo total de las ayudas</w:t>
      </w:r>
      <w:r>
        <w:rPr>
          <w:rFonts w:ascii="MinionPro-Regular" w:hAnsi="MinionPro-Regular"/>
          <w:sz w:val="20"/>
          <w:lang w:val="es-ES_tradnl"/>
        </w:rPr>
        <w:t>.</w:t>
      </w:r>
    </w:p>
    <w:p w:rsidR="00093C87" w:rsidRDefault="00093C87" w:rsidP="001D2EFC">
      <w:pPr>
        <w:pBdr>
          <w:top w:val="single" w:sz="4" w:space="1" w:color="auto"/>
        </w:pBdr>
        <w:rPr>
          <w:rFonts w:ascii="MinionPro-Regular" w:hAnsi="MinionPro-Regular"/>
          <w:sz w:val="20"/>
          <w:lang w:val="es-ES_tradnl"/>
        </w:rPr>
      </w:pPr>
    </w:p>
    <w:p w:rsidR="00C64718" w:rsidRPr="00C64718" w:rsidRDefault="00093C87" w:rsidP="00C64718">
      <w:pPr>
        <w:pBdr>
          <w:top w:val="single" w:sz="4" w:space="1" w:color="auto"/>
        </w:pBdr>
        <w:rPr>
          <w:rFonts w:ascii="MinionPro-Regular" w:hAnsi="MinionPro-Regular"/>
          <w:color w:val="FF0000"/>
          <w:sz w:val="20"/>
          <w:lang w:val="es-ES_tradnl"/>
        </w:rPr>
      </w:pPr>
      <w:r w:rsidRPr="00093C87">
        <w:rPr>
          <w:rFonts w:ascii="MinionPro-Regular" w:hAnsi="MinionPro-Regular"/>
          <w:noProof/>
          <w:color w:val="FF0000"/>
          <w:sz w:val="20"/>
          <w:lang w:eastAsia="es-ES"/>
        </w:rPr>
        <w:drawing>
          <wp:inline distT="0" distB="0" distL="0" distR="0">
            <wp:extent cx="5400675" cy="3375575"/>
            <wp:effectExtent l="0" t="0" r="0" b="0"/>
            <wp:docPr id="114" name="Object 4"/>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9217023" cy="5760640"/>
                      <a:chOff x="251521" y="980728"/>
                      <a:chExt cx="9217023" cy="5760640"/>
                    </a:xfrm>
                  </a:grpSpPr>
                  <a:grpSp>
                    <a:nvGrpSpPr>
                      <a:cNvPr id="35" name="Group 34"/>
                      <a:cNvGrpSpPr/>
                    </a:nvGrpSpPr>
                    <a:grpSpPr>
                      <a:xfrm>
                        <a:off x="251521" y="980728"/>
                        <a:ext cx="9217023" cy="5760640"/>
                        <a:chOff x="251521" y="980728"/>
                        <a:chExt cx="9217023" cy="5760640"/>
                      </a:xfrm>
                    </a:grpSpPr>
                    <a:graphicFrame>
                      <a:nvGraphicFramePr>
                        <a:cNvPr id="4" name="Chart 3"/>
                        <a:cNvGraphicFramePr/>
                      </a:nvGraphicFramePr>
                      <a:graphic>
                        <a:graphicData uri="http://schemas.openxmlformats.org/drawingml/2006/chart">
                          <c:chart xmlns:c="http://schemas.openxmlformats.org/drawingml/2006/chart" xmlns:r="http://schemas.openxmlformats.org/officeDocument/2006/relationships" r:id="rId139"/>
                        </a:graphicData>
                      </a:graphic>
                      <a:xfrm>
                        <a:off x="251521" y="1196752"/>
                        <a:ext cx="5904655" cy="5203277"/>
                      </a:xfrm>
                    </a:graphicFrame>
                    <a:sp>
                      <a:nvSpPr>
                        <a:cNvPr id="5" name="Rectangle 4"/>
                        <a:cNvSpPr/>
                      </a:nvSpPr>
                      <a:spPr>
                        <a:xfrm>
                          <a:off x="971600" y="980728"/>
                          <a:ext cx="1440160" cy="261610"/>
                        </a:xfrm>
                        <a:prstGeom prst="rect">
                          <a:avLst/>
                        </a:prstGeom>
                      </a:spPr>
                      <a:txSp>
                        <a:txBody>
                          <a:bodyPr wrap="square">
                            <a:spAutoFit/>
                          </a:bodyPr>
                          <a:lstStyle>
                            <a:defPPr>
                              <a:defRPr lang="es-E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s-ES" sz="1100" b="1" dirty="0" smtClean="0">
                                <a:latin typeface="MinionPro-Regular"/>
                              </a:rPr>
                              <a:t>ESCENARIO 3</a:t>
                            </a:r>
                            <a:endParaRPr lang="es-ES" sz="1100" b="1" dirty="0">
                              <a:latin typeface="MinionPro-Regular"/>
                            </a:endParaRPr>
                          </a:p>
                        </a:txBody>
                        <a:useSpRect/>
                      </a:txSp>
                    </a:sp>
                    <a:sp>
                      <a:nvSpPr>
                        <a:cNvPr id="6" name="Rectangle 5"/>
                        <a:cNvSpPr/>
                      </a:nvSpPr>
                      <a:spPr>
                        <a:xfrm>
                          <a:off x="1331640" y="5993688"/>
                          <a:ext cx="1008112" cy="369332"/>
                        </a:xfrm>
                        <a:prstGeom prst="rect">
                          <a:avLst/>
                        </a:prstGeom>
                      </a:spPr>
                      <a:txSp>
                        <a:txBody>
                          <a:bodyPr wrap="square">
                            <a:spAutoFit/>
                          </a:bodyPr>
                          <a:lstStyle>
                            <a:defPPr>
                              <a:defRPr lang="es-E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s-ES" sz="900" dirty="0" smtClean="0">
                                <a:latin typeface="MinionPro-Regular"/>
                              </a:rPr>
                              <a:t>Estimación total de los retornos</a:t>
                            </a:r>
                            <a:endParaRPr lang="es-ES" sz="900" dirty="0">
                              <a:latin typeface="MinionPro-Regular"/>
                            </a:endParaRPr>
                          </a:p>
                        </a:txBody>
                        <a:useSpRect/>
                      </a:txSp>
                    </a:sp>
                    <a:sp>
                      <a:nvSpPr>
                        <a:cNvPr id="7" name="Rectangle 6"/>
                        <a:cNvSpPr/>
                      </a:nvSpPr>
                      <a:spPr>
                        <a:xfrm>
                          <a:off x="3431223" y="5993688"/>
                          <a:ext cx="1008112" cy="369332"/>
                        </a:xfrm>
                        <a:prstGeom prst="rect">
                          <a:avLst/>
                        </a:prstGeom>
                      </a:spPr>
                      <a:txSp>
                        <a:txBody>
                          <a:bodyPr wrap="square">
                            <a:spAutoFit/>
                          </a:bodyPr>
                          <a:lstStyle>
                            <a:defPPr>
                              <a:defRPr lang="es-E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s-ES" sz="900" dirty="0" smtClean="0">
                                <a:latin typeface="MinionPro-Regular"/>
                              </a:rPr>
                              <a:t>Estimación total de los retornos</a:t>
                            </a:r>
                            <a:endParaRPr lang="es-ES" sz="900" dirty="0">
                              <a:latin typeface="MinionPro-Regular"/>
                            </a:endParaRPr>
                          </a:p>
                        </a:txBody>
                        <a:useSpRect/>
                      </a:txSp>
                    </a:sp>
                    <a:sp>
                      <a:nvSpPr>
                        <a:cNvPr id="8" name="Rectangle 7"/>
                        <a:cNvSpPr/>
                      </a:nvSpPr>
                      <a:spPr>
                        <a:xfrm>
                          <a:off x="2351103" y="5921680"/>
                          <a:ext cx="1080120" cy="507831"/>
                        </a:xfrm>
                        <a:prstGeom prst="rect">
                          <a:avLst/>
                        </a:prstGeom>
                      </a:spPr>
                      <a:txSp>
                        <a:txBody>
                          <a:bodyPr wrap="square">
                            <a:spAutoFit/>
                          </a:bodyPr>
                          <a:lstStyle>
                            <a:defPPr>
                              <a:defRPr lang="es-E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s-ES" sz="900" dirty="0" smtClean="0">
                                <a:latin typeface="MinionPro-Regular"/>
                              </a:rPr>
                              <a:t>Ayudas de la administración pública</a:t>
                            </a:r>
                            <a:endParaRPr lang="es-ES" sz="900" dirty="0">
                              <a:latin typeface="MinionPro-Regular"/>
                            </a:endParaRPr>
                          </a:p>
                        </a:txBody>
                        <a:useSpRect/>
                      </a:txSp>
                    </a:sp>
                    <a:sp>
                      <a:nvSpPr>
                        <a:cNvPr id="9" name="Rectangle 8"/>
                        <a:cNvSpPr/>
                      </a:nvSpPr>
                      <a:spPr>
                        <a:xfrm>
                          <a:off x="4499992" y="5921680"/>
                          <a:ext cx="1080120" cy="507831"/>
                        </a:xfrm>
                        <a:prstGeom prst="rect">
                          <a:avLst/>
                        </a:prstGeom>
                      </a:spPr>
                      <a:txSp>
                        <a:txBody>
                          <a:bodyPr wrap="square">
                            <a:spAutoFit/>
                          </a:bodyPr>
                          <a:lstStyle>
                            <a:defPPr>
                              <a:defRPr lang="es-E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s-ES" sz="900" dirty="0" smtClean="0">
                                <a:latin typeface="MinionPro-Regular"/>
                              </a:rPr>
                              <a:t>Ayudas de la administración pública</a:t>
                            </a:r>
                            <a:endParaRPr lang="es-ES" sz="900" dirty="0">
                              <a:latin typeface="MinionPro-Regular"/>
                            </a:endParaRPr>
                          </a:p>
                        </a:txBody>
                        <a:useSpRect/>
                      </a:txSp>
                    </a:sp>
                    <a:cxnSp>
                      <a:nvCxnSpPr>
                        <a:cNvPr id="10" name="Straight Connector 9"/>
                        <a:cNvCxnSpPr/>
                      </a:nvCxnSpPr>
                      <a:spPr>
                        <a:xfrm flipV="1">
                          <a:off x="1403648" y="6423139"/>
                          <a:ext cx="2016000" cy="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11" name="Straight Connector 10"/>
                        <a:cNvCxnSpPr/>
                      </a:nvCxnSpPr>
                      <a:spPr>
                        <a:xfrm flipV="1">
                          <a:off x="3563664" y="6423139"/>
                          <a:ext cx="2016000" cy="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sp>
                      <a:nvSpPr>
                        <a:cNvPr id="12" name="Rectangle 11"/>
                        <a:cNvSpPr/>
                      </a:nvSpPr>
                      <a:spPr>
                        <a:xfrm>
                          <a:off x="1835472" y="6495147"/>
                          <a:ext cx="1152128" cy="246221"/>
                        </a:xfrm>
                        <a:prstGeom prst="rect">
                          <a:avLst/>
                        </a:prstGeom>
                      </a:spPr>
                      <a:txSp>
                        <a:txBody>
                          <a:bodyPr wrap="square">
                            <a:spAutoFit/>
                          </a:bodyPr>
                          <a:lstStyle>
                            <a:defPPr>
                              <a:defRPr lang="es-E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s-ES_tradnl" sz="1000" b="1" dirty="0" smtClean="0">
                                <a:latin typeface="Arial"/>
                                <a:cs typeface="Arial"/>
                              </a:rPr>
                              <a:t>2011</a:t>
                            </a:r>
                            <a:endParaRPr lang="es-ES" sz="1000" b="1" dirty="0">
                              <a:latin typeface="MinionPro-Regular"/>
                            </a:endParaRPr>
                          </a:p>
                        </a:txBody>
                        <a:useSpRect/>
                      </a:txSp>
                    </a:sp>
                    <a:sp>
                      <a:nvSpPr>
                        <a:cNvPr id="13" name="Rectangle 12"/>
                        <a:cNvSpPr/>
                      </a:nvSpPr>
                      <a:spPr>
                        <a:xfrm>
                          <a:off x="3419648" y="6495147"/>
                          <a:ext cx="2016224" cy="246221"/>
                        </a:xfrm>
                        <a:prstGeom prst="rect">
                          <a:avLst/>
                        </a:prstGeom>
                      </a:spPr>
                      <a:txSp>
                        <a:txBody>
                          <a:bodyPr wrap="square">
                            <a:spAutoFit/>
                          </a:bodyPr>
                          <a:lstStyle>
                            <a:defPPr>
                              <a:defRPr lang="es-E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s-ES_tradnl" sz="1000" b="1" dirty="0" smtClean="0">
                                <a:latin typeface="Arial"/>
                                <a:cs typeface="Arial"/>
                              </a:rPr>
                              <a:t>Proyección 2020</a:t>
                            </a:r>
                            <a:endParaRPr lang="es-ES" sz="1000" b="1" dirty="0">
                              <a:latin typeface="MinionPro-Regular"/>
                            </a:endParaRPr>
                          </a:p>
                        </a:txBody>
                        <a:useSpRect/>
                      </a:txSp>
                    </a:sp>
                    <a:cxnSp>
                      <a:nvCxnSpPr>
                        <a:cNvPr id="14" name="Straight Connector 13"/>
                        <a:cNvCxnSpPr/>
                      </a:nvCxnSpPr>
                      <a:spPr>
                        <a:xfrm>
                          <a:off x="1187624" y="5877272"/>
                          <a:ext cx="4716000" cy="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sp>
                      <a:nvSpPr>
                        <a:cNvPr id="15" name="Rectangle 14"/>
                        <a:cNvSpPr/>
                      </a:nvSpPr>
                      <a:spPr>
                        <a:xfrm>
                          <a:off x="6428160" y="2917393"/>
                          <a:ext cx="1741118" cy="276999"/>
                        </a:xfrm>
                        <a:prstGeom prst="rect">
                          <a:avLst/>
                        </a:prstGeom>
                      </a:spPr>
                      <a:txSp>
                        <a:txBody>
                          <a:bodyPr wrap="none">
                            <a:spAutoFit/>
                          </a:bodyPr>
                          <a:lstStyle>
                            <a:defPPr>
                              <a:defRPr lang="es-E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s-ES" sz="1200" dirty="0" smtClean="0"/>
                              <a:t>Retorno derivado del IVA</a:t>
                            </a:r>
                            <a:endParaRPr lang="es-ES" sz="1200" dirty="0"/>
                          </a:p>
                        </a:txBody>
                        <a:useSpRect/>
                      </a:txSp>
                    </a:sp>
                    <a:sp>
                      <a:nvSpPr>
                        <a:cNvPr id="16" name="Rectangle 15"/>
                        <a:cNvSpPr/>
                      </a:nvSpPr>
                      <a:spPr>
                        <a:xfrm>
                          <a:off x="6302995" y="2982308"/>
                          <a:ext cx="144016" cy="144016"/>
                        </a:xfrm>
                        <a:prstGeom prst="rect">
                          <a:avLst/>
                        </a:prstGeom>
                        <a:solidFill>
                          <a:srgbClr val="B6646B"/>
                        </a:solidFill>
                        <a:ln>
                          <a:noFill/>
                        </a:ln>
                      </a:spPr>
                      <a:txSp>
                        <a:txBody>
                          <a:bodyPr rtlCol="0" anchor="ctr"/>
                          <a:lstStyle>
                            <a:defPPr>
                              <a:defRPr lang="es-E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s-ES"/>
                          </a:p>
                        </a:txBody>
                        <a:useSpRect/>
                      </a:txSp>
                      <a:style>
                        <a:lnRef idx="2">
                          <a:schemeClr val="accent1">
                            <a:shade val="50000"/>
                          </a:schemeClr>
                        </a:lnRef>
                        <a:fillRef idx="1">
                          <a:schemeClr val="accent1"/>
                        </a:fillRef>
                        <a:effectRef idx="0">
                          <a:schemeClr val="accent1"/>
                        </a:effectRef>
                        <a:fontRef idx="minor">
                          <a:schemeClr val="lt1"/>
                        </a:fontRef>
                      </a:style>
                    </a:sp>
                    <a:sp>
                      <a:nvSpPr>
                        <a:cNvPr id="17" name="Rectangle 16"/>
                        <a:cNvSpPr/>
                      </a:nvSpPr>
                      <a:spPr>
                        <a:xfrm>
                          <a:off x="6428160" y="2485345"/>
                          <a:ext cx="2250504" cy="461665"/>
                        </a:xfrm>
                        <a:prstGeom prst="rect">
                          <a:avLst/>
                        </a:prstGeom>
                      </a:spPr>
                      <a:txSp>
                        <a:txBody>
                          <a:bodyPr wrap="square">
                            <a:spAutoFit/>
                          </a:bodyPr>
                          <a:lstStyle>
                            <a:defPPr>
                              <a:defRPr lang="es-E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s-ES" sz="1200" dirty="0" smtClean="0"/>
                              <a:t>Retorno derivado del IRPF y Seguridad Social</a:t>
                            </a:r>
                            <a:endParaRPr lang="es-ES" sz="1200" dirty="0"/>
                          </a:p>
                        </a:txBody>
                        <a:useSpRect/>
                      </a:txSp>
                    </a:sp>
                    <a:sp>
                      <a:nvSpPr>
                        <a:cNvPr id="18" name="Rectangle 17"/>
                        <a:cNvSpPr/>
                      </a:nvSpPr>
                      <a:spPr>
                        <a:xfrm>
                          <a:off x="6302995" y="2629361"/>
                          <a:ext cx="144016" cy="144016"/>
                        </a:xfrm>
                        <a:prstGeom prst="rect">
                          <a:avLst/>
                        </a:prstGeom>
                        <a:solidFill>
                          <a:srgbClr val="409DAD"/>
                        </a:solidFill>
                        <a:ln>
                          <a:noFill/>
                        </a:ln>
                      </a:spPr>
                      <a:txSp>
                        <a:txBody>
                          <a:bodyPr rtlCol="0" anchor="ctr"/>
                          <a:lstStyle>
                            <a:defPPr>
                              <a:defRPr lang="es-E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s-ES"/>
                          </a:p>
                        </a:txBody>
                        <a:useSpRect/>
                      </a:txSp>
                      <a:style>
                        <a:lnRef idx="2">
                          <a:schemeClr val="accent1">
                            <a:shade val="50000"/>
                          </a:schemeClr>
                        </a:lnRef>
                        <a:fillRef idx="1">
                          <a:schemeClr val="accent1"/>
                        </a:fillRef>
                        <a:effectRef idx="0">
                          <a:schemeClr val="accent1"/>
                        </a:effectRef>
                        <a:fontRef idx="minor">
                          <a:schemeClr val="lt1"/>
                        </a:fontRef>
                      </a:style>
                    </a:sp>
                    <a:sp>
                      <a:nvSpPr>
                        <a:cNvPr id="19" name="Rectangle 18"/>
                        <a:cNvSpPr/>
                      </a:nvSpPr>
                      <a:spPr>
                        <a:xfrm>
                          <a:off x="6428160" y="3234000"/>
                          <a:ext cx="3040384" cy="276999"/>
                        </a:xfrm>
                        <a:prstGeom prst="rect">
                          <a:avLst/>
                        </a:prstGeom>
                      </a:spPr>
                      <a:txSp>
                        <a:txBody>
                          <a:bodyPr wrap="none">
                            <a:spAutoFit/>
                          </a:bodyPr>
                          <a:lstStyle>
                            <a:defPPr>
                              <a:defRPr lang="es-E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s-ES" sz="1200" dirty="0" smtClean="0"/>
                              <a:t>Retorno derivado del impuesto de sociedades</a:t>
                            </a:r>
                            <a:endParaRPr lang="es-ES" sz="1200" dirty="0"/>
                          </a:p>
                        </a:txBody>
                        <a:useSpRect/>
                      </a:txSp>
                    </a:sp>
                    <a:sp>
                      <a:nvSpPr>
                        <a:cNvPr id="20" name="Rectangle 19"/>
                        <a:cNvSpPr/>
                      </a:nvSpPr>
                      <a:spPr>
                        <a:xfrm>
                          <a:off x="6302995" y="3298915"/>
                          <a:ext cx="144016" cy="144016"/>
                        </a:xfrm>
                        <a:prstGeom prst="rect">
                          <a:avLst/>
                        </a:prstGeom>
                        <a:solidFill>
                          <a:srgbClr val="747678"/>
                        </a:solidFill>
                        <a:ln>
                          <a:noFill/>
                        </a:ln>
                      </a:spPr>
                      <a:txSp>
                        <a:txBody>
                          <a:bodyPr rtlCol="0" anchor="ctr"/>
                          <a:lstStyle>
                            <a:defPPr>
                              <a:defRPr lang="es-E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s-ES"/>
                          </a:p>
                        </a:txBody>
                        <a:useSpRect/>
                      </a:txSp>
                      <a:style>
                        <a:lnRef idx="2">
                          <a:schemeClr val="accent1">
                            <a:shade val="50000"/>
                          </a:schemeClr>
                        </a:lnRef>
                        <a:fillRef idx="1">
                          <a:schemeClr val="accent1"/>
                        </a:fillRef>
                        <a:effectRef idx="0">
                          <a:schemeClr val="accent1"/>
                        </a:effectRef>
                        <a:fontRef idx="minor">
                          <a:schemeClr val="lt1"/>
                        </a:fontRef>
                      </a:style>
                    </a:sp>
                    <a:sp>
                      <a:nvSpPr>
                        <a:cNvPr id="21" name="Rectangle 20"/>
                        <a:cNvSpPr/>
                      </a:nvSpPr>
                      <a:spPr>
                        <a:xfrm>
                          <a:off x="6428160" y="3884855"/>
                          <a:ext cx="1859805" cy="276999"/>
                        </a:xfrm>
                        <a:prstGeom prst="rect">
                          <a:avLst/>
                        </a:prstGeom>
                      </a:spPr>
                      <a:txSp>
                        <a:txBody>
                          <a:bodyPr wrap="none">
                            <a:spAutoFit/>
                          </a:bodyPr>
                          <a:lstStyle>
                            <a:defPPr>
                              <a:defRPr lang="es-E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s-ES" sz="1200" dirty="0" smtClean="0"/>
                              <a:t>Pensiones no contributivas</a:t>
                            </a:r>
                            <a:endParaRPr lang="es-ES" sz="1200" dirty="0"/>
                          </a:p>
                        </a:txBody>
                        <a:useSpRect/>
                      </a:txSp>
                    </a:sp>
                    <a:sp>
                      <a:nvSpPr>
                        <a:cNvPr id="22" name="Rectangle 21"/>
                        <a:cNvSpPr/>
                      </a:nvSpPr>
                      <a:spPr>
                        <a:xfrm>
                          <a:off x="6302995" y="3951346"/>
                          <a:ext cx="144016" cy="144016"/>
                        </a:xfrm>
                        <a:prstGeom prst="rect">
                          <a:avLst/>
                        </a:prstGeom>
                        <a:solidFill>
                          <a:srgbClr val="8099C6"/>
                        </a:solidFill>
                        <a:ln>
                          <a:noFill/>
                        </a:ln>
                      </a:spPr>
                      <a:txSp>
                        <a:txBody>
                          <a:bodyPr rtlCol="0" anchor="ctr"/>
                          <a:lstStyle>
                            <a:defPPr>
                              <a:defRPr lang="es-E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s-ES"/>
                          </a:p>
                        </a:txBody>
                        <a:useSpRect/>
                      </a:txSp>
                      <a:style>
                        <a:lnRef idx="2">
                          <a:schemeClr val="accent1">
                            <a:shade val="50000"/>
                          </a:schemeClr>
                        </a:lnRef>
                        <a:fillRef idx="1">
                          <a:schemeClr val="accent1"/>
                        </a:fillRef>
                        <a:effectRef idx="0">
                          <a:schemeClr val="accent1"/>
                        </a:effectRef>
                        <a:fontRef idx="minor">
                          <a:schemeClr val="lt1"/>
                        </a:fontRef>
                      </a:style>
                    </a:sp>
                    <a:sp>
                      <a:nvSpPr>
                        <a:cNvPr id="23" name="Rectangle 22"/>
                        <a:cNvSpPr/>
                      </a:nvSpPr>
                      <a:spPr>
                        <a:xfrm>
                          <a:off x="6302995" y="4545994"/>
                          <a:ext cx="144016" cy="144016"/>
                        </a:xfrm>
                        <a:prstGeom prst="rect">
                          <a:avLst/>
                        </a:prstGeom>
                        <a:solidFill>
                          <a:srgbClr val="E5EAF3"/>
                        </a:solidFill>
                        <a:ln>
                          <a:noFill/>
                        </a:ln>
                      </a:spPr>
                      <a:txSp>
                        <a:txBody>
                          <a:bodyPr rtlCol="0" anchor="ctr"/>
                          <a:lstStyle>
                            <a:defPPr>
                              <a:defRPr lang="es-E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s-ES"/>
                          </a:p>
                        </a:txBody>
                        <a:useSpRect/>
                      </a:txSp>
                      <a:style>
                        <a:lnRef idx="2">
                          <a:schemeClr val="accent1">
                            <a:shade val="50000"/>
                          </a:schemeClr>
                        </a:lnRef>
                        <a:fillRef idx="1">
                          <a:schemeClr val="accent1"/>
                        </a:fillRef>
                        <a:effectRef idx="0">
                          <a:schemeClr val="accent1"/>
                        </a:effectRef>
                        <a:fontRef idx="minor">
                          <a:schemeClr val="lt1"/>
                        </a:fontRef>
                      </a:style>
                    </a:sp>
                    <a:sp>
                      <a:nvSpPr>
                        <a:cNvPr id="24" name="Rectangle 23"/>
                        <a:cNvSpPr/>
                      </a:nvSpPr>
                      <a:spPr>
                        <a:xfrm>
                          <a:off x="6428160" y="3565465"/>
                          <a:ext cx="2250504" cy="276999"/>
                        </a:xfrm>
                        <a:prstGeom prst="rect">
                          <a:avLst/>
                        </a:prstGeom>
                      </a:spPr>
                      <a:txSp>
                        <a:txBody>
                          <a:bodyPr wrap="square">
                            <a:spAutoFit/>
                          </a:bodyPr>
                          <a:lstStyle>
                            <a:defPPr>
                              <a:defRPr lang="es-E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s-ES" sz="1200" dirty="0" smtClean="0"/>
                              <a:t>LISMI</a:t>
                            </a:r>
                            <a:endParaRPr lang="es-ES" sz="1200" dirty="0"/>
                          </a:p>
                        </a:txBody>
                        <a:useSpRect/>
                      </a:txSp>
                    </a:sp>
                    <a:sp>
                      <a:nvSpPr>
                        <a:cNvPr id="25" name="Rectangle 24"/>
                        <a:cNvSpPr/>
                      </a:nvSpPr>
                      <a:spPr>
                        <a:xfrm>
                          <a:off x="6428160" y="4479503"/>
                          <a:ext cx="2592288" cy="276999"/>
                        </a:xfrm>
                        <a:prstGeom prst="rect">
                          <a:avLst/>
                        </a:prstGeom>
                      </a:spPr>
                      <a:txSp>
                        <a:txBody>
                          <a:bodyPr wrap="square">
                            <a:spAutoFit/>
                          </a:bodyPr>
                          <a:lstStyle>
                            <a:defPPr>
                              <a:defRPr lang="es-E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s-ES" sz="1200" dirty="0" smtClean="0"/>
                              <a:t>Ahorro sanitario</a:t>
                            </a:r>
                            <a:endParaRPr lang="es-ES" sz="1200" dirty="0"/>
                          </a:p>
                        </a:txBody>
                        <a:useSpRect/>
                      </a:txSp>
                    </a:sp>
                    <a:sp>
                      <a:nvSpPr>
                        <a:cNvPr id="26" name="Rectangle 25"/>
                        <a:cNvSpPr/>
                      </a:nvSpPr>
                      <a:spPr>
                        <a:xfrm>
                          <a:off x="6302995" y="3631956"/>
                          <a:ext cx="144016" cy="144016"/>
                        </a:xfrm>
                        <a:prstGeom prst="rect">
                          <a:avLst/>
                        </a:prstGeom>
                        <a:solidFill>
                          <a:srgbClr val="4066AA"/>
                        </a:solidFill>
                        <a:ln>
                          <a:noFill/>
                        </a:ln>
                      </a:spPr>
                      <a:txSp>
                        <a:txBody>
                          <a:bodyPr rtlCol="0" anchor="ctr"/>
                          <a:lstStyle>
                            <a:defPPr>
                              <a:defRPr lang="es-E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s-ES"/>
                          </a:p>
                        </a:txBody>
                        <a:useSpRect/>
                      </a:txSp>
                      <a:style>
                        <a:lnRef idx="2">
                          <a:schemeClr val="accent1">
                            <a:shade val="50000"/>
                          </a:schemeClr>
                        </a:lnRef>
                        <a:fillRef idx="1">
                          <a:schemeClr val="accent1"/>
                        </a:fillRef>
                        <a:effectRef idx="0">
                          <a:schemeClr val="accent1"/>
                        </a:effectRef>
                        <a:fontRef idx="minor">
                          <a:schemeClr val="lt1"/>
                        </a:fontRef>
                      </a:style>
                    </a:sp>
                    <a:sp>
                      <a:nvSpPr>
                        <a:cNvPr id="27" name="Rectangle 26"/>
                        <a:cNvSpPr/>
                      </a:nvSpPr>
                      <a:spPr>
                        <a:xfrm>
                          <a:off x="6428160" y="4201462"/>
                          <a:ext cx="1662635" cy="276999"/>
                        </a:xfrm>
                        <a:prstGeom prst="rect">
                          <a:avLst/>
                        </a:prstGeom>
                      </a:spPr>
                      <a:txSp>
                        <a:txBody>
                          <a:bodyPr wrap="none">
                            <a:spAutoFit/>
                          </a:bodyPr>
                          <a:lstStyle>
                            <a:defPPr>
                              <a:defRPr lang="es-E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s-ES" sz="1200" dirty="0" smtClean="0"/>
                              <a:t>Pensiones contributivas</a:t>
                            </a:r>
                            <a:endParaRPr lang="es-ES" sz="1200" dirty="0"/>
                          </a:p>
                        </a:txBody>
                        <a:useSpRect/>
                      </a:txSp>
                    </a:sp>
                    <a:sp>
                      <a:nvSpPr>
                        <a:cNvPr id="28" name="Rectangle 27"/>
                        <a:cNvSpPr/>
                      </a:nvSpPr>
                      <a:spPr>
                        <a:xfrm>
                          <a:off x="6302995" y="4267953"/>
                          <a:ext cx="144016" cy="144016"/>
                        </a:xfrm>
                        <a:prstGeom prst="rect">
                          <a:avLst/>
                        </a:prstGeom>
                        <a:solidFill>
                          <a:srgbClr val="BFCCE3"/>
                        </a:solidFill>
                        <a:ln>
                          <a:noFill/>
                        </a:ln>
                      </a:spPr>
                      <a:txSp>
                        <a:txBody>
                          <a:bodyPr rtlCol="0" anchor="ctr"/>
                          <a:lstStyle>
                            <a:defPPr>
                              <a:defRPr lang="es-E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s-ES"/>
                          </a:p>
                        </a:txBody>
                        <a:useSpRect/>
                      </a:txSp>
                      <a:style>
                        <a:lnRef idx="2">
                          <a:schemeClr val="accent1">
                            <a:shade val="50000"/>
                          </a:schemeClr>
                        </a:lnRef>
                        <a:fillRef idx="1">
                          <a:schemeClr val="accent1"/>
                        </a:fillRef>
                        <a:effectRef idx="0">
                          <a:schemeClr val="accent1"/>
                        </a:effectRef>
                        <a:fontRef idx="minor">
                          <a:schemeClr val="lt1"/>
                        </a:fontRef>
                      </a:style>
                    </a:sp>
                    <a:sp>
                      <a:nvSpPr>
                        <a:cNvPr id="29" name="Rectangle 28"/>
                        <a:cNvSpPr/>
                      </a:nvSpPr>
                      <a:spPr>
                        <a:xfrm>
                          <a:off x="6302995" y="5358407"/>
                          <a:ext cx="144016" cy="144016"/>
                        </a:xfrm>
                        <a:prstGeom prst="rect">
                          <a:avLst/>
                        </a:prstGeom>
                        <a:solidFill>
                          <a:srgbClr val="9BCA40"/>
                        </a:solidFill>
                        <a:ln>
                          <a:noFill/>
                        </a:ln>
                      </a:spPr>
                      <a:txSp>
                        <a:txBody>
                          <a:bodyPr rtlCol="0" anchor="ctr"/>
                          <a:lstStyle>
                            <a:defPPr>
                              <a:defRPr lang="es-E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s-ES"/>
                          </a:p>
                        </a:txBody>
                        <a:useSpRect/>
                      </a:txSp>
                      <a:style>
                        <a:lnRef idx="2">
                          <a:schemeClr val="accent1">
                            <a:shade val="50000"/>
                          </a:schemeClr>
                        </a:lnRef>
                        <a:fillRef idx="1">
                          <a:schemeClr val="accent1"/>
                        </a:fillRef>
                        <a:effectRef idx="0">
                          <a:schemeClr val="accent1"/>
                        </a:effectRef>
                        <a:fontRef idx="minor">
                          <a:schemeClr val="lt1"/>
                        </a:fontRef>
                      </a:style>
                    </a:sp>
                    <a:sp>
                      <a:nvSpPr>
                        <a:cNvPr id="30" name="Rectangle 29"/>
                        <a:cNvSpPr/>
                      </a:nvSpPr>
                      <a:spPr>
                        <a:xfrm>
                          <a:off x="6428160" y="5199583"/>
                          <a:ext cx="2592288" cy="461665"/>
                        </a:xfrm>
                        <a:prstGeom prst="rect">
                          <a:avLst/>
                        </a:prstGeom>
                      </a:spPr>
                      <a:txSp>
                        <a:txBody>
                          <a:bodyPr wrap="square">
                            <a:spAutoFit/>
                          </a:bodyPr>
                          <a:lstStyle>
                            <a:defPPr>
                              <a:defRPr lang="es-E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s-ES" sz="1200" dirty="0" smtClean="0"/>
                              <a:t>Ayudas de la administración que no implican salida de efectivo</a:t>
                            </a:r>
                            <a:endParaRPr lang="es-ES" sz="1200" dirty="0"/>
                          </a:p>
                        </a:txBody>
                        <a:useSpRect/>
                      </a:txSp>
                    </a:sp>
                    <a:sp>
                      <a:nvSpPr>
                        <a:cNvPr id="31" name="Rectangle 30"/>
                        <a:cNvSpPr/>
                      </a:nvSpPr>
                      <a:spPr>
                        <a:xfrm>
                          <a:off x="6302995" y="4911551"/>
                          <a:ext cx="144016" cy="144016"/>
                        </a:xfrm>
                        <a:prstGeom prst="rect">
                          <a:avLst/>
                        </a:prstGeom>
                        <a:solidFill>
                          <a:srgbClr val="7AB800"/>
                        </a:solidFill>
                        <a:ln>
                          <a:noFill/>
                        </a:ln>
                      </a:spPr>
                      <a:txSp>
                        <a:txBody>
                          <a:bodyPr rtlCol="0" anchor="ctr"/>
                          <a:lstStyle>
                            <a:defPPr>
                              <a:defRPr lang="es-E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s-ES"/>
                          </a:p>
                        </a:txBody>
                        <a:useSpRect/>
                      </a:txSp>
                      <a:style>
                        <a:lnRef idx="2">
                          <a:schemeClr val="accent1">
                            <a:shade val="50000"/>
                          </a:schemeClr>
                        </a:lnRef>
                        <a:fillRef idx="1">
                          <a:schemeClr val="accent1"/>
                        </a:fillRef>
                        <a:effectRef idx="0">
                          <a:schemeClr val="accent1"/>
                        </a:effectRef>
                        <a:fontRef idx="minor">
                          <a:schemeClr val="lt1"/>
                        </a:fontRef>
                      </a:style>
                    </a:sp>
                    <a:sp>
                      <a:nvSpPr>
                        <a:cNvPr id="32" name="Rectangle 31"/>
                        <a:cNvSpPr/>
                      </a:nvSpPr>
                      <a:spPr>
                        <a:xfrm>
                          <a:off x="6428160" y="4767535"/>
                          <a:ext cx="2592288" cy="461665"/>
                        </a:xfrm>
                        <a:prstGeom prst="rect">
                          <a:avLst/>
                        </a:prstGeom>
                      </a:spPr>
                      <a:txSp>
                        <a:txBody>
                          <a:bodyPr wrap="square">
                            <a:spAutoFit/>
                          </a:bodyPr>
                          <a:lstStyle>
                            <a:defPPr>
                              <a:defRPr lang="es-E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s-ES" sz="1200" dirty="0" smtClean="0"/>
                              <a:t>Ayudas de la administración con salida de efectivo</a:t>
                            </a:r>
                            <a:endParaRPr lang="es-ES" sz="1200" dirty="0"/>
                          </a:p>
                        </a:txBody>
                        <a:useSpRect/>
                      </a:txSp>
                    </a:sp>
                    <a:sp>
                      <a:nvSpPr>
                        <a:cNvPr id="33" name="Rectangle 32"/>
                        <a:cNvSpPr/>
                      </a:nvSpPr>
                      <a:spPr>
                        <a:xfrm>
                          <a:off x="6444208" y="2175247"/>
                          <a:ext cx="2592288" cy="276999"/>
                        </a:xfrm>
                        <a:prstGeom prst="rect">
                          <a:avLst/>
                        </a:prstGeom>
                      </a:spPr>
                      <a:txSp>
                        <a:txBody>
                          <a:bodyPr wrap="square">
                            <a:spAutoFit/>
                          </a:bodyPr>
                          <a:lstStyle>
                            <a:defPPr>
                              <a:defRPr lang="es-E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s-ES" sz="1200" dirty="0" smtClean="0"/>
                              <a:t>Ahorro plazas ocupacionales</a:t>
                            </a:r>
                            <a:endParaRPr lang="es-ES" sz="1200" dirty="0"/>
                          </a:p>
                        </a:txBody>
                        <a:useSpRect/>
                      </a:txSp>
                    </a:sp>
                    <a:sp>
                      <a:nvSpPr>
                        <a:cNvPr id="34" name="Rectangle 33"/>
                        <a:cNvSpPr/>
                      </a:nvSpPr>
                      <a:spPr>
                        <a:xfrm>
                          <a:off x="6300192" y="2247255"/>
                          <a:ext cx="144016" cy="144016"/>
                        </a:xfrm>
                        <a:prstGeom prst="rect">
                          <a:avLst/>
                        </a:prstGeom>
                        <a:solidFill>
                          <a:srgbClr val="558ED5"/>
                        </a:solidFill>
                        <a:ln>
                          <a:noFill/>
                        </a:ln>
                      </a:spPr>
                      <a:txSp>
                        <a:txBody>
                          <a:bodyPr rtlCol="0" anchor="ctr"/>
                          <a:lstStyle>
                            <a:defPPr>
                              <a:defRPr lang="es-E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s-ES"/>
                          </a:p>
                        </a:txBody>
                        <a:useSpRect/>
                      </a:txSp>
                      <a:style>
                        <a:lnRef idx="2">
                          <a:schemeClr val="accent1">
                            <a:shade val="50000"/>
                          </a:schemeClr>
                        </a:lnRef>
                        <a:fillRef idx="1">
                          <a:schemeClr val="accent1"/>
                        </a:fillRef>
                        <a:effectRef idx="0">
                          <a:schemeClr val="accent1"/>
                        </a:effectRef>
                        <a:fontRef idx="minor">
                          <a:schemeClr val="lt1"/>
                        </a:fontRef>
                      </a:style>
                    </a:sp>
                  </a:grpSp>
                </lc:lockedCanvas>
              </a:graphicData>
            </a:graphic>
          </wp:inline>
        </w:drawing>
      </w:r>
    </w:p>
    <w:p w:rsidR="00E2336B" w:rsidRDefault="00E2336B" w:rsidP="001D2EFC">
      <w:pPr>
        <w:pBdr>
          <w:top w:val="single" w:sz="4" w:space="1" w:color="auto"/>
        </w:pBdr>
        <w:rPr>
          <w:rFonts w:ascii="MinionPro-Regular" w:hAnsi="MinionPro-Regular"/>
          <w:sz w:val="20"/>
          <w:lang w:val="es-ES_tradnl"/>
        </w:rPr>
      </w:pPr>
    </w:p>
    <w:p w:rsidR="00E2336B" w:rsidRDefault="00E2336B" w:rsidP="00213730">
      <w:pPr>
        <w:pBdr>
          <w:bottom w:val="single" w:sz="4" w:space="1" w:color="auto"/>
        </w:pBdr>
        <w:autoSpaceDE w:val="0"/>
        <w:autoSpaceDN w:val="0"/>
        <w:spacing w:line="360" w:lineRule="auto"/>
        <w:jc w:val="both"/>
        <w:rPr>
          <w:rFonts w:ascii="MinionPro-Regular" w:hAnsi="MinionPro-Regular"/>
          <w:sz w:val="20"/>
          <w:lang w:val="es-ES_tradnl"/>
        </w:rPr>
      </w:pPr>
      <w:r w:rsidRPr="00213730">
        <w:rPr>
          <w:rFonts w:ascii="MinionPro-Regular" w:hAnsi="MinionPro-Regular"/>
          <w:sz w:val="20"/>
          <w:lang w:val="es-ES_tradnl"/>
        </w:rPr>
        <w:t>Fuente: Elaboración propia</w:t>
      </w:r>
    </w:p>
    <w:p w:rsidR="00E2336B" w:rsidRPr="00213730" w:rsidRDefault="00E2336B" w:rsidP="00213730">
      <w:pPr>
        <w:pBdr>
          <w:bottom w:val="single" w:sz="4" w:space="1" w:color="auto"/>
        </w:pBdr>
        <w:autoSpaceDE w:val="0"/>
        <w:autoSpaceDN w:val="0"/>
        <w:spacing w:line="360" w:lineRule="auto"/>
        <w:jc w:val="both"/>
        <w:rPr>
          <w:rFonts w:ascii="MinionPro-Regular" w:hAnsi="MinionPro-Regular"/>
          <w:sz w:val="20"/>
          <w:lang w:val="es-ES_tradnl"/>
        </w:rPr>
      </w:pPr>
    </w:p>
    <w:p w:rsidR="003E019F" w:rsidRPr="003E019F" w:rsidRDefault="00E2336B" w:rsidP="003E019F">
      <w:pPr>
        <w:pBdr>
          <w:bottom w:val="single" w:sz="4" w:space="1" w:color="auto"/>
        </w:pBdr>
        <w:autoSpaceDE w:val="0"/>
        <w:autoSpaceDN w:val="0"/>
        <w:spacing w:line="360" w:lineRule="auto"/>
        <w:jc w:val="both"/>
        <w:rPr>
          <w:rFonts w:ascii="MinionPro-Regular" w:hAnsi="MinionPro-Regular"/>
          <w:sz w:val="20"/>
          <w:szCs w:val="24"/>
          <w:highlight w:val="cyan"/>
          <w:lang w:val="es-ES_tradnl"/>
        </w:rPr>
      </w:pPr>
      <w:r w:rsidRPr="00213730">
        <w:rPr>
          <w:rFonts w:ascii="MinionPro-Regular" w:hAnsi="MinionPro-Regular"/>
          <w:sz w:val="20"/>
          <w:lang w:val="es-ES_tradnl"/>
        </w:rPr>
        <w:t>Nota explicativa de la gráfica: El eje horizontal se constituye de cuatro columnas. Las dos primeras representa la estimación total del retorno de los centros especiales de empleo frente a las ayudas de la administración pública, en el año 2011</w:t>
      </w:r>
      <w:r w:rsidR="008F0553" w:rsidRPr="008F0553">
        <w:rPr>
          <w:rFonts w:ascii="MinionPro-Regular" w:hAnsi="MinionPro-Regular"/>
          <w:sz w:val="20"/>
          <w:szCs w:val="24"/>
          <w:lang w:val="es-ES_tradnl"/>
        </w:rPr>
        <w:t xml:space="preserve"> </w:t>
      </w:r>
      <w:r w:rsidR="008F0553">
        <w:rPr>
          <w:rFonts w:ascii="MinionPro-Regular" w:hAnsi="MinionPro-Regular"/>
          <w:sz w:val="20"/>
          <w:szCs w:val="24"/>
          <w:lang w:val="es-ES_tradnl"/>
        </w:rPr>
        <w:t>que suponen un 44% de retorno</w:t>
      </w:r>
      <w:r w:rsidR="008F0553" w:rsidRPr="00455028">
        <w:rPr>
          <w:rFonts w:ascii="MinionPro-Regular" w:hAnsi="MinionPro-Regular"/>
          <w:sz w:val="20"/>
          <w:szCs w:val="24"/>
          <w:lang w:val="es-ES_tradnl"/>
        </w:rPr>
        <w:t xml:space="preserve">. </w:t>
      </w:r>
      <w:r w:rsidR="008F0553">
        <w:rPr>
          <w:rFonts w:ascii="MinionPro-Regular" w:hAnsi="MinionPro-Regular"/>
          <w:sz w:val="20"/>
          <w:lang w:val="es-ES_tradnl"/>
        </w:rPr>
        <w:t>Las siguientes dos columnas indican la proyección a 2020 teniendo en cuenta las mismas variables, llegando al 84% de retorno.</w:t>
      </w:r>
    </w:p>
    <w:p w:rsidR="00531B66" w:rsidRDefault="00531B66" w:rsidP="001D2EFC">
      <w:pPr>
        <w:autoSpaceDE w:val="0"/>
        <w:autoSpaceDN w:val="0"/>
        <w:spacing w:line="360" w:lineRule="auto"/>
        <w:jc w:val="both"/>
        <w:rPr>
          <w:rFonts w:ascii="MinionPro-Regular" w:hAnsi="MinionPro-Regular"/>
          <w:sz w:val="24"/>
          <w:szCs w:val="24"/>
          <w:lang w:val="es-ES_tradnl"/>
        </w:rPr>
      </w:pPr>
    </w:p>
    <w:p w:rsidR="001E0871" w:rsidRDefault="001E0871" w:rsidP="001D2EFC">
      <w:pPr>
        <w:autoSpaceDE w:val="0"/>
        <w:autoSpaceDN w:val="0"/>
        <w:spacing w:line="360" w:lineRule="auto"/>
        <w:jc w:val="both"/>
        <w:rPr>
          <w:rFonts w:ascii="MinionPro-Regular" w:hAnsi="MinionPro-Regular"/>
          <w:sz w:val="24"/>
          <w:szCs w:val="24"/>
          <w:lang w:val="es-ES_tradnl"/>
        </w:rPr>
      </w:pPr>
    </w:p>
    <w:p w:rsidR="001E0871" w:rsidRDefault="001E0871" w:rsidP="001D2EFC">
      <w:pPr>
        <w:autoSpaceDE w:val="0"/>
        <w:autoSpaceDN w:val="0"/>
        <w:spacing w:line="360" w:lineRule="auto"/>
        <w:jc w:val="both"/>
        <w:rPr>
          <w:rFonts w:ascii="MinionPro-Regular" w:hAnsi="MinionPro-Regular"/>
          <w:sz w:val="24"/>
          <w:szCs w:val="24"/>
          <w:lang w:val="es-ES_tradnl"/>
        </w:rPr>
      </w:pPr>
    </w:p>
    <w:p w:rsidR="001E0871" w:rsidRDefault="001E0871" w:rsidP="001D2EFC">
      <w:pPr>
        <w:autoSpaceDE w:val="0"/>
        <w:autoSpaceDN w:val="0"/>
        <w:spacing w:line="360" w:lineRule="auto"/>
        <w:jc w:val="both"/>
        <w:rPr>
          <w:rFonts w:ascii="MinionPro-Regular" w:hAnsi="MinionPro-Regular"/>
          <w:sz w:val="24"/>
          <w:szCs w:val="24"/>
          <w:lang w:val="es-ES_tradnl"/>
        </w:rPr>
      </w:pPr>
    </w:p>
    <w:p w:rsidR="001E0871" w:rsidRDefault="001E0871" w:rsidP="001D2EFC">
      <w:pPr>
        <w:autoSpaceDE w:val="0"/>
        <w:autoSpaceDN w:val="0"/>
        <w:spacing w:line="360" w:lineRule="auto"/>
        <w:jc w:val="both"/>
        <w:rPr>
          <w:rFonts w:ascii="MinionPro-Regular" w:hAnsi="MinionPro-Regular"/>
          <w:sz w:val="24"/>
          <w:szCs w:val="24"/>
          <w:lang w:val="es-ES_tradnl"/>
        </w:rPr>
      </w:pPr>
    </w:p>
    <w:p w:rsidR="001E0871" w:rsidRDefault="001E0871" w:rsidP="001D2EFC">
      <w:pPr>
        <w:autoSpaceDE w:val="0"/>
        <w:autoSpaceDN w:val="0"/>
        <w:spacing w:line="360" w:lineRule="auto"/>
        <w:jc w:val="both"/>
        <w:rPr>
          <w:rFonts w:ascii="MinionPro-Regular" w:hAnsi="MinionPro-Regular"/>
          <w:sz w:val="24"/>
          <w:szCs w:val="24"/>
          <w:lang w:val="es-ES_tradnl"/>
        </w:rPr>
      </w:pPr>
    </w:p>
    <w:p w:rsidR="001E0871" w:rsidRDefault="001E0871" w:rsidP="001D2EFC">
      <w:pPr>
        <w:autoSpaceDE w:val="0"/>
        <w:autoSpaceDN w:val="0"/>
        <w:spacing w:line="360" w:lineRule="auto"/>
        <w:jc w:val="both"/>
        <w:rPr>
          <w:rFonts w:ascii="MinionPro-Regular" w:hAnsi="MinionPro-Regular"/>
          <w:sz w:val="24"/>
          <w:szCs w:val="24"/>
          <w:lang w:val="es-ES_tradnl"/>
        </w:rPr>
      </w:pPr>
    </w:p>
    <w:p w:rsidR="001E0871" w:rsidRDefault="001E0871" w:rsidP="001D2EFC">
      <w:pPr>
        <w:autoSpaceDE w:val="0"/>
        <w:autoSpaceDN w:val="0"/>
        <w:spacing w:line="360" w:lineRule="auto"/>
        <w:jc w:val="both"/>
        <w:rPr>
          <w:rFonts w:ascii="MinionPro-Regular" w:hAnsi="MinionPro-Regular"/>
          <w:sz w:val="24"/>
          <w:szCs w:val="24"/>
          <w:lang w:val="es-ES_tradnl"/>
        </w:rPr>
      </w:pPr>
    </w:p>
    <w:p w:rsidR="001E0871" w:rsidRDefault="001E0871" w:rsidP="001D2EFC">
      <w:pPr>
        <w:autoSpaceDE w:val="0"/>
        <w:autoSpaceDN w:val="0"/>
        <w:spacing w:line="360" w:lineRule="auto"/>
        <w:jc w:val="both"/>
        <w:rPr>
          <w:rFonts w:ascii="MinionPro-Regular" w:hAnsi="MinionPro-Regular"/>
          <w:sz w:val="24"/>
          <w:szCs w:val="24"/>
          <w:lang w:val="es-ES_tradnl"/>
        </w:rPr>
      </w:pPr>
    </w:p>
    <w:p w:rsidR="00F17C2A" w:rsidRDefault="00F17C2A" w:rsidP="001D2EFC">
      <w:pPr>
        <w:autoSpaceDE w:val="0"/>
        <w:autoSpaceDN w:val="0"/>
        <w:spacing w:line="360" w:lineRule="auto"/>
        <w:jc w:val="both"/>
        <w:rPr>
          <w:rFonts w:ascii="MinionPro-Regular" w:hAnsi="MinionPro-Regular"/>
          <w:sz w:val="24"/>
          <w:szCs w:val="24"/>
          <w:lang w:val="es-ES_tradnl"/>
        </w:rPr>
      </w:pPr>
    </w:p>
    <w:p w:rsidR="00E2336B" w:rsidRPr="00B23B6B" w:rsidRDefault="00E2336B" w:rsidP="00B23B6B">
      <w:pPr>
        <w:pBdr>
          <w:top w:val="single" w:sz="4" w:space="1" w:color="auto"/>
          <w:left w:val="single" w:sz="4" w:space="4" w:color="auto"/>
          <w:bottom w:val="single" w:sz="4" w:space="1" w:color="auto"/>
          <w:right w:val="single" w:sz="4" w:space="4" w:color="auto"/>
        </w:pBdr>
        <w:autoSpaceDE w:val="0"/>
        <w:autoSpaceDN w:val="0"/>
        <w:spacing w:line="360" w:lineRule="auto"/>
        <w:jc w:val="both"/>
        <w:rPr>
          <w:rFonts w:ascii="MinionPro-Regular" w:hAnsi="MinionPro-Regular"/>
          <w:sz w:val="20"/>
          <w:szCs w:val="24"/>
          <w:u w:val="single"/>
        </w:rPr>
      </w:pPr>
      <w:r w:rsidRPr="00455028">
        <w:rPr>
          <w:rFonts w:ascii="MinionPro-Regular" w:hAnsi="MinionPro-Regular"/>
          <w:sz w:val="20"/>
          <w:szCs w:val="24"/>
          <w:u w:val="single"/>
          <w:lang w:val="es-ES_tradnl"/>
        </w:rPr>
        <w:t>El impacto de los centros especiales de empleo en España</w:t>
      </w:r>
      <w:r w:rsidRPr="00B23B6B">
        <w:rPr>
          <w:rFonts w:ascii="MinionPro-Regular" w:hAnsi="MinionPro-Regular"/>
          <w:sz w:val="20"/>
          <w:szCs w:val="24"/>
          <w:u w:val="single"/>
          <w:lang w:val="es-ES_tradnl"/>
        </w:rPr>
        <w:t>. Puntos principales</w:t>
      </w:r>
    </w:p>
    <w:p w:rsidR="00E2336B" w:rsidRDefault="00E2336B" w:rsidP="0007541A">
      <w:pPr>
        <w:pStyle w:val="Prrafodelista"/>
        <w:numPr>
          <w:ilvl w:val="0"/>
          <w:numId w:val="22"/>
        </w:numPr>
        <w:pBdr>
          <w:top w:val="single" w:sz="4" w:space="1" w:color="auto"/>
          <w:left w:val="single" w:sz="4" w:space="4" w:color="auto"/>
          <w:bottom w:val="single" w:sz="4" w:space="1" w:color="auto"/>
          <w:right w:val="single" w:sz="4" w:space="4" w:color="auto"/>
        </w:pBdr>
        <w:autoSpaceDE w:val="0"/>
        <w:autoSpaceDN w:val="0"/>
        <w:spacing w:line="360" w:lineRule="auto"/>
        <w:jc w:val="both"/>
        <w:rPr>
          <w:rFonts w:ascii="MinionPro-Regular" w:hAnsi="MinionPro-Regular"/>
          <w:sz w:val="20"/>
          <w:lang w:val="es-ES_tradnl"/>
        </w:rPr>
      </w:pPr>
      <w:r>
        <w:rPr>
          <w:rFonts w:ascii="MinionPro-Regular" w:hAnsi="MinionPro-Regular"/>
          <w:sz w:val="20"/>
          <w:lang w:val="es-ES_tradnl"/>
        </w:rPr>
        <w:t xml:space="preserve">Los centros especiales de empleo constituyen también motores de crecimiento económico. </w:t>
      </w:r>
    </w:p>
    <w:p w:rsidR="00E2336B" w:rsidRDefault="00E2336B" w:rsidP="0007541A">
      <w:pPr>
        <w:pStyle w:val="Prrafodelista"/>
        <w:numPr>
          <w:ilvl w:val="0"/>
          <w:numId w:val="22"/>
        </w:numPr>
        <w:pBdr>
          <w:top w:val="single" w:sz="4" w:space="1" w:color="auto"/>
          <w:left w:val="single" w:sz="4" w:space="4" w:color="auto"/>
          <w:bottom w:val="single" w:sz="4" w:space="1" w:color="auto"/>
          <w:right w:val="single" w:sz="4" w:space="4" w:color="auto"/>
        </w:pBdr>
        <w:autoSpaceDE w:val="0"/>
        <w:autoSpaceDN w:val="0"/>
        <w:spacing w:line="360" w:lineRule="auto"/>
        <w:jc w:val="both"/>
        <w:rPr>
          <w:rFonts w:ascii="MinionPro-Regular" w:hAnsi="MinionPro-Regular"/>
          <w:sz w:val="20"/>
          <w:lang w:val="es-ES_tradnl"/>
        </w:rPr>
      </w:pPr>
      <w:r w:rsidRPr="00B23B6B">
        <w:rPr>
          <w:rFonts w:ascii="MinionPro-Regular" w:hAnsi="MinionPro-Regular"/>
          <w:sz w:val="20"/>
          <w:lang w:val="es-ES_tradnl"/>
        </w:rPr>
        <w:t xml:space="preserve">Teniendo en cuenta las ayudas que implican una salida efectiva de caja de las arcas del Estado y lo que devuelven los centros especiales de empleo en forma de impuestos (IVA, IRPF, seguridad social e impuestos de sociedades) el retorno </w:t>
      </w:r>
      <w:r>
        <w:rPr>
          <w:rFonts w:ascii="MinionPro-Regular" w:hAnsi="MinionPro-Regular"/>
          <w:sz w:val="20"/>
          <w:lang w:val="es-ES_tradnl"/>
        </w:rPr>
        <w:t xml:space="preserve">que los centros ofrecen podría </w:t>
      </w:r>
      <w:r w:rsidRPr="001B4848">
        <w:rPr>
          <w:rFonts w:ascii="MinionPro-Regular" w:hAnsi="MinionPro-Regular"/>
          <w:sz w:val="20"/>
          <w:lang w:val="es-ES_tradnl"/>
        </w:rPr>
        <w:t xml:space="preserve">ser </w:t>
      </w:r>
      <w:r w:rsidR="00F23441" w:rsidRPr="001B4848">
        <w:rPr>
          <w:rFonts w:ascii="MinionPro-Regular" w:hAnsi="MinionPro-Regular"/>
          <w:sz w:val="20"/>
          <w:lang w:val="es-ES_tradnl"/>
        </w:rPr>
        <w:t>1,42</w:t>
      </w:r>
      <w:r w:rsidRPr="001B4848">
        <w:rPr>
          <w:rFonts w:ascii="MinionPro-Regular" w:hAnsi="MinionPro-Regular"/>
          <w:sz w:val="20"/>
          <w:lang w:val="es-ES_tradnl"/>
        </w:rPr>
        <w:t xml:space="preserve"> euros</w:t>
      </w:r>
      <w:r>
        <w:rPr>
          <w:rFonts w:ascii="MinionPro-Regular" w:hAnsi="MinionPro-Regular"/>
          <w:sz w:val="20"/>
          <w:lang w:val="es-ES_tradnl"/>
        </w:rPr>
        <w:t xml:space="preserve"> por cada euro que reciben del Estado</w:t>
      </w:r>
      <w:r w:rsidRPr="00B23B6B">
        <w:rPr>
          <w:rFonts w:ascii="MinionPro-Regular" w:hAnsi="MinionPro-Regular"/>
          <w:sz w:val="20"/>
          <w:lang w:val="es-ES_tradnl"/>
        </w:rPr>
        <w:t xml:space="preserve">. </w:t>
      </w:r>
    </w:p>
    <w:p w:rsidR="00E2336B" w:rsidRDefault="00E2336B" w:rsidP="0007541A">
      <w:pPr>
        <w:pStyle w:val="Prrafodelista"/>
        <w:numPr>
          <w:ilvl w:val="0"/>
          <w:numId w:val="22"/>
        </w:numPr>
        <w:pBdr>
          <w:top w:val="single" w:sz="4" w:space="1" w:color="auto"/>
          <w:left w:val="single" w:sz="4" w:space="4" w:color="auto"/>
          <w:bottom w:val="single" w:sz="4" w:space="1" w:color="auto"/>
          <w:right w:val="single" w:sz="4" w:space="4" w:color="auto"/>
        </w:pBdr>
        <w:autoSpaceDE w:val="0"/>
        <w:autoSpaceDN w:val="0"/>
        <w:spacing w:line="360" w:lineRule="auto"/>
        <w:jc w:val="both"/>
        <w:rPr>
          <w:rFonts w:ascii="MinionPro-Regular" w:hAnsi="MinionPro-Regular"/>
          <w:sz w:val="20"/>
          <w:lang w:val="es-ES_tradnl"/>
        </w:rPr>
      </w:pPr>
      <w:r w:rsidRPr="00B23B6B">
        <w:rPr>
          <w:rFonts w:ascii="MinionPro-Regular" w:hAnsi="MinionPro-Regular"/>
          <w:sz w:val="20"/>
          <w:lang w:val="es-ES_tradnl"/>
        </w:rPr>
        <w:t>Por otra parte, si se miden las ayudas en forma de bonificaciones a la seguridad social a la cuota empresarial, que no implican una salida efectiva de caja por parte de las administraciones, y los ahorros que suponen los centros especiales de empleo debido a que las personas están trabajando (ayudas derivadas de la Ley de Integración Social de los Minusválidos  (LISMI), pensiones no contributivas, pensiones contributivas</w:t>
      </w:r>
      <w:r>
        <w:rPr>
          <w:rFonts w:ascii="MinionPro-Regular" w:hAnsi="MinionPro-Regular"/>
          <w:sz w:val="20"/>
          <w:lang w:val="es-ES_tradnl"/>
        </w:rPr>
        <w:t>, prestaciones por desempleo</w:t>
      </w:r>
      <w:r w:rsidRPr="00B23B6B">
        <w:rPr>
          <w:rFonts w:ascii="MinionPro-Regular" w:hAnsi="MinionPro-Regular"/>
          <w:sz w:val="20"/>
          <w:lang w:val="es-ES_tradnl"/>
        </w:rPr>
        <w:t xml:space="preserve"> y ahorros en gasto sanitario), el retorno </w:t>
      </w:r>
      <w:r w:rsidRPr="009B79F2">
        <w:rPr>
          <w:rFonts w:ascii="MinionPro-Regular" w:hAnsi="MinionPro-Regular"/>
          <w:sz w:val="20"/>
          <w:lang w:val="es-ES_tradnl"/>
        </w:rPr>
        <w:t xml:space="preserve">podría ser de </w:t>
      </w:r>
      <w:r w:rsidR="00B970E8" w:rsidRPr="009B79F2">
        <w:rPr>
          <w:rFonts w:ascii="MinionPro-Regular" w:hAnsi="MinionPro-Regular"/>
          <w:sz w:val="20"/>
          <w:lang w:val="es-ES_tradnl"/>
        </w:rPr>
        <w:t>1,47</w:t>
      </w:r>
      <w:r w:rsidRPr="009B79F2">
        <w:rPr>
          <w:rFonts w:ascii="MinionPro-Regular" w:hAnsi="MinionPro-Regular"/>
          <w:sz w:val="20"/>
          <w:lang w:val="es-ES_tradnl"/>
        </w:rPr>
        <w:t xml:space="preserve"> euros por cada euro de ayuda recibidas por los centros. Finalmente, si se tienen en cuenta todos los conceptos, el retorno total que ofrecen los centros especiales de empleo podría ser de </w:t>
      </w:r>
      <w:r w:rsidR="00C64718" w:rsidRPr="009B79F2">
        <w:rPr>
          <w:rFonts w:ascii="MinionPro-Regular" w:hAnsi="MinionPro-Regular"/>
          <w:sz w:val="20"/>
          <w:lang w:val="es-ES_tradnl"/>
        </w:rPr>
        <w:t>1,</w:t>
      </w:r>
      <w:r w:rsidR="00C01B87" w:rsidRPr="009B79F2">
        <w:rPr>
          <w:rFonts w:ascii="MinionPro-Regular" w:hAnsi="MinionPro-Regular"/>
          <w:sz w:val="20"/>
          <w:lang w:val="es-ES_tradnl"/>
        </w:rPr>
        <w:t>44</w:t>
      </w:r>
      <w:r w:rsidRPr="009B79F2">
        <w:rPr>
          <w:rFonts w:ascii="MinionPro-Regular" w:hAnsi="MinionPro-Regular"/>
          <w:sz w:val="20"/>
          <w:lang w:val="es-ES_tradnl"/>
        </w:rPr>
        <w:t xml:space="preserve"> euros </w:t>
      </w:r>
      <w:r w:rsidR="00F23441" w:rsidRPr="009B79F2">
        <w:rPr>
          <w:rFonts w:ascii="MinionPro-Regular" w:hAnsi="MinionPro-Regular"/>
          <w:sz w:val="20"/>
          <w:lang w:val="es-ES_tradnl"/>
        </w:rPr>
        <w:t>por cada</w:t>
      </w:r>
      <w:r w:rsidR="00F23441" w:rsidRPr="00F23441">
        <w:rPr>
          <w:rFonts w:ascii="MinionPro-Regular" w:hAnsi="MinionPro-Regular"/>
          <w:sz w:val="20"/>
          <w:lang w:val="es-ES_tradnl"/>
        </w:rPr>
        <w:t xml:space="preserve"> euro</w:t>
      </w:r>
      <w:r>
        <w:rPr>
          <w:rFonts w:ascii="MinionPro-Regular" w:hAnsi="MinionPro-Regular"/>
          <w:sz w:val="20"/>
          <w:lang w:val="es-ES_tradnl"/>
        </w:rPr>
        <w:t xml:space="preserve"> de las ayudas que reciben</w:t>
      </w:r>
      <w:r w:rsidRPr="00B23B6B">
        <w:rPr>
          <w:rFonts w:ascii="MinionPro-Regular" w:hAnsi="MinionPro-Regular"/>
          <w:sz w:val="20"/>
          <w:lang w:val="es-ES_tradnl"/>
        </w:rPr>
        <w:t>.</w:t>
      </w:r>
    </w:p>
    <w:p w:rsidR="00E2336B" w:rsidRDefault="00E2336B" w:rsidP="0007541A">
      <w:pPr>
        <w:pStyle w:val="Prrafodelista"/>
        <w:numPr>
          <w:ilvl w:val="0"/>
          <w:numId w:val="22"/>
        </w:numPr>
        <w:pBdr>
          <w:top w:val="single" w:sz="4" w:space="1" w:color="auto"/>
          <w:left w:val="single" w:sz="4" w:space="4" w:color="auto"/>
          <w:bottom w:val="single" w:sz="4" w:space="1" w:color="auto"/>
          <w:right w:val="single" w:sz="4" w:space="4" w:color="auto"/>
        </w:pBdr>
        <w:autoSpaceDE w:val="0"/>
        <w:autoSpaceDN w:val="0"/>
        <w:spacing w:line="360" w:lineRule="auto"/>
        <w:jc w:val="both"/>
        <w:rPr>
          <w:rFonts w:ascii="MinionPro-Regular" w:hAnsi="MinionPro-Regular"/>
          <w:sz w:val="20"/>
          <w:lang w:val="es-ES_tradnl"/>
        </w:rPr>
      </w:pPr>
      <w:r w:rsidRPr="00CB4372">
        <w:rPr>
          <w:rFonts w:ascii="MinionPro-Regular" w:hAnsi="MinionPro-Regular"/>
          <w:sz w:val="20"/>
          <w:lang w:val="es-ES_tradnl"/>
        </w:rPr>
        <w:t xml:space="preserve">Con la vista puesta en el marco del 2020, año en el que se han establecido los objetivos de la estrategia europea en cuanto a empleo y nivel formativo de la población, se han llevado a cabo estimaciones sobre el retorno en 2020 si se cumpliese el objetivo establecido en la Estrategia </w:t>
      </w:r>
      <w:r>
        <w:rPr>
          <w:rFonts w:ascii="MinionPro-Regular" w:hAnsi="MinionPro-Regular"/>
          <w:sz w:val="20"/>
          <w:lang w:val="es-ES_tradnl"/>
        </w:rPr>
        <w:t xml:space="preserve">Europea </w:t>
      </w:r>
      <w:r w:rsidRPr="00CB4372">
        <w:rPr>
          <w:rFonts w:ascii="MinionPro-Regular" w:hAnsi="MinionPro-Regular"/>
          <w:sz w:val="20"/>
          <w:lang w:val="es-ES_tradnl"/>
        </w:rPr>
        <w:t xml:space="preserve">teniendo en cuenta tres escenarios de convergencia salarial. </w:t>
      </w:r>
      <w:r>
        <w:rPr>
          <w:rFonts w:ascii="MinionPro-Regular" w:hAnsi="MinionPro-Regular"/>
          <w:sz w:val="20"/>
          <w:lang w:val="es-ES_tradnl"/>
        </w:rPr>
        <w:t xml:space="preserve">Cabe destacar que cuanto mayor sea la convergencia salarial entre personas con y sin discapacidad mayor será el retorno 2020. </w:t>
      </w:r>
    </w:p>
    <w:p w:rsidR="00E2336B" w:rsidRDefault="00E2336B" w:rsidP="0007541A">
      <w:pPr>
        <w:pStyle w:val="Prrafodelista"/>
        <w:numPr>
          <w:ilvl w:val="0"/>
          <w:numId w:val="22"/>
        </w:numPr>
        <w:pBdr>
          <w:top w:val="single" w:sz="4" w:space="1" w:color="auto"/>
          <w:left w:val="single" w:sz="4" w:space="4" w:color="auto"/>
          <w:bottom w:val="single" w:sz="4" w:space="1" w:color="auto"/>
          <w:right w:val="single" w:sz="4" w:space="4" w:color="auto"/>
        </w:pBdr>
        <w:autoSpaceDE w:val="0"/>
        <w:autoSpaceDN w:val="0"/>
        <w:spacing w:line="360" w:lineRule="auto"/>
        <w:jc w:val="both"/>
        <w:rPr>
          <w:rFonts w:ascii="MinionPro-Regular" w:hAnsi="MinionPro-Regular"/>
          <w:sz w:val="20"/>
          <w:lang w:val="es-ES_tradnl"/>
        </w:rPr>
      </w:pPr>
      <w:r>
        <w:rPr>
          <w:rFonts w:ascii="MinionPro-Regular" w:hAnsi="MinionPro-Regular"/>
          <w:sz w:val="20"/>
          <w:lang w:val="es-ES_tradnl"/>
        </w:rPr>
        <w:t>El retorno 2020</w:t>
      </w:r>
      <w:r w:rsidRPr="00CB4372">
        <w:rPr>
          <w:rFonts w:ascii="MinionPro-Regular" w:hAnsi="MinionPro-Regular"/>
          <w:sz w:val="20"/>
          <w:lang w:val="es-ES_tradnl"/>
        </w:rPr>
        <w:t xml:space="preserve">, aumenta en todos los casos debido a la existencia de un mayor número de personas ocupadas y un menor número de personas recibiendo ayudas que son incompatibles con la realización de una actividad laboral. </w:t>
      </w:r>
    </w:p>
    <w:p w:rsidR="00E2336B" w:rsidRDefault="00E2336B">
      <w:pPr>
        <w:rPr>
          <w:rFonts w:ascii="MinionPro-Regular" w:hAnsi="MinionPro-Regular"/>
          <w:b/>
          <w:sz w:val="20"/>
          <w:lang w:val="es-ES_tradnl"/>
        </w:rPr>
      </w:pPr>
      <w:r>
        <w:rPr>
          <w:rFonts w:ascii="MinionPro-Regular" w:hAnsi="MinionPro-Regular"/>
          <w:sz w:val="20"/>
          <w:lang w:val="es-ES_tradnl"/>
        </w:rPr>
        <w:br w:type="page"/>
      </w:r>
    </w:p>
    <w:p w:rsidR="00E2336B" w:rsidRDefault="00E2336B" w:rsidP="0007541A">
      <w:pPr>
        <w:pStyle w:val="Ttulo1"/>
        <w:numPr>
          <w:ilvl w:val="0"/>
          <w:numId w:val="3"/>
        </w:numPr>
      </w:pPr>
      <w:bookmarkStart w:id="467" w:name="_Toc344964128"/>
      <w:bookmarkStart w:id="468" w:name="_Toc344964129"/>
      <w:bookmarkStart w:id="469" w:name="_Toc344964130"/>
      <w:bookmarkStart w:id="470" w:name="_Toc344964131"/>
      <w:bookmarkStart w:id="471" w:name="_Toc344964132"/>
      <w:bookmarkStart w:id="472" w:name="_Toc344964133"/>
      <w:bookmarkStart w:id="473" w:name="_Toc344964134"/>
      <w:bookmarkStart w:id="474" w:name="_Toc344964135"/>
      <w:bookmarkStart w:id="475" w:name="_Toc344964136"/>
      <w:bookmarkStart w:id="476" w:name="_Toc352773607"/>
      <w:bookmarkEnd w:id="467"/>
      <w:bookmarkEnd w:id="468"/>
      <w:bookmarkEnd w:id="469"/>
      <w:bookmarkEnd w:id="470"/>
      <w:bookmarkEnd w:id="471"/>
      <w:bookmarkEnd w:id="472"/>
      <w:bookmarkEnd w:id="473"/>
      <w:bookmarkEnd w:id="474"/>
      <w:bookmarkEnd w:id="475"/>
      <w:r>
        <w:lastRenderedPageBreak/>
        <w:t>Una visión 2020 para los centros especiales de empleo</w:t>
      </w:r>
      <w:bookmarkEnd w:id="476"/>
      <w:r>
        <w:t xml:space="preserve"> </w:t>
      </w:r>
    </w:p>
    <w:p w:rsidR="00E2336B" w:rsidRDefault="00E2336B" w:rsidP="0067067F">
      <w:pPr>
        <w:autoSpaceDE w:val="0"/>
        <w:autoSpaceDN w:val="0"/>
        <w:spacing w:line="360" w:lineRule="auto"/>
        <w:jc w:val="both"/>
        <w:rPr>
          <w:rFonts w:ascii="MinionPro-Regular" w:hAnsi="MinionPro-Regular"/>
          <w:sz w:val="24"/>
          <w:szCs w:val="24"/>
          <w:lang w:val="es-ES_tradnl"/>
        </w:rPr>
      </w:pPr>
    </w:p>
    <w:p w:rsidR="00E2336B" w:rsidRDefault="00E2336B">
      <w:pPr>
        <w:autoSpaceDE w:val="0"/>
        <w:autoSpaceDN w:val="0"/>
        <w:spacing w:line="360" w:lineRule="auto"/>
        <w:jc w:val="both"/>
        <w:rPr>
          <w:rFonts w:ascii="MinionPro-Regular" w:hAnsi="MinionPro-Regular"/>
          <w:sz w:val="24"/>
          <w:szCs w:val="24"/>
          <w:lang w:val="es-ES_tradnl"/>
        </w:rPr>
      </w:pPr>
      <w:r w:rsidRPr="0081432A">
        <w:rPr>
          <w:rFonts w:ascii="MinionPro-Regular" w:hAnsi="MinionPro-Regular"/>
          <w:sz w:val="24"/>
          <w:szCs w:val="24"/>
          <w:lang w:val="es-ES_tradnl"/>
        </w:rPr>
        <w:t>En el año 2010, la Comisión Europea hacía pública la estrategia europea para el año 2020, titulada “Europa 2020: Una estrategia para un crecimiento inteligente, sostenible e integrador”.</w:t>
      </w:r>
    </w:p>
    <w:p w:rsidR="00E2336B" w:rsidRDefault="00E2336B">
      <w:pPr>
        <w:autoSpaceDE w:val="0"/>
        <w:autoSpaceDN w:val="0"/>
        <w:spacing w:line="360" w:lineRule="auto"/>
        <w:jc w:val="both"/>
        <w:rPr>
          <w:rFonts w:ascii="MinionPro-Regular" w:hAnsi="MinionPro-Regular"/>
          <w:sz w:val="24"/>
          <w:szCs w:val="24"/>
          <w:lang w:val="es-ES_tradnl"/>
        </w:rPr>
      </w:pPr>
    </w:p>
    <w:p w:rsidR="009B79F2" w:rsidRDefault="00E2336B">
      <w:pPr>
        <w:autoSpaceDE w:val="0"/>
        <w:autoSpaceDN w:val="0"/>
        <w:spacing w:line="360" w:lineRule="auto"/>
        <w:jc w:val="both"/>
        <w:rPr>
          <w:rFonts w:ascii="MinionPro-Regular" w:hAnsi="MinionPro-Regular"/>
          <w:color w:val="4F81BD" w:themeColor="accent1"/>
          <w:sz w:val="24"/>
          <w:szCs w:val="24"/>
          <w:lang w:val="es-ES_tradnl"/>
        </w:rPr>
      </w:pPr>
      <w:r w:rsidRPr="0081432A">
        <w:rPr>
          <w:rFonts w:ascii="MinionPro-Regular" w:hAnsi="MinionPro-Regular"/>
          <w:sz w:val="24"/>
          <w:szCs w:val="24"/>
          <w:lang w:val="es-ES_tradnl"/>
        </w:rPr>
        <w:t xml:space="preserve">La estrategia propone objetivos específicos en materias que, sin referirse específicamente a ellas, resultan de especial relevancia para las personas con discapacidad en Europa y, por ende, en España. </w:t>
      </w:r>
      <w:r>
        <w:rPr>
          <w:rFonts w:ascii="MinionPro-Regular" w:hAnsi="MinionPro-Regular"/>
          <w:sz w:val="24"/>
          <w:szCs w:val="24"/>
          <w:lang w:val="es-ES_tradnl"/>
        </w:rPr>
        <w:t xml:space="preserve"> </w:t>
      </w:r>
      <w:r w:rsidRPr="0081432A">
        <w:rPr>
          <w:rFonts w:ascii="MinionPro-Regular" w:hAnsi="MinionPro-Regular"/>
          <w:sz w:val="24"/>
          <w:szCs w:val="24"/>
          <w:lang w:val="es-ES_tradnl"/>
        </w:rPr>
        <w:t>En primer lugar, la estrategia incluye el objetivo de lograr que, en el año 2020, el 75% de la población entre 20 y 64 años esté empleada. A este respecto, cabe recordar que la tasa de empleo de las personas con discapacidad se sitúa en la actualidad, en España,</w:t>
      </w:r>
      <w:r>
        <w:rPr>
          <w:rFonts w:ascii="MinionPro-Regular" w:hAnsi="MinionPro-Regular"/>
          <w:sz w:val="24"/>
          <w:szCs w:val="24"/>
          <w:lang w:val="es-ES_tradnl"/>
        </w:rPr>
        <w:t xml:space="preserve"> muy por debajo de esa cifra</w:t>
      </w:r>
      <w:r w:rsidRPr="0081432A">
        <w:rPr>
          <w:rFonts w:ascii="MinionPro-Regular" w:hAnsi="MinionPro-Regular"/>
          <w:sz w:val="24"/>
          <w:szCs w:val="24"/>
          <w:lang w:val="es-ES_tradnl"/>
        </w:rPr>
        <w:t>.</w:t>
      </w:r>
      <w:r>
        <w:rPr>
          <w:rFonts w:ascii="MinionPro-Regular" w:hAnsi="MinionPro-Regular"/>
          <w:sz w:val="24"/>
          <w:szCs w:val="24"/>
          <w:lang w:val="es-ES_tradnl"/>
        </w:rPr>
        <w:t xml:space="preserve"> </w:t>
      </w:r>
      <w:r w:rsidR="000327B0" w:rsidRPr="009B79F2">
        <w:rPr>
          <w:rFonts w:ascii="MinionPro-Regular" w:hAnsi="MinionPro-Regular"/>
          <w:sz w:val="24"/>
          <w:szCs w:val="24"/>
          <w:lang w:val="es-ES_tradnl"/>
        </w:rPr>
        <w:t>Estaríamos hablando de un 33,1%, es decir, 41,9 puntos porcentuales por debajo del objetivo marcado, en edades comprendidas de los 16 a 64 años.</w:t>
      </w:r>
    </w:p>
    <w:p w:rsidR="00E2336B" w:rsidRDefault="009B79F2">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 xml:space="preserve"> </w:t>
      </w:r>
    </w:p>
    <w:p w:rsidR="00E2336B" w:rsidRDefault="00E2336B">
      <w:pPr>
        <w:autoSpaceDE w:val="0"/>
        <w:autoSpaceDN w:val="0"/>
        <w:spacing w:line="360" w:lineRule="auto"/>
        <w:jc w:val="both"/>
        <w:rPr>
          <w:rFonts w:ascii="MinionPro-Regular" w:hAnsi="MinionPro-Regular"/>
          <w:sz w:val="24"/>
          <w:szCs w:val="24"/>
          <w:lang w:val="es-ES_tradnl"/>
        </w:rPr>
      </w:pPr>
      <w:r w:rsidRPr="0081432A">
        <w:rPr>
          <w:rFonts w:ascii="MinionPro-Regular" w:hAnsi="MinionPro-Regular"/>
          <w:sz w:val="24"/>
          <w:szCs w:val="24"/>
          <w:lang w:val="es-ES_tradnl"/>
        </w:rPr>
        <w:t>Un segundo objetivo de la estrategia europea establece que el 40% de la población más joven debería, en el año 2020, contar con estudios superiores. De nuevo, la</w:t>
      </w:r>
      <w:r>
        <w:rPr>
          <w:rFonts w:ascii="MinionPro-Regular" w:hAnsi="MinionPro-Regular"/>
          <w:sz w:val="24"/>
          <w:szCs w:val="24"/>
          <w:lang w:val="es-ES_tradnl"/>
        </w:rPr>
        <w:t xml:space="preserve">s personas con discapacidad en España </w:t>
      </w:r>
      <w:r w:rsidRPr="0081432A">
        <w:rPr>
          <w:rFonts w:ascii="MinionPro-Regular" w:hAnsi="MinionPro-Regular"/>
          <w:sz w:val="24"/>
          <w:szCs w:val="24"/>
          <w:lang w:val="es-ES_tradnl"/>
        </w:rPr>
        <w:t>se encuentra</w:t>
      </w:r>
      <w:r>
        <w:rPr>
          <w:rFonts w:ascii="MinionPro-Regular" w:hAnsi="MinionPro-Regular"/>
          <w:sz w:val="24"/>
          <w:szCs w:val="24"/>
          <w:lang w:val="es-ES_tradnl"/>
        </w:rPr>
        <w:t>n</w:t>
      </w:r>
      <w:r w:rsidRPr="0081432A">
        <w:rPr>
          <w:rFonts w:ascii="MinionPro-Regular" w:hAnsi="MinionPro-Regular"/>
          <w:sz w:val="24"/>
          <w:szCs w:val="24"/>
          <w:lang w:val="es-ES_tradnl"/>
        </w:rPr>
        <w:t xml:space="preserve"> muy alejada de este objetivo. </w:t>
      </w:r>
      <w:r>
        <w:rPr>
          <w:rFonts w:ascii="MinionPro-Regular" w:hAnsi="MinionPro-Regular"/>
          <w:sz w:val="24"/>
          <w:szCs w:val="24"/>
          <w:lang w:val="es-ES_tradnl"/>
        </w:rPr>
        <w:t>De acuerdo a la Obra Social de La Caixa</w:t>
      </w:r>
      <w:r w:rsidRPr="00455028">
        <w:rPr>
          <w:vertAlign w:val="superscript"/>
        </w:rPr>
        <w:footnoteReference w:id="66"/>
      </w:r>
      <w:r>
        <w:rPr>
          <w:rFonts w:ascii="MinionPro-Regular" w:hAnsi="MinionPro-Regular"/>
          <w:sz w:val="24"/>
          <w:szCs w:val="24"/>
          <w:lang w:val="es-ES_tradnl"/>
        </w:rPr>
        <w:t xml:space="preserve">, sólo el 12% de las personas con discapacidad en España cuentan con titulación superior. </w:t>
      </w:r>
    </w:p>
    <w:p w:rsidR="00E2336B" w:rsidRDefault="00E2336B">
      <w:pPr>
        <w:autoSpaceDE w:val="0"/>
        <w:autoSpaceDN w:val="0"/>
        <w:spacing w:line="360" w:lineRule="auto"/>
        <w:jc w:val="both"/>
        <w:rPr>
          <w:rFonts w:ascii="MinionPro-Regular" w:hAnsi="MinionPro-Regular"/>
          <w:sz w:val="24"/>
          <w:szCs w:val="24"/>
          <w:lang w:val="es-ES_tradnl"/>
        </w:rPr>
      </w:pPr>
    </w:p>
    <w:p w:rsidR="00E2336B" w:rsidRDefault="00E2336B">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 xml:space="preserve">La estrategia europea incluye un tercer objetivo, muy relacionado con los dos anteriores, que también tiene un especial significado para las personas con discapacidad. Se refiere a reducir en 20 millones el número de personas en riesgo de pobreza para el año 2020. De nuevo, no es necesario recordar que el riesgo de pobreza de las personas con </w:t>
      </w:r>
      <w:r>
        <w:rPr>
          <w:rFonts w:ascii="MinionPro-Regular" w:hAnsi="MinionPro-Regular"/>
          <w:sz w:val="24"/>
          <w:szCs w:val="24"/>
          <w:lang w:val="es-ES_tradnl"/>
        </w:rPr>
        <w:lastRenderedPageBreak/>
        <w:t xml:space="preserve">discapacidad es mucho más elevado que el de las personas sin discapacidad. Y que el acceso al empleo es condición imprescindible para minimizar dicho riesgo. </w:t>
      </w:r>
    </w:p>
    <w:p w:rsidR="00E2336B" w:rsidRDefault="00E2336B">
      <w:pPr>
        <w:autoSpaceDE w:val="0"/>
        <w:autoSpaceDN w:val="0"/>
        <w:spacing w:line="360" w:lineRule="auto"/>
        <w:jc w:val="both"/>
        <w:rPr>
          <w:rFonts w:ascii="MinionPro-Regular" w:hAnsi="MinionPro-Regular"/>
          <w:sz w:val="24"/>
          <w:szCs w:val="24"/>
          <w:lang w:val="es-ES_tradnl"/>
        </w:rPr>
      </w:pPr>
    </w:p>
    <w:p w:rsidR="00E2336B" w:rsidRDefault="00E2336B">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 xml:space="preserve">Aunque sin ser mencionado expresamente, debe entenderse que los objetivos de la estrategia europea 2020 son extensibles de manera directa a las personas con discapacidad. El cumplimiento de los objetivos de la estrategia europea no será posible sin la mejora de los datos de empleo y de educación de las personas con discapacidad. Y, en España, la mejora de estos indicadores no es concebible sin el impulso y la participación de los centros especiales de empleo. </w:t>
      </w:r>
    </w:p>
    <w:p w:rsidR="00E2336B" w:rsidRDefault="00E2336B">
      <w:pPr>
        <w:autoSpaceDE w:val="0"/>
        <w:autoSpaceDN w:val="0"/>
        <w:spacing w:line="360" w:lineRule="auto"/>
        <w:jc w:val="both"/>
        <w:rPr>
          <w:rFonts w:ascii="MinionPro-Regular" w:hAnsi="MinionPro-Regular"/>
          <w:sz w:val="24"/>
          <w:szCs w:val="24"/>
          <w:lang w:val="es-ES_tradnl"/>
        </w:rPr>
      </w:pPr>
    </w:p>
    <w:p w:rsidR="00E2336B" w:rsidRPr="009B79F2" w:rsidRDefault="00F23441">
      <w:pPr>
        <w:autoSpaceDE w:val="0"/>
        <w:autoSpaceDN w:val="0"/>
        <w:spacing w:line="360" w:lineRule="auto"/>
        <w:jc w:val="both"/>
        <w:rPr>
          <w:rFonts w:ascii="MinionPro-Regular" w:hAnsi="MinionPro-Regular"/>
          <w:strike/>
          <w:sz w:val="24"/>
          <w:szCs w:val="24"/>
          <w:lang w:val="es-ES_tradnl"/>
        </w:rPr>
      </w:pPr>
      <w:r w:rsidRPr="009B79F2">
        <w:rPr>
          <w:rFonts w:ascii="MinionPro-Regular" w:hAnsi="MinionPro-Regular"/>
          <w:sz w:val="24"/>
          <w:szCs w:val="24"/>
          <w:lang w:val="es-ES_tradnl"/>
        </w:rPr>
        <w:t xml:space="preserve">Extender a la población con discapacidad en España el primero de los objetivos de la estrategia europea </w:t>
      </w:r>
      <w:r w:rsidR="00E2336B" w:rsidRPr="009B79F2">
        <w:rPr>
          <w:rFonts w:ascii="MinionPro-Regular" w:hAnsi="MinionPro-Regular"/>
          <w:sz w:val="24"/>
          <w:szCs w:val="24"/>
          <w:lang w:val="es-ES_tradnl"/>
        </w:rPr>
        <w:t>–</w:t>
      </w:r>
      <w:r w:rsidRPr="009B79F2">
        <w:rPr>
          <w:rFonts w:ascii="MinionPro-Regular" w:hAnsi="MinionPro-Regular"/>
          <w:sz w:val="24"/>
          <w:szCs w:val="24"/>
          <w:lang w:val="es-ES_tradnl"/>
        </w:rPr>
        <w:t>que el 75% de la población europea tenga un empleo- significaría alcanzar una tasa de crecimiento en la ocupación de las personas con discapacidad superior al 10% hasta el año 2020</w:t>
      </w:r>
    </w:p>
    <w:p w:rsidR="00E2336B" w:rsidRDefault="00E2336B" w:rsidP="00F83E19">
      <w:pPr>
        <w:autoSpaceDE w:val="0"/>
        <w:autoSpaceDN w:val="0"/>
        <w:spacing w:line="360" w:lineRule="auto"/>
        <w:jc w:val="both"/>
        <w:rPr>
          <w:rFonts w:ascii="MinionPro-Regular" w:hAnsi="MinionPro-Regular"/>
          <w:sz w:val="20"/>
          <w:szCs w:val="24"/>
          <w:lang w:val="es-ES_tradnl"/>
        </w:rPr>
      </w:pPr>
    </w:p>
    <w:p w:rsidR="00E2336B" w:rsidRDefault="00E2336B">
      <w:pPr>
        <w:pBdr>
          <w:top w:val="single" w:sz="4" w:space="1" w:color="auto"/>
          <w:bottom w:val="single" w:sz="4" w:space="1" w:color="auto"/>
        </w:pBdr>
        <w:autoSpaceDE w:val="0"/>
        <w:autoSpaceDN w:val="0"/>
        <w:spacing w:line="360" w:lineRule="auto"/>
        <w:jc w:val="both"/>
        <w:rPr>
          <w:rFonts w:ascii="MinionPro-Regular" w:hAnsi="MinionPro-Regular"/>
          <w:sz w:val="20"/>
          <w:szCs w:val="24"/>
          <w:lang w:val="es-ES_tradnl"/>
        </w:rPr>
      </w:pPr>
      <w:r>
        <w:rPr>
          <w:rFonts w:ascii="MinionPro-Regular" w:hAnsi="MinionPro-Regular"/>
          <w:sz w:val="20"/>
          <w:szCs w:val="24"/>
          <w:lang w:val="es-ES_tradnl"/>
        </w:rPr>
        <w:t>I</w:t>
      </w:r>
      <w:r w:rsidRPr="00367EED">
        <w:rPr>
          <w:rFonts w:ascii="MinionPro-Regular" w:hAnsi="MinionPro-Regular"/>
          <w:sz w:val="20"/>
          <w:szCs w:val="24"/>
          <w:lang w:val="es-ES_tradnl"/>
        </w:rPr>
        <w:t>ncremento anual de las personas con discapacidad ocupadas</w:t>
      </w:r>
      <w:r>
        <w:rPr>
          <w:rFonts w:ascii="MinionPro-Regular" w:hAnsi="MinionPro-Regular"/>
          <w:sz w:val="20"/>
          <w:szCs w:val="24"/>
          <w:lang w:val="es-ES_tradnl"/>
        </w:rPr>
        <w:t xml:space="preserve"> para alcanzar el objetivo del 75% de empleo en 2020. </w:t>
      </w:r>
    </w:p>
    <w:p w:rsidR="00E2336B" w:rsidRDefault="00F17C2A">
      <w:pPr>
        <w:pBdr>
          <w:top w:val="single" w:sz="4" w:space="1" w:color="auto"/>
          <w:bottom w:val="single" w:sz="4" w:space="1" w:color="auto"/>
        </w:pBdr>
        <w:autoSpaceDE w:val="0"/>
        <w:autoSpaceDN w:val="0"/>
        <w:spacing w:line="360" w:lineRule="auto"/>
        <w:rPr>
          <w:rFonts w:ascii="MinionPro-Regular" w:hAnsi="MinionPro-Regular"/>
          <w:sz w:val="24"/>
          <w:szCs w:val="24"/>
          <w:lang w:val="es-ES_tradnl"/>
        </w:rPr>
      </w:pPr>
      <w:r w:rsidRPr="00F17C2A">
        <w:rPr>
          <w:rFonts w:ascii="MinionPro-Regular" w:hAnsi="MinionPro-Regular"/>
          <w:noProof/>
          <w:sz w:val="24"/>
          <w:szCs w:val="24"/>
          <w:lang w:eastAsia="es-ES"/>
        </w:rPr>
        <w:drawing>
          <wp:inline distT="0" distB="0" distL="0" distR="0">
            <wp:extent cx="4373592" cy="2665563"/>
            <wp:effectExtent l="0" t="0" r="0" b="0"/>
            <wp:docPr id="10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0"/>
              </a:graphicData>
            </a:graphic>
          </wp:inline>
        </w:drawing>
      </w:r>
    </w:p>
    <w:p w:rsidR="00E2336B" w:rsidRDefault="00E2336B">
      <w:pPr>
        <w:pBdr>
          <w:top w:val="single" w:sz="4" w:space="1" w:color="auto"/>
          <w:bottom w:val="single" w:sz="4" w:space="1" w:color="auto"/>
        </w:pBdr>
        <w:spacing w:line="360" w:lineRule="auto"/>
        <w:jc w:val="both"/>
        <w:rPr>
          <w:rFonts w:ascii="MinionPro-Regular" w:hAnsi="MinionPro-Regular"/>
          <w:sz w:val="20"/>
          <w:szCs w:val="24"/>
          <w:lang w:val="es-ES_tradnl"/>
        </w:rPr>
      </w:pPr>
      <w:r w:rsidRPr="007949F6">
        <w:rPr>
          <w:rFonts w:ascii="MinionPro-Regular" w:hAnsi="MinionPro-Regular"/>
          <w:sz w:val="20"/>
          <w:szCs w:val="24"/>
          <w:lang w:val="es-ES_tradnl"/>
        </w:rPr>
        <w:lastRenderedPageBreak/>
        <w:t>Fuente: Elaboración propia a partir de datos del</w:t>
      </w:r>
      <w:r>
        <w:rPr>
          <w:rFonts w:ascii="MinionPro-Regular" w:hAnsi="MinionPro-Regular"/>
          <w:sz w:val="20"/>
          <w:szCs w:val="24"/>
          <w:lang w:val="es-ES_tradnl"/>
        </w:rPr>
        <w:t xml:space="preserve"> Instituto Nacional de Estadística</w:t>
      </w:r>
      <w:r w:rsidR="00F17C2A">
        <w:rPr>
          <w:rFonts w:ascii="MinionPro-Regular" w:hAnsi="MinionPro-Regular"/>
          <w:sz w:val="20"/>
          <w:szCs w:val="24"/>
          <w:lang w:val="es-ES_tradnl"/>
        </w:rPr>
        <w:t>, Encuesta Población Activa Año 2011.</w:t>
      </w:r>
    </w:p>
    <w:p w:rsidR="00E2336B" w:rsidRDefault="00E2336B">
      <w:pPr>
        <w:pBdr>
          <w:top w:val="single" w:sz="4" w:space="1" w:color="auto"/>
          <w:bottom w:val="single" w:sz="4" w:space="1" w:color="auto"/>
        </w:pBdr>
        <w:spacing w:line="360" w:lineRule="auto"/>
        <w:jc w:val="both"/>
        <w:rPr>
          <w:rFonts w:ascii="MinionPro-Regular" w:hAnsi="MinionPro-Regular"/>
          <w:sz w:val="20"/>
          <w:szCs w:val="24"/>
          <w:lang w:val="es-ES_tradnl"/>
        </w:rPr>
      </w:pPr>
    </w:p>
    <w:p w:rsidR="00E2336B" w:rsidRDefault="00E2336B">
      <w:pPr>
        <w:pBdr>
          <w:top w:val="single" w:sz="4" w:space="1" w:color="auto"/>
          <w:bottom w:val="single" w:sz="4" w:space="1" w:color="auto"/>
        </w:pBdr>
        <w:spacing w:line="360" w:lineRule="auto"/>
        <w:jc w:val="both"/>
        <w:rPr>
          <w:rFonts w:ascii="MinionPro-Regular" w:hAnsi="MinionPro-Regular"/>
          <w:sz w:val="24"/>
          <w:szCs w:val="24"/>
          <w:lang w:val="es-ES_tradnl"/>
        </w:rPr>
      </w:pPr>
      <w:r>
        <w:rPr>
          <w:rFonts w:ascii="MinionPro-Regular" w:hAnsi="MinionPro-Regular"/>
          <w:sz w:val="20"/>
          <w:szCs w:val="24"/>
          <w:lang w:val="es-ES_tradnl"/>
        </w:rPr>
        <w:t>Nota explicativa de la gráfica: Eje vertical, personas con discapacidad ocupada</w:t>
      </w:r>
      <w:r w:rsidR="00F17C2A">
        <w:rPr>
          <w:rFonts w:ascii="MinionPro-Regular" w:hAnsi="MinionPro-Regular"/>
          <w:sz w:val="20"/>
          <w:szCs w:val="24"/>
          <w:lang w:val="es-ES_tradnl"/>
        </w:rPr>
        <w:t>s (%). Eje horizontal, años 2011 y 2020. En 2011 el 27</w:t>
      </w:r>
      <w:r>
        <w:rPr>
          <w:rFonts w:ascii="MinionPro-Regular" w:hAnsi="MinionPro-Regular"/>
          <w:sz w:val="20"/>
          <w:szCs w:val="24"/>
          <w:lang w:val="es-ES_tradnl"/>
        </w:rPr>
        <w:t>% de las personas con discapacidad estaban ocupadas. En 2020, el objetivo de ocupación es del 75%.</w:t>
      </w:r>
      <w:r w:rsidR="00F17C2A">
        <w:rPr>
          <w:rFonts w:ascii="MinionPro-Regular" w:hAnsi="MinionPro-Regular"/>
          <w:sz w:val="20"/>
          <w:szCs w:val="24"/>
          <w:lang w:val="es-ES_tradnl"/>
        </w:rPr>
        <w:t xml:space="preserve"> El crecimiento anual igual a 11,9</w:t>
      </w:r>
      <w:r>
        <w:rPr>
          <w:rFonts w:ascii="MinionPro-Regular" w:hAnsi="MinionPro-Regular"/>
          <w:sz w:val="20"/>
          <w:szCs w:val="24"/>
          <w:lang w:val="es-ES_tradnl"/>
        </w:rPr>
        <w:t>%.</w:t>
      </w:r>
    </w:p>
    <w:p w:rsidR="00E2336B" w:rsidRDefault="00E2336B" w:rsidP="00F83E19">
      <w:pPr>
        <w:spacing w:line="360" w:lineRule="auto"/>
        <w:jc w:val="both"/>
        <w:rPr>
          <w:rFonts w:ascii="MinionPro-Regular" w:hAnsi="MinionPro-Regular"/>
          <w:sz w:val="24"/>
          <w:szCs w:val="24"/>
          <w:lang w:val="es-ES_tradnl"/>
        </w:rPr>
      </w:pPr>
    </w:p>
    <w:p w:rsidR="00E2336B" w:rsidRDefault="00E2336B">
      <w:pPr>
        <w:spacing w:line="360" w:lineRule="auto"/>
        <w:jc w:val="both"/>
        <w:rPr>
          <w:rFonts w:ascii="MinionPro-Regular" w:hAnsi="MinionPro-Regular"/>
          <w:sz w:val="24"/>
          <w:szCs w:val="24"/>
          <w:lang w:val="es-ES_tradnl"/>
        </w:rPr>
      </w:pPr>
      <w:r>
        <w:rPr>
          <w:rFonts w:ascii="MinionPro-Regular" w:hAnsi="MinionPro-Regular"/>
          <w:sz w:val="24"/>
          <w:szCs w:val="24"/>
          <w:lang w:val="es-ES_tradnl"/>
        </w:rPr>
        <w:t>Manteniendo la actual proporción de personas con discapacidad ocupadas en centros especiales de empleo, el cumplimiento del objetivo incluido en la estrategia europea significa que el número de personas con discapacidad empleadas en los centros especiales de empleo debería, también, multiplicarse por alrededor de tres hasta llegar a superar las 180.000.</w:t>
      </w:r>
    </w:p>
    <w:p w:rsidR="008F0553" w:rsidRDefault="008F0553">
      <w:pPr>
        <w:spacing w:line="360" w:lineRule="auto"/>
        <w:jc w:val="both"/>
        <w:rPr>
          <w:rFonts w:ascii="MinionPro-Regular" w:hAnsi="MinionPro-Regular"/>
          <w:sz w:val="24"/>
          <w:szCs w:val="24"/>
          <w:lang w:val="es-ES_tradnl"/>
        </w:rPr>
      </w:pPr>
    </w:p>
    <w:p w:rsidR="008F0553" w:rsidRDefault="008F0553">
      <w:pPr>
        <w:spacing w:line="360" w:lineRule="auto"/>
        <w:jc w:val="both"/>
        <w:rPr>
          <w:rFonts w:ascii="MinionPro-Regular" w:hAnsi="MinionPro-Regular"/>
          <w:sz w:val="24"/>
          <w:szCs w:val="24"/>
          <w:lang w:val="es-ES_tradnl"/>
        </w:rPr>
      </w:pPr>
      <w:r>
        <w:rPr>
          <w:rFonts w:ascii="MinionPro-Regular" w:hAnsi="MinionPro-Regular"/>
          <w:sz w:val="24"/>
          <w:szCs w:val="24"/>
          <w:lang w:val="es-ES_tradnl"/>
        </w:rPr>
        <w:t>Como parte del proceso de elaboración de este informe se han mantenido entrevistas con diferentes profesionales del sector de la discapacidad, procedentes de distintos ámbitos con el objetivo de hacerles partícipes de la identificación de las fortalezas, debilidades, riesgos y oportunidades del sistema como paso previo a la definición de propuestas de futuro.</w:t>
      </w:r>
    </w:p>
    <w:p w:rsidR="008F0553" w:rsidRDefault="008F0553" w:rsidP="008F0553">
      <w:pPr>
        <w:autoSpaceDE w:val="0"/>
        <w:autoSpaceDN w:val="0"/>
        <w:jc w:val="both"/>
        <w:rPr>
          <w:rFonts w:ascii="MinionPro-Regular" w:hAnsi="MinionPro-Regular"/>
          <w:sz w:val="24"/>
          <w:szCs w:val="24"/>
          <w:lang w:val="es-ES_tradnl"/>
        </w:rPr>
      </w:pPr>
    </w:p>
    <w:tbl>
      <w:tblPr>
        <w:tblW w:w="8533"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ayout w:type="fixed"/>
        <w:tblCellMar>
          <w:top w:w="28" w:type="dxa"/>
          <w:left w:w="28" w:type="dxa"/>
          <w:bottom w:w="28" w:type="dxa"/>
          <w:right w:w="28" w:type="dxa"/>
        </w:tblCellMar>
        <w:tblLook w:val="00A0"/>
      </w:tblPr>
      <w:tblGrid>
        <w:gridCol w:w="2296"/>
        <w:gridCol w:w="3969"/>
        <w:gridCol w:w="2268"/>
      </w:tblGrid>
      <w:tr w:rsidR="008F0553" w:rsidRPr="00316B43" w:rsidTr="008F0553">
        <w:trPr>
          <w:tblHeader/>
        </w:trPr>
        <w:tc>
          <w:tcPr>
            <w:tcW w:w="8533" w:type="dxa"/>
            <w:gridSpan w:val="3"/>
            <w:vAlign w:val="center"/>
          </w:tcPr>
          <w:p w:rsidR="008F0553" w:rsidRPr="00915A1F" w:rsidRDefault="008F0553" w:rsidP="008F0553">
            <w:pPr>
              <w:pStyle w:val="Tableheadingleft"/>
              <w:ind w:left="284" w:right="255"/>
              <w:rPr>
                <w:rFonts w:ascii="Times New Roman" w:hAnsi="Times New Roman" w:cs="Times New Roman"/>
                <w:color w:val="auto"/>
                <w:lang w:val="es-ES"/>
              </w:rPr>
            </w:pPr>
            <w:r w:rsidRPr="0081432A">
              <w:rPr>
                <w:rFonts w:ascii="Times New Roman" w:hAnsi="Times New Roman" w:cs="Times New Roman"/>
                <w:color w:val="auto"/>
                <w:lang w:val="es-ES"/>
              </w:rPr>
              <w:lastRenderedPageBreak/>
              <w:t xml:space="preserve">El modelo definido en la LISMI: resumen de </w:t>
            </w:r>
            <w:r w:rsidR="00313BDF">
              <w:rPr>
                <w:rFonts w:ascii="Times New Roman" w:hAnsi="Times New Roman" w:cs="Times New Roman"/>
                <w:color w:val="auto"/>
                <w:lang w:val="es-ES"/>
              </w:rPr>
              <w:t xml:space="preserve">algunas de </w:t>
            </w:r>
            <w:r w:rsidRPr="0081432A">
              <w:rPr>
                <w:rFonts w:ascii="Times New Roman" w:hAnsi="Times New Roman" w:cs="Times New Roman"/>
                <w:color w:val="auto"/>
                <w:lang w:val="es-ES"/>
              </w:rPr>
              <w:t xml:space="preserve">las opiniones de los </w:t>
            </w:r>
            <w:r>
              <w:rPr>
                <w:rFonts w:ascii="Times New Roman" w:hAnsi="Times New Roman" w:cs="Times New Roman"/>
                <w:color w:val="auto"/>
                <w:lang w:val="es-ES"/>
              </w:rPr>
              <w:t>profesionales del sector</w:t>
            </w:r>
            <w:r w:rsidRPr="0081432A">
              <w:rPr>
                <w:rFonts w:ascii="Times New Roman" w:hAnsi="Times New Roman" w:cs="Times New Roman"/>
                <w:color w:val="auto"/>
                <w:lang w:val="es-ES"/>
              </w:rPr>
              <w:t xml:space="preserve"> consultados</w:t>
            </w:r>
          </w:p>
        </w:tc>
      </w:tr>
      <w:tr w:rsidR="008F0553" w:rsidRPr="00316B43" w:rsidTr="008F0553">
        <w:trPr>
          <w:tblHeader/>
        </w:trPr>
        <w:tc>
          <w:tcPr>
            <w:tcW w:w="2296" w:type="dxa"/>
            <w:shd w:val="clear" w:color="auto" w:fill="E5F2F4"/>
            <w:vAlign w:val="center"/>
          </w:tcPr>
          <w:p w:rsidR="008F0553" w:rsidRPr="00A62C1C" w:rsidRDefault="008F0553" w:rsidP="008F0553">
            <w:pPr>
              <w:pStyle w:val="Tablecolumnleft"/>
              <w:jc w:val="center"/>
              <w:rPr>
                <w:rFonts w:ascii="Times New Roman" w:hAnsi="Times New Roman"/>
                <w:b/>
                <w:lang w:val="es-ES"/>
              </w:rPr>
            </w:pPr>
            <w:r w:rsidRPr="00A62C1C">
              <w:rPr>
                <w:rFonts w:ascii="Times New Roman" w:hAnsi="Times New Roman"/>
                <w:b/>
                <w:lang w:val="es-ES"/>
              </w:rPr>
              <w:t>Amenazas (Riesgos)</w:t>
            </w:r>
          </w:p>
        </w:tc>
        <w:tc>
          <w:tcPr>
            <w:tcW w:w="3969" w:type="dxa"/>
            <w:shd w:val="clear" w:color="auto" w:fill="E5F2F4"/>
            <w:vAlign w:val="center"/>
          </w:tcPr>
          <w:p w:rsidR="008F0553" w:rsidRPr="00A62C1C" w:rsidRDefault="008F0553" w:rsidP="008F0553">
            <w:pPr>
              <w:pStyle w:val="Tablecolumnleft"/>
              <w:jc w:val="center"/>
              <w:rPr>
                <w:rFonts w:ascii="Times New Roman" w:hAnsi="Times New Roman"/>
                <w:b/>
                <w:lang w:val="es-ES"/>
              </w:rPr>
            </w:pPr>
            <w:r w:rsidRPr="00A62C1C">
              <w:rPr>
                <w:rFonts w:ascii="Times New Roman" w:hAnsi="Times New Roman"/>
                <w:b/>
                <w:lang w:val="es-ES"/>
              </w:rPr>
              <w:t>Fortalezas</w:t>
            </w:r>
          </w:p>
        </w:tc>
        <w:tc>
          <w:tcPr>
            <w:tcW w:w="2268" w:type="dxa"/>
            <w:shd w:val="clear" w:color="auto" w:fill="E5F2F4"/>
            <w:vAlign w:val="center"/>
          </w:tcPr>
          <w:p w:rsidR="008F0553" w:rsidRPr="00A62C1C" w:rsidRDefault="008F0553" w:rsidP="008F0553">
            <w:pPr>
              <w:pStyle w:val="Tablecolumnright"/>
              <w:jc w:val="center"/>
              <w:rPr>
                <w:rFonts w:ascii="Times New Roman" w:hAnsi="Times New Roman"/>
                <w:b/>
                <w:lang w:val="es-ES"/>
              </w:rPr>
            </w:pPr>
            <w:r w:rsidRPr="00A62C1C">
              <w:rPr>
                <w:rFonts w:ascii="Times New Roman" w:hAnsi="Times New Roman"/>
                <w:b/>
                <w:lang w:val="es-ES"/>
              </w:rPr>
              <w:t>Oportunidades (Propuestas de mejora)</w:t>
            </w:r>
          </w:p>
        </w:tc>
      </w:tr>
      <w:tr w:rsidR="008F0553" w:rsidRPr="00316B43" w:rsidTr="008F0553">
        <w:trPr>
          <w:trHeight w:val="205"/>
        </w:trPr>
        <w:tc>
          <w:tcPr>
            <w:tcW w:w="2296" w:type="dxa"/>
            <w:vMerge w:val="restart"/>
            <w:vAlign w:val="center"/>
          </w:tcPr>
          <w:p w:rsidR="008F0553" w:rsidRPr="00A62C1C" w:rsidRDefault="00313BDF" w:rsidP="0007541A">
            <w:pPr>
              <w:pStyle w:val="Tablecolumnleft"/>
              <w:numPr>
                <w:ilvl w:val="0"/>
                <w:numId w:val="12"/>
              </w:numPr>
              <w:rPr>
                <w:rFonts w:ascii="Times New Roman" w:hAnsi="Times New Roman"/>
                <w:sz w:val="16"/>
                <w:szCs w:val="16"/>
                <w:lang w:val="es-ES"/>
              </w:rPr>
            </w:pPr>
            <w:r>
              <w:rPr>
                <w:rFonts w:ascii="Times New Roman" w:hAnsi="Times New Roman"/>
                <w:sz w:val="16"/>
                <w:szCs w:val="16"/>
                <w:lang w:val="es-ES"/>
              </w:rPr>
              <w:t>“</w:t>
            </w:r>
            <w:r w:rsidR="008F0553" w:rsidRPr="00A62C1C">
              <w:rPr>
                <w:rFonts w:ascii="Times New Roman" w:hAnsi="Times New Roman"/>
                <w:sz w:val="16"/>
                <w:szCs w:val="16"/>
                <w:lang w:val="es-ES"/>
              </w:rPr>
              <w:t>La LISMI define un modelo que dificulta la eficiencia empresarial debido a la dispersión normativa regional que existe y a la rigidez de los requisitos que en muchos casos se exigen.</w:t>
            </w:r>
            <w:r>
              <w:rPr>
                <w:rFonts w:ascii="Times New Roman" w:hAnsi="Times New Roman"/>
                <w:sz w:val="16"/>
                <w:szCs w:val="16"/>
                <w:lang w:val="es-ES"/>
              </w:rPr>
              <w:t>”</w:t>
            </w:r>
          </w:p>
          <w:p w:rsidR="008F0553" w:rsidRPr="00A62C1C" w:rsidRDefault="00313BDF" w:rsidP="0007541A">
            <w:pPr>
              <w:pStyle w:val="Tablecolumnleft"/>
              <w:numPr>
                <w:ilvl w:val="0"/>
                <w:numId w:val="12"/>
              </w:numPr>
              <w:rPr>
                <w:rFonts w:ascii="Times New Roman" w:hAnsi="Times New Roman"/>
                <w:sz w:val="16"/>
                <w:szCs w:val="16"/>
                <w:lang w:val="es-ES"/>
              </w:rPr>
            </w:pPr>
            <w:r>
              <w:rPr>
                <w:rFonts w:ascii="Times New Roman" w:hAnsi="Times New Roman"/>
                <w:sz w:val="16"/>
                <w:szCs w:val="16"/>
                <w:lang w:val="es-ES"/>
              </w:rPr>
              <w:t>“</w:t>
            </w:r>
            <w:r w:rsidR="008F0553" w:rsidRPr="00A62C1C">
              <w:rPr>
                <w:rFonts w:ascii="Times New Roman" w:hAnsi="Times New Roman"/>
                <w:sz w:val="16"/>
                <w:szCs w:val="16"/>
                <w:lang w:val="es-ES"/>
              </w:rPr>
              <w:t>El modelo no es flexible e impide adaptarse a la realidad económica actual de crisis, esto puede afectar gravemente a la viabilidad del modelo.</w:t>
            </w:r>
            <w:r w:rsidR="002835FD">
              <w:rPr>
                <w:rFonts w:ascii="Times New Roman" w:hAnsi="Times New Roman"/>
                <w:sz w:val="16"/>
                <w:szCs w:val="16"/>
                <w:lang w:val="es-ES"/>
              </w:rPr>
              <w:t>”</w:t>
            </w:r>
          </w:p>
          <w:p w:rsidR="008F0553" w:rsidRPr="00A62C1C" w:rsidRDefault="002835FD" w:rsidP="0007541A">
            <w:pPr>
              <w:pStyle w:val="Tablecolumnleft"/>
              <w:numPr>
                <w:ilvl w:val="0"/>
                <w:numId w:val="12"/>
              </w:numPr>
              <w:rPr>
                <w:rFonts w:ascii="Times New Roman" w:hAnsi="Times New Roman"/>
                <w:sz w:val="16"/>
                <w:szCs w:val="16"/>
                <w:lang w:val="es-ES"/>
              </w:rPr>
            </w:pPr>
            <w:r>
              <w:rPr>
                <w:rFonts w:ascii="Times New Roman" w:hAnsi="Times New Roman"/>
                <w:sz w:val="16"/>
                <w:szCs w:val="16"/>
                <w:lang w:val="es-ES"/>
              </w:rPr>
              <w:t>“</w:t>
            </w:r>
            <w:r w:rsidR="008F0553" w:rsidRPr="00A62C1C">
              <w:rPr>
                <w:rFonts w:ascii="Times New Roman" w:hAnsi="Times New Roman"/>
                <w:sz w:val="16"/>
                <w:szCs w:val="16"/>
                <w:lang w:val="es-ES"/>
              </w:rPr>
              <w:t>La asignación de ayudas en algunos casos resulta injusta por lo que debería revisarse.</w:t>
            </w:r>
            <w:r>
              <w:rPr>
                <w:rFonts w:ascii="Times New Roman" w:hAnsi="Times New Roman"/>
                <w:sz w:val="16"/>
                <w:szCs w:val="16"/>
                <w:lang w:val="es-ES"/>
              </w:rPr>
              <w:t>”</w:t>
            </w:r>
          </w:p>
          <w:p w:rsidR="008F0553" w:rsidRPr="00A62C1C" w:rsidRDefault="008F0553" w:rsidP="008F0553">
            <w:pPr>
              <w:pStyle w:val="Tablecolumnleft"/>
              <w:ind w:left="340"/>
              <w:rPr>
                <w:rFonts w:ascii="Times New Roman" w:hAnsi="Times New Roman"/>
                <w:sz w:val="16"/>
                <w:szCs w:val="16"/>
                <w:lang w:val="es-ES"/>
              </w:rPr>
            </w:pPr>
          </w:p>
        </w:tc>
        <w:tc>
          <w:tcPr>
            <w:tcW w:w="3969" w:type="dxa"/>
            <w:vAlign w:val="center"/>
          </w:tcPr>
          <w:p w:rsidR="008F0553" w:rsidRDefault="002835FD" w:rsidP="0007541A">
            <w:pPr>
              <w:pStyle w:val="Tablecolumnleft"/>
              <w:numPr>
                <w:ilvl w:val="0"/>
                <w:numId w:val="9"/>
              </w:numPr>
              <w:ind w:left="255" w:hanging="141"/>
              <w:rPr>
                <w:rFonts w:ascii="Times New Roman" w:hAnsi="Times New Roman"/>
                <w:sz w:val="16"/>
                <w:szCs w:val="16"/>
                <w:lang w:val="es-ES"/>
              </w:rPr>
            </w:pPr>
            <w:r>
              <w:rPr>
                <w:rFonts w:ascii="Times New Roman" w:hAnsi="Times New Roman"/>
                <w:sz w:val="16"/>
                <w:szCs w:val="16"/>
                <w:lang w:val="es-ES"/>
              </w:rPr>
              <w:t>“</w:t>
            </w:r>
            <w:r w:rsidR="008F0553" w:rsidRPr="00A62C1C">
              <w:rPr>
                <w:rFonts w:ascii="Times New Roman" w:hAnsi="Times New Roman"/>
                <w:sz w:val="16"/>
                <w:szCs w:val="16"/>
                <w:lang w:val="es-ES"/>
              </w:rPr>
              <w:t>La LISMI ofrece la oportunidad de desarrollo profesional para las personas con discapacidades severas.</w:t>
            </w:r>
            <w:r>
              <w:rPr>
                <w:rFonts w:ascii="Times New Roman" w:hAnsi="Times New Roman"/>
                <w:sz w:val="16"/>
                <w:szCs w:val="16"/>
                <w:lang w:val="es-ES"/>
              </w:rPr>
              <w:t>”</w:t>
            </w:r>
          </w:p>
          <w:p w:rsidR="008F0553" w:rsidRDefault="002835FD" w:rsidP="0007541A">
            <w:pPr>
              <w:pStyle w:val="Tablecolumnleft"/>
              <w:numPr>
                <w:ilvl w:val="0"/>
                <w:numId w:val="9"/>
              </w:numPr>
              <w:ind w:left="255" w:hanging="141"/>
              <w:rPr>
                <w:rFonts w:ascii="Times New Roman" w:hAnsi="Times New Roman"/>
                <w:sz w:val="16"/>
                <w:szCs w:val="16"/>
                <w:lang w:val="es-ES"/>
              </w:rPr>
            </w:pPr>
            <w:r>
              <w:rPr>
                <w:rFonts w:ascii="Times New Roman" w:hAnsi="Times New Roman"/>
                <w:sz w:val="16"/>
                <w:szCs w:val="16"/>
                <w:lang w:val="es-ES"/>
              </w:rPr>
              <w:t>“</w:t>
            </w:r>
            <w:r w:rsidR="008F0553" w:rsidRPr="00A62C1C">
              <w:rPr>
                <w:rFonts w:ascii="Times New Roman" w:hAnsi="Times New Roman"/>
                <w:sz w:val="16"/>
                <w:szCs w:val="16"/>
                <w:lang w:val="es-ES"/>
              </w:rPr>
              <w:t>El modelo implantado por la LISMI ha mejorado la capacidad de integración laboral de las personas con discapacidades físicas y de menor grado de severidad</w:t>
            </w:r>
            <w:r>
              <w:rPr>
                <w:rFonts w:ascii="Times New Roman" w:hAnsi="Times New Roman"/>
                <w:sz w:val="16"/>
                <w:szCs w:val="16"/>
                <w:lang w:val="es-ES"/>
              </w:rPr>
              <w:t>.”</w:t>
            </w:r>
          </w:p>
          <w:p w:rsidR="008F0553" w:rsidRDefault="002835FD" w:rsidP="0007541A">
            <w:pPr>
              <w:pStyle w:val="Tablecolumnleft"/>
              <w:numPr>
                <w:ilvl w:val="0"/>
                <w:numId w:val="9"/>
              </w:numPr>
              <w:ind w:left="255" w:hanging="141"/>
              <w:rPr>
                <w:rFonts w:ascii="Times New Roman" w:hAnsi="Times New Roman"/>
                <w:sz w:val="16"/>
                <w:szCs w:val="16"/>
                <w:lang w:val="es-ES"/>
              </w:rPr>
            </w:pPr>
            <w:r>
              <w:rPr>
                <w:rFonts w:ascii="Times New Roman" w:hAnsi="Times New Roman"/>
                <w:sz w:val="16"/>
                <w:szCs w:val="16"/>
                <w:lang w:val="es-ES"/>
              </w:rPr>
              <w:t>“</w:t>
            </w:r>
            <w:r w:rsidR="008F0553" w:rsidRPr="00A62C1C">
              <w:rPr>
                <w:rFonts w:ascii="Times New Roman" w:hAnsi="Times New Roman"/>
                <w:sz w:val="16"/>
                <w:szCs w:val="16"/>
                <w:lang w:val="es-ES"/>
              </w:rPr>
              <w:t>Con este modelo se ha mantenimiento y estabilidad en el empleo a pesar de factores externos como la crisis económica.</w:t>
            </w:r>
            <w:r>
              <w:rPr>
                <w:rFonts w:ascii="Times New Roman" w:hAnsi="Times New Roman"/>
                <w:sz w:val="16"/>
                <w:szCs w:val="16"/>
                <w:lang w:val="es-ES"/>
              </w:rPr>
              <w:t>”</w:t>
            </w:r>
          </w:p>
        </w:tc>
        <w:tc>
          <w:tcPr>
            <w:tcW w:w="2268" w:type="dxa"/>
            <w:vMerge w:val="restart"/>
            <w:vAlign w:val="center"/>
          </w:tcPr>
          <w:p w:rsidR="008F0553" w:rsidRDefault="002835FD" w:rsidP="0007541A">
            <w:pPr>
              <w:pStyle w:val="Tablecolumnleft"/>
              <w:numPr>
                <w:ilvl w:val="0"/>
                <w:numId w:val="11"/>
              </w:numPr>
              <w:ind w:left="256" w:hanging="142"/>
              <w:rPr>
                <w:rFonts w:ascii="Times New Roman" w:hAnsi="Times New Roman"/>
                <w:sz w:val="16"/>
                <w:szCs w:val="16"/>
                <w:lang w:val="es-ES"/>
              </w:rPr>
            </w:pPr>
            <w:r>
              <w:rPr>
                <w:rFonts w:ascii="Times New Roman" w:hAnsi="Times New Roman"/>
                <w:sz w:val="16"/>
                <w:szCs w:val="16"/>
                <w:lang w:val="es-ES"/>
              </w:rPr>
              <w:t>“</w:t>
            </w:r>
            <w:r w:rsidR="008F0553" w:rsidRPr="00A62C1C">
              <w:rPr>
                <w:rFonts w:ascii="Times New Roman" w:hAnsi="Times New Roman"/>
                <w:sz w:val="16"/>
                <w:szCs w:val="16"/>
                <w:lang w:val="es-ES"/>
              </w:rPr>
              <w:t>El modelo de centros especiales de empleo debería estar orientado únicamente a las personas con mayores dificultades de acceso a otras opciones de empleo.</w:t>
            </w:r>
            <w:r>
              <w:rPr>
                <w:rFonts w:ascii="Times New Roman" w:hAnsi="Times New Roman"/>
                <w:sz w:val="16"/>
                <w:szCs w:val="16"/>
                <w:lang w:val="es-ES"/>
              </w:rPr>
              <w:t>”</w:t>
            </w:r>
            <w:r w:rsidR="008F0553" w:rsidRPr="00A62C1C">
              <w:rPr>
                <w:rFonts w:ascii="Times New Roman" w:hAnsi="Times New Roman"/>
                <w:sz w:val="16"/>
                <w:szCs w:val="16"/>
                <w:lang w:val="es-ES"/>
              </w:rPr>
              <w:t xml:space="preserve"> </w:t>
            </w:r>
          </w:p>
          <w:p w:rsidR="008F0553" w:rsidRDefault="002835FD" w:rsidP="0007541A">
            <w:pPr>
              <w:pStyle w:val="Tablecolumnleft"/>
              <w:numPr>
                <w:ilvl w:val="0"/>
                <w:numId w:val="11"/>
              </w:numPr>
              <w:ind w:left="256" w:hanging="142"/>
              <w:rPr>
                <w:rFonts w:ascii="Times New Roman" w:hAnsi="Times New Roman"/>
                <w:sz w:val="16"/>
                <w:szCs w:val="16"/>
                <w:lang w:val="es-ES"/>
              </w:rPr>
            </w:pPr>
            <w:r>
              <w:rPr>
                <w:rFonts w:ascii="Times New Roman" w:hAnsi="Times New Roman"/>
                <w:sz w:val="16"/>
                <w:szCs w:val="16"/>
                <w:lang w:val="es-ES"/>
              </w:rPr>
              <w:t>“</w:t>
            </w:r>
            <w:r w:rsidR="008F0553" w:rsidRPr="00A62C1C">
              <w:rPr>
                <w:rFonts w:ascii="Times New Roman" w:hAnsi="Times New Roman"/>
                <w:sz w:val="16"/>
                <w:szCs w:val="16"/>
                <w:lang w:val="es-ES"/>
              </w:rPr>
              <w:t>La financiación debería estar asociada a la persona y no al centro.</w:t>
            </w:r>
            <w:r>
              <w:rPr>
                <w:rFonts w:ascii="Times New Roman" w:hAnsi="Times New Roman"/>
                <w:sz w:val="16"/>
                <w:szCs w:val="16"/>
                <w:lang w:val="es-ES"/>
              </w:rPr>
              <w:t>”</w:t>
            </w:r>
          </w:p>
          <w:p w:rsidR="008F0553" w:rsidRDefault="002835FD" w:rsidP="0007541A">
            <w:pPr>
              <w:pStyle w:val="Tablecolumnleft"/>
              <w:numPr>
                <w:ilvl w:val="0"/>
                <w:numId w:val="11"/>
              </w:numPr>
              <w:ind w:left="256" w:hanging="142"/>
              <w:rPr>
                <w:rFonts w:ascii="Times New Roman" w:hAnsi="Times New Roman"/>
                <w:sz w:val="16"/>
                <w:szCs w:val="16"/>
                <w:lang w:val="es-ES"/>
              </w:rPr>
            </w:pPr>
            <w:r>
              <w:rPr>
                <w:rFonts w:ascii="Times New Roman" w:hAnsi="Times New Roman"/>
                <w:sz w:val="16"/>
                <w:szCs w:val="16"/>
                <w:lang w:val="es-ES"/>
              </w:rPr>
              <w:t>“</w:t>
            </w:r>
            <w:r w:rsidR="008F0553" w:rsidRPr="00A62C1C">
              <w:rPr>
                <w:rFonts w:ascii="Times New Roman" w:hAnsi="Times New Roman"/>
                <w:sz w:val="16"/>
                <w:szCs w:val="16"/>
                <w:lang w:val="es-ES"/>
              </w:rPr>
              <w:t>La transición al empleo ordinario no debería ser el fin último de los centros especiales de empleo.</w:t>
            </w:r>
            <w:r>
              <w:rPr>
                <w:rFonts w:ascii="Times New Roman" w:hAnsi="Times New Roman"/>
                <w:sz w:val="16"/>
                <w:szCs w:val="16"/>
                <w:lang w:val="es-ES"/>
              </w:rPr>
              <w:t>”</w:t>
            </w:r>
          </w:p>
          <w:p w:rsidR="008F0553" w:rsidRDefault="002835FD" w:rsidP="0007541A">
            <w:pPr>
              <w:pStyle w:val="Tablecolumnleft"/>
              <w:numPr>
                <w:ilvl w:val="0"/>
                <w:numId w:val="11"/>
              </w:numPr>
              <w:ind w:left="256" w:hanging="142"/>
              <w:rPr>
                <w:rFonts w:ascii="Times New Roman" w:hAnsi="Times New Roman"/>
                <w:sz w:val="16"/>
                <w:szCs w:val="16"/>
                <w:lang w:val="es-ES"/>
              </w:rPr>
            </w:pPr>
            <w:r>
              <w:rPr>
                <w:rFonts w:ascii="Times New Roman" w:hAnsi="Times New Roman"/>
                <w:sz w:val="16"/>
                <w:szCs w:val="16"/>
                <w:lang w:val="es-ES"/>
              </w:rPr>
              <w:t>“</w:t>
            </w:r>
            <w:r w:rsidR="008F0553" w:rsidRPr="00A62C1C">
              <w:rPr>
                <w:rFonts w:ascii="Times New Roman" w:hAnsi="Times New Roman"/>
                <w:sz w:val="16"/>
                <w:szCs w:val="16"/>
                <w:lang w:val="es-ES"/>
              </w:rPr>
              <w:t>Es necesario conseguir una mayor transparencia de datos para ganar en transparencia y en eficiencia.</w:t>
            </w:r>
            <w:r>
              <w:rPr>
                <w:rFonts w:ascii="Times New Roman" w:hAnsi="Times New Roman"/>
                <w:sz w:val="16"/>
                <w:szCs w:val="16"/>
                <w:lang w:val="es-ES"/>
              </w:rPr>
              <w:t>”</w:t>
            </w:r>
          </w:p>
          <w:p w:rsidR="008F0553" w:rsidRDefault="002835FD" w:rsidP="0007541A">
            <w:pPr>
              <w:pStyle w:val="Tablecolumnleft"/>
              <w:numPr>
                <w:ilvl w:val="0"/>
                <w:numId w:val="11"/>
              </w:numPr>
              <w:ind w:left="256" w:hanging="142"/>
              <w:rPr>
                <w:rFonts w:ascii="Times New Roman" w:hAnsi="Times New Roman"/>
                <w:sz w:val="16"/>
                <w:szCs w:val="16"/>
                <w:lang w:val="es-ES"/>
              </w:rPr>
            </w:pPr>
            <w:r>
              <w:rPr>
                <w:rFonts w:ascii="Times New Roman" w:hAnsi="Times New Roman"/>
                <w:sz w:val="16"/>
                <w:szCs w:val="16"/>
                <w:lang w:val="es-ES"/>
              </w:rPr>
              <w:t>“</w:t>
            </w:r>
            <w:r w:rsidR="008F0553" w:rsidRPr="00A62C1C">
              <w:rPr>
                <w:rFonts w:ascii="Times New Roman" w:hAnsi="Times New Roman"/>
                <w:sz w:val="16"/>
                <w:szCs w:val="16"/>
                <w:lang w:val="es-ES"/>
              </w:rPr>
              <w:t>Inclusión de todos los grupos de interés en la reformulación del modelo de  centros especiales de empleo.</w:t>
            </w:r>
            <w:r>
              <w:rPr>
                <w:rFonts w:ascii="Times New Roman" w:hAnsi="Times New Roman"/>
                <w:sz w:val="16"/>
                <w:szCs w:val="16"/>
                <w:lang w:val="es-ES"/>
              </w:rPr>
              <w:t>”</w:t>
            </w:r>
          </w:p>
        </w:tc>
      </w:tr>
      <w:tr w:rsidR="008F0553" w:rsidRPr="00316B43" w:rsidTr="008F0553">
        <w:trPr>
          <w:trHeight w:val="524"/>
        </w:trPr>
        <w:tc>
          <w:tcPr>
            <w:tcW w:w="2296" w:type="dxa"/>
            <w:vMerge/>
            <w:vAlign w:val="center"/>
          </w:tcPr>
          <w:p w:rsidR="008F0553" w:rsidRPr="00A62C1C" w:rsidRDefault="008F0553" w:rsidP="008F0553">
            <w:pPr>
              <w:pStyle w:val="Tablecolumnleft"/>
              <w:jc w:val="center"/>
              <w:rPr>
                <w:rFonts w:ascii="Times New Roman" w:hAnsi="Times New Roman"/>
                <w:sz w:val="16"/>
                <w:szCs w:val="16"/>
                <w:lang w:val="es-ES"/>
              </w:rPr>
            </w:pPr>
          </w:p>
        </w:tc>
        <w:tc>
          <w:tcPr>
            <w:tcW w:w="3969" w:type="dxa"/>
            <w:shd w:val="clear" w:color="auto" w:fill="E5F2F4"/>
            <w:vAlign w:val="center"/>
          </w:tcPr>
          <w:p w:rsidR="008F0553" w:rsidRPr="00A62C1C" w:rsidRDefault="008F0553" w:rsidP="008F0553">
            <w:pPr>
              <w:pStyle w:val="Tablecolumnleft"/>
              <w:jc w:val="center"/>
              <w:rPr>
                <w:rFonts w:ascii="Times New Roman" w:hAnsi="Times New Roman"/>
                <w:b/>
                <w:sz w:val="16"/>
                <w:szCs w:val="16"/>
                <w:lang w:val="es-ES"/>
              </w:rPr>
            </w:pPr>
            <w:r w:rsidRPr="00A62C1C">
              <w:rPr>
                <w:rFonts w:ascii="Times New Roman" w:hAnsi="Times New Roman"/>
                <w:b/>
                <w:lang w:val="es-ES"/>
              </w:rPr>
              <w:t>Debilidades</w:t>
            </w:r>
          </w:p>
        </w:tc>
        <w:tc>
          <w:tcPr>
            <w:tcW w:w="2268" w:type="dxa"/>
            <w:vMerge/>
            <w:vAlign w:val="center"/>
          </w:tcPr>
          <w:p w:rsidR="008F0553" w:rsidRPr="00A62C1C" w:rsidRDefault="008F0553" w:rsidP="008F0553">
            <w:pPr>
              <w:pStyle w:val="Tablecolumnleft"/>
              <w:rPr>
                <w:rFonts w:ascii="Times New Roman" w:hAnsi="Times New Roman"/>
                <w:sz w:val="16"/>
                <w:szCs w:val="16"/>
                <w:lang w:val="es-ES"/>
              </w:rPr>
            </w:pPr>
          </w:p>
        </w:tc>
      </w:tr>
      <w:tr w:rsidR="008F0553" w:rsidRPr="00316B43" w:rsidTr="008F0553">
        <w:trPr>
          <w:trHeight w:val="2064"/>
        </w:trPr>
        <w:tc>
          <w:tcPr>
            <w:tcW w:w="2296" w:type="dxa"/>
            <w:vMerge/>
            <w:vAlign w:val="center"/>
          </w:tcPr>
          <w:p w:rsidR="008F0553" w:rsidRPr="00A62C1C" w:rsidRDefault="008F0553" w:rsidP="008F0553">
            <w:pPr>
              <w:pStyle w:val="Tablecolumnleft"/>
              <w:jc w:val="center"/>
              <w:rPr>
                <w:rFonts w:ascii="Times New Roman" w:hAnsi="Times New Roman"/>
                <w:sz w:val="16"/>
                <w:szCs w:val="16"/>
                <w:lang w:val="es-ES"/>
              </w:rPr>
            </w:pPr>
          </w:p>
        </w:tc>
        <w:tc>
          <w:tcPr>
            <w:tcW w:w="3969" w:type="dxa"/>
            <w:vAlign w:val="center"/>
          </w:tcPr>
          <w:p w:rsidR="008F0553" w:rsidRDefault="002835FD" w:rsidP="0007541A">
            <w:pPr>
              <w:pStyle w:val="Tablecolumnleft"/>
              <w:numPr>
                <w:ilvl w:val="0"/>
                <w:numId w:val="10"/>
              </w:numPr>
              <w:ind w:left="255" w:hanging="142"/>
              <w:rPr>
                <w:rFonts w:ascii="Times New Roman" w:hAnsi="Times New Roman"/>
                <w:sz w:val="16"/>
                <w:szCs w:val="16"/>
                <w:lang w:val="es-ES"/>
              </w:rPr>
            </w:pPr>
            <w:r>
              <w:rPr>
                <w:rFonts w:ascii="Times New Roman" w:hAnsi="Times New Roman"/>
                <w:sz w:val="16"/>
                <w:szCs w:val="16"/>
                <w:lang w:val="es-ES"/>
              </w:rPr>
              <w:t>“</w:t>
            </w:r>
            <w:r w:rsidR="008F0553" w:rsidRPr="00A62C1C">
              <w:rPr>
                <w:rFonts w:ascii="Times New Roman" w:hAnsi="Times New Roman"/>
                <w:sz w:val="16"/>
                <w:szCs w:val="16"/>
                <w:lang w:val="es-ES"/>
              </w:rPr>
              <w:t xml:space="preserve">El modelo implantado por la LISMI </w:t>
            </w:r>
            <w:r>
              <w:rPr>
                <w:rFonts w:ascii="Times New Roman" w:hAnsi="Times New Roman"/>
                <w:sz w:val="16"/>
                <w:szCs w:val="16"/>
                <w:lang w:val="es-ES"/>
              </w:rPr>
              <w:t xml:space="preserve">debe ajustarse a </w:t>
            </w:r>
            <w:r w:rsidR="008F0553" w:rsidRPr="00A62C1C">
              <w:rPr>
                <w:rFonts w:ascii="Times New Roman" w:hAnsi="Times New Roman"/>
                <w:sz w:val="16"/>
                <w:szCs w:val="16"/>
                <w:lang w:val="es-ES"/>
              </w:rPr>
              <w:t>la realidad del momento actual.</w:t>
            </w:r>
            <w:r>
              <w:rPr>
                <w:rFonts w:ascii="Times New Roman" w:hAnsi="Times New Roman"/>
                <w:sz w:val="16"/>
                <w:szCs w:val="16"/>
                <w:lang w:val="es-ES"/>
              </w:rPr>
              <w:t>”</w:t>
            </w:r>
          </w:p>
          <w:p w:rsidR="008F0553" w:rsidRPr="00E20352" w:rsidRDefault="002835FD" w:rsidP="0007541A">
            <w:pPr>
              <w:pStyle w:val="Tablecolumnleft"/>
              <w:numPr>
                <w:ilvl w:val="0"/>
                <w:numId w:val="10"/>
              </w:numPr>
              <w:ind w:left="255" w:hanging="141"/>
              <w:rPr>
                <w:rFonts w:ascii="Times New Roman" w:hAnsi="Times New Roman"/>
                <w:sz w:val="16"/>
                <w:szCs w:val="16"/>
                <w:lang w:val="es-ES"/>
              </w:rPr>
            </w:pPr>
            <w:r>
              <w:rPr>
                <w:rFonts w:ascii="Times New Roman" w:hAnsi="Times New Roman"/>
                <w:sz w:val="16"/>
                <w:szCs w:val="16"/>
                <w:lang w:val="es-ES"/>
              </w:rPr>
              <w:t>“</w:t>
            </w:r>
            <w:r w:rsidR="008F0553" w:rsidRPr="00E20352">
              <w:rPr>
                <w:rFonts w:ascii="Times New Roman" w:hAnsi="Times New Roman"/>
                <w:sz w:val="16"/>
                <w:szCs w:val="16"/>
                <w:lang w:val="es-ES"/>
              </w:rPr>
              <w:t>No consigue uno de sus principales fines, el promover la transición al empleo ordinario.</w:t>
            </w:r>
            <w:r>
              <w:rPr>
                <w:rFonts w:ascii="Times New Roman" w:hAnsi="Times New Roman"/>
                <w:sz w:val="16"/>
                <w:szCs w:val="16"/>
                <w:lang w:val="es-ES"/>
              </w:rPr>
              <w:t>”</w:t>
            </w:r>
            <w:r w:rsidR="008F0553" w:rsidRPr="00E20352">
              <w:rPr>
                <w:rFonts w:ascii="Times New Roman" w:hAnsi="Times New Roman"/>
                <w:sz w:val="16"/>
                <w:szCs w:val="16"/>
                <w:lang w:val="es-ES"/>
              </w:rPr>
              <w:t xml:space="preserve"> </w:t>
            </w:r>
          </w:p>
          <w:p w:rsidR="008F0553" w:rsidRDefault="002835FD" w:rsidP="0007541A">
            <w:pPr>
              <w:pStyle w:val="Tablecolumnleft"/>
              <w:numPr>
                <w:ilvl w:val="0"/>
                <w:numId w:val="10"/>
              </w:numPr>
              <w:ind w:left="255" w:hanging="141"/>
              <w:rPr>
                <w:rFonts w:ascii="Times New Roman" w:hAnsi="Times New Roman"/>
                <w:sz w:val="16"/>
                <w:szCs w:val="16"/>
                <w:lang w:val="es-ES"/>
              </w:rPr>
            </w:pPr>
            <w:r>
              <w:rPr>
                <w:rFonts w:ascii="Times New Roman" w:hAnsi="Times New Roman"/>
                <w:sz w:val="16"/>
                <w:szCs w:val="16"/>
                <w:lang w:val="es-ES"/>
              </w:rPr>
              <w:t>“Existe</w:t>
            </w:r>
            <w:r w:rsidR="008F0553">
              <w:rPr>
                <w:rFonts w:ascii="Times New Roman" w:hAnsi="Times New Roman"/>
                <w:sz w:val="16"/>
                <w:szCs w:val="16"/>
                <w:lang w:val="es-ES"/>
              </w:rPr>
              <w:t xml:space="preserve"> una situació</w:t>
            </w:r>
            <w:r>
              <w:rPr>
                <w:rFonts w:ascii="Times New Roman" w:hAnsi="Times New Roman"/>
                <w:sz w:val="16"/>
                <w:szCs w:val="16"/>
                <w:lang w:val="es-ES"/>
              </w:rPr>
              <w:t>n</w:t>
            </w:r>
            <w:r w:rsidR="008F0553">
              <w:rPr>
                <w:rFonts w:ascii="Times New Roman" w:hAnsi="Times New Roman"/>
                <w:sz w:val="16"/>
                <w:szCs w:val="16"/>
                <w:lang w:val="es-ES"/>
              </w:rPr>
              <w:t xml:space="preserve"> de</w:t>
            </w:r>
            <w:r w:rsidR="008F0553" w:rsidRPr="00E20352">
              <w:rPr>
                <w:rFonts w:ascii="Times New Roman" w:hAnsi="Times New Roman"/>
                <w:sz w:val="16"/>
                <w:szCs w:val="16"/>
                <w:lang w:val="es-ES"/>
              </w:rPr>
              <w:t xml:space="preserve"> grandes diferencias salariales entre el centro especial de empleo y el empleo ordinario.</w:t>
            </w:r>
            <w:r>
              <w:rPr>
                <w:rFonts w:ascii="Times New Roman" w:hAnsi="Times New Roman"/>
                <w:sz w:val="16"/>
                <w:szCs w:val="16"/>
                <w:lang w:val="es-ES"/>
              </w:rPr>
              <w:t>”</w:t>
            </w:r>
            <w:r w:rsidR="008F0553" w:rsidRPr="00E20352">
              <w:rPr>
                <w:rFonts w:ascii="Times New Roman" w:hAnsi="Times New Roman"/>
                <w:color w:val="FF0000"/>
                <w:sz w:val="16"/>
                <w:szCs w:val="16"/>
                <w:lang w:val="es-ES"/>
              </w:rPr>
              <w:t xml:space="preserve"> </w:t>
            </w:r>
          </w:p>
          <w:p w:rsidR="008F0553" w:rsidRDefault="002835FD" w:rsidP="0007541A">
            <w:pPr>
              <w:pStyle w:val="Tablecolumnleft"/>
              <w:numPr>
                <w:ilvl w:val="0"/>
                <w:numId w:val="10"/>
              </w:numPr>
              <w:ind w:left="255" w:hanging="141"/>
              <w:rPr>
                <w:rFonts w:ascii="Times New Roman" w:hAnsi="Times New Roman"/>
                <w:sz w:val="16"/>
                <w:szCs w:val="16"/>
                <w:lang w:val="es-ES"/>
              </w:rPr>
            </w:pPr>
            <w:r>
              <w:rPr>
                <w:rFonts w:ascii="Times New Roman" w:hAnsi="Times New Roman"/>
                <w:sz w:val="16"/>
                <w:szCs w:val="16"/>
                <w:lang w:val="es-ES"/>
              </w:rPr>
              <w:t>“</w:t>
            </w:r>
            <w:r w:rsidR="008F0553" w:rsidRPr="00A62C1C">
              <w:rPr>
                <w:rFonts w:ascii="Times New Roman" w:hAnsi="Times New Roman"/>
                <w:sz w:val="16"/>
                <w:szCs w:val="16"/>
                <w:lang w:val="es-ES"/>
              </w:rPr>
              <w:t>No se ha conseguido transparencia por parte de los centros especiales de empleo ni de las Administraciones.</w:t>
            </w:r>
            <w:r>
              <w:rPr>
                <w:rFonts w:ascii="Times New Roman" w:hAnsi="Times New Roman"/>
                <w:sz w:val="16"/>
                <w:szCs w:val="16"/>
                <w:lang w:val="es-ES"/>
              </w:rPr>
              <w:t>”</w:t>
            </w:r>
          </w:p>
        </w:tc>
        <w:tc>
          <w:tcPr>
            <w:tcW w:w="2268" w:type="dxa"/>
            <w:vMerge/>
            <w:vAlign w:val="center"/>
          </w:tcPr>
          <w:p w:rsidR="008F0553" w:rsidRPr="00A62C1C" w:rsidRDefault="008F0553" w:rsidP="008F0553">
            <w:pPr>
              <w:pStyle w:val="Tablecolumnleft"/>
              <w:rPr>
                <w:rFonts w:ascii="Times New Roman" w:hAnsi="Times New Roman"/>
                <w:sz w:val="16"/>
                <w:szCs w:val="16"/>
                <w:lang w:val="es-ES"/>
              </w:rPr>
            </w:pPr>
          </w:p>
        </w:tc>
      </w:tr>
    </w:tbl>
    <w:p w:rsidR="008F0553" w:rsidRDefault="008F0553" w:rsidP="008F0553">
      <w:pPr>
        <w:autoSpaceDE w:val="0"/>
        <w:autoSpaceDN w:val="0"/>
        <w:jc w:val="both"/>
        <w:rPr>
          <w:rFonts w:ascii="MinionPro-Regular" w:hAnsi="MinionPro-Regular"/>
          <w:sz w:val="24"/>
          <w:szCs w:val="24"/>
        </w:rPr>
      </w:pPr>
    </w:p>
    <w:p w:rsidR="008F0553" w:rsidRPr="00703CE1" w:rsidRDefault="008F0553" w:rsidP="008F0553">
      <w:pPr>
        <w:autoSpaceDE w:val="0"/>
        <w:autoSpaceDN w:val="0"/>
        <w:spacing w:line="360" w:lineRule="auto"/>
        <w:jc w:val="both"/>
        <w:rPr>
          <w:rFonts w:ascii="MinionPro-Regular" w:hAnsi="MinionPro-Regular"/>
          <w:sz w:val="24"/>
          <w:szCs w:val="24"/>
        </w:rPr>
      </w:pPr>
    </w:p>
    <w:p w:rsidR="008F0553" w:rsidRPr="008F0553" w:rsidRDefault="008F0553">
      <w:pPr>
        <w:spacing w:line="360" w:lineRule="auto"/>
        <w:jc w:val="both"/>
        <w:rPr>
          <w:rFonts w:ascii="MinionPro-Regular" w:hAnsi="MinionPro-Regular"/>
          <w:sz w:val="24"/>
          <w:szCs w:val="24"/>
        </w:rPr>
      </w:pPr>
    </w:p>
    <w:p w:rsidR="00E2336B" w:rsidRDefault="00E2336B" w:rsidP="0007541A">
      <w:pPr>
        <w:pStyle w:val="Ttulo2"/>
        <w:numPr>
          <w:ilvl w:val="1"/>
          <w:numId w:val="3"/>
        </w:numPr>
        <w:ind w:left="0"/>
        <w:rPr>
          <w:lang w:val="es-ES_tradnl"/>
        </w:rPr>
      </w:pPr>
      <w:bookmarkStart w:id="477" w:name="_Toc352773608"/>
      <w:r>
        <w:rPr>
          <w:lang w:val="es-ES_tradnl"/>
        </w:rPr>
        <w:t>Una visión de empleabilidad, competitividad y confianza</w:t>
      </w:r>
      <w:bookmarkEnd w:id="477"/>
    </w:p>
    <w:p w:rsidR="00E2336B" w:rsidRDefault="00E2336B" w:rsidP="00F83E19">
      <w:pPr>
        <w:autoSpaceDE w:val="0"/>
        <w:autoSpaceDN w:val="0"/>
        <w:jc w:val="both"/>
        <w:rPr>
          <w:rFonts w:ascii="MinionPro-Regular" w:hAnsi="MinionPro-Regular"/>
          <w:sz w:val="24"/>
          <w:szCs w:val="24"/>
          <w:lang w:val="es-ES_tradnl"/>
        </w:rPr>
      </w:pPr>
    </w:p>
    <w:p w:rsidR="00E2336B" w:rsidRDefault="00E2336B">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La visión 2020 de los centros especiales de empleo tiene como meta impulsar su papel como palanca principal del desarrollo del empleo de personas con discapacidad y está marcada por tres objetivos principales.</w:t>
      </w:r>
    </w:p>
    <w:p w:rsidR="00E2336B" w:rsidRDefault="00E2336B">
      <w:pPr>
        <w:autoSpaceDE w:val="0"/>
        <w:autoSpaceDN w:val="0"/>
        <w:spacing w:line="360" w:lineRule="auto"/>
        <w:jc w:val="both"/>
        <w:rPr>
          <w:rFonts w:ascii="MinionPro-Regular" w:hAnsi="MinionPro-Regular"/>
          <w:sz w:val="24"/>
          <w:szCs w:val="24"/>
          <w:lang w:val="es-ES_tradnl"/>
        </w:rPr>
      </w:pPr>
    </w:p>
    <w:p w:rsidR="00E2336B" w:rsidRDefault="00E2336B" w:rsidP="0007541A">
      <w:pPr>
        <w:numPr>
          <w:ilvl w:val="0"/>
          <w:numId w:val="13"/>
        </w:numPr>
        <w:autoSpaceDE w:val="0"/>
        <w:autoSpaceDN w:val="0"/>
        <w:spacing w:line="360" w:lineRule="auto"/>
        <w:jc w:val="both"/>
        <w:rPr>
          <w:rFonts w:ascii="MinionPro-Regular" w:hAnsi="MinionPro-Regular"/>
          <w:sz w:val="24"/>
          <w:szCs w:val="24"/>
          <w:lang w:val="es-ES_tradnl"/>
        </w:rPr>
      </w:pPr>
      <w:r w:rsidRPr="00ED1429">
        <w:rPr>
          <w:rFonts w:ascii="MinionPro-Regular" w:hAnsi="MinionPro-Regular"/>
          <w:b/>
          <w:sz w:val="24"/>
          <w:szCs w:val="24"/>
          <w:lang w:val="es-ES_tradnl"/>
        </w:rPr>
        <w:t>Aumentar el empleo y la empleabilidad</w:t>
      </w:r>
      <w:r>
        <w:rPr>
          <w:rFonts w:ascii="MinionPro-Regular" w:hAnsi="MinionPro-Regular"/>
          <w:sz w:val="24"/>
          <w:szCs w:val="24"/>
          <w:lang w:val="es-ES_tradnl"/>
        </w:rPr>
        <w:t xml:space="preserve"> de las personas con discapacidad, para alcanzar el objetivo de cumplimiento de la estrategia europea para el año 2020 para el colectivo de personas con discapacidad.</w:t>
      </w:r>
    </w:p>
    <w:p w:rsidR="00E2336B" w:rsidRDefault="00E2336B">
      <w:pPr>
        <w:autoSpaceDE w:val="0"/>
        <w:autoSpaceDN w:val="0"/>
        <w:spacing w:line="360" w:lineRule="auto"/>
        <w:jc w:val="both"/>
        <w:rPr>
          <w:rFonts w:ascii="MinionPro-Regular" w:hAnsi="MinionPro-Regular"/>
          <w:sz w:val="24"/>
          <w:szCs w:val="24"/>
          <w:lang w:val="es-ES_tradnl"/>
        </w:rPr>
      </w:pPr>
    </w:p>
    <w:p w:rsidR="00E2336B" w:rsidRDefault="00E2336B" w:rsidP="0007541A">
      <w:pPr>
        <w:numPr>
          <w:ilvl w:val="0"/>
          <w:numId w:val="13"/>
        </w:numPr>
        <w:autoSpaceDE w:val="0"/>
        <w:autoSpaceDN w:val="0"/>
        <w:spacing w:line="360" w:lineRule="auto"/>
        <w:jc w:val="both"/>
        <w:rPr>
          <w:rFonts w:ascii="MinionPro-Regular" w:hAnsi="MinionPro-Regular"/>
          <w:sz w:val="24"/>
          <w:szCs w:val="24"/>
          <w:lang w:val="es-ES_tradnl"/>
        </w:rPr>
      </w:pPr>
      <w:r w:rsidRPr="00ED1429">
        <w:rPr>
          <w:rFonts w:ascii="MinionPro-Regular" w:hAnsi="MinionPro-Regular"/>
          <w:b/>
          <w:sz w:val="24"/>
          <w:szCs w:val="24"/>
          <w:lang w:val="es-ES_tradnl"/>
        </w:rPr>
        <w:lastRenderedPageBreak/>
        <w:t>Desarrollar organizaciones competitivas, eficientes, creadoras de valor añadido y capaces de maximizar el retorno</w:t>
      </w:r>
      <w:r>
        <w:rPr>
          <w:rFonts w:ascii="MinionPro-Regular" w:hAnsi="MinionPro-Regular"/>
          <w:sz w:val="24"/>
          <w:szCs w:val="24"/>
          <w:lang w:val="es-ES_tradnl"/>
        </w:rPr>
        <w:t xml:space="preserve"> ofrecido como contrapartida a las ayudas recibidas. </w:t>
      </w:r>
    </w:p>
    <w:p w:rsidR="00E2336B" w:rsidRDefault="00E2336B">
      <w:pPr>
        <w:autoSpaceDE w:val="0"/>
        <w:autoSpaceDN w:val="0"/>
        <w:spacing w:line="360" w:lineRule="auto"/>
        <w:jc w:val="both"/>
        <w:rPr>
          <w:rFonts w:ascii="MinionPro-Regular" w:hAnsi="MinionPro-Regular"/>
          <w:sz w:val="24"/>
          <w:szCs w:val="24"/>
          <w:lang w:val="es-ES_tradnl"/>
        </w:rPr>
      </w:pPr>
    </w:p>
    <w:p w:rsidR="00E2336B" w:rsidRDefault="00E2336B" w:rsidP="0007541A">
      <w:pPr>
        <w:numPr>
          <w:ilvl w:val="0"/>
          <w:numId w:val="13"/>
        </w:numPr>
        <w:autoSpaceDE w:val="0"/>
        <w:autoSpaceDN w:val="0"/>
        <w:spacing w:line="360" w:lineRule="auto"/>
        <w:jc w:val="both"/>
        <w:rPr>
          <w:rFonts w:ascii="MinionPro-Regular" w:hAnsi="MinionPro-Regular"/>
          <w:sz w:val="24"/>
          <w:szCs w:val="24"/>
          <w:lang w:val="es-ES_tradnl"/>
        </w:rPr>
      </w:pPr>
      <w:r w:rsidRPr="00ED1429">
        <w:rPr>
          <w:rFonts w:ascii="MinionPro-Regular" w:hAnsi="MinionPro-Regular"/>
          <w:b/>
          <w:sz w:val="24"/>
          <w:szCs w:val="24"/>
          <w:lang w:val="es-ES_tradnl"/>
        </w:rPr>
        <w:t>Ahondar en la confianza y visibilidad</w:t>
      </w:r>
      <w:r w:rsidRPr="001F5B85">
        <w:rPr>
          <w:rFonts w:ascii="MinionPro-Regular" w:hAnsi="MinionPro-Regular"/>
          <w:sz w:val="24"/>
          <w:szCs w:val="24"/>
          <w:lang w:val="es-ES_tradnl"/>
        </w:rPr>
        <w:t xml:space="preserve"> de los </w:t>
      </w:r>
      <w:r>
        <w:rPr>
          <w:rFonts w:ascii="MinionPro-Regular" w:hAnsi="MinionPro-Regular"/>
          <w:sz w:val="24"/>
          <w:szCs w:val="24"/>
          <w:lang w:val="es-ES_tradnl"/>
        </w:rPr>
        <w:t>centros especiales de empleo</w:t>
      </w:r>
      <w:r w:rsidRPr="001F5B85">
        <w:rPr>
          <w:rFonts w:ascii="MinionPro-Regular" w:hAnsi="MinionPro-Regular"/>
          <w:sz w:val="24"/>
          <w:szCs w:val="24"/>
          <w:lang w:val="es-ES_tradnl"/>
        </w:rPr>
        <w:t xml:space="preserve"> como entidades ejemplares de la economía </w:t>
      </w:r>
      <w:r>
        <w:rPr>
          <w:rFonts w:ascii="MinionPro-Regular" w:hAnsi="MinionPro-Regular"/>
          <w:sz w:val="24"/>
          <w:szCs w:val="24"/>
          <w:lang w:val="es-ES_tradnl"/>
        </w:rPr>
        <w:t>social.</w:t>
      </w:r>
    </w:p>
    <w:p w:rsidR="00E2336B" w:rsidRDefault="00E2336B">
      <w:pPr>
        <w:pStyle w:val="Prrafodelista"/>
        <w:spacing w:line="360" w:lineRule="auto"/>
        <w:rPr>
          <w:rFonts w:ascii="MinionPro-Regular" w:hAnsi="MinionPro-Regular"/>
          <w:sz w:val="24"/>
          <w:szCs w:val="24"/>
          <w:lang w:val="es-ES_tradnl"/>
        </w:rPr>
      </w:pPr>
    </w:p>
    <w:p w:rsidR="00E2336B" w:rsidRDefault="00E2336B">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Para ello es necesario avanzar en un marco institucional propicio, contar con un mercado que reconoce la labor de los centros especiales de empleo y con un colectivo humano formado y comprometido. Este camino hace necesario actuar sobre tres ejes: empleabilidad, competitividad y confianza.</w:t>
      </w:r>
    </w:p>
    <w:p w:rsidR="00E2336B" w:rsidRDefault="00E2336B" w:rsidP="00F83E19">
      <w:pPr>
        <w:autoSpaceDE w:val="0"/>
        <w:autoSpaceDN w:val="0"/>
        <w:jc w:val="both"/>
        <w:rPr>
          <w:rFonts w:ascii="MinionPro-Regular" w:hAnsi="MinionPro-Regular"/>
          <w:noProof/>
          <w:sz w:val="24"/>
          <w:szCs w:val="24"/>
          <w:lang w:val="es-ES_tradnl"/>
        </w:rPr>
      </w:pPr>
    </w:p>
    <w:p w:rsidR="00A5357D" w:rsidRDefault="00A5357D" w:rsidP="00F83E19">
      <w:pPr>
        <w:autoSpaceDE w:val="0"/>
        <w:autoSpaceDN w:val="0"/>
        <w:jc w:val="both"/>
        <w:rPr>
          <w:rFonts w:ascii="MinionPro-Regular" w:hAnsi="MinionPro-Regular"/>
          <w:noProof/>
          <w:sz w:val="24"/>
          <w:szCs w:val="24"/>
          <w:lang w:val="es-ES_tradnl"/>
        </w:rPr>
      </w:pPr>
    </w:p>
    <w:p w:rsidR="00A5357D" w:rsidRDefault="00A5357D" w:rsidP="00F83E19">
      <w:pPr>
        <w:autoSpaceDE w:val="0"/>
        <w:autoSpaceDN w:val="0"/>
        <w:jc w:val="both"/>
        <w:rPr>
          <w:rFonts w:ascii="MinionPro-Regular" w:hAnsi="MinionPro-Regular"/>
          <w:noProof/>
          <w:sz w:val="24"/>
          <w:szCs w:val="24"/>
          <w:lang w:val="es-ES_tradnl"/>
        </w:rPr>
      </w:pPr>
    </w:p>
    <w:p w:rsidR="00A5357D" w:rsidRDefault="00A5357D" w:rsidP="00F83E19">
      <w:pPr>
        <w:autoSpaceDE w:val="0"/>
        <w:autoSpaceDN w:val="0"/>
        <w:jc w:val="both"/>
        <w:rPr>
          <w:rFonts w:ascii="MinionPro-Regular" w:hAnsi="MinionPro-Regular"/>
          <w:noProof/>
          <w:sz w:val="24"/>
          <w:szCs w:val="24"/>
          <w:lang w:val="es-ES_tradnl"/>
        </w:rPr>
      </w:pPr>
    </w:p>
    <w:p w:rsidR="00A5357D" w:rsidRDefault="00A5357D" w:rsidP="00F83E19">
      <w:pPr>
        <w:autoSpaceDE w:val="0"/>
        <w:autoSpaceDN w:val="0"/>
        <w:jc w:val="both"/>
        <w:rPr>
          <w:rFonts w:ascii="MinionPro-Regular" w:hAnsi="MinionPro-Regular"/>
          <w:noProof/>
          <w:sz w:val="24"/>
          <w:szCs w:val="24"/>
          <w:lang w:val="es-ES_tradnl"/>
        </w:rPr>
      </w:pPr>
    </w:p>
    <w:p w:rsidR="00A5357D" w:rsidRDefault="00A5357D" w:rsidP="00F83E19">
      <w:pPr>
        <w:autoSpaceDE w:val="0"/>
        <w:autoSpaceDN w:val="0"/>
        <w:jc w:val="both"/>
        <w:rPr>
          <w:rFonts w:ascii="MinionPro-Regular" w:hAnsi="MinionPro-Regular"/>
          <w:noProof/>
          <w:sz w:val="24"/>
          <w:szCs w:val="24"/>
          <w:lang w:val="es-ES_tradnl"/>
        </w:rPr>
      </w:pPr>
    </w:p>
    <w:p w:rsidR="00A5357D" w:rsidRDefault="00A5357D" w:rsidP="00F83E19">
      <w:pPr>
        <w:autoSpaceDE w:val="0"/>
        <w:autoSpaceDN w:val="0"/>
        <w:jc w:val="both"/>
        <w:rPr>
          <w:rFonts w:ascii="MinionPro-Regular" w:hAnsi="MinionPro-Regular"/>
          <w:noProof/>
          <w:sz w:val="24"/>
          <w:szCs w:val="24"/>
          <w:lang w:val="es-ES_tradnl"/>
        </w:rPr>
      </w:pPr>
    </w:p>
    <w:p w:rsidR="00A5357D" w:rsidRDefault="00A5357D" w:rsidP="00F83E19">
      <w:pPr>
        <w:autoSpaceDE w:val="0"/>
        <w:autoSpaceDN w:val="0"/>
        <w:jc w:val="both"/>
        <w:rPr>
          <w:rFonts w:ascii="MinionPro-Regular" w:hAnsi="MinionPro-Regular"/>
          <w:noProof/>
          <w:sz w:val="24"/>
          <w:szCs w:val="24"/>
          <w:lang w:val="es-ES_tradnl"/>
        </w:rPr>
      </w:pPr>
    </w:p>
    <w:p w:rsidR="00A5357D" w:rsidRDefault="00A5357D" w:rsidP="00F83E19">
      <w:pPr>
        <w:autoSpaceDE w:val="0"/>
        <w:autoSpaceDN w:val="0"/>
        <w:jc w:val="both"/>
        <w:rPr>
          <w:rFonts w:ascii="MinionPro-Regular" w:hAnsi="MinionPro-Regular"/>
          <w:noProof/>
          <w:sz w:val="24"/>
          <w:szCs w:val="24"/>
          <w:lang w:val="es-ES_tradnl"/>
        </w:rPr>
      </w:pPr>
    </w:p>
    <w:p w:rsidR="00A5357D" w:rsidRDefault="00A5357D" w:rsidP="00F83E19">
      <w:pPr>
        <w:autoSpaceDE w:val="0"/>
        <w:autoSpaceDN w:val="0"/>
        <w:jc w:val="both"/>
        <w:rPr>
          <w:rFonts w:ascii="MinionPro-Regular" w:hAnsi="MinionPro-Regular"/>
          <w:noProof/>
          <w:sz w:val="24"/>
          <w:szCs w:val="24"/>
          <w:lang w:val="es-ES_tradnl"/>
        </w:rPr>
      </w:pPr>
    </w:p>
    <w:p w:rsidR="00A5357D" w:rsidRDefault="00A5357D" w:rsidP="00F83E19">
      <w:pPr>
        <w:autoSpaceDE w:val="0"/>
        <w:autoSpaceDN w:val="0"/>
        <w:jc w:val="both"/>
        <w:rPr>
          <w:rFonts w:ascii="MinionPro-Regular" w:hAnsi="MinionPro-Regular"/>
          <w:noProof/>
          <w:sz w:val="24"/>
          <w:szCs w:val="24"/>
          <w:lang w:val="es-ES_tradnl"/>
        </w:rPr>
      </w:pPr>
    </w:p>
    <w:p w:rsidR="00A5357D" w:rsidRDefault="00A5357D" w:rsidP="00F83E19">
      <w:pPr>
        <w:autoSpaceDE w:val="0"/>
        <w:autoSpaceDN w:val="0"/>
        <w:jc w:val="both"/>
        <w:rPr>
          <w:rFonts w:ascii="MinionPro-Regular" w:hAnsi="MinionPro-Regular"/>
          <w:noProof/>
          <w:sz w:val="24"/>
          <w:szCs w:val="24"/>
          <w:lang w:val="es-ES_tradnl"/>
        </w:rPr>
      </w:pPr>
    </w:p>
    <w:p w:rsidR="00A5357D" w:rsidRDefault="00A5357D" w:rsidP="00F83E19">
      <w:pPr>
        <w:autoSpaceDE w:val="0"/>
        <w:autoSpaceDN w:val="0"/>
        <w:jc w:val="both"/>
        <w:rPr>
          <w:rFonts w:ascii="MinionPro-Regular" w:hAnsi="MinionPro-Regular"/>
          <w:noProof/>
          <w:sz w:val="24"/>
          <w:szCs w:val="24"/>
          <w:lang w:val="es-ES_tradnl"/>
        </w:rPr>
      </w:pPr>
    </w:p>
    <w:p w:rsidR="00E2336B" w:rsidRPr="005206E1" w:rsidRDefault="00E2336B" w:rsidP="00F83E19">
      <w:pPr>
        <w:autoSpaceDE w:val="0"/>
        <w:autoSpaceDN w:val="0"/>
        <w:jc w:val="both"/>
        <w:rPr>
          <w:rFonts w:ascii="MinionPro-Regular" w:hAnsi="MinionPro-Regular"/>
          <w:noProof/>
          <w:sz w:val="24"/>
          <w:szCs w:val="24"/>
          <w:lang w:val="es-ES_tradnl"/>
        </w:rPr>
      </w:pPr>
    </w:p>
    <w:p w:rsidR="00E2336B" w:rsidRDefault="00E2336B" w:rsidP="001E56E7">
      <w:pPr>
        <w:pBdr>
          <w:top w:val="single" w:sz="4" w:space="1" w:color="auto"/>
        </w:pBdr>
        <w:autoSpaceDE w:val="0"/>
        <w:autoSpaceDN w:val="0"/>
        <w:spacing w:line="360" w:lineRule="auto"/>
        <w:jc w:val="both"/>
        <w:rPr>
          <w:rFonts w:ascii="MinionPro-Regular" w:hAnsi="MinionPro-Regular"/>
          <w:sz w:val="20"/>
          <w:szCs w:val="24"/>
          <w:lang w:val="es-ES_tradnl"/>
        </w:rPr>
      </w:pPr>
      <w:r>
        <w:rPr>
          <w:rFonts w:ascii="MinionPro-Regular" w:hAnsi="MinionPro-Regular"/>
          <w:sz w:val="20"/>
          <w:szCs w:val="24"/>
          <w:lang w:val="es-ES_tradnl"/>
        </w:rPr>
        <w:t>Retos y palancas de los centros especiales de empleo</w:t>
      </w:r>
    </w:p>
    <w:p w:rsidR="00E2336B" w:rsidRPr="001E56E7" w:rsidRDefault="00E2336B" w:rsidP="00F83E19">
      <w:pPr>
        <w:autoSpaceDE w:val="0"/>
        <w:autoSpaceDN w:val="0"/>
        <w:jc w:val="both"/>
        <w:rPr>
          <w:rFonts w:ascii="MinionPro-Regular" w:hAnsi="MinionPro-Regular"/>
          <w:noProof/>
          <w:sz w:val="24"/>
          <w:szCs w:val="24"/>
          <w:lang w:val="es-ES_tradnl"/>
        </w:rPr>
      </w:pPr>
    </w:p>
    <w:p w:rsidR="00E2336B" w:rsidRDefault="00E1516B" w:rsidP="00F83E19">
      <w:pPr>
        <w:autoSpaceDE w:val="0"/>
        <w:autoSpaceDN w:val="0"/>
        <w:jc w:val="both"/>
        <w:rPr>
          <w:rFonts w:ascii="MinionPro-Regular" w:hAnsi="MinionPro-Regular"/>
          <w:sz w:val="24"/>
          <w:szCs w:val="24"/>
          <w:lang w:val="es-ES_tradnl"/>
        </w:rPr>
      </w:pPr>
      <w:r>
        <w:rPr>
          <w:rFonts w:ascii="MinionPro-Regular" w:hAnsi="MinionPro-Regular"/>
          <w:noProof/>
          <w:sz w:val="24"/>
          <w:szCs w:val="24"/>
          <w:lang w:eastAsia="es-ES"/>
        </w:rPr>
        <w:lastRenderedPageBreak/>
        <w:drawing>
          <wp:inline distT="0" distB="0" distL="0" distR="0">
            <wp:extent cx="5402454" cy="3640455"/>
            <wp:effectExtent l="6095" t="0" r="381" b="0"/>
            <wp:docPr id="119" name="Picture 119"/>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6552728" cy="4412233"/>
                      <a:chOff x="899592" y="960983"/>
                      <a:chExt cx="6552728" cy="4412233"/>
                    </a:xfrm>
                  </a:grpSpPr>
                  <a:grpSp>
                    <a:nvGrpSpPr>
                      <a:cNvPr id="39" name="Group 38"/>
                      <a:cNvGrpSpPr/>
                    </a:nvGrpSpPr>
                    <a:grpSpPr>
                      <a:xfrm>
                        <a:off x="899592" y="960983"/>
                        <a:ext cx="6552728" cy="4412233"/>
                        <a:chOff x="899592" y="960983"/>
                        <a:chExt cx="6552728" cy="4412233"/>
                      </a:xfrm>
                    </a:grpSpPr>
                    <a:cxnSp>
                      <a:nvCxnSpPr>
                        <a:cNvPr id="5" name="Straight Connector 4"/>
                        <a:cNvCxnSpPr/>
                      </a:nvCxnSpPr>
                      <a:spPr>
                        <a:xfrm>
                          <a:off x="2339752" y="1268760"/>
                          <a:ext cx="0" cy="4104456"/>
                        </a:xfrm>
                        <a:prstGeom prst="line">
                          <a:avLst/>
                        </a:prstGeom>
                        <a:ln w="25400"/>
                      </a:spPr>
                      <a:style>
                        <a:lnRef idx="1">
                          <a:schemeClr val="accent1"/>
                        </a:lnRef>
                        <a:fillRef idx="0">
                          <a:schemeClr val="accent1"/>
                        </a:fillRef>
                        <a:effectRef idx="0">
                          <a:schemeClr val="accent1"/>
                        </a:effectRef>
                        <a:fontRef idx="minor">
                          <a:schemeClr val="tx1"/>
                        </a:fontRef>
                      </a:style>
                    </a:cxnSp>
                    <a:cxnSp>
                      <a:nvCxnSpPr>
                        <a:cNvPr id="6" name="Straight Connector 5"/>
                        <a:cNvCxnSpPr/>
                      </a:nvCxnSpPr>
                      <a:spPr>
                        <a:xfrm>
                          <a:off x="4043941" y="1268760"/>
                          <a:ext cx="0" cy="4104456"/>
                        </a:xfrm>
                        <a:prstGeom prst="line">
                          <a:avLst/>
                        </a:prstGeom>
                      </a:spPr>
                      <a:style>
                        <a:lnRef idx="1">
                          <a:schemeClr val="accent1"/>
                        </a:lnRef>
                        <a:fillRef idx="0">
                          <a:schemeClr val="accent1"/>
                        </a:fillRef>
                        <a:effectRef idx="0">
                          <a:schemeClr val="accent1"/>
                        </a:effectRef>
                        <a:fontRef idx="minor">
                          <a:schemeClr val="tx1"/>
                        </a:fontRef>
                      </a:style>
                    </a:cxnSp>
                    <a:cxnSp>
                      <a:nvCxnSpPr>
                        <a:cNvPr id="7" name="Straight Connector 6"/>
                        <a:cNvCxnSpPr/>
                      </a:nvCxnSpPr>
                      <a:spPr>
                        <a:xfrm>
                          <a:off x="5748130" y="1268760"/>
                          <a:ext cx="0" cy="4104456"/>
                        </a:xfrm>
                        <a:prstGeom prst="line">
                          <a:avLst/>
                        </a:prstGeom>
                      </a:spPr>
                      <a:style>
                        <a:lnRef idx="1">
                          <a:schemeClr val="accent1"/>
                        </a:lnRef>
                        <a:fillRef idx="0">
                          <a:schemeClr val="accent1"/>
                        </a:fillRef>
                        <a:effectRef idx="0">
                          <a:schemeClr val="accent1"/>
                        </a:effectRef>
                        <a:fontRef idx="minor">
                          <a:schemeClr val="tx1"/>
                        </a:fontRef>
                      </a:style>
                    </a:cxnSp>
                    <a:cxnSp>
                      <a:nvCxnSpPr>
                        <a:cNvPr id="8" name="Straight Connector 7"/>
                        <a:cNvCxnSpPr/>
                      </a:nvCxnSpPr>
                      <a:spPr>
                        <a:xfrm>
                          <a:off x="7452320" y="1268760"/>
                          <a:ext cx="0" cy="4104456"/>
                        </a:xfrm>
                        <a:prstGeom prst="line">
                          <a:avLst/>
                        </a:prstGeom>
                        <a:ln w="25400"/>
                      </a:spPr>
                      <a:style>
                        <a:lnRef idx="1">
                          <a:schemeClr val="accent1"/>
                        </a:lnRef>
                        <a:fillRef idx="0">
                          <a:schemeClr val="accent1"/>
                        </a:fillRef>
                        <a:effectRef idx="0">
                          <a:schemeClr val="accent1"/>
                        </a:effectRef>
                        <a:fontRef idx="minor">
                          <a:schemeClr val="tx1"/>
                        </a:fontRef>
                      </a:style>
                    </a:cxnSp>
                    <a:cxnSp>
                      <a:nvCxnSpPr>
                        <a:cNvPr id="12" name="Straight Connector 11"/>
                        <a:cNvCxnSpPr/>
                      </a:nvCxnSpPr>
                      <a:spPr>
                        <a:xfrm>
                          <a:off x="899592" y="2132856"/>
                          <a:ext cx="6552728" cy="0"/>
                        </a:xfrm>
                        <a:prstGeom prst="line">
                          <a:avLst/>
                        </a:prstGeom>
                        <a:ln w="25400"/>
                      </a:spPr>
                      <a:style>
                        <a:lnRef idx="1">
                          <a:schemeClr val="accent1"/>
                        </a:lnRef>
                        <a:fillRef idx="0">
                          <a:schemeClr val="accent1"/>
                        </a:fillRef>
                        <a:effectRef idx="0">
                          <a:schemeClr val="accent1"/>
                        </a:effectRef>
                        <a:fontRef idx="minor">
                          <a:schemeClr val="tx1"/>
                        </a:fontRef>
                      </a:style>
                    </a:cxnSp>
                    <a:cxnSp>
                      <a:nvCxnSpPr>
                        <a:cNvPr id="13" name="Straight Connector 12"/>
                        <a:cNvCxnSpPr/>
                      </a:nvCxnSpPr>
                      <a:spPr>
                        <a:xfrm>
                          <a:off x="899592" y="3212976"/>
                          <a:ext cx="6552728"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14" name="Straight Connector 13"/>
                        <a:cNvCxnSpPr/>
                      </a:nvCxnSpPr>
                      <a:spPr>
                        <a:xfrm>
                          <a:off x="899592" y="4293096"/>
                          <a:ext cx="6552728"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15" name="Straight Connector 14"/>
                        <a:cNvCxnSpPr/>
                      </a:nvCxnSpPr>
                      <a:spPr>
                        <a:xfrm>
                          <a:off x="899592" y="5373216"/>
                          <a:ext cx="6552728" cy="0"/>
                        </a:xfrm>
                        <a:prstGeom prst="line">
                          <a:avLst/>
                        </a:prstGeom>
                        <a:ln w="25400"/>
                      </a:spPr>
                      <a:style>
                        <a:lnRef idx="1">
                          <a:schemeClr val="accent1"/>
                        </a:lnRef>
                        <a:fillRef idx="0">
                          <a:schemeClr val="accent1"/>
                        </a:fillRef>
                        <a:effectRef idx="0">
                          <a:schemeClr val="accent1"/>
                        </a:effectRef>
                        <a:fontRef idx="minor">
                          <a:schemeClr val="tx1"/>
                        </a:fontRef>
                      </a:style>
                    </a:cxnSp>
                    <a:cxnSp>
                      <a:nvCxnSpPr>
                        <a:cNvPr id="16" name="Straight Connector 15"/>
                        <a:cNvCxnSpPr/>
                      </a:nvCxnSpPr>
                      <a:spPr>
                        <a:xfrm>
                          <a:off x="2339752" y="1268760"/>
                          <a:ext cx="5112568" cy="0"/>
                        </a:xfrm>
                        <a:prstGeom prst="line">
                          <a:avLst/>
                        </a:prstGeom>
                        <a:ln w="25400"/>
                      </a:spPr>
                      <a:style>
                        <a:lnRef idx="1">
                          <a:schemeClr val="accent1"/>
                        </a:lnRef>
                        <a:fillRef idx="0">
                          <a:schemeClr val="accent1"/>
                        </a:fillRef>
                        <a:effectRef idx="0">
                          <a:schemeClr val="accent1"/>
                        </a:effectRef>
                        <a:fontRef idx="minor">
                          <a:schemeClr val="tx1"/>
                        </a:fontRef>
                      </a:style>
                    </a:cxnSp>
                    <a:cxnSp>
                      <a:nvCxnSpPr>
                        <a:cNvPr id="19" name="Straight Connector 18"/>
                        <a:cNvCxnSpPr/>
                      </a:nvCxnSpPr>
                      <a:spPr>
                        <a:xfrm>
                          <a:off x="899592" y="2132856"/>
                          <a:ext cx="0" cy="3240360"/>
                        </a:xfrm>
                        <a:prstGeom prst="line">
                          <a:avLst/>
                        </a:prstGeom>
                        <a:ln w="25400"/>
                      </a:spPr>
                      <a:style>
                        <a:lnRef idx="1">
                          <a:schemeClr val="accent1"/>
                        </a:lnRef>
                        <a:fillRef idx="0">
                          <a:schemeClr val="accent1"/>
                        </a:fillRef>
                        <a:effectRef idx="0">
                          <a:schemeClr val="accent1"/>
                        </a:effectRef>
                        <a:fontRef idx="minor">
                          <a:schemeClr val="tx1"/>
                        </a:fontRef>
                      </a:style>
                    </a:cxnSp>
                    <a:sp>
                      <a:nvSpPr>
                        <a:cNvPr id="20" name="TextBox 19"/>
                        <a:cNvSpPr txBox="1"/>
                      </a:nvSpPr>
                      <a:spPr>
                        <a:xfrm>
                          <a:off x="2555776" y="1556792"/>
                          <a:ext cx="1368152" cy="276999"/>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s-ES_tradnl" sz="1200" b="1" dirty="0" err="1" smtClean="0">
                                <a:latin typeface="Arial" pitchFamily="34" charset="0"/>
                                <a:cs typeface="Arial" pitchFamily="34" charset="0"/>
                              </a:rPr>
                              <a:t>Empleabilidad</a:t>
                            </a:r>
                            <a:endParaRPr lang="en-US" sz="1200" b="1" dirty="0">
                              <a:latin typeface="Arial" pitchFamily="34" charset="0"/>
                              <a:cs typeface="Arial" pitchFamily="34" charset="0"/>
                            </a:endParaRPr>
                          </a:p>
                        </a:txBody>
                        <a:useSpRect/>
                      </a:txSp>
                    </a:sp>
                    <a:sp>
                      <a:nvSpPr>
                        <a:cNvPr id="21" name="TextBox 20"/>
                        <a:cNvSpPr txBox="1"/>
                      </a:nvSpPr>
                      <a:spPr>
                        <a:xfrm>
                          <a:off x="4211960" y="1556792"/>
                          <a:ext cx="1368152" cy="276999"/>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s-ES_tradnl" sz="1200" b="1" dirty="0" smtClean="0">
                                <a:latin typeface="Arial" pitchFamily="34" charset="0"/>
                                <a:cs typeface="Arial" pitchFamily="34" charset="0"/>
                              </a:rPr>
                              <a:t>Competitividad</a:t>
                            </a:r>
                            <a:endParaRPr lang="en-US" sz="1200" b="1" dirty="0">
                              <a:latin typeface="Arial" pitchFamily="34" charset="0"/>
                              <a:cs typeface="Arial" pitchFamily="34" charset="0"/>
                            </a:endParaRPr>
                          </a:p>
                        </a:txBody>
                        <a:useSpRect/>
                      </a:txSp>
                    </a:sp>
                    <a:sp>
                      <a:nvSpPr>
                        <a:cNvPr id="26" name="TextBox 25"/>
                        <a:cNvSpPr txBox="1"/>
                      </a:nvSpPr>
                      <a:spPr>
                        <a:xfrm>
                          <a:off x="5918380" y="1556792"/>
                          <a:ext cx="1368152" cy="276999"/>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s-ES_tradnl" sz="1200" b="1" dirty="0" smtClean="0">
                                <a:latin typeface="Arial" pitchFamily="34" charset="0"/>
                                <a:cs typeface="Arial" pitchFamily="34" charset="0"/>
                              </a:rPr>
                              <a:t>Confianza</a:t>
                            </a:r>
                            <a:endParaRPr lang="en-US" sz="1200" b="1" dirty="0">
                              <a:latin typeface="Arial" pitchFamily="34" charset="0"/>
                              <a:cs typeface="Arial" pitchFamily="34" charset="0"/>
                            </a:endParaRPr>
                          </a:p>
                        </a:txBody>
                        <a:useSpRect/>
                      </a:txSp>
                    </a:sp>
                    <a:sp>
                      <a:nvSpPr>
                        <a:cNvPr id="27" name="TextBox 26"/>
                        <a:cNvSpPr txBox="1"/>
                      </a:nvSpPr>
                      <a:spPr>
                        <a:xfrm>
                          <a:off x="2339752" y="960983"/>
                          <a:ext cx="5112568" cy="276999"/>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s-ES_tradnl" sz="1200" dirty="0" smtClean="0">
                                <a:latin typeface="Arial" pitchFamily="34" charset="0"/>
                                <a:cs typeface="Arial" pitchFamily="34" charset="0"/>
                              </a:rPr>
                              <a:t>Retos de los centros especiales de empleo</a:t>
                            </a:r>
                            <a:endParaRPr lang="en-US" sz="1200" dirty="0">
                              <a:latin typeface="Arial" pitchFamily="34" charset="0"/>
                              <a:cs typeface="Arial" pitchFamily="34" charset="0"/>
                            </a:endParaRPr>
                          </a:p>
                        </a:txBody>
                        <a:useSpRect/>
                      </a:txSp>
                    </a:sp>
                    <a:sp>
                      <a:nvSpPr>
                        <a:cNvPr id="28" name="TextBox 27"/>
                        <a:cNvSpPr txBox="1"/>
                      </a:nvSpPr>
                      <a:spPr>
                        <a:xfrm>
                          <a:off x="938942" y="2503929"/>
                          <a:ext cx="1368152" cy="461665"/>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s-ES_tradnl" sz="1200" b="1" dirty="0" smtClean="0">
                                <a:latin typeface="Arial" pitchFamily="34" charset="0"/>
                                <a:cs typeface="Arial" pitchFamily="34" charset="0"/>
                              </a:rPr>
                              <a:t>Marco institucional</a:t>
                            </a:r>
                            <a:endParaRPr lang="en-US" sz="1200" b="1" dirty="0">
                              <a:latin typeface="Arial" pitchFamily="34" charset="0"/>
                              <a:cs typeface="Arial" pitchFamily="34" charset="0"/>
                            </a:endParaRPr>
                          </a:p>
                        </a:txBody>
                        <a:useSpRect/>
                      </a:txSp>
                    </a:sp>
                    <a:sp>
                      <a:nvSpPr>
                        <a:cNvPr id="29" name="TextBox 28"/>
                        <a:cNvSpPr txBox="1"/>
                      </a:nvSpPr>
                      <a:spPr>
                        <a:xfrm>
                          <a:off x="943136" y="3602023"/>
                          <a:ext cx="1368152" cy="276999"/>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s-ES_tradnl" sz="1200" b="1" dirty="0" smtClean="0">
                                <a:latin typeface="Arial" pitchFamily="34" charset="0"/>
                                <a:cs typeface="Arial" pitchFamily="34" charset="0"/>
                              </a:rPr>
                              <a:t>Mercado</a:t>
                            </a:r>
                            <a:endParaRPr lang="en-US" sz="1200" b="1" dirty="0">
                              <a:latin typeface="Arial" pitchFamily="34" charset="0"/>
                              <a:cs typeface="Arial" pitchFamily="34" charset="0"/>
                            </a:endParaRPr>
                          </a:p>
                        </a:txBody>
                        <a:useSpRect/>
                      </a:txSp>
                    </a:sp>
                    <a:sp>
                      <a:nvSpPr>
                        <a:cNvPr id="30" name="TextBox 29"/>
                        <a:cNvSpPr txBox="1"/>
                      </a:nvSpPr>
                      <a:spPr>
                        <a:xfrm>
                          <a:off x="943136" y="4740371"/>
                          <a:ext cx="1368152" cy="276999"/>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s-ES_tradnl" sz="1200" b="1" dirty="0" smtClean="0">
                                <a:latin typeface="Arial" pitchFamily="34" charset="0"/>
                                <a:cs typeface="Arial" pitchFamily="34" charset="0"/>
                              </a:rPr>
                              <a:t>Personas</a:t>
                            </a:r>
                            <a:endParaRPr lang="en-US" sz="1200" b="1" dirty="0">
                              <a:latin typeface="Arial" pitchFamily="34" charset="0"/>
                              <a:cs typeface="Arial" pitchFamily="34" charset="0"/>
                            </a:endParaRPr>
                          </a:p>
                        </a:txBody>
                        <a:useSpRect/>
                      </a:txSp>
                    </a:sp>
                    <a:cxnSp>
                      <a:nvCxnSpPr>
                        <a:cNvPr id="32" name="Straight Connector 31"/>
                        <a:cNvCxnSpPr/>
                      </a:nvCxnSpPr>
                      <a:spPr>
                        <a:xfrm>
                          <a:off x="2339752" y="1268760"/>
                          <a:ext cx="0" cy="864096"/>
                        </a:xfrm>
                        <a:prstGeom prst="line">
                          <a:avLst/>
                        </a:prstGeom>
                        <a:ln w="25400"/>
                      </a:spPr>
                      <a:style>
                        <a:lnRef idx="1">
                          <a:schemeClr val="accent1"/>
                        </a:lnRef>
                        <a:fillRef idx="0">
                          <a:schemeClr val="accent1"/>
                        </a:fillRef>
                        <a:effectRef idx="0">
                          <a:schemeClr val="accent1"/>
                        </a:effectRef>
                        <a:fontRef idx="minor">
                          <a:schemeClr val="tx1"/>
                        </a:fontRef>
                      </a:style>
                    </a:cxnSp>
                    <a:cxnSp>
                      <a:nvCxnSpPr>
                        <a:cNvPr id="34" name="Straight Connector 33"/>
                        <a:cNvCxnSpPr/>
                      </a:nvCxnSpPr>
                      <a:spPr>
                        <a:xfrm>
                          <a:off x="899592" y="2132856"/>
                          <a:ext cx="1440160" cy="0"/>
                        </a:xfrm>
                        <a:prstGeom prst="line">
                          <a:avLst/>
                        </a:prstGeom>
                        <a:ln w="25400"/>
                      </a:spPr>
                      <a:style>
                        <a:lnRef idx="1">
                          <a:schemeClr val="accent1"/>
                        </a:lnRef>
                        <a:fillRef idx="0">
                          <a:schemeClr val="accent1"/>
                        </a:fillRef>
                        <a:effectRef idx="0">
                          <a:schemeClr val="accent1"/>
                        </a:effectRef>
                        <a:fontRef idx="minor">
                          <a:schemeClr val="tx1"/>
                        </a:fontRef>
                      </a:style>
                    </a:cxnSp>
                    <a:sp>
                      <a:nvSpPr>
                        <a:cNvPr id="35" name="TextBox 34"/>
                        <a:cNvSpPr txBox="1"/>
                      </a:nvSpPr>
                      <a:spPr>
                        <a:xfrm>
                          <a:off x="2411760" y="2204864"/>
                          <a:ext cx="1512168"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22" name="TextBox 21"/>
                        <a:cNvSpPr txBox="1"/>
                      </a:nvSpPr>
                      <a:spPr>
                        <a:xfrm>
                          <a:off x="2411760" y="2204864"/>
                          <a:ext cx="1584176" cy="92333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s-ES_tradnl" sz="900" dirty="0">
                                <a:latin typeface="Arial" pitchFamily="34" charset="0"/>
                                <a:cs typeface="Arial" pitchFamily="34" charset="0"/>
                              </a:rPr>
                              <a:t>Adaptación del objetivo de tránsito hacia el empleo ordinario que tienen actualmente los centros especiales de empleo.</a:t>
                            </a:r>
                            <a:endParaRPr lang="en-US" sz="900" dirty="0">
                              <a:latin typeface="Arial" pitchFamily="34" charset="0"/>
                              <a:cs typeface="Arial" pitchFamily="34" charset="0"/>
                            </a:endParaRPr>
                          </a:p>
                          <a:p>
                            <a:endParaRPr lang="en-US" sz="900" dirty="0">
                              <a:latin typeface="Arial" pitchFamily="34" charset="0"/>
                              <a:cs typeface="Arial" pitchFamily="34" charset="0"/>
                            </a:endParaRPr>
                          </a:p>
                        </a:txBody>
                        <a:useSpRect/>
                      </a:txSp>
                    </a:sp>
                    <a:sp>
                      <a:nvSpPr>
                        <a:cNvPr id="23" name="TextBox 22"/>
                        <a:cNvSpPr txBox="1"/>
                      </a:nvSpPr>
                      <a:spPr>
                        <a:xfrm>
                          <a:off x="2411760" y="3263212"/>
                          <a:ext cx="1584176" cy="1061829"/>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s-ES_tradnl" sz="900" dirty="0">
                                <a:latin typeface="Arial" pitchFamily="34" charset="0"/>
                                <a:cs typeface="Arial" pitchFamily="34" charset="0"/>
                              </a:rPr>
                              <a:t>Mayor implicación de las empresas en el empleo de personas con discapacidad modificando la cuota de reserva  y la aplicación de las medidas alternativas.</a:t>
                            </a:r>
                            <a:endParaRPr lang="en-US" sz="900" dirty="0">
                              <a:latin typeface="Arial" pitchFamily="34" charset="0"/>
                              <a:cs typeface="Arial" pitchFamily="34" charset="0"/>
                            </a:endParaRPr>
                          </a:p>
                          <a:p>
                            <a:endParaRPr lang="en-US" sz="900" dirty="0">
                              <a:latin typeface="Arial" pitchFamily="34" charset="0"/>
                              <a:cs typeface="Arial" pitchFamily="34" charset="0"/>
                            </a:endParaRPr>
                          </a:p>
                        </a:txBody>
                        <a:useSpRect/>
                      </a:txSp>
                    </a:sp>
                    <a:sp>
                      <a:nvSpPr>
                        <a:cNvPr id="24" name="TextBox 23"/>
                        <a:cNvSpPr txBox="1"/>
                      </a:nvSpPr>
                      <a:spPr>
                        <a:xfrm>
                          <a:off x="2411760" y="4311387"/>
                          <a:ext cx="1584176"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s-ES" sz="900" dirty="0">
                                <a:latin typeface="Arial" pitchFamily="34" charset="0"/>
                                <a:cs typeface="Arial" pitchFamily="34" charset="0"/>
                              </a:rPr>
                              <a:t>Convergencia salarial</a:t>
                            </a:r>
                            <a:endParaRPr lang="en-US" sz="900" dirty="0">
                              <a:latin typeface="Arial" pitchFamily="34" charset="0"/>
                              <a:cs typeface="Arial" pitchFamily="34" charset="0"/>
                            </a:endParaRPr>
                          </a:p>
                          <a:p>
                            <a:endParaRPr lang="en-US" sz="900" dirty="0">
                              <a:latin typeface="Arial" pitchFamily="34" charset="0"/>
                              <a:cs typeface="Arial" pitchFamily="34" charset="0"/>
                            </a:endParaRPr>
                          </a:p>
                        </a:txBody>
                        <a:useSpRect/>
                      </a:txSp>
                    </a:sp>
                    <a:sp>
                      <a:nvSpPr>
                        <a:cNvPr id="25" name="TextBox 24"/>
                        <a:cNvSpPr txBox="1"/>
                      </a:nvSpPr>
                      <a:spPr>
                        <a:xfrm>
                          <a:off x="4067944" y="2204864"/>
                          <a:ext cx="1584176" cy="1061829"/>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s-ES_tradnl" sz="900" dirty="0">
                                <a:latin typeface="Arial" pitchFamily="34" charset="0"/>
                                <a:cs typeface="Arial" pitchFamily="34" charset="0"/>
                              </a:rPr>
                              <a:t>Mayor unidad de mercado y menos trabas administrativas.</a:t>
                            </a:r>
                          </a:p>
                          <a:p>
                            <a:endParaRPr lang="es-ES_tradnl" sz="900" dirty="0">
                              <a:latin typeface="Arial" pitchFamily="34" charset="0"/>
                              <a:cs typeface="Arial" pitchFamily="34" charset="0"/>
                            </a:endParaRPr>
                          </a:p>
                          <a:p>
                            <a:r>
                              <a:rPr lang="es-ES_tradnl" sz="900" dirty="0">
                                <a:latin typeface="Arial" pitchFamily="34" charset="0"/>
                                <a:cs typeface="Arial" pitchFamily="34" charset="0"/>
                              </a:rPr>
                              <a:t>Incentivos a la innovación, la eficiencia y la mejora.</a:t>
                            </a:r>
                            <a:endParaRPr lang="en-US" sz="900" dirty="0">
                              <a:latin typeface="Arial" pitchFamily="34" charset="0"/>
                              <a:cs typeface="Arial" pitchFamily="34" charset="0"/>
                            </a:endParaRPr>
                          </a:p>
                          <a:p>
                            <a:endParaRPr lang="en-US" sz="900" dirty="0">
                              <a:latin typeface="Arial" pitchFamily="34" charset="0"/>
                              <a:cs typeface="Arial" pitchFamily="34" charset="0"/>
                            </a:endParaRPr>
                          </a:p>
                        </a:txBody>
                        <a:useSpRect/>
                      </a:txSp>
                    </a:sp>
                    <a:sp>
                      <a:nvSpPr>
                        <a:cNvPr id="31" name="TextBox 30"/>
                        <a:cNvSpPr txBox="1"/>
                      </a:nvSpPr>
                      <a:spPr>
                        <a:xfrm>
                          <a:off x="4067944" y="3255367"/>
                          <a:ext cx="1584176" cy="507831"/>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s-ES_tradnl" sz="900" dirty="0">
                                <a:latin typeface="Arial" pitchFamily="34" charset="0"/>
                                <a:cs typeface="Arial" pitchFamily="34" charset="0"/>
                              </a:rPr>
                              <a:t>Dotar de mayor flexibilidad al modelo.</a:t>
                            </a:r>
                            <a:endParaRPr lang="en-US" sz="900" dirty="0">
                              <a:latin typeface="Arial" pitchFamily="34" charset="0"/>
                              <a:cs typeface="Arial" pitchFamily="34" charset="0"/>
                            </a:endParaRPr>
                          </a:p>
                          <a:p>
                            <a:endParaRPr lang="en-US" sz="900" dirty="0">
                              <a:latin typeface="Arial" pitchFamily="34" charset="0"/>
                              <a:cs typeface="Arial" pitchFamily="34" charset="0"/>
                            </a:endParaRPr>
                          </a:p>
                        </a:txBody>
                        <a:useSpRect/>
                      </a:txSp>
                    </a:sp>
                    <a:sp>
                      <a:nvSpPr>
                        <a:cNvPr id="33" name="TextBox 32"/>
                        <a:cNvSpPr txBox="1"/>
                      </a:nvSpPr>
                      <a:spPr>
                        <a:xfrm>
                          <a:off x="4067944" y="4293096"/>
                          <a:ext cx="1584176"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s-ES_tradnl" sz="900" dirty="0">
                                <a:latin typeface="Arial" pitchFamily="34" charset="0"/>
                                <a:cs typeface="Arial" pitchFamily="34" charset="0"/>
                              </a:rPr>
                              <a:t>Profesionalizar la gestión.</a:t>
                            </a:r>
                            <a:endParaRPr lang="en-US" sz="900" dirty="0">
                              <a:latin typeface="Arial" pitchFamily="34" charset="0"/>
                              <a:cs typeface="Arial" pitchFamily="34" charset="0"/>
                            </a:endParaRPr>
                          </a:p>
                          <a:p>
                            <a:endParaRPr lang="en-US" sz="900" dirty="0">
                              <a:latin typeface="Arial" pitchFamily="34" charset="0"/>
                              <a:cs typeface="Arial" pitchFamily="34" charset="0"/>
                            </a:endParaRPr>
                          </a:p>
                        </a:txBody>
                        <a:useSpRect/>
                      </a:txSp>
                    </a:sp>
                    <a:sp>
                      <a:nvSpPr>
                        <a:cNvPr id="36" name="TextBox 35"/>
                        <a:cNvSpPr txBox="1"/>
                      </a:nvSpPr>
                      <a:spPr>
                        <a:xfrm>
                          <a:off x="5796136" y="2204864"/>
                          <a:ext cx="1584176" cy="78483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s-ES" sz="900" dirty="0">
                                <a:latin typeface="Arial" pitchFamily="34" charset="0"/>
                                <a:cs typeface="Arial" pitchFamily="34" charset="0"/>
                              </a:rPr>
                              <a:t>Exigencia y rigor en el cumplimiento de la cuota de reserva y en las medidas alternativas.</a:t>
                            </a:r>
                          </a:p>
                          <a:p>
                            <a:endParaRPr lang="en-US" sz="900" dirty="0">
                              <a:latin typeface="Arial" pitchFamily="34" charset="0"/>
                              <a:cs typeface="Arial" pitchFamily="34" charset="0"/>
                            </a:endParaRPr>
                          </a:p>
                        </a:txBody>
                        <a:useSpRect/>
                      </a:txSp>
                    </a:sp>
                    <a:sp>
                      <a:nvSpPr>
                        <a:cNvPr id="37" name="TextBox 36"/>
                        <a:cNvSpPr txBox="1"/>
                      </a:nvSpPr>
                      <a:spPr>
                        <a:xfrm>
                          <a:off x="5796136" y="3257828"/>
                          <a:ext cx="1584176"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s-ES" sz="900" dirty="0">
                                <a:latin typeface="Arial" pitchFamily="34" charset="0"/>
                                <a:cs typeface="Arial" pitchFamily="34" charset="0"/>
                              </a:rPr>
                              <a:t>Control y transparencia.</a:t>
                            </a:r>
                          </a:p>
                          <a:p>
                            <a:endParaRPr lang="en-US" sz="900" dirty="0">
                              <a:latin typeface="Arial" pitchFamily="34" charset="0"/>
                              <a:cs typeface="Arial" pitchFamily="34" charset="0"/>
                            </a:endParaRPr>
                          </a:p>
                        </a:txBody>
                        <a:useSpRect/>
                      </a:txSp>
                    </a:sp>
                    <a:sp>
                      <a:nvSpPr>
                        <a:cNvPr id="38" name="TextBox 37"/>
                        <a:cNvSpPr txBox="1"/>
                      </a:nvSpPr>
                      <a:spPr>
                        <a:xfrm>
                          <a:off x="5796136" y="4343046"/>
                          <a:ext cx="1584176" cy="507831"/>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s-ES" sz="900" dirty="0">
                                <a:latin typeface="Arial" pitchFamily="34" charset="0"/>
                                <a:cs typeface="Arial" pitchFamily="34" charset="0"/>
                              </a:rPr>
                              <a:t>Un marco de ayudas eficiente y sostenible</a:t>
                            </a:r>
                          </a:p>
                          <a:p>
                            <a:endParaRPr lang="en-US" sz="900" dirty="0">
                              <a:latin typeface="Arial" pitchFamily="34" charset="0"/>
                              <a:cs typeface="Arial" pitchFamily="34" charset="0"/>
                            </a:endParaRPr>
                          </a:p>
                        </a:txBody>
                        <a:useSpRect/>
                      </a:txSp>
                    </a:sp>
                  </a:grpSp>
                </lc:lockedCanvas>
              </a:graphicData>
            </a:graphic>
          </wp:inline>
        </w:drawing>
      </w:r>
    </w:p>
    <w:p w:rsidR="00E2336B" w:rsidRDefault="00E2336B" w:rsidP="00F83E19">
      <w:pPr>
        <w:autoSpaceDE w:val="0"/>
        <w:autoSpaceDN w:val="0"/>
        <w:jc w:val="both"/>
        <w:rPr>
          <w:rFonts w:ascii="MinionPro-Regular" w:hAnsi="MinionPro-Regular"/>
          <w:sz w:val="24"/>
          <w:szCs w:val="24"/>
          <w:lang w:val="es-ES_tradnl"/>
        </w:rPr>
      </w:pPr>
    </w:p>
    <w:p w:rsidR="00E2336B" w:rsidRDefault="00E2336B" w:rsidP="00F83E19">
      <w:pPr>
        <w:autoSpaceDE w:val="0"/>
        <w:autoSpaceDN w:val="0"/>
        <w:jc w:val="both"/>
        <w:rPr>
          <w:rFonts w:ascii="MinionPro-Regular" w:hAnsi="MinionPro-Regular"/>
          <w:sz w:val="24"/>
          <w:szCs w:val="24"/>
          <w:lang w:val="es-ES_tradnl"/>
        </w:rPr>
      </w:pPr>
      <w:bookmarkStart w:id="478" w:name="_Toc340515912"/>
    </w:p>
    <w:p w:rsidR="00E2336B" w:rsidRPr="00213730" w:rsidRDefault="00E2336B" w:rsidP="00213730">
      <w:pPr>
        <w:pBdr>
          <w:bottom w:val="single" w:sz="4" w:space="1" w:color="auto"/>
        </w:pBdr>
        <w:spacing w:line="360" w:lineRule="auto"/>
        <w:jc w:val="both"/>
        <w:rPr>
          <w:rFonts w:ascii="MinionPro-Regular" w:hAnsi="MinionPro-Regular"/>
          <w:sz w:val="20"/>
          <w:szCs w:val="24"/>
          <w:lang w:val="es-ES_tradnl"/>
        </w:rPr>
      </w:pPr>
      <w:r w:rsidRPr="00213730">
        <w:rPr>
          <w:rFonts w:ascii="MinionPro-Regular" w:hAnsi="MinionPro-Regular"/>
          <w:sz w:val="20"/>
          <w:szCs w:val="24"/>
          <w:lang w:val="es-ES_tradnl"/>
        </w:rPr>
        <w:t>Fuente: elaboración propia</w:t>
      </w:r>
    </w:p>
    <w:p w:rsidR="00E2336B" w:rsidRPr="00213730" w:rsidRDefault="00E2336B" w:rsidP="00213730">
      <w:pPr>
        <w:pBdr>
          <w:bottom w:val="single" w:sz="4" w:space="1" w:color="auto"/>
        </w:pBdr>
        <w:spacing w:line="360" w:lineRule="auto"/>
        <w:jc w:val="both"/>
        <w:rPr>
          <w:rFonts w:ascii="MinionPro-Regular" w:hAnsi="MinionPro-Regular"/>
          <w:sz w:val="20"/>
          <w:szCs w:val="24"/>
          <w:lang w:val="es-ES_tradnl"/>
        </w:rPr>
      </w:pPr>
      <w:r w:rsidRPr="00213730">
        <w:rPr>
          <w:rFonts w:ascii="MinionPro-Regular" w:hAnsi="MinionPro-Regular"/>
          <w:sz w:val="20"/>
          <w:szCs w:val="24"/>
          <w:lang w:val="es-ES_tradnl"/>
        </w:rPr>
        <w:t xml:space="preserve"> Nota explicativa de la tabla: Se representa una tabla con seis entradas dando lugar a nueve cajas que incluyen los retos y las palancas que presentan los centros especiales de empleo. En el margen izquierdo se sitúan en orden descendente los siguientes factores: Marco institucional, mercado y personas. En el eje horizontal, los factores: empleabilidad, competitividad y confianza.</w:t>
      </w:r>
    </w:p>
    <w:p w:rsidR="00E2336B" w:rsidRPr="00213730" w:rsidRDefault="00E2336B" w:rsidP="00213730">
      <w:pPr>
        <w:pBdr>
          <w:bottom w:val="single" w:sz="4" w:space="1" w:color="auto"/>
        </w:pBdr>
        <w:spacing w:line="360" w:lineRule="auto"/>
        <w:jc w:val="both"/>
        <w:rPr>
          <w:rFonts w:ascii="MinionPro-Regular" w:hAnsi="MinionPro-Regular"/>
          <w:sz w:val="20"/>
          <w:szCs w:val="24"/>
          <w:lang w:val="es-ES_tradnl"/>
        </w:rPr>
      </w:pPr>
      <w:r w:rsidRPr="00213730">
        <w:rPr>
          <w:rFonts w:ascii="MinionPro-Regular" w:hAnsi="MinionPro-Regular"/>
          <w:sz w:val="20"/>
          <w:szCs w:val="24"/>
          <w:lang w:val="es-ES_tradnl"/>
        </w:rPr>
        <w:t>Marco institucional-Empleabilidad: Adaptación del objetivo de tránsito hacia el empleo ordinario</w:t>
      </w:r>
    </w:p>
    <w:p w:rsidR="00E2336B" w:rsidRPr="00213730" w:rsidRDefault="00E2336B" w:rsidP="00213730">
      <w:pPr>
        <w:pBdr>
          <w:bottom w:val="single" w:sz="4" w:space="1" w:color="auto"/>
        </w:pBdr>
        <w:spacing w:line="360" w:lineRule="auto"/>
        <w:jc w:val="both"/>
        <w:rPr>
          <w:rFonts w:ascii="MinionPro-Regular" w:hAnsi="MinionPro-Regular"/>
          <w:sz w:val="20"/>
          <w:szCs w:val="24"/>
          <w:lang w:val="es-ES_tradnl"/>
        </w:rPr>
      </w:pPr>
      <w:r w:rsidRPr="00213730">
        <w:rPr>
          <w:rFonts w:ascii="MinionPro-Regular" w:hAnsi="MinionPro-Regular"/>
          <w:sz w:val="20"/>
          <w:szCs w:val="24"/>
          <w:lang w:val="es-ES_tradnl"/>
        </w:rPr>
        <w:t>Marco institucional-Competitividad: Mayor unidad de mercado y menos trabas administrativas. Incentivos a la innovación, la eficiencia y la mejora.</w:t>
      </w:r>
    </w:p>
    <w:p w:rsidR="00E2336B" w:rsidRPr="00213730" w:rsidRDefault="00E2336B" w:rsidP="00213730">
      <w:pPr>
        <w:pBdr>
          <w:bottom w:val="single" w:sz="4" w:space="1" w:color="auto"/>
        </w:pBdr>
        <w:spacing w:line="360" w:lineRule="auto"/>
        <w:jc w:val="both"/>
        <w:rPr>
          <w:rFonts w:ascii="MinionPro-Regular" w:hAnsi="MinionPro-Regular"/>
          <w:sz w:val="20"/>
          <w:szCs w:val="24"/>
          <w:lang w:val="es-ES_tradnl"/>
        </w:rPr>
      </w:pPr>
      <w:r w:rsidRPr="00213730">
        <w:rPr>
          <w:rFonts w:ascii="MinionPro-Regular" w:hAnsi="MinionPro-Regular"/>
          <w:sz w:val="20"/>
          <w:szCs w:val="24"/>
          <w:lang w:val="es-ES_tradnl"/>
        </w:rPr>
        <w:t>Marco institucional-Confianza: Exigencia y rigor en el cumplimiento de a cuota de reserva y en las medidas alternativas.</w:t>
      </w:r>
    </w:p>
    <w:p w:rsidR="00E2336B" w:rsidRPr="00213730" w:rsidRDefault="00E2336B" w:rsidP="00213730">
      <w:pPr>
        <w:pBdr>
          <w:bottom w:val="single" w:sz="4" w:space="1" w:color="auto"/>
        </w:pBdr>
        <w:spacing w:line="360" w:lineRule="auto"/>
        <w:jc w:val="both"/>
        <w:rPr>
          <w:rFonts w:ascii="MinionPro-Regular" w:hAnsi="MinionPro-Regular"/>
          <w:sz w:val="20"/>
          <w:szCs w:val="24"/>
          <w:lang w:val="es-ES_tradnl"/>
        </w:rPr>
      </w:pPr>
      <w:r w:rsidRPr="00213730">
        <w:rPr>
          <w:rFonts w:ascii="MinionPro-Regular" w:hAnsi="MinionPro-Regular"/>
          <w:sz w:val="20"/>
          <w:szCs w:val="24"/>
          <w:lang w:val="es-ES_tradnl"/>
        </w:rPr>
        <w:t>Mercado-Empleabilidad: Mayor implicación de las empresas en el empleo de personas con discapacidad modificando la cuota de reserva y la aplicación de las medidas alternativas.</w:t>
      </w:r>
    </w:p>
    <w:p w:rsidR="00E2336B" w:rsidRPr="00213730" w:rsidRDefault="00E2336B" w:rsidP="00213730">
      <w:pPr>
        <w:pBdr>
          <w:bottom w:val="single" w:sz="4" w:space="1" w:color="auto"/>
        </w:pBdr>
        <w:spacing w:line="360" w:lineRule="auto"/>
        <w:jc w:val="both"/>
        <w:rPr>
          <w:rFonts w:ascii="MinionPro-Regular" w:hAnsi="MinionPro-Regular"/>
          <w:sz w:val="20"/>
          <w:szCs w:val="24"/>
          <w:lang w:val="es-ES_tradnl"/>
        </w:rPr>
      </w:pPr>
      <w:r w:rsidRPr="00213730">
        <w:rPr>
          <w:rFonts w:ascii="MinionPro-Regular" w:hAnsi="MinionPro-Regular"/>
          <w:sz w:val="20"/>
          <w:szCs w:val="24"/>
          <w:lang w:val="es-ES_tradnl"/>
        </w:rPr>
        <w:t>Mercado-Competitividad: Dotar de mayor flexibilidad al modelo.</w:t>
      </w:r>
    </w:p>
    <w:p w:rsidR="00E2336B" w:rsidRPr="00213730" w:rsidRDefault="00E2336B" w:rsidP="00213730">
      <w:pPr>
        <w:pBdr>
          <w:bottom w:val="single" w:sz="4" w:space="1" w:color="auto"/>
        </w:pBdr>
        <w:spacing w:line="360" w:lineRule="auto"/>
        <w:jc w:val="both"/>
        <w:rPr>
          <w:rFonts w:ascii="MinionPro-Regular" w:hAnsi="MinionPro-Regular"/>
          <w:sz w:val="20"/>
          <w:szCs w:val="24"/>
          <w:lang w:val="es-ES_tradnl"/>
        </w:rPr>
      </w:pPr>
      <w:r w:rsidRPr="00213730">
        <w:rPr>
          <w:rFonts w:ascii="MinionPro-Regular" w:hAnsi="MinionPro-Regular"/>
          <w:sz w:val="20"/>
          <w:szCs w:val="24"/>
          <w:lang w:val="es-ES_tradnl"/>
        </w:rPr>
        <w:t>Mercado-Confianza: Control y transparencia.</w:t>
      </w:r>
    </w:p>
    <w:p w:rsidR="00E2336B" w:rsidRPr="00213730" w:rsidRDefault="00E2336B" w:rsidP="00213730">
      <w:pPr>
        <w:pBdr>
          <w:bottom w:val="single" w:sz="4" w:space="1" w:color="auto"/>
        </w:pBdr>
        <w:spacing w:line="360" w:lineRule="auto"/>
        <w:jc w:val="both"/>
        <w:rPr>
          <w:rFonts w:ascii="MinionPro-Regular" w:hAnsi="MinionPro-Regular"/>
          <w:sz w:val="20"/>
          <w:szCs w:val="24"/>
          <w:lang w:val="es-ES_tradnl"/>
        </w:rPr>
      </w:pPr>
      <w:r w:rsidRPr="00213730">
        <w:rPr>
          <w:rFonts w:ascii="MinionPro-Regular" w:hAnsi="MinionPro-Regular"/>
          <w:sz w:val="20"/>
          <w:szCs w:val="24"/>
          <w:lang w:val="es-ES_tradnl"/>
        </w:rPr>
        <w:t>Personas-Empleabilidad: Convergencia salarial</w:t>
      </w:r>
    </w:p>
    <w:p w:rsidR="00E2336B" w:rsidRPr="00213730" w:rsidRDefault="00E2336B" w:rsidP="00213730">
      <w:pPr>
        <w:pBdr>
          <w:bottom w:val="single" w:sz="4" w:space="1" w:color="auto"/>
        </w:pBdr>
        <w:spacing w:line="360" w:lineRule="auto"/>
        <w:jc w:val="both"/>
        <w:rPr>
          <w:rFonts w:ascii="MinionPro-Regular" w:hAnsi="MinionPro-Regular"/>
          <w:sz w:val="20"/>
          <w:szCs w:val="24"/>
          <w:lang w:val="es-ES_tradnl"/>
        </w:rPr>
      </w:pPr>
      <w:r w:rsidRPr="00213730">
        <w:rPr>
          <w:rFonts w:ascii="MinionPro-Regular" w:hAnsi="MinionPro-Regular"/>
          <w:sz w:val="20"/>
          <w:szCs w:val="24"/>
          <w:lang w:val="es-ES_tradnl"/>
        </w:rPr>
        <w:lastRenderedPageBreak/>
        <w:t>Personas-Competitividad: Profesionalizar la gestión</w:t>
      </w:r>
    </w:p>
    <w:p w:rsidR="00E2336B" w:rsidRPr="00213730" w:rsidRDefault="00E2336B" w:rsidP="00213730">
      <w:pPr>
        <w:pBdr>
          <w:bottom w:val="single" w:sz="4" w:space="1" w:color="auto"/>
        </w:pBdr>
        <w:spacing w:line="360" w:lineRule="auto"/>
        <w:jc w:val="both"/>
        <w:rPr>
          <w:rFonts w:ascii="MinionPro-Regular" w:hAnsi="MinionPro-Regular"/>
          <w:sz w:val="20"/>
          <w:szCs w:val="24"/>
          <w:lang w:val="es-ES_tradnl"/>
        </w:rPr>
      </w:pPr>
      <w:r w:rsidRPr="00213730">
        <w:rPr>
          <w:rFonts w:ascii="MinionPro-Regular" w:hAnsi="MinionPro-Regular"/>
          <w:sz w:val="20"/>
          <w:szCs w:val="24"/>
          <w:lang w:val="es-ES_tradnl"/>
        </w:rPr>
        <w:t>Personas-Confianza: Un marco de ayudas eficiente y sostenible.</w:t>
      </w:r>
    </w:p>
    <w:p w:rsidR="00E2336B" w:rsidRPr="0092631A" w:rsidRDefault="00E2336B" w:rsidP="001E56E7">
      <w:pPr>
        <w:pBdr>
          <w:bottom w:val="single" w:sz="4" w:space="1" w:color="auto"/>
        </w:pBdr>
        <w:rPr>
          <w:rFonts w:ascii="MinionPro-Regular" w:hAnsi="MinionPro-Regular"/>
          <w:sz w:val="20"/>
          <w:szCs w:val="24"/>
          <w:lang w:val="es-ES_tradnl"/>
        </w:rPr>
      </w:pPr>
    </w:p>
    <w:p w:rsidR="00E2336B" w:rsidRDefault="00E2336B">
      <w:pPr>
        <w:rPr>
          <w:lang w:val="es-ES_tradnl"/>
        </w:rPr>
      </w:pPr>
    </w:p>
    <w:p w:rsidR="00E2336B" w:rsidRPr="00632766" w:rsidRDefault="00E2336B" w:rsidP="005827C5">
      <w:pPr>
        <w:pBdr>
          <w:top w:val="single" w:sz="4" w:space="0" w:color="auto"/>
          <w:left w:val="single" w:sz="4" w:space="4" w:color="auto"/>
          <w:bottom w:val="single" w:sz="4" w:space="1" w:color="auto"/>
          <w:right w:val="single" w:sz="4" w:space="4" w:color="auto"/>
        </w:pBdr>
        <w:shd w:val="clear" w:color="auto" w:fill="D9D9D9"/>
        <w:autoSpaceDE w:val="0"/>
        <w:autoSpaceDN w:val="0"/>
        <w:spacing w:line="360" w:lineRule="auto"/>
        <w:jc w:val="both"/>
        <w:rPr>
          <w:rFonts w:ascii="MinionPro-Regular" w:hAnsi="MinionPro-Regular"/>
          <w:b/>
          <w:szCs w:val="24"/>
          <w:lang w:val="es-ES_tradnl"/>
        </w:rPr>
      </w:pPr>
      <w:r w:rsidRPr="00632766">
        <w:rPr>
          <w:rFonts w:ascii="MinionPro-Regular" w:hAnsi="MinionPro-Regular"/>
          <w:b/>
          <w:szCs w:val="24"/>
          <w:lang w:val="es-ES_tradnl"/>
        </w:rPr>
        <w:t>Modelo 2020</w:t>
      </w:r>
    </w:p>
    <w:p w:rsidR="00E2336B" w:rsidRDefault="00E2336B" w:rsidP="005827C5">
      <w:pPr>
        <w:pBdr>
          <w:top w:val="single" w:sz="4" w:space="0" w:color="auto"/>
          <w:left w:val="single" w:sz="4" w:space="4" w:color="auto"/>
          <w:bottom w:val="single" w:sz="4" w:space="1" w:color="auto"/>
          <w:right w:val="single" w:sz="4" w:space="4" w:color="auto"/>
        </w:pBdr>
        <w:shd w:val="clear" w:color="auto" w:fill="D9D9D9"/>
        <w:autoSpaceDE w:val="0"/>
        <w:autoSpaceDN w:val="0"/>
        <w:spacing w:line="360" w:lineRule="auto"/>
        <w:jc w:val="both"/>
        <w:rPr>
          <w:rFonts w:ascii="MinionPro-Regular" w:hAnsi="MinionPro-Regular"/>
          <w:b/>
          <w:szCs w:val="24"/>
          <w:lang w:val="es-ES_tradnl"/>
        </w:rPr>
      </w:pPr>
      <w:r>
        <w:rPr>
          <w:rFonts w:ascii="MinionPro-Regular" w:hAnsi="MinionPro-Regular"/>
          <w:b/>
          <w:szCs w:val="24"/>
          <w:lang w:val="es-ES_tradnl"/>
        </w:rPr>
        <w:t>Diez reformas pendientes del marco normativo</w:t>
      </w:r>
    </w:p>
    <w:p w:rsidR="00E2336B" w:rsidRDefault="00E2336B" w:rsidP="005827C5">
      <w:pPr>
        <w:pBdr>
          <w:top w:val="single" w:sz="4" w:space="0" w:color="auto"/>
          <w:left w:val="single" w:sz="4" w:space="4" w:color="auto"/>
          <w:bottom w:val="single" w:sz="4" w:space="1" w:color="auto"/>
          <w:right w:val="single" w:sz="4" w:space="4" w:color="auto"/>
        </w:pBdr>
        <w:shd w:val="clear" w:color="auto" w:fill="D9D9D9"/>
        <w:autoSpaceDE w:val="0"/>
        <w:autoSpaceDN w:val="0"/>
        <w:spacing w:line="360" w:lineRule="auto"/>
        <w:jc w:val="both"/>
        <w:rPr>
          <w:rFonts w:ascii="MinionPro-Regular" w:hAnsi="MinionPro-Regular"/>
          <w:szCs w:val="24"/>
          <w:lang w:val="es-ES_tradnl"/>
        </w:rPr>
      </w:pPr>
      <w:r>
        <w:rPr>
          <w:rFonts w:ascii="MinionPro-Regular" w:hAnsi="MinionPro-Regular"/>
          <w:szCs w:val="24"/>
          <w:lang w:val="es-ES_tradnl"/>
        </w:rPr>
        <w:t>El marco normativo actual referido a los centros especiales de empleo y a la incorporación al mercado laboral de las personas con discapacidad requiere de algunas modificaciones que lo adapten a la actual realidad española y que incidan en el objetivo de igualdad de oportunidades en el mercado laboral para las personas con discapacidad. Cabría destacar, a este respecto, diez elementos clave cuya reforma debería ser considerada:</w:t>
      </w:r>
    </w:p>
    <w:p w:rsidR="00E2336B" w:rsidRDefault="00E2336B" w:rsidP="005827C5">
      <w:pPr>
        <w:pBdr>
          <w:top w:val="single" w:sz="4" w:space="0" w:color="auto"/>
          <w:left w:val="single" w:sz="4" w:space="4" w:color="auto"/>
          <w:bottom w:val="single" w:sz="4" w:space="1" w:color="auto"/>
          <w:right w:val="single" w:sz="4" w:space="4" w:color="auto"/>
        </w:pBdr>
        <w:shd w:val="clear" w:color="auto" w:fill="D9D9D9"/>
        <w:autoSpaceDE w:val="0"/>
        <w:autoSpaceDN w:val="0"/>
        <w:spacing w:line="360" w:lineRule="auto"/>
        <w:jc w:val="both"/>
        <w:rPr>
          <w:rFonts w:ascii="MinionPro-Regular" w:hAnsi="MinionPro-Regular"/>
          <w:szCs w:val="24"/>
          <w:lang w:val="es-ES_tradnl"/>
        </w:rPr>
      </w:pPr>
    </w:p>
    <w:p w:rsidR="00E2336B" w:rsidRPr="005827C5" w:rsidRDefault="00F23441" w:rsidP="0007541A">
      <w:pPr>
        <w:pStyle w:val="Prrafodelista"/>
        <w:numPr>
          <w:ilvl w:val="0"/>
          <w:numId w:val="26"/>
        </w:numPr>
        <w:pBdr>
          <w:top w:val="single" w:sz="4" w:space="0" w:color="auto"/>
          <w:left w:val="single" w:sz="4" w:space="4" w:color="auto"/>
          <w:bottom w:val="single" w:sz="4" w:space="1" w:color="auto"/>
          <w:right w:val="single" w:sz="4" w:space="4" w:color="auto"/>
        </w:pBdr>
        <w:shd w:val="clear" w:color="auto" w:fill="D9D9D9"/>
        <w:autoSpaceDE w:val="0"/>
        <w:autoSpaceDN w:val="0"/>
        <w:spacing w:line="360" w:lineRule="auto"/>
        <w:jc w:val="both"/>
        <w:rPr>
          <w:rFonts w:ascii="MinionPro-Regular" w:hAnsi="MinionPro-Regular"/>
          <w:szCs w:val="22"/>
          <w:lang w:val="es-ES_tradnl"/>
        </w:rPr>
      </w:pPr>
      <w:r w:rsidRPr="00F23441">
        <w:rPr>
          <w:rFonts w:ascii="MinionPro-Regular" w:hAnsi="MinionPro-Regular"/>
          <w:szCs w:val="22"/>
          <w:lang w:val="es-ES_tradnl"/>
        </w:rPr>
        <w:t xml:space="preserve">El modelo debe avanzar hacia la evaluación individual de la empleabilidad de las personas con discapacidad. </w:t>
      </w:r>
    </w:p>
    <w:p w:rsidR="00E2336B" w:rsidRPr="005827C5" w:rsidRDefault="00F23441" w:rsidP="0007541A">
      <w:pPr>
        <w:pStyle w:val="Prrafodelista"/>
        <w:numPr>
          <w:ilvl w:val="0"/>
          <w:numId w:val="26"/>
        </w:numPr>
        <w:pBdr>
          <w:top w:val="single" w:sz="4" w:space="0" w:color="auto"/>
          <w:left w:val="single" w:sz="4" w:space="4" w:color="auto"/>
          <w:bottom w:val="single" w:sz="4" w:space="1" w:color="auto"/>
          <w:right w:val="single" w:sz="4" w:space="4" w:color="auto"/>
        </w:pBdr>
        <w:shd w:val="clear" w:color="auto" w:fill="D9D9D9"/>
        <w:autoSpaceDE w:val="0"/>
        <w:autoSpaceDN w:val="0"/>
        <w:spacing w:line="360" w:lineRule="auto"/>
        <w:jc w:val="both"/>
        <w:rPr>
          <w:rFonts w:ascii="MinionPro-Regular" w:hAnsi="MinionPro-Regular"/>
          <w:szCs w:val="22"/>
          <w:lang w:val="es-ES_tradnl"/>
        </w:rPr>
      </w:pPr>
      <w:r w:rsidRPr="00F23441">
        <w:rPr>
          <w:rFonts w:ascii="MinionPro-Regular" w:hAnsi="MinionPro-Regular"/>
          <w:szCs w:val="22"/>
          <w:lang w:val="es-ES_tradnl"/>
        </w:rPr>
        <w:t>Los centros especiales de empleo de iniciativa social deberían, dado su valor añadido social, ser reconocidos expresamente y, en su caso, tener personalidad jurídica propia.</w:t>
      </w:r>
    </w:p>
    <w:p w:rsidR="00E2336B" w:rsidRPr="005827C5" w:rsidRDefault="00F23441" w:rsidP="0007541A">
      <w:pPr>
        <w:pStyle w:val="Prrafodelista"/>
        <w:numPr>
          <w:ilvl w:val="0"/>
          <w:numId w:val="26"/>
        </w:numPr>
        <w:pBdr>
          <w:top w:val="single" w:sz="4" w:space="0" w:color="auto"/>
          <w:left w:val="single" w:sz="4" w:space="4" w:color="auto"/>
          <w:bottom w:val="single" w:sz="4" w:space="1" w:color="auto"/>
          <w:right w:val="single" w:sz="4" w:space="4" w:color="auto"/>
        </w:pBdr>
        <w:shd w:val="clear" w:color="auto" w:fill="D9D9D9"/>
        <w:autoSpaceDE w:val="0"/>
        <w:autoSpaceDN w:val="0"/>
        <w:spacing w:line="360" w:lineRule="auto"/>
        <w:jc w:val="both"/>
        <w:rPr>
          <w:rFonts w:ascii="MinionPro-Regular" w:hAnsi="MinionPro-Regular"/>
          <w:szCs w:val="22"/>
          <w:lang w:val="es-ES_tradnl"/>
        </w:rPr>
      </w:pPr>
      <w:r w:rsidRPr="00F23441">
        <w:rPr>
          <w:rFonts w:ascii="MinionPro-Regular" w:hAnsi="MinionPro-Regular"/>
          <w:szCs w:val="22"/>
          <w:lang w:val="es-ES_tradnl"/>
        </w:rPr>
        <w:t>Debería existir un registro nacional único para los centros especiales de empleo, sin menoscabo de las responsabilidades transferidas a las comunidades autónomas.</w:t>
      </w:r>
    </w:p>
    <w:p w:rsidR="00E2336B" w:rsidRPr="005827C5" w:rsidRDefault="00F23441" w:rsidP="0007541A">
      <w:pPr>
        <w:pStyle w:val="Prrafodelista"/>
        <w:numPr>
          <w:ilvl w:val="0"/>
          <w:numId w:val="26"/>
        </w:numPr>
        <w:pBdr>
          <w:top w:val="single" w:sz="4" w:space="0" w:color="auto"/>
          <w:left w:val="single" w:sz="4" w:space="4" w:color="auto"/>
          <w:bottom w:val="single" w:sz="4" w:space="1" w:color="auto"/>
          <w:right w:val="single" w:sz="4" w:space="4" w:color="auto"/>
        </w:pBdr>
        <w:shd w:val="clear" w:color="auto" w:fill="D9D9D9"/>
        <w:autoSpaceDE w:val="0"/>
        <w:autoSpaceDN w:val="0"/>
        <w:spacing w:line="360" w:lineRule="auto"/>
        <w:jc w:val="both"/>
        <w:rPr>
          <w:rFonts w:ascii="MinionPro-Regular" w:hAnsi="MinionPro-Regular"/>
          <w:szCs w:val="22"/>
          <w:lang w:val="es-ES_tradnl"/>
        </w:rPr>
      </w:pPr>
      <w:r w:rsidRPr="00F23441">
        <w:rPr>
          <w:rFonts w:ascii="MinionPro-Regular" w:hAnsi="MinionPro-Regular"/>
          <w:szCs w:val="22"/>
          <w:lang w:val="es-ES_tradnl"/>
        </w:rPr>
        <w:t xml:space="preserve">El actual objetivo de transición al empleo ordinario debería ser matizado, dado que no contempla la distinta empleabilidad de las personas con discapacidad y contribuye a perpetuar la idea de que el empleo ordinario es siempre preferible al empleo en un centro especial. </w:t>
      </w:r>
    </w:p>
    <w:p w:rsidR="00E2336B" w:rsidRPr="005827C5" w:rsidRDefault="00F23441" w:rsidP="0007541A">
      <w:pPr>
        <w:pStyle w:val="Prrafodelista"/>
        <w:numPr>
          <w:ilvl w:val="0"/>
          <w:numId w:val="26"/>
        </w:numPr>
        <w:pBdr>
          <w:top w:val="single" w:sz="4" w:space="0" w:color="auto"/>
          <w:left w:val="single" w:sz="4" w:space="4" w:color="auto"/>
          <w:bottom w:val="single" w:sz="4" w:space="1" w:color="auto"/>
          <w:right w:val="single" w:sz="4" w:space="4" w:color="auto"/>
        </w:pBdr>
        <w:shd w:val="clear" w:color="auto" w:fill="D9D9D9"/>
        <w:autoSpaceDE w:val="0"/>
        <w:autoSpaceDN w:val="0"/>
        <w:spacing w:line="360" w:lineRule="auto"/>
        <w:jc w:val="both"/>
        <w:rPr>
          <w:rFonts w:ascii="MinionPro-Regular" w:hAnsi="MinionPro-Regular"/>
          <w:szCs w:val="22"/>
          <w:lang w:val="es-ES_tradnl"/>
        </w:rPr>
      </w:pPr>
      <w:r w:rsidRPr="00F23441">
        <w:rPr>
          <w:rFonts w:ascii="MinionPro-Regular" w:hAnsi="MinionPro-Regular"/>
          <w:szCs w:val="22"/>
          <w:lang w:val="es-ES_tradnl"/>
        </w:rPr>
        <w:t>Los servicios públicos de empleo deben reforzar, en línea con lo que sucede en algunos países de nuestro entorno, los servicios que prestan a las personas con discapacidad</w:t>
      </w:r>
      <w:r w:rsidR="00E2336B">
        <w:rPr>
          <w:rFonts w:ascii="MinionPro-Regular" w:hAnsi="MinionPro-Regular"/>
          <w:szCs w:val="22"/>
          <w:lang w:val="es-ES_tradnl"/>
        </w:rPr>
        <w:t>, y su supervisión de las cuestiones relacionadas con el acceso al empleo de las personas con discapacidad</w:t>
      </w:r>
      <w:r w:rsidRPr="00F23441">
        <w:rPr>
          <w:rFonts w:ascii="MinionPro-Regular" w:hAnsi="MinionPro-Regular"/>
          <w:szCs w:val="22"/>
          <w:lang w:val="es-ES_tradnl"/>
        </w:rPr>
        <w:t xml:space="preserve">. </w:t>
      </w:r>
    </w:p>
    <w:p w:rsidR="00E2336B" w:rsidRPr="005827C5" w:rsidRDefault="00F23441" w:rsidP="0007541A">
      <w:pPr>
        <w:pStyle w:val="Prrafodelista"/>
        <w:numPr>
          <w:ilvl w:val="0"/>
          <w:numId w:val="26"/>
        </w:numPr>
        <w:pBdr>
          <w:top w:val="single" w:sz="4" w:space="0" w:color="auto"/>
          <w:left w:val="single" w:sz="4" w:space="4" w:color="auto"/>
          <w:bottom w:val="single" w:sz="4" w:space="1" w:color="auto"/>
          <w:right w:val="single" w:sz="4" w:space="4" w:color="auto"/>
        </w:pBdr>
        <w:shd w:val="clear" w:color="auto" w:fill="D9D9D9"/>
        <w:autoSpaceDE w:val="0"/>
        <w:autoSpaceDN w:val="0"/>
        <w:spacing w:line="360" w:lineRule="auto"/>
        <w:jc w:val="both"/>
        <w:rPr>
          <w:rFonts w:ascii="MinionPro-Regular" w:hAnsi="MinionPro-Regular"/>
          <w:szCs w:val="22"/>
          <w:lang w:val="es-ES_tradnl"/>
        </w:rPr>
      </w:pPr>
      <w:r w:rsidRPr="00F23441">
        <w:rPr>
          <w:rFonts w:ascii="MinionPro-Regular" w:hAnsi="MinionPro-Regular"/>
          <w:szCs w:val="22"/>
          <w:lang w:val="es-ES_tradnl"/>
        </w:rPr>
        <w:t xml:space="preserve">Los actuales requerimientos de la cuota de reserva deben aumentarse ligándolos con el porcentaje de personas con discapacidad sobre la población laboral. El incumplimiento de la cuota debería llevar automáticamente, asociado el pago de un canon que permitiría </w:t>
      </w:r>
      <w:r w:rsidRPr="00F23441">
        <w:rPr>
          <w:rFonts w:ascii="MinionPro-Regular" w:hAnsi="MinionPro-Regular"/>
          <w:szCs w:val="22"/>
          <w:lang w:val="es-ES_tradnl"/>
        </w:rPr>
        <w:lastRenderedPageBreak/>
        <w:t xml:space="preserve">constituir un fondo nacional para la mejora de la empleabilidad de las personas con discapacidad. </w:t>
      </w:r>
    </w:p>
    <w:p w:rsidR="00E2336B" w:rsidRPr="005827C5" w:rsidRDefault="00F23441" w:rsidP="0007541A">
      <w:pPr>
        <w:pStyle w:val="Prrafodelista"/>
        <w:numPr>
          <w:ilvl w:val="0"/>
          <w:numId w:val="26"/>
        </w:numPr>
        <w:pBdr>
          <w:top w:val="single" w:sz="4" w:space="0" w:color="auto"/>
          <w:left w:val="single" w:sz="4" w:space="4" w:color="auto"/>
          <w:bottom w:val="single" w:sz="4" w:space="1" w:color="auto"/>
          <w:right w:val="single" w:sz="4" w:space="4" w:color="auto"/>
        </w:pBdr>
        <w:shd w:val="clear" w:color="auto" w:fill="D9D9D9"/>
        <w:autoSpaceDE w:val="0"/>
        <w:autoSpaceDN w:val="0"/>
        <w:spacing w:line="360" w:lineRule="auto"/>
        <w:jc w:val="both"/>
        <w:rPr>
          <w:rFonts w:ascii="MinionPro-Regular" w:hAnsi="MinionPro-Regular"/>
          <w:szCs w:val="22"/>
          <w:lang w:val="es-ES_tradnl"/>
        </w:rPr>
      </w:pPr>
      <w:r w:rsidRPr="00F23441">
        <w:rPr>
          <w:rFonts w:ascii="MinionPro-Regular" w:hAnsi="MinionPro-Regular"/>
          <w:szCs w:val="22"/>
          <w:lang w:val="es-ES_tradnl"/>
        </w:rPr>
        <w:t>La dualidad entre los servicios de ajuste y las unidades de apoyo debe terminar, reorientando las actividades de estos instrumentos hacia la mejora de la empleabilidad de las personas.</w:t>
      </w:r>
    </w:p>
    <w:p w:rsidR="00E2336B" w:rsidRPr="005827C5" w:rsidRDefault="00F23441" w:rsidP="0007541A">
      <w:pPr>
        <w:pStyle w:val="Prrafodelista"/>
        <w:numPr>
          <w:ilvl w:val="0"/>
          <w:numId w:val="26"/>
        </w:numPr>
        <w:pBdr>
          <w:top w:val="single" w:sz="4" w:space="0" w:color="auto"/>
          <w:left w:val="single" w:sz="4" w:space="4" w:color="auto"/>
          <w:bottom w:val="single" w:sz="4" w:space="1" w:color="auto"/>
          <w:right w:val="single" w:sz="4" w:space="4" w:color="auto"/>
        </w:pBdr>
        <w:shd w:val="clear" w:color="auto" w:fill="D9D9D9"/>
        <w:autoSpaceDE w:val="0"/>
        <w:autoSpaceDN w:val="0"/>
        <w:spacing w:line="360" w:lineRule="auto"/>
        <w:jc w:val="both"/>
        <w:rPr>
          <w:rFonts w:ascii="MinionPro-Regular" w:hAnsi="MinionPro-Regular"/>
          <w:szCs w:val="22"/>
          <w:lang w:val="es-ES_tradnl"/>
        </w:rPr>
      </w:pPr>
      <w:r w:rsidRPr="00F23441">
        <w:rPr>
          <w:rFonts w:ascii="MinionPro-Regular" w:hAnsi="MinionPro-Regular"/>
          <w:szCs w:val="22"/>
          <w:lang w:val="es-ES_tradnl"/>
        </w:rPr>
        <w:t xml:space="preserve">La normativa debe garantizar la unidad de mercado para los centros especiales de empleo y eliminar trabas administrativas que dificultan su crecimiento. </w:t>
      </w:r>
    </w:p>
    <w:p w:rsidR="00E2336B" w:rsidRPr="005827C5" w:rsidRDefault="00F23441" w:rsidP="0007541A">
      <w:pPr>
        <w:pStyle w:val="Prrafodelista"/>
        <w:numPr>
          <w:ilvl w:val="0"/>
          <w:numId w:val="26"/>
        </w:numPr>
        <w:pBdr>
          <w:top w:val="single" w:sz="4" w:space="0" w:color="auto"/>
          <w:left w:val="single" w:sz="4" w:space="4" w:color="auto"/>
          <w:bottom w:val="single" w:sz="4" w:space="1" w:color="auto"/>
          <w:right w:val="single" w:sz="4" w:space="4" w:color="auto"/>
        </w:pBdr>
        <w:shd w:val="clear" w:color="auto" w:fill="D9D9D9"/>
        <w:autoSpaceDE w:val="0"/>
        <w:autoSpaceDN w:val="0"/>
        <w:spacing w:line="360" w:lineRule="auto"/>
        <w:jc w:val="both"/>
        <w:rPr>
          <w:rFonts w:ascii="MinionPro-Regular" w:hAnsi="MinionPro-Regular"/>
          <w:szCs w:val="22"/>
          <w:lang w:val="es-ES_tradnl"/>
        </w:rPr>
      </w:pPr>
      <w:r w:rsidRPr="00F23441">
        <w:rPr>
          <w:rFonts w:ascii="MinionPro-Regular" w:hAnsi="MinionPro-Regular"/>
          <w:szCs w:val="22"/>
          <w:lang w:val="es-ES_tradnl"/>
        </w:rPr>
        <w:t>El marco normativo debería permitir a los centros establecer fórmulas por debajo de</w:t>
      </w:r>
      <w:r w:rsidR="00E2336B">
        <w:rPr>
          <w:rFonts w:ascii="MinionPro-Regular" w:hAnsi="MinionPro-Regular"/>
          <w:szCs w:val="22"/>
          <w:lang w:val="es-ES_tradnl"/>
        </w:rPr>
        <w:t xml:space="preserve">l </w:t>
      </w:r>
      <w:r w:rsidR="00E2336B" w:rsidRPr="00AF2B8A">
        <w:rPr>
          <w:rFonts w:ascii="MinionPro-Regular" w:hAnsi="MinionPro-Regular"/>
          <w:szCs w:val="22"/>
          <w:lang w:val="es-ES_tradnl"/>
        </w:rPr>
        <w:t>mínimo</w:t>
      </w:r>
      <w:r w:rsidRPr="00F23441">
        <w:rPr>
          <w:rFonts w:ascii="MinionPro-Regular" w:hAnsi="MinionPro-Regular"/>
          <w:szCs w:val="22"/>
          <w:lang w:val="es-ES_tradnl"/>
        </w:rPr>
        <w:t xml:space="preserve"> del 70% de personas con discapacidad, en función de la atención a colectivos en dificultad o al carácter estratégico o de alto valor añadido del centro, entre otros.</w:t>
      </w:r>
    </w:p>
    <w:p w:rsidR="00E2336B" w:rsidRPr="005561E6" w:rsidRDefault="00F23441" w:rsidP="0007541A">
      <w:pPr>
        <w:pStyle w:val="Prrafodelista"/>
        <w:numPr>
          <w:ilvl w:val="0"/>
          <w:numId w:val="26"/>
        </w:numPr>
        <w:pBdr>
          <w:top w:val="single" w:sz="4" w:space="0" w:color="auto"/>
          <w:left w:val="single" w:sz="4" w:space="4" w:color="auto"/>
          <w:bottom w:val="single" w:sz="4" w:space="1" w:color="auto"/>
          <w:right w:val="single" w:sz="4" w:space="4" w:color="auto"/>
        </w:pBdr>
        <w:shd w:val="clear" w:color="auto" w:fill="D9D9D9"/>
        <w:autoSpaceDE w:val="0"/>
        <w:autoSpaceDN w:val="0"/>
        <w:spacing w:line="360" w:lineRule="auto"/>
        <w:jc w:val="both"/>
        <w:rPr>
          <w:rFonts w:ascii="MinionPro-Regular" w:hAnsi="MinionPro-Regular"/>
          <w:szCs w:val="24"/>
          <w:lang w:val="es-ES_tradnl"/>
        </w:rPr>
      </w:pPr>
      <w:r w:rsidRPr="00F23441">
        <w:rPr>
          <w:rFonts w:ascii="MinionPro-Regular" w:hAnsi="MinionPro-Regular"/>
          <w:szCs w:val="22"/>
          <w:lang w:val="es-ES_tradnl"/>
        </w:rPr>
        <w:t>El esquema de ayudas debe reorientarse para estimular el crecimiento, la innovación y la mejora de la empleabilidad de las personas.</w:t>
      </w:r>
      <w:r w:rsidR="00E2336B">
        <w:rPr>
          <w:rFonts w:ascii="MinionPro-Regular" w:hAnsi="MinionPro-Regular"/>
          <w:szCs w:val="24"/>
          <w:lang w:val="es-ES_tradnl"/>
        </w:rPr>
        <w:t xml:space="preserve"> </w:t>
      </w:r>
    </w:p>
    <w:p w:rsidR="00E2336B" w:rsidRDefault="00E2336B">
      <w:pPr>
        <w:rPr>
          <w:b/>
          <w:sz w:val="28"/>
          <w:lang w:val="es-ES_tradnl"/>
        </w:rPr>
      </w:pPr>
    </w:p>
    <w:p w:rsidR="00E2336B" w:rsidRDefault="00E2336B" w:rsidP="0007541A">
      <w:pPr>
        <w:pStyle w:val="Ttulo2"/>
        <w:numPr>
          <w:ilvl w:val="1"/>
          <w:numId w:val="3"/>
        </w:numPr>
        <w:spacing w:line="240" w:lineRule="auto"/>
        <w:ind w:left="0"/>
        <w:rPr>
          <w:lang w:val="es-ES_tradnl"/>
        </w:rPr>
      </w:pPr>
      <w:bookmarkStart w:id="479" w:name="_Toc352773609"/>
      <w:r>
        <w:rPr>
          <w:lang w:val="es-ES_tradnl"/>
        </w:rPr>
        <w:t>Actuar sobre la empleabilidad</w:t>
      </w:r>
      <w:bookmarkEnd w:id="478"/>
      <w:bookmarkEnd w:id="479"/>
    </w:p>
    <w:p w:rsidR="00E2336B" w:rsidRDefault="00E2336B" w:rsidP="0007541A">
      <w:pPr>
        <w:pStyle w:val="Ttulo3"/>
        <w:numPr>
          <w:ilvl w:val="2"/>
          <w:numId w:val="3"/>
        </w:numPr>
        <w:spacing w:line="360" w:lineRule="auto"/>
        <w:rPr>
          <w:lang w:val="es-ES_tradnl"/>
        </w:rPr>
      </w:pPr>
      <w:bookmarkStart w:id="480" w:name="_Toc352773610"/>
      <w:bookmarkStart w:id="481" w:name="_Toc340515913"/>
      <w:r>
        <w:rPr>
          <w:lang w:val="es-ES_tradnl"/>
        </w:rPr>
        <w:t>Foco en la empleabilidad y adaptación del objetivo de tránsito hacia el empleo ordinario que tienen actualmente los centros especiales de empleo</w:t>
      </w:r>
      <w:bookmarkEnd w:id="480"/>
    </w:p>
    <w:bookmarkEnd w:id="481"/>
    <w:p w:rsidR="00E2336B" w:rsidRDefault="00E2336B">
      <w:pPr>
        <w:autoSpaceDE w:val="0"/>
        <w:autoSpaceDN w:val="0"/>
        <w:spacing w:line="360" w:lineRule="auto"/>
        <w:jc w:val="both"/>
        <w:rPr>
          <w:lang w:val="es-ES_tradnl"/>
        </w:rPr>
      </w:pPr>
    </w:p>
    <w:p w:rsidR="00E2336B" w:rsidRDefault="00E2336B">
      <w:pPr>
        <w:pBdr>
          <w:top w:val="single" w:sz="4" w:space="1" w:color="auto"/>
          <w:left w:val="single" w:sz="4" w:space="4" w:color="auto"/>
          <w:bottom w:val="single" w:sz="4" w:space="1" w:color="auto"/>
          <w:right w:val="single" w:sz="4" w:space="4" w:color="auto"/>
        </w:pBd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La mejora del modelo requiere avanzar hacia una definición individualizada de empleabilidad, que debería ser aplicada de manera consistente por las administraciones públicas.  La empleabilidad debería también ser uno de los parámetros fundamentales para evaluar el valor añadido social de los centros especiales de empleo. Ésta  debería llevar a r</w:t>
      </w:r>
      <w:r w:rsidRPr="00945F15">
        <w:rPr>
          <w:rFonts w:ascii="MinionPro-Regular" w:hAnsi="MinionPro-Regular"/>
          <w:sz w:val="24"/>
          <w:szCs w:val="24"/>
          <w:lang w:val="es-ES_tradnl"/>
        </w:rPr>
        <w:t>e</w:t>
      </w:r>
      <w:r>
        <w:rPr>
          <w:rFonts w:ascii="MinionPro-Regular" w:hAnsi="MinionPro-Regular"/>
          <w:sz w:val="24"/>
          <w:szCs w:val="24"/>
          <w:lang w:val="es-ES_tradnl"/>
        </w:rPr>
        <w:t>definir</w:t>
      </w:r>
      <w:r w:rsidRPr="00945F15">
        <w:rPr>
          <w:rFonts w:ascii="MinionPro-Regular" w:hAnsi="MinionPro-Regular"/>
          <w:sz w:val="24"/>
          <w:szCs w:val="24"/>
          <w:lang w:val="es-ES_tradnl"/>
        </w:rPr>
        <w:t xml:space="preserve"> el papel de los </w:t>
      </w:r>
      <w:r>
        <w:rPr>
          <w:rFonts w:ascii="MinionPro-Regular" w:hAnsi="MinionPro-Regular"/>
          <w:sz w:val="24"/>
          <w:szCs w:val="24"/>
          <w:lang w:val="es-ES_tradnl"/>
        </w:rPr>
        <w:t>centros especiales de empleo</w:t>
      </w:r>
      <w:r w:rsidRPr="00945F15">
        <w:rPr>
          <w:rFonts w:ascii="MinionPro-Regular" w:hAnsi="MinionPro-Regular"/>
          <w:sz w:val="24"/>
          <w:szCs w:val="24"/>
          <w:lang w:val="es-ES_tradnl"/>
        </w:rPr>
        <w:t xml:space="preserve"> como </w:t>
      </w:r>
      <w:r>
        <w:rPr>
          <w:rFonts w:ascii="MinionPro-Regular" w:hAnsi="MinionPro-Regular"/>
          <w:sz w:val="24"/>
          <w:szCs w:val="24"/>
          <w:lang w:val="es-ES_tradnl"/>
        </w:rPr>
        <w:t>instrumento diseñado para la transición al empleo ordinario, teniendo en cuenta los condicionantes de empleabilidad de los distintos colectivos de personas con discapacidad.</w:t>
      </w:r>
    </w:p>
    <w:p w:rsidR="00E2336B" w:rsidRDefault="00E2336B">
      <w:pPr>
        <w:pBdr>
          <w:top w:val="single" w:sz="4" w:space="1" w:color="auto"/>
          <w:left w:val="single" w:sz="4" w:space="4" w:color="auto"/>
          <w:bottom w:val="single" w:sz="4" w:space="1" w:color="auto"/>
          <w:right w:val="single" w:sz="4" w:space="4" w:color="auto"/>
        </w:pBdr>
        <w:autoSpaceDE w:val="0"/>
        <w:autoSpaceDN w:val="0"/>
        <w:spacing w:line="360" w:lineRule="auto"/>
        <w:jc w:val="both"/>
        <w:rPr>
          <w:rFonts w:ascii="MinionPro-Regular" w:hAnsi="MinionPro-Regular"/>
          <w:sz w:val="24"/>
          <w:szCs w:val="24"/>
          <w:lang w:val="es-ES_tradnl"/>
        </w:rPr>
      </w:pPr>
    </w:p>
    <w:p w:rsidR="00E2336B" w:rsidRDefault="00E2336B">
      <w:pPr>
        <w:pBdr>
          <w:top w:val="single" w:sz="4" w:space="1" w:color="auto"/>
          <w:left w:val="single" w:sz="4" w:space="4" w:color="auto"/>
          <w:bottom w:val="single" w:sz="4" w:space="1" w:color="auto"/>
          <w:right w:val="single" w:sz="4" w:space="4" w:color="auto"/>
        </w:pBdr>
        <w:autoSpaceDE w:val="0"/>
        <w:autoSpaceDN w:val="0"/>
        <w:spacing w:line="360" w:lineRule="auto"/>
        <w:jc w:val="both"/>
        <w:rPr>
          <w:rFonts w:ascii="MinionPro-Regular" w:hAnsi="MinionPro-Regular"/>
          <w:i/>
          <w:sz w:val="24"/>
          <w:szCs w:val="24"/>
          <w:lang w:val="es-ES_tradnl"/>
        </w:rPr>
      </w:pPr>
      <w:r w:rsidRPr="005A0A75">
        <w:rPr>
          <w:rFonts w:ascii="MinionPro-Regular" w:hAnsi="MinionPro-Regular"/>
          <w:i/>
          <w:sz w:val="24"/>
          <w:szCs w:val="24"/>
          <w:lang w:val="es-ES_tradnl"/>
        </w:rPr>
        <w:t xml:space="preserve">Por dónde comenzar: </w:t>
      </w:r>
      <w:r>
        <w:rPr>
          <w:rFonts w:ascii="MinionPro-Regular" w:hAnsi="MinionPro-Regular"/>
          <w:i/>
          <w:sz w:val="24"/>
          <w:szCs w:val="24"/>
          <w:lang w:val="es-ES_tradnl"/>
        </w:rPr>
        <w:t xml:space="preserve">la mejora de la empleabilidad de las personas debería ser un objetivo programático de los centros especiales de empleo. No así la transición al </w:t>
      </w:r>
      <w:r>
        <w:rPr>
          <w:rFonts w:ascii="MinionPro-Regular" w:hAnsi="MinionPro-Regular"/>
          <w:i/>
          <w:sz w:val="24"/>
          <w:szCs w:val="24"/>
          <w:lang w:val="es-ES_tradnl"/>
        </w:rPr>
        <w:lastRenderedPageBreak/>
        <w:t xml:space="preserve">empleo ordinario. Para determinados colectivos con especiales dificultades en términos de empleabilidad, el empleo en un centro especial podría ser un objetivo en sí mismo. También deberían revisarse las condiciones de la transición, para evitar la existencia de incentivos perversos que desincentiven, para empleados y para los propios centros, el tránsito al empleo ordinario desde los centros especiales de empleo o la transición a los centros especiales de empleo desde los centros ocupacionales. </w:t>
      </w:r>
    </w:p>
    <w:p w:rsidR="00E2336B" w:rsidRDefault="00E2336B">
      <w:pPr>
        <w:pBdr>
          <w:top w:val="single" w:sz="4" w:space="1" w:color="auto"/>
          <w:left w:val="single" w:sz="4" w:space="4" w:color="auto"/>
          <w:bottom w:val="single" w:sz="4" w:space="1" w:color="auto"/>
          <w:right w:val="single" w:sz="4" w:space="4" w:color="auto"/>
        </w:pBdr>
        <w:autoSpaceDE w:val="0"/>
        <w:autoSpaceDN w:val="0"/>
        <w:spacing w:line="360" w:lineRule="auto"/>
        <w:jc w:val="both"/>
        <w:rPr>
          <w:rFonts w:ascii="MinionPro-Regular" w:hAnsi="MinionPro-Regular"/>
          <w:i/>
          <w:sz w:val="24"/>
          <w:szCs w:val="24"/>
          <w:lang w:val="es-ES_tradnl"/>
        </w:rPr>
      </w:pPr>
    </w:p>
    <w:p w:rsidR="00E2336B" w:rsidRDefault="00E2336B" w:rsidP="0007541A">
      <w:pPr>
        <w:pStyle w:val="Ttulo4"/>
        <w:numPr>
          <w:ilvl w:val="3"/>
          <w:numId w:val="3"/>
        </w:numPr>
        <w:tabs>
          <w:tab w:val="clear" w:pos="20"/>
          <w:tab w:val="left" w:pos="0"/>
        </w:tabs>
        <w:rPr>
          <w:lang w:val="es-ES_tradnl"/>
        </w:rPr>
      </w:pPr>
      <w:r w:rsidRPr="00ED1429">
        <w:rPr>
          <w:lang w:val="es-ES_tradnl"/>
        </w:rPr>
        <w:t>Empleabilidad y centros especiales de empleo</w:t>
      </w:r>
    </w:p>
    <w:p w:rsidR="00E2336B" w:rsidRDefault="00E2336B">
      <w:pPr>
        <w:pStyle w:val="Textoindependiente"/>
        <w:rPr>
          <w:lang w:val="es-ES_tradnl"/>
        </w:rPr>
      </w:pPr>
    </w:p>
    <w:p w:rsidR="00E2336B" w:rsidRDefault="00E2336B">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E</w:t>
      </w:r>
      <w:r w:rsidRPr="00867D87">
        <w:rPr>
          <w:rFonts w:ascii="MinionPro-Regular" w:hAnsi="MinionPro-Regular"/>
          <w:sz w:val="24"/>
          <w:szCs w:val="24"/>
          <w:lang w:val="es-ES_tradnl"/>
        </w:rPr>
        <w:t xml:space="preserve">n su artículo 42, </w:t>
      </w:r>
      <w:r>
        <w:rPr>
          <w:rFonts w:ascii="MinionPro-Regular" w:hAnsi="MinionPro-Regular"/>
          <w:sz w:val="24"/>
          <w:szCs w:val="24"/>
          <w:lang w:val="es-ES_tradnl"/>
        </w:rPr>
        <w:t>la LISMI establece que</w:t>
      </w:r>
      <w:r w:rsidRPr="00867D87">
        <w:rPr>
          <w:rFonts w:ascii="MinionPro-Regular" w:hAnsi="MinionPro-Regular"/>
          <w:sz w:val="24"/>
          <w:szCs w:val="24"/>
          <w:lang w:val="es-ES_tradnl"/>
        </w:rPr>
        <w:t xml:space="preserve"> los </w:t>
      </w:r>
      <w:r>
        <w:rPr>
          <w:rFonts w:ascii="MinionPro-Regular" w:hAnsi="MinionPro-Regular"/>
          <w:sz w:val="24"/>
          <w:szCs w:val="24"/>
          <w:lang w:val="es-ES_tradnl"/>
        </w:rPr>
        <w:t>centros especiales de empleo</w:t>
      </w:r>
      <w:r w:rsidRPr="00867D87">
        <w:rPr>
          <w:rFonts w:ascii="MinionPro-Regular" w:hAnsi="MinionPro-Regular"/>
          <w:sz w:val="24"/>
          <w:szCs w:val="24"/>
          <w:lang w:val="es-ES_tradnl"/>
        </w:rPr>
        <w:t xml:space="preserve"> </w:t>
      </w:r>
      <w:r>
        <w:rPr>
          <w:rFonts w:ascii="MinionPro-Regular" w:hAnsi="MinionPro-Regular"/>
          <w:sz w:val="24"/>
          <w:szCs w:val="24"/>
          <w:lang w:val="es-ES_tradnl"/>
        </w:rPr>
        <w:t xml:space="preserve">deben constituir un medio de integración de las personas con discapacidad al régimen de trabajo ordinario.  Este objetivo de transición debería ser reconsiderado en función del empleo actual que son capaces de crear y la mejor adecuación al grado de empleabilidad  de las personas con discapacidad. </w:t>
      </w:r>
    </w:p>
    <w:p w:rsidR="00E2336B" w:rsidRDefault="00E2336B">
      <w:pPr>
        <w:autoSpaceDE w:val="0"/>
        <w:autoSpaceDN w:val="0"/>
        <w:spacing w:line="360" w:lineRule="auto"/>
        <w:jc w:val="both"/>
        <w:rPr>
          <w:rFonts w:ascii="MinionPro-Regular" w:hAnsi="MinionPro-Regular"/>
          <w:sz w:val="24"/>
          <w:szCs w:val="24"/>
          <w:lang w:val="es-ES_tradnl"/>
        </w:rPr>
      </w:pPr>
    </w:p>
    <w:p w:rsidR="00E2336B" w:rsidRDefault="00E2336B">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 xml:space="preserve">Avanzar en la empleabilidad requiere definir los criterios –edad, nivel de formación, lugar de residencia o discapacidad, entre otros- que la deberían determinar. Tanto para evaluar las características personales de las personas empleadas por los centros especiales de empleo, y de este modo poder poner en valor su impacto social positivo, como para configurar los sistemas de incentivos públicos al empleo de personas con discapacidad. </w:t>
      </w:r>
      <w:r w:rsidR="00F23441" w:rsidRPr="009B79F2">
        <w:rPr>
          <w:rFonts w:ascii="MinionPro-Regular" w:hAnsi="MinionPro-Regular"/>
          <w:sz w:val="24"/>
          <w:szCs w:val="24"/>
          <w:lang w:val="es-ES_tradnl"/>
        </w:rPr>
        <w:t>A este respecto, los centros especiales de empleo de</w:t>
      </w:r>
      <w:r w:rsidR="000327B0" w:rsidRPr="009B79F2">
        <w:rPr>
          <w:rFonts w:ascii="MinionPro-Regular" w:hAnsi="MinionPro-Regular"/>
          <w:sz w:val="24"/>
          <w:szCs w:val="24"/>
          <w:lang w:val="es-ES_tradnl"/>
        </w:rPr>
        <w:t xml:space="preserve"> iniciativa social, cuya finalidad en el beneficio obtenido es la función social</w:t>
      </w:r>
      <w:r w:rsidR="00F23441" w:rsidRPr="009B79F2">
        <w:rPr>
          <w:rFonts w:ascii="MinionPro-Regular" w:hAnsi="MinionPro-Regular"/>
          <w:sz w:val="24"/>
          <w:szCs w:val="24"/>
          <w:lang w:val="es-ES_tradnl"/>
        </w:rPr>
        <w:t>, deberían ser reconocidos de manera expresa en la normativa aplicable.</w:t>
      </w:r>
      <w:r w:rsidRPr="009B79F2">
        <w:rPr>
          <w:rFonts w:ascii="MinionPro-Regular" w:hAnsi="MinionPro-Regular"/>
          <w:sz w:val="24"/>
          <w:szCs w:val="24"/>
          <w:lang w:val="es-ES_tradnl"/>
        </w:rPr>
        <w:t xml:space="preserve"> </w:t>
      </w:r>
    </w:p>
    <w:p w:rsidR="009B79F2" w:rsidRDefault="009B79F2">
      <w:pPr>
        <w:autoSpaceDE w:val="0"/>
        <w:autoSpaceDN w:val="0"/>
        <w:spacing w:line="360" w:lineRule="auto"/>
        <w:jc w:val="both"/>
        <w:rPr>
          <w:rFonts w:ascii="MinionPro-Regular" w:hAnsi="MinionPro-Regular"/>
          <w:sz w:val="24"/>
          <w:szCs w:val="24"/>
          <w:lang w:val="es-ES_tradnl"/>
        </w:rPr>
      </w:pPr>
    </w:p>
    <w:p w:rsidR="00E2336B" w:rsidRDefault="00E2336B">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lastRenderedPageBreak/>
        <w:t xml:space="preserve">Un modelo 2020 para los centros especiales de empleo debe partir de avanzar en una definición individualizada de empleabilidad de las personas con discapacidad, trasladando a España los enfoques aplicados en otros países de nuestro entorno, como el Reino Unido .  Avanzar en esta dirección requerirá un importante impulso por parte de la administración pública, para asegurar que los criterios son aplicados de manera consistente y homogénea en todo el país. </w:t>
      </w:r>
    </w:p>
    <w:p w:rsidR="009B79F2" w:rsidRDefault="009B79F2">
      <w:pPr>
        <w:autoSpaceDE w:val="0"/>
        <w:autoSpaceDN w:val="0"/>
        <w:spacing w:line="360" w:lineRule="auto"/>
        <w:jc w:val="both"/>
        <w:rPr>
          <w:rFonts w:ascii="MinionPro-Regular" w:hAnsi="MinionPro-Regular"/>
          <w:sz w:val="24"/>
          <w:szCs w:val="24"/>
          <w:lang w:val="es-ES_tradnl"/>
        </w:rPr>
      </w:pPr>
    </w:p>
    <w:p w:rsidR="00E2336B" w:rsidRDefault="00E2336B">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 xml:space="preserve">Entre </w:t>
      </w:r>
      <w:r w:rsidR="000327B0">
        <w:rPr>
          <w:rFonts w:ascii="MinionPro-Regular" w:hAnsi="MinionPro-Regular"/>
          <w:sz w:val="24"/>
          <w:szCs w:val="24"/>
          <w:lang w:val="es-ES_tradnl"/>
        </w:rPr>
        <w:t>los centros especiales de empleo de la geografía española</w:t>
      </w:r>
      <w:r>
        <w:rPr>
          <w:rFonts w:ascii="MinionPro-Regular" w:hAnsi="MinionPro-Regular"/>
          <w:sz w:val="24"/>
          <w:szCs w:val="24"/>
          <w:lang w:val="es-ES_tradnl"/>
        </w:rPr>
        <w:t xml:space="preserve">, de acuerdo a los datos de CERMI, son los centros especiales de empleo de iniciativa social los que dan empleo a colectivos con mayor dificultad. </w:t>
      </w:r>
    </w:p>
    <w:p w:rsidR="00E2336B" w:rsidRDefault="00E2336B">
      <w:pPr>
        <w:autoSpaceDE w:val="0"/>
        <w:autoSpaceDN w:val="0"/>
        <w:spacing w:line="360" w:lineRule="auto"/>
        <w:jc w:val="both"/>
        <w:rPr>
          <w:rFonts w:ascii="MinionPro-Regular" w:hAnsi="MinionPro-Regular"/>
          <w:sz w:val="24"/>
          <w:szCs w:val="24"/>
          <w:lang w:val="es-ES_tradnl"/>
        </w:rPr>
      </w:pPr>
    </w:p>
    <w:p w:rsidR="00E2336B" w:rsidRPr="009B79F2" w:rsidRDefault="00E2336B">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 xml:space="preserve">Es conveniente resaltar, por lo tanto, el valor añadido social que los centros especiales de empleo aportan con respecto al empleo ordinario. Llegan a colectivos a los que éste hoy no accede y les ofrece estabilidad en un empleo productivo. Desde este punto de vista, quizá sería conveniente reconocer que, para determinados grados de empleabilidad, los centros especiales de empleo son un fin en sí mismo y pueden ofrecer a estas personas lugares productivos, eficientes y estimulantes en los que trabajar. Los centros especiales de empleo son, además, empresas bien gestionadas, que ofrecen sus productos y servicios en el mercado abierto. No hay que olvidar tampoco que los centros especiales de empleo crearon en 2010 el 25% </w:t>
      </w:r>
      <w:r w:rsidRPr="00D25FF2">
        <w:rPr>
          <w:rFonts w:ascii="MinionPro-Regular" w:hAnsi="MinionPro-Regular"/>
          <w:sz w:val="24"/>
          <w:szCs w:val="24"/>
          <w:lang w:val="es-ES_tradnl"/>
        </w:rPr>
        <w:t xml:space="preserve"> de los puestos </w:t>
      </w:r>
      <w:r>
        <w:rPr>
          <w:rFonts w:ascii="MinionPro-Regular" w:hAnsi="MinionPro-Regular"/>
          <w:sz w:val="24"/>
          <w:szCs w:val="24"/>
          <w:lang w:val="es-ES_tradnl"/>
        </w:rPr>
        <w:t xml:space="preserve">de trabajo </w:t>
      </w:r>
      <w:r w:rsidRPr="00D25FF2">
        <w:rPr>
          <w:rFonts w:ascii="MinionPro-Regular" w:hAnsi="MinionPro-Regular"/>
          <w:sz w:val="24"/>
          <w:szCs w:val="24"/>
          <w:lang w:val="es-ES_tradnl"/>
        </w:rPr>
        <w:t>creados para personas con discapacidad</w:t>
      </w:r>
      <w:r>
        <w:rPr>
          <w:rStyle w:val="Refdenotaalpie"/>
          <w:rFonts w:ascii="MinionPro-Regular" w:hAnsi="MinionPro-Regular"/>
          <w:sz w:val="24"/>
          <w:szCs w:val="24"/>
          <w:lang w:val="es-ES_tradnl"/>
        </w:rPr>
        <w:footnoteReference w:id="67"/>
      </w:r>
      <w:r w:rsidRPr="00D25FF2">
        <w:rPr>
          <w:rFonts w:ascii="MinionPro-Regular" w:hAnsi="MinionPro-Regular"/>
          <w:sz w:val="24"/>
          <w:szCs w:val="24"/>
          <w:lang w:val="es-ES_tradnl"/>
        </w:rPr>
        <w:t>.</w:t>
      </w:r>
      <w:r>
        <w:rPr>
          <w:rFonts w:ascii="MinionPro-Regular" w:hAnsi="MinionPro-Regular"/>
          <w:sz w:val="24"/>
          <w:szCs w:val="24"/>
          <w:lang w:val="es-ES_tradnl"/>
        </w:rPr>
        <w:t xml:space="preserve"> </w:t>
      </w:r>
      <w:r w:rsidR="00C97CDB" w:rsidRPr="009B79F2">
        <w:rPr>
          <w:rFonts w:ascii="MinionPro-Regular" w:hAnsi="MinionPro-Regular"/>
          <w:sz w:val="24"/>
          <w:szCs w:val="24"/>
          <w:lang w:val="es-ES_tradnl"/>
        </w:rPr>
        <w:t xml:space="preserve">Respecto al año 2011,  el Informe de Mercado de Trabajo, cifra en 155.500 los nuevos contratos a personas con discapacidad. </w:t>
      </w:r>
    </w:p>
    <w:p w:rsidR="00E2336B" w:rsidRDefault="00E2336B">
      <w:pPr>
        <w:autoSpaceDE w:val="0"/>
        <w:autoSpaceDN w:val="0"/>
        <w:spacing w:line="360" w:lineRule="auto"/>
        <w:jc w:val="both"/>
        <w:rPr>
          <w:rFonts w:ascii="MinionPro-Regular" w:hAnsi="MinionPro-Regular"/>
          <w:sz w:val="24"/>
          <w:szCs w:val="24"/>
          <w:lang w:val="es-ES_tradnl"/>
        </w:rPr>
      </w:pPr>
    </w:p>
    <w:p w:rsidR="00E2336B" w:rsidRDefault="00E2336B">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lastRenderedPageBreak/>
        <w:t xml:space="preserve">En la actualidad, existe en España una absoluta uniformidad jurídica para los centros especiales de empleo en lo que se refiere al objetivo de transición. Poner el foco en la empleabilidad de las personas debería llevar a dejar de considerar la transición un objetivo programático de los centros especiales de empleo. La existencia de un objetivo explícito en materia de transición contribuye, además, a perpetuar la idea equivocada de que el empleo ordinario es siempre una opción mejor para las personas que los centros especiales de empleo.  La consideración de las especiales circunstancias y grados de empleabilidad a los que atienden los centros especiales de empleo llevar a establecer distintas modalidades en cuánto a los objetivos de transición. Éstas permitirían ajustar en qué casos, en qué plazos y en qué circunstancias la transición al empleo ordinario puede ser un objetivo explícito. Diferentes modalidades en lo que se refiere a la transición al empleo ordinario permitirían resaltar, asimismo, la crucial labor de integración de aquellos centros especiales de empleo de iniciativa social que incorporan personas con un menor nivel de empleabilidad. </w:t>
      </w:r>
    </w:p>
    <w:p w:rsidR="00807944" w:rsidRDefault="00807944">
      <w:pPr>
        <w:autoSpaceDE w:val="0"/>
        <w:autoSpaceDN w:val="0"/>
        <w:spacing w:line="360" w:lineRule="auto"/>
        <w:jc w:val="both"/>
        <w:rPr>
          <w:rFonts w:ascii="MinionPro-Regular" w:hAnsi="MinionPro-Regular"/>
          <w:sz w:val="24"/>
          <w:szCs w:val="24"/>
          <w:lang w:val="es-ES_tradnl"/>
        </w:rPr>
      </w:pPr>
    </w:p>
    <w:p w:rsidR="00807944" w:rsidRDefault="00807944">
      <w:pPr>
        <w:autoSpaceDE w:val="0"/>
        <w:autoSpaceDN w:val="0"/>
        <w:spacing w:line="360" w:lineRule="auto"/>
        <w:jc w:val="both"/>
        <w:rPr>
          <w:rFonts w:ascii="MinionPro-Regular" w:hAnsi="MinionPro-Regular"/>
          <w:sz w:val="24"/>
          <w:szCs w:val="24"/>
          <w:lang w:val="es-ES_tradnl"/>
        </w:rPr>
      </w:pPr>
    </w:p>
    <w:p w:rsidR="00807944" w:rsidRDefault="00807944">
      <w:pPr>
        <w:autoSpaceDE w:val="0"/>
        <w:autoSpaceDN w:val="0"/>
        <w:spacing w:line="360" w:lineRule="auto"/>
        <w:jc w:val="both"/>
        <w:rPr>
          <w:rFonts w:ascii="MinionPro-Regular" w:hAnsi="MinionPro-Regular"/>
          <w:sz w:val="24"/>
          <w:szCs w:val="24"/>
          <w:lang w:val="es-ES_tradnl"/>
        </w:rPr>
      </w:pPr>
    </w:p>
    <w:p w:rsidR="00807944" w:rsidRDefault="00807944">
      <w:pPr>
        <w:autoSpaceDE w:val="0"/>
        <w:autoSpaceDN w:val="0"/>
        <w:spacing w:line="360" w:lineRule="auto"/>
        <w:jc w:val="both"/>
        <w:rPr>
          <w:rFonts w:ascii="MinionPro-Regular" w:hAnsi="MinionPro-Regular"/>
          <w:sz w:val="24"/>
          <w:szCs w:val="24"/>
          <w:lang w:val="es-ES_tradnl"/>
        </w:rPr>
      </w:pPr>
    </w:p>
    <w:p w:rsidR="00E2336B" w:rsidRDefault="00E2336B">
      <w:pPr>
        <w:autoSpaceDE w:val="0"/>
        <w:autoSpaceDN w:val="0"/>
        <w:spacing w:line="360" w:lineRule="auto"/>
        <w:jc w:val="both"/>
        <w:rPr>
          <w:rFonts w:ascii="MinionPro-Regular" w:hAnsi="MinionPro-Regular"/>
          <w:sz w:val="24"/>
          <w:szCs w:val="24"/>
          <w:lang w:val="es-ES_tradnl"/>
        </w:rPr>
      </w:pPr>
    </w:p>
    <w:p w:rsidR="00E2336B" w:rsidRPr="00632766" w:rsidRDefault="00E2336B" w:rsidP="00632766">
      <w:pPr>
        <w:pBdr>
          <w:top w:val="single" w:sz="4" w:space="1" w:color="auto"/>
          <w:left w:val="single" w:sz="4" w:space="4" w:color="auto"/>
          <w:bottom w:val="single" w:sz="4" w:space="1" w:color="auto"/>
          <w:right w:val="single" w:sz="4" w:space="4" w:color="auto"/>
        </w:pBdr>
        <w:shd w:val="clear" w:color="auto" w:fill="D9D9D9"/>
        <w:autoSpaceDE w:val="0"/>
        <w:autoSpaceDN w:val="0"/>
        <w:spacing w:line="360" w:lineRule="auto"/>
        <w:jc w:val="both"/>
        <w:rPr>
          <w:rFonts w:ascii="MinionPro-Regular" w:hAnsi="MinionPro-Regular"/>
          <w:b/>
          <w:szCs w:val="24"/>
          <w:lang w:val="es-ES_tradnl"/>
        </w:rPr>
      </w:pPr>
      <w:r w:rsidRPr="00632766">
        <w:rPr>
          <w:rFonts w:ascii="MinionPro-Regular" w:hAnsi="MinionPro-Regular"/>
          <w:b/>
          <w:szCs w:val="24"/>
          <w:lang w:val="es-ES_tradnl"/>
        </w:rPr>
        <w:t>Modelo 2020</w:t>
      </w:r>
    </w:p>
    <w:p w:rsidR="00E2336B" w:rsidRDefault="00E2336B" w:rsidP="00632766">
      <w:pPr>
        <w:pBdr>
          <w:top w:val="single" w:sz="4" w:space="1" w:color="auto"/>
          <w:left w:val="single" w:sz="4" w:space="4" w:color="auto"/>
          <w:bottom w:val="single" w:sz="4" w:space="1" w:color="auto"/>
          <w:right w:val="single" w:sz="4" w:space="4" w:color="auto"/>
        </w:pBdr>
        <w:shd w:val="clear" w:color="auto" w:fill="D9D9D9"/>
        <w:autoSpaceDE w:val="0"/>
        <w:autoSpaceDN w:val="0"/>
        <w:spacing w:line="360" w:lineRule="auto"/>
        <w:jc w:val="both"/>
        <w:rPr>
          <w:rFonts w:ascii="MinionPro-Regular" w:hAnsi="MinionPro-Regular"/>
          <w:szCs w:val="24"/>
          <w:lang w:val="es-ES_tradnl"/>
        </w:rPr>
      </w:pPr>
      <w:r w:rsidRPr="00632766">
        <w:rPr>
          <w:rFonts w:ascii="MinionPro-Regular" w:hAnsi="MinionPro-Regular"/>
          <w:b/>
          <w:szCs w:val="24"/>
          <w:lang w:val="es-ES_tradnl"/>
        </w:rPr>
        <w:t>El tránsito al empleo ordinario</w:t>
      </w:r>
      <w:r>
        <w:rPr>
          <w:rFonts w:ascii="MinionPro-Regular" w:hAnsi="MinionPro-Regular"/>
          <w:b/>
          <w:szCs w:val="24"/>
          <w:lang w:val="es-ES_tradnl"/>
        </w:rPr>
        <w:t xml:space="preserve"> no debería ser un objetivo programático</w:t>
      </w:r>
    </w:p>
    <w:p w:rsidR="00E2336B" w:rsidRPr="00632766" w:rsidRDefault="00E2336B" w:rsidP="00632766">
      <w:pPr>
        <w:pBdr>
          <w:top w:val="single" w:sz="4" w:space="1" w:color="auto"/>
          <w:left w:val="single" w:sz="4" w:space="4" w:color="auto"/>
          <w:bottom w:val="single" w:sz="4" w:space="1" w:color="auto"/>
          <w:right w:val="single" w:sz="4" w:space="4" w:color="auto"/>
        </w:pBdr>
        <w:shd w:val="clear" w:color="auto" w:fill="D9D9D9"/>
        <w:autoSpaceDE w:val="0"/>
        <w:autoSpaceDN w:val="0"/>
        <w:spacing w:line="360" w:lineRule="auto"/>
        <w:jc w:val="both"/>
        <w:rPr>
          <w:rFonts w:ascii="MinionPro-Regular" w:hAnsi="MinionPro-Regular"/>
          <w:szCs w:val="24"/>
          <w:lang w:val="es-ES_tradnl"/>
        </w:rPr>
      </w:pPr>
    </w:p>
    <w:p w:rsidR="00E2336B" w:rsidRPr="00632766" w:rsidRDefault="00E2336B" w:rsidP="00632766">
      <w:pPr>
        <w:pBdr>
          <w:top w:val="single" w:sz="4" w:space="1" w:color="auto"/>
          <w:left w:val="single" w:sz="4" w:space="4" w:color="auto"/>
          <w:bottom w:val="single" w:sz="4" w:space="1" w:color="auto"/>
          <w:right w:val="single" w:sz="4" w:space="4" w:color="auto"/>
        </w:pBdr>
        <w:shd w:val="clear" w:color="auto" w:fill="D9D9D9"/>
        <w:autoSpaceDE w:val="0"/>
        <w:autoSpaceDN w:val="0"/>
        <w:spacing w:line="360" w:lineRule="auto"/>
        <w:jc w:val="both"/>
        <w:rPr>
          <w:rFonts w:ascii="MinionPro-Regular" w:hAnsi="MinionPro-Regular"/>
          <w:szCs w:val="24"/>
          <w:lang w:val="es-ES_tradnl"/>
        </w:rPr>
      </w:pPr>
      <w:r w:rsidRPr="00632766">
        <w:rPr>
          <w:rFonts w:ascii="MinionPro-Regular" w:hAnsi="MinionPro-Regular"/>
          <w:szCs w:val="24"/>
          <w:lang w:val="es-ES_tradnl"/>
        </w:rPr>
        <w:t xml:space="preserve">En su artículo 42, la Ley 13/1982 establece que los centros especiales de empleo deben ser un medio de integración del mayor número posible de personas con discapacidad al empleo ordinario. Este objetivo también puede encontrarse en el artículo 1 del Real Decreto 2273/1985 que regula los centros especiales de empleo, en el artículo 8 del Real Decreto 1368/1985 y se </w:t>
      </w:r>
      <w:r w:rsidRPr="00632766">
        <w:rPr>
          <w:rFonts w:ascii="MinionPro-Regular" w:hAnsi="MinionPro-Regular"/>
          <w:szCs w:val="24"/>
          <w:lang w:val="es-ES_tradnl"/>
        </w:rPr>
        <w:lastRenderedPageBreak/>
        <w:t xml:space="preserve">deduce asimismo del artículo 4 del Real Decreto 364/2005 que regula el cumplimiento alternativo con carácter excepcional de la cuota de reserva. </w:t>
      </w:r>
    </w:p>
    <w:p w:rsidR="00E2336B" w:rsidRPr="00632766" w:rsidRDefault="00E2336B" w:rsidP="00632766">
      <w:pPr>
        <w:pBdr>
          <w:top w:val="single" w:sz="4" w:space="1" w:color="auto"/>
          <w:left w:val="single" w:sz="4" w:space="4" w:color="auto"/>
          <w:bottom w:val="single" w:sz="4" w:space="1" w:color="auto"/>
          <w:right w:val="single" w:sz="4" w:space="4" w:color="auto"/>
        </w:pBdr>
        <w:shd w:val="clear" w:color="auto" w:fill="D9D9D9"/>
        <w:autoSpaceDE w:val="0"/>
        <w:autoSpaceDN w:val="0"/>
        <w:spacing w:line="360" w:lineRule="auto"/>
        <w:jc w:val="both"/>
        <w:rPr>
          <w:rFonts w:ascii="MinionPro-Regular" w:hAnsi="MinionPro-Regular"/>
          <w:szCs w:val="24"/>
          <w:lang w:val="es-ES_tradnl"/>
        </w:rPr>
      </w:pPr>
    </w:p>
    <w:p w:rsidR="009B79F2" w:rsidRDefault="00E2336B" w:rsidP="00632766">
      <w:pPr>
        <w:pBdr>
          <w:top w:val="single" w:sz="4" w:space="1" w:color="auto"/>
          <w:left w:val="single" w:sz="4" w:space="4" w:color="auto"/>
          <w:bottom w:val="single" w:sz="4" w:space="1" w:color="auto"/>
          <w:right w:val="single" w:sz="4" w:space="4" w:color="auto"/>
        </w:pBdr>
        <w:shd w:val="clear" w:color="auto" w:fill="D9D9D9"/>
        <w:autoSpaceDE w:val="0"/>
        <w:autoSpaceDN w:val="0"/>
        <w:spacing w:line="360" w:lineRule="auto"/>
        <w:jc w:val="both"/>
        <w:rPr>
          <w:rFonts w:ascii="MinionPro-Regular" w:hAnsi="MinionPro-Regular"/>
          <w:szCs w:val="24"/>
          <w:lang w:val="es-ES_tradnl"/>
        </w:rPr>
      </w:pPr>
      <w:r w:rsidRPr="00632766">
        <w:rPr>
          <w:rFonts w:ascii="MinionPro-Regular" w:hAnsi="MinionPro-Regular"/>
          <w:szCs w:val="24"/>
          <w:lang w:val="es-ES_tradnl"/>
        </w:rPr>
        <w:t xml:space="preserve">La normativa anterior no es suficientemente sensible a las características de los distintos colectivos de personas con discapacidad ni a la distinta naturaleza social de los centros especiales de empleo de iniciativa </w:t>
      </w:r>
      <w:r>
        <w:rPr>
          <w:rFonts w:ascii="MinionPro-Regular" w:hAnsi="MinionPro-Regular"/>
          <w:szCs w:val="24"/>
          <w:lang w:val="es-ES_tradnl"/>
        </w:rPr>
        <w:t>empresarial</w:t>
      </w:r>
      <w:r w:rsidRPr="00632766">
        <w:rPr>
          <w:rFonts w:ascii="MinionPro-Regular" w:hAnsi="MinionPro-Regular"/>
          <w:szCs w:val="24"/>
          <w:lang w:val="es-ES_tradnl"/>
        </w:rPr>
        <w:t xml:space="preserve"> o de iniciativa social. </w:t>
      </w:r>
      <w:r>
        <w:rPr>
          <w:rFonts w:ascii="MinionPro-Regular" w:hAnsi="MinionPro-Regular"/>
          <w:szCs w:val="24"/>
          <w:lang w:val="es-ES_tradnl"/>
        </w:rPr>
        <w:t xml:space="preserve">Uno de los factores más determinantes de la transición al empleo ordinario es la empleabilidad de las personas; entendida como el grado en el que las habilidades y capacidades de las personas se ajustan a las necesidades del mercado de trabajo. </w:t>
      </w:r>
      <w:r w:rsidR="009B79F2">
        <w:rPr>
          <w:rFonts w:ascii="MinionPro-Regular" w:hAnsi="MinionPro-Regular"/>
          <w:szCs w:val="24"/>
          <w:lang w:val="es-ES_tradnl"/>
        </w:rPr>
        <w:t xml:space="preserve">Además, no hay que olvidar que las personas con discapacidad se enfrentan también a prejuicios y barreras de tipo cultural. La eliminación completa de las barreras de esta naturaleza es una labor de décadas. </w:t>
      </w:r>
    </w:p>
    <w:p w:rsidR="00E2336B" w:rsidRDefault="00E2336B" w:rsidP="00632766">
      <w:pPr>
        <w:pBdr>
          <w:top w:val="single" w:sz="4" w:space="1" w:color="auto"/>
          <w:left w:val="single" w:sz="4" w:space="4" w:color="auto"/>
          <w:bottom w:val="single" w:sz="4" w:space="1" w:color="auto"/>
          <w:right w:val="single" w:sz="4" w:space="4" w:color="auto"/>
        </w:pBdr>
        <w:shd w:val="clear" w:color="auto" w:fill="D9D9D9"/>
        <w:autoSpaceDE w:val="0"/>
        <w:autoSpaceDN w:val="0"/>
        <w:spacing w:line="360" w:lineRule="auto"/>
        <w:jc w:val="both"/>
        <w:rPr>
          <w:rFonts w:ascii="MinionPro-Regular" w:hAnsi="MinionPro-Regular"/>
          <w:szCs w:val="24"/>
          <w:lang w:val="es-ES_tradnl"/>
        </w:rPr>
      </w:pPr>
    </w:p>
    <w:p w:rsidR="00E2336B" w:rsidRDefault="00E2336B" w:rsidP="00632766">
      <w:pPr>
        <w:pBdr>
          <w:top w:val="single" w:sz="4" w:space="1" w:color="auto"/>
          <w:left w:val="single" w:sz="4" w:space="4" w:color="auto"/>
          <w:bottom w:val="single" w:sz="4" w:space="1" w:color="auto"/>
          <w:right w:val="single" w:sz="4" w:space="4" w:color="auto"/>
        </w:pBdr>
        <w:shd w:val="clear" w:color="auto" w:fill="D9D9D9"/>
        <w:autoSpaceDE w:val="0"/>
        <w:autoSpaceDN w:val="0"/>
        <w:spacing w:line="360" w:lineRule="auto"/>
        <w:jc w:val="both"/>
        <w:rPr>
          <w:rFonts w:ascii="MinionPro-Regular" w:hAnsi="MinionPro-Regular"/>
          <w:szCs w:val="24"/>
          <w:lang w:val="es-ES_tradnl"/>
        </w:rPr>
      </w:pPr>
      <w:r>
        <w:rPr>
          <w:rFonts w:ascii="MinionPro-Regular" w:hAnsi="MinionPro-Regular"/>
          <w:szCs w:val="24"/>
          <w:lang w:val="es-ES_tradnl"/>
        </w:rPr>
        <w:t xml:space="preserve">La transición al empleo ordinario no debería ser un objetico explícito de los centros especiales de empleo, aunque sí debería serlo mejorar la empleabilidad de las personas. El </w:t>
      </w:r>
      <w:r w:rsidRPr="00632766">
        <w:rPr>
          <w:rFonts w:ascii="MinionPro-Regular" w:hAnsi="MinionPro-Regular"/>
          <w:szCs w:val="24"/>
          <w:lang w:val="es-ES_tradnl"/>
        </w:rPr>
        <w:t xml:space="preserve">tránsito al empleo ordinario </w:t>
      </w:r>
      <w:r>
        <w:rPr>
          <w:rFonts w:ascii="MinionPro-Regular" w:hAnsi="MinionPro-Regular"/>
          <w:szCs w:val="24"/>
          <w:lang w:val="es-ES_tradnl"/>
        </w:rPr>
        <w:t xml:space="preserve">como objetivo explícito debería reservarse para </w:t>
      </w:r>
      <w:r w:rsidRPr="00632766">
        <w:rPr>
          <w:rFonts w:ascii="MinionPro-Regular" w:hAnsi="MinionPro-Regular"/>
          <w:szCs w:val="24"/>
          <w:lang w:val="es-ES_tradnl"/>
        </w:rPr>
        <w:t xml:space="preserve">aquellos centros que </w:t>
      </w:r>
      <w:r>
        <w:rPr>
          <w:rFonts w:ascii="MinionPro-Regular" w:hAnsi="MinionPro-Regular"/>
          <w:szCs w:val="24"/>
          <w:lang w:val="es-ES_tradnl"/>
        </w:rPr>
        <w:t xml:space="preserve">emplean a personas con un mayor nivel de empleabilidad o para los de iniciativa empresarial, especialmente aquellos que </w:t>
      </w:r>
      <w:r w:rsidRPr="00632766">
        <w:rPr>
          <w:rFonts w:ascii="MinionPro-Regular" w:hAnsi="MinionPro-Regular"/>
          <w:szCs w:val="24"/>
          <w:lang w:val="es-ES_tradnl"/>
        </w:rPr>
        <w:t xml:space="preserve">desarrollan actividades análogas o de naturaleza similar a las de la iniciativa que los constituye.  </w:t>
      </w:r>
    </w:p>
    <w:p w:rsidR="00E2336B" w:rsidRDefault="00E2336B" w:rsidP="00632766">
      <w:pPr>
        <w:pBdr>
          <w:top w:val="single" w:sz="4" w:space="1" w:color="auto"/>
          <w:left w:val="single" w:sz="4" w:space="4" w:color="auto"/>
          <w:bottom w:val="single" w:sz="4" w:space="1" w:color="auto"/>
          <w:right w:val="single" w:sz="4" w:space="4" w:color="auto"/>
        </w:pBdr>
        <w:shd w:val="clear" w:color="auto" w:fill="D9D9D9"/>
        <w:autoSpaceDE w:val="0"/>
        <w:autoSpaceDN w:val="0"/>
        <w:spacing w:line="360" w:lineRule="auto"/>
        <w:jc w:val="both"/>
        <w:rPr>
          <w:rFonts w:ascii="MinionPro-Regular" w:hAnsi="MinionPro-Regular"/>
          <w:szCs w:val="24"/>
          <w:lang w:val="es-ES_tradnl"/>
        </w:rPr>
      </w:pPr>
    </w:p>
    <w:p w:rsidR="00E2336B" w:rsidRPr="00632766" w:rsidRDefault="00E2336B" w:rsidP="00632766">
      <w:pPr>
        <w:pBdr>
          <w:top w:val="single" w:sz="4" w:space="1" w:color="auto"/>
          <w:left w:val="single" w:sz="4" w:space="4" w:color="auto"/>
          <w:bottom w:val="single" w:sz="4" w:space="1" w:color="auto"/>
          <w:right w:val="single" w:sz="4" w:space="4" w:color="auto"/>
        </w:pBdr>
        <w:shd w:val="clear" w:color="auto" w:fill="D9D9D9"/>
        <w:autoSpaceDE w:val="0"/>
        <w:autoSpaceDN w:val="0"/>
        <w:spacing w:line="360" w:lineRule="auto"/>
        <w:jc w:val="both"/>
        <w:rPr>
          <w:rFonts w:ascii="MinionPro-Regular" w:hAnsi="MinionPro-Regular"/>
          <w:szCs w:val="24"/>
          <w:lang w:val="es-ES_tradnl"/>
        </w:rPr>
      </w:pPr>
      <w:r>
        <w:rPr>
          <w:rFonts w:ascii="MinionPro-Regular" w:hAnsi="MinionPro-Regular"/>
          <w:szCs w:val="24"/>
          <w:lang w:val="es-ES_tradnl"/>
        </w:rPr>
        <w:t>En aquellos casos  específicos para los que el objetivo de transición debiera ser un objetivo explícito, el</w:t>
      </w:r>
      <w:r w:rsidRPr="00632766">
        <w:rPr>
          <w:rFonts w:ascii="MinionPro-Regular" w:hAnsi="MinionPro-Regular"/>
          <w:szCs w:val="24"/>
          <w:lang w:val="es-ES_tradnl"/>
        </w:rPr>
        <w:t xml:space="preserve"> grado de cumplimiento debería formar parte de la información que anualmente deben presentar a los registros oficiales, </w:t>
      </w:r>
      <w:r>
        <w:rPr>
          <w:rFonts w:ascii="MinionPro-Regular" w:hAnsi="MinionPro-Regular"/>
          <w:szCs w:val="24"/>
          <w:lang w:val="es-ES_tradnl"/>
        </w:rPr>
        <w:t>cuyos requisitos están establecidos en</w:t>
      </w:r>
      <w:r w:rsidRPr="00632766">
        <w:rPr>
          <w:rFonts w:ascii="MinionPro-Regular" w:hAnsi="MinionPro-Regular"/>
          <w:szCs w:val="24"/>
          <w:lang w:val="es-ES_tradnl"/>
        </w:rPr>
        <w:t xml:space="preserve"> el artículo 13 del Real Decreto 2273/1985. Del mismo modo, tal y como puede hoy leerse en el artículo 5 de la Orden de 16 de octubre de 1998, los requisitos para la creación de empleo en centros especiales de empleo de iniciativa privada deberían incluir la necesidad de acreditar una tasa de tránsito al empleo ordinaria como la establecida anteriormente. Los servicios públicos de empleo deberían ser garantes del cumplimiento cualitativo y cuantitativo de este compromiso.</w:t>
      </w:r>
    </w:p>
    <w:p w:rsidR="00E2336B" w:rsidRDefault="00E2336B">
      <w:pPr>
        <w:autoSpaceDE w:val="0"/>
        <w:autoSpaceDN w:val="0"/>
        <w:spacing w:line="360" w:lineRule="auto"/>
        <w:jc w:val="both"/>
        <w:rPr>
          <w:rFonts w:ascii="MinionPro-Regular" w:hAnsi="MinionPro-Regular"/>
          <w:sz w:val="24"/>
          <w:szCs w:val="24"/>
          <w:lang w:val="es-ES_tradnl"/>
        </w:rPr>
      </w:pPr>
    </w:p>
    <w:p w:rsidR="00E2336B" w:rsidRDefault="00E2336B" w:rsidP="0007541A">
      <w:pPr>
        <w:pStyle w:val="Ttulo4"/>
        <w:numPr>
          <w:ilvl w:val="3"/>
          <w:numId w:val="3"/>
        </w:numPr>
        <w:tabs>
          <w:tab w:val="clear" w:pos="20"/>
          <w:tab w:val="left" w:pos="0"/>
        </w:tabs>
        <w:rPr>
          <w:lang w:val="es-ES_tradnl"/>
        </w:rPr>
      </w:pPr>
      <w:r w:rsidRPr="0069467F">
        <w:rPr>
          <w:lang w:val="es-ES_tradnl"/>
        </w:rPr>
        <w:lastRenderedPageBreak/>
        <w:t>Incentivos alineados con el objetivo de transición</w:t>
      </w:r>
    </w:p>
    <w:p w:rsidR="00E2336B" w:rsidRDefault="00E2336B">
      <w:pPr>
        <w:autoSpaceDE w:val="0"/>
        <w:autoSpaceDN w:val="0"/>
        <w:spacing w:line="360" w:lineRule="auto"/>
        <w:jc w:val="both"/>
        <w:rPr>
          <w:rFonts w:ascii="MinionPro-Regular" w:hAnsi="MinionPro-Regular"/>
          <w:sz w:val="24"/>
          <w:szCs w:val="24"/>
          <w:lang w:val="es-ES_tradnl"/>
        </w:rPr>
      </w:pPr>
    </w:p>
    <w:p w:rsidR="00E2336B" w:rsidRDefault="00E2336B">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 xml:space="preserve">De la misma manera, en aquellos casos en los que el colectivo o el grado de empleabilidad haga de la transición un objetivo deseable, deben existir incentivos alineados entre los centros y las personas con discapacidad. Esto podría lograrse estableciendo mecanismos que permitan a las personas superar los riesgos asociados a una transición al empleo ordinario estableciendo fórmulas de retorno, como excedencias reguladas, que no impliquen barreras insalvables de costes para los centros y que minimicen el riesgo inherente a la transición para el empleado. </w:t>
      </w:r>
    </w:p>
    <w:p w:rsidR="00E2336B" w:rsidRDefault="00E2336B">
      <w:pPr>
        <w:autoSpaceDE w:val="0"/>
        <w:autoSpaceDN w:val="0"/>
        <w:spacing w:line="360" w:lineRule="auto"/>
        <w:jc w:val="both"/>
        <w:rPr>
          <w:rFonts w:ascii="MinionPro-Regular" w:hAnsi="MinionPro-Regular"/>
          <w:sz w:val="24"/>
          <w:szCs w:val="24"/>
          <w:lang w:val="es-ES_tradnl"/>
        </w:rPr>
      </w:pPr>
    </w:p>
    <w:p w:rsidR="00E2336B" w:rsidRDefault="00E2336B">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 xml:space="preserve">De la misma manera, podrían establecerse objetivos de flexibilidad o mecanismos de retorno para que las personas en centros ocupacionales puedan transitar hacia el modelo de centros especiales de empleo minimizando el riesgo de inadaptación. Esta transición podría significar un ahorro de costes reseñable para la administración. </w:t>
      </w:r>
    </w:p>
    <w:p w:rsidR="00E20352" w:rsidRDefault="00E20352">
      <w:pPr>
        <w:autoSpaceDE w:val="0"/>
        <w:autoSpaceDN w:val="0"/>
        <w:spacing w:line="360" w:lineRule="auto"/>
        <w:jc w:val="both"/>
        <w:rPr>
          <w:rFonts w:ascii="MinionPro-Regular" w:hAnsi="MinionPro-Regular"/>
          <w:sz w:val="24"/>
          <w:szCs w:val="24"/>
          <w:lang w:val="es-ES_tradnl"/>
        </w:rPr>
      </w:pPr>
    </w:p>
    <w:p w:rsidR="00A5357D" w:rsidRDefault="00E2336B" w:rsidP="00F83E19">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 xml:space="preserve">Cabría también considerar el establecimiento de incentivos a los centros especiales de empleo en aquellos casos en los que se produzca el tránsito de empleados al empleo ordinario a través de contratación indefinida. Éstos permitirían eliminar potenciales incentivos perversos, donde el tránsito puede significar, para los centros, la pérdida de los empleados con más talento. </w:t>
      </w:r>
      <w:r w:rsidR="00E20352">
        <w:rPr>
          <w:rFonts w:ascii="MinionPro-Regular" w:hAnsi="MinionPro-Regular"/>
          <w:sz w:val="24"/>
          <w:szCs w:val="24"/>
          <w:lang w:val="es-ES_tradnl"/>
        </w:rPr>
        <w:t xml:space="preserve">También cabría buscar alternativas algo más novedosas. Por ejemplo, la transición podría venir acompañada de un contrato de prestación de servicios o productos durante tres años del CEE con la empresa contratante. Esta modalidad podría ser sobre ponderada a la hora de determinar el cumplimiento de la cuota de reserva. </w:t>
      </w:r>
    </w:p>
    <w:p w:rsidR="00E2336B" w:rsidRDefault="00E2336B" w:rsidP="00F83E19">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lastRenderedPageBreak/>
        <w:t>Desde el punto de vista de las personas, una alternativa para incentivar el tránsito podría consistir en que pudieran llevarse consigo la “mochila” de ayudas durante las primeras etapas de su trabajo en el empleo ordinario.</w:t>
      </w:r>
    </w:p>
    <w:p w:rsidR="00E2336B" w:rsidRDefault="00E2336B" w:rsidP="00F83E19">
      <w:pPr>
        <w:autoSpaceDE w:val="0"/>
        <w:autoSpaceDN w:val="0"/>
        <w:spacing w:line="360" w:lineRule="auto"/>
        <w:jc w:val="both"/>
        <w:rPr>
          <w:rFonts w:ascii="MinionPro-Regular" w:hAnsi="MinionPro-Regular"/>
          <w:sz w:val="24"/>
          <w:szCs w:val="24"/>
          <w:lang w:val="es-ES_tradnl"/>
        </w:rPr>
      </w:pPr>
    </w:p>
    <w:p w:rsidR="00E2336B" w:rsidRPr="00632766" w:rsidRDefault="00E2336B" w:rsidP="00632766">
      <w:pPr>
        <w:pBdr>
          <w:top w:val="single" w:sz="4" w:space="1" w:color="auto"/>
          <w:left w:val="single" w:sz="4" w:space="4" w:color="auto"/>
          <w:bottom w:val="single" w:sz="4" w:space="1" w:color="auto"/>
          <w:right w:val="single" w:sz="4" w:space="4" w:color="auto"/>
        </w:pBdr>
        <w:shd w:val="clear" w:color="auto" w:fill="D9D9D9"/>
        <w:autoSpaceDE w:val="0"/>
        <w:autoSpaceDN w:val="0"/>
        <w:spacing w:line="360" w:lineRule="auto"/>
        <w:jc w:val="both"/>
        <w:rPr>
          <w:rFonts w:ascii="MinionPro-Regular" w:hAnsi="MinionPro-Regular"/>
          <w:b/>
          <w:szCs w:val="24"/>
          <w:lang w:val="es-ES_tradnl"/>
        </w:rPr>
      </w:pPr>
      <w:r>
        <w:rPr>
          <w:rFonts w:ascii="MinionPro-Regular" w:hAnsi="MinionPro-Regular"/>
          <w:b/>
          <w:szCs w:val="24"/>
          <w:lang w:val="es-ES_tradnl"/>
        </w:rPr>
        <w:t xml:space="preserve">Modelo </w:t>
      </w:r>
      <w:r w:rsidRPr="00632766">
        <w:rPr>
          <w:rFonts w:ascii="MinionPro-Regular" w:hAnsi="MinionPro-Regular"/>
          <w:b/>
          <w:szCs w:val="24"/>
          <w:lang w:val="es-ES_tradnl"/>
        </w:rPr>
        <w:t>2020</w:t>
      </w:r>
    </w:p>
    <w:p w:rsidR="00E2336B" w:rsidRDefault="00E2336B" w:rsidP="00632766">
      <w:pPr>
        <w:pBdr>
          <w:top w:val="single" w:sz="4" w:space="1" w:color="auto"/>
          <w:left w:val="single" w:sz="4" w:space="4" w:color="auto"/>
          <w:bottom w:val="single" w:sz="4" w:space="1" w:color="auto"/>
          <w:right w:val="single" w:sz="4" w:space="4" w:color="auto"/>
        </w:pBdr>
        <w:shd w:val="clear" w:color="auto" w:fill="D9D9D9"/>
        <w:autoSpaceDE w:val="0"/>
        <w:autoSpaceDN w:val="0"/>
        <w:spacing w:line="360" w:lineRule="auto"/>
        <w:jc w:val="both"/>
        <w:rPr>
          <w:rFonts w:ascii="MinionPro-Regular" w:hAnsi="MinionPro-Regular"/>
          <w:b/>
          <w:szCs w:val="24"/>
          <w:lang w:val="es-ES_tradnl"/>
        </w:rPr>
      </w:pPr>
      <w:r>
        <w:rPr>
          <w:rFonts w:ascii="MinionPro-Regular" w:hAnsi="MinionPro-Regular"/>
          <w:b/>
          <w:szCs w:val="24"/>
          <w:lang w:val="es-ES_tradnl"/>
        </w:rPr>
        <w:t>Asegurar que los incentivos promueven</w:t>
      </w:r>
      <w:r w:rsidRPr="00632766">
        <w:rPr>
          <w:rFonts w:ascii="MinionPro-Regular" w:hAnsi="MinionPro-Regular"/>
          <w:b/>
          <w:szCs w:val="24"/>
          <w:lang w:val="es-ES_tradnl"/>
        </w:rPr>
        <w:t xml:space="preserve"> el tránsito</w:t>
      </w:r>
    </w:p>
    <w:p w:rsidR="00E2336B" w:rsidRDefault="00E2336B" w:rsidP="00632766">
      <w:pPr>
        <w:pBdr>
          <w:top w:val="single" w:sz="4" w:space="1" w:color="auto"/>
          <w:left w:val="single" w:sz="4" w:space="4" w:color="auto"/>
          <w:bottom w:val="single" w:sz="4" w:space="1" w:color="auto"/>
          <w:right w:val="single" w:sz="4" w:space="4" w:color="auto"/>
        </w:pBdr>
        <w:shd w:val="clear" w:color="auto" w:fill="D9D9D9"/>
        <w:autoSpaceDE w:val="0"/>
        <w:autoSpaceDN w:val="0"/>
        <w:spacing w:line="360" w:lineRule="auto"/>
        <w:jc w:val="both"/>
        <w:rPr>
          <w:rFonts w:ascii="MinionPro-Regular" w:hAnsi="MinionPro-Regular"/>
          <w:szCs w:val="24"/>
          <w:lang w:val="es-ES_tradnl"/>
        </w:rPr>
      </w:pPr>
      <w:r>
        <w:rPr>
          <w:rFonts w:ascii="MinionPro-Regular" w:hAnsi="MinionPro-Regular"/>
          <w:szCs w:val="24"/>
          <w:lang w:val="es-ES_tradnl"/>
        </w:rPr>
        <w:t xml:space="preserve">Los incentivos para que los centros especiales de empleo promuevan el tránsito de sus empleados al empleo ordinario no siempre son claros. Prueba de ello es la normativa que regula en España el empleo con apoyo. </w:t>
      </w:r>
    </w:p>
    <w:p w:rsidR="00E2336B" w:rsidRPr="00632766" w:rsidRDefault="00E2336B" w:rsidP="00632766">
      <w:pPr>
        <w:pBdr>
          <w:top w:val="single" w:sz="4" w:space="1" w:color="auto"/>
          <w:left w:val="single" w:sz="4" w:space="4" w:color="auto"/>
          <w:bottom w:val="single" w:sz="4" w:space="1" w:color="auto"/>
          <w:right w:val="single" w:sz="4" w:space="4" w:color="auto"/>
        </w:pBdr>
        <w:shd w:val="clear" w:color="auto" w:fill="D9D9D9"/>
        <w:autoSpaceDE w:val="0"/>
        <w:autoSpaceDN w:val="0"/>
        <w:spacing w:line="360" w:lineRule="auto"/>
        <w:jc w:val="both"/>
        <w:rPr>
          <w:rFonts w:ascii="MinionPro-Regular" w:hAnsi="MinionPro-Regular"/>
          <w:szCs w:val="24"/>
          <w:lang w:val="es-ES_tradnl"/>
        </w:rPr>
      </w:pPr>
    </w:p>
    <w:p w:rsidR="00E2336B" w:rsidRDefault="00E2336B" w:rsidP="00632766">
      <w:pPr>
        <w:pBdr>
          <w:top w:val="single" w:sz="4" w:space="1" w:color="auto"/>
          <w:left w:val="single" w:sz="4" w:space="4" w:color="auto"/>
          <w:bottom w:val="single" w:sz="4" w:space="1" w:color="auto"/>
          <w:right w:val="single" w:sz="4" w:space="4" w:color="auto"/>
        </w:pBdr>
        <w:shd w:val="clear" w:color="auto" w:fill="D9D9D9"/>
        <w:autoSpaceDE w:val="0"/>
        <w:autoSpaceDN w:val="0"/>
        <w:spacing w:line="360" w:lineRule="auto"/>
        <w:jc w:val="both"/>
        <w:rPr>
          <w:rFonts w:ascii="MinionPro-Regular" w:hAnsi="MinionPro-Regular"/>
          <w:szCs w:val="24"/>
          <w:lang w:val="es-ES_tradnl"/>
        </w:rPr>
      </w:pPr>
      <w:r w:rsidRPr="00632766">
        <w:rPr>
          <w:rFonts w:ascii="MinionPro-Regular" w:hAnsi="MinionPro-Regular"/>
          <w:szCs w:val="24"/>
          <w:lang w:val="es-ES_tradnl"/>
        </w:rPr>
        <w:t>El Real Decreto 870/2007, que regula el programa de empleo con apoyo</w:t>
      </w:r>
      <w:r>
        <w:rPr>
          <w:rFonts w:ascii="MinionPro-Regular" w:hAnsi="MinionPro-Regular"/>
          <w:szCs w:val="24"/>
          <w:lang w:val="es-ES_tradnl"/>
        </w:rPr>
        <w:t>,</w:t>
      </w:r>
      <w:r w:rsidRPr="00632766">
        <w:rPr>
          <w:rFonts w:ascii="MinionPro-Regular" w:hAnsi="MinionPro-Regular"/>
          <w:szCs w:val="24"/>
          <w:lang w:val="es-ES_tradnl"/>
        </w:rPr>
        <w:t xml:space="preserve"> establece, en su artículo cuarto</w:t>
      </w:r>
      <w:r>
        <w:rPr>
          <w:rFonts w:ascii="MinionPro-Regular" w:hAnsi="MinionPro-Regular"/>
          <w:szCs w:val="24"/>
          <w:lang w:val="es-ES_tradnl"/>
        </w:rPr>
        <w:t>,</w:t>
      </w:r>
      <w:r w:rsidRPr="00632766">
        <w:rPr>
          <w:rFonts w:ascii="MinionPro-Regular" w:hAnsi="MinionPro-Regular"/>
          <w:szCs w:val="24"/>
          <w:lang w:val="es-ES_tradnl"/>
        </w:rPr>
        <w:t xml:space="preserve"> las condiciones que deben cumplir los promotores de proyectos de empleo con apoyo y los beneficiarios de las subvenciones. De este modo, las actividades de empleo con apoyo deberán realizarse de modo gratuito, sin que quepa el cobro de ninguna cantidad por el servicio prestado. Del mismo modo,  los centros especiales de empleo que suscriban convenios de colaboración con empresas que van a contratar a empleados de su centro o de cualquier otro no podrán percibir ninguna remuneración por los servicios prestados en este ámbito. Esta situación es extensible </w:t>
      </w:r>
      <w:r>
        <w:rPr>
          <w:rFonts w:ascii="MinionPro-Regular" w:hAnsi="MinionPro-Regular"/>
          <w:szCs w:val="24"/>
          <w:lang w:val="es-ES_tradnl"/>
        </w:rPr>
        <w:t>al ámbito fuera del marco del empleo con apoyo</w:t>
      </w:r>
      <w:r w:rsidRPr="00632766">
        <w:rPr>
          <w:rFonts w:ascii="MinionPro-Regular" w:hAnsi="MinionPro-Regular"/>
          <w:szCs w:val="24"/>
          <w:lang w:val="es-ES_tradnl"/>
        </w:rPr>
        <w:t xml:space="preserve"> donde, al igual que sucede en </w:t>
      </w:r>
      <w:r>
        <w:rPr>
          <w:rFonts w:ascii="MinionPro-Regular" w:hAnsi="MinionPro-Regular"/>
          <w:szCs w:val="24"/>
          <w:lang w:val="es-ES_tradnl"/>
        </w:rPr>
        <w:t>el mercado ordinario</w:t>
      </w:r>
      <w:r w:rsidRPr="00632766">
        <w:rPr>
          <w:rFonts w:ascii="MinionPro-Regular" w:hAnsi="MinionPro-Regular"/>
          <w:szCs w:val="24"/>
          <w:lang w:val="es-ES_tradnl"/>
        </w:rPr>
        <w:t xml:space="preserve"> cuando una persona decide cambiar de empleo, la empresa de origen no recibe ningún tipo de compensación </w:t>
      </w:r>
      <w:r>
        <w:rPr>
          <w:rFonts w:ascii="MinionPro-Regular" w:hAnsi="MinionPro-Regular"/>
          <w:szCs w:val="24"/>
          <w:lang w:val="es-ES_tradnl"/>
        </w:rPr>
        <w:t>a resultas de este cambio</w:t>
      </w:r>
      <w:r w:rsidRPr="00632766">
        <w:rPr>
          <w:rFonts w:ascii="MinionPro-Regular" w:hAnsi="MinionPro-Regular"/>
          <w:szCs w:val="24"/>
          <w:lang w:val="es-ES_tradnl"/>
        </w:rPr>
        <w:t xml:space="preserve">. </w:t>
      </w:r>
      <w:r>
        <w:rPr>
          <w:rFonts w:ascii="MinionPro-Regular" w:hAnsi="MinionPro-Regular"/>
          <w:szCs w:val="24"/>
          <w:lang w:val="es-ES_tradnl"/>
        </w:rPr>
        <w:t xml:space="preserve">Más bien al contrario; cuando alguien cambia voluntariamente de empleo la empresa de origen se enfrenta, en ocasiones,  a un elevado coste de reemplazo. Esta circunstancia es particularmente cierta en el caso de los centros especiales de empleo; cabe pensar que </w:t>
      </w:r>
      <w:r w:rsidRPr="00632766">
        <w:rPr>
          <w:rFonts w:ascii="MinionPro-Regular" w:hAnsi="MinionPro-Regular"/>
          <w:szCs w:val="24"/>
          <w:lang w:val="es-ES_tradnl"/>
        </w:rPr>
        <w:t xml:space="preserve">los empleados </w:t>
      </w:r>
      <w:r>
        <w:rPr>
          <w:rFonts w:ascii="MinionPro-Regular" w:hAnsi="MinionPro-Regular"/>
          <w:szCs w:val="24"/>
          <w:lang w:val="es-ES_tradnl"/>
        </w:rPr>
        <w:t>cuya empleabilidad permite</w:t>
      </w:r>
      <w:r w:rsidRPr="00632766">
        <w:rPr>
          <w:rFonts w:ascii="MinionPro-Regular" w:hAnsi="MinionPro-Regular"/>
          <w:szCs w:val="24"/>
          <w:lang w:val="es-ES_tradnl"/>
        </w:rPr>
        <w:t xml:space="preserve"> hacer la transición hacia el empleo ordinario </w:t>
      </w:r>
      <w:r>
        <w:rPr>
          <w:rFonts w:ascii="MinionPro-Regular" w:hAnsi="MinionPro-Regular"/>
          <w:szCs w:val="24"/>
          <w:lang w:val="es-ES_tradnl"/>
        </w:rPr>
        <w:t xml:space="preserve">son </w:t>
      </w:r>
      <w:r w:rsidRPr="00632766">
        <w:rPr>
          <w:rFonts w:ascii="MinionPro-Regular" w:hAnsi="MinionPro-Regular"/>
          <w:szCs w:val="24"/>
          <w:lang w:val="es-ES_tradnl"/>
        </w:rPr>
        <w:t xml:space="preserve">aquellos </w:t>
      </w:r>
      <w:r>
        <w:rPr>
          <w:rFonts w:ascii="MinionPro-Regular" w:hAnsi="MinionPro-Regular"/>
          <w:szCs w:val="24"/>
          <w:lang w:val="es-ES_tradnl"/>
        </w:rPr>
        <w:t>cuyo reemplazo supone un mayor coste al centro especial de empleo</w:t>
      </w:r>
      <w:r w:rsidRPr="00632766">
        <w:rPr>
          <w:rFonts w:ascii="MinionPro-Regular" w:hAnsi="MinionPro-Regular"/>
          <w:szCs w:val="24"/>
          <w:lang w:val="es-ES_tradnl"/>
        </w:rPr>
        <w:t xml:space="preserve">. Su reemplazo, o la formación de una </w:t>
      </w:r>
      <w:r>
        <w:rPr>
          <w:rFonts w:ascii="MinionPro-Regular" w:hAnsi="MinionPro-Regular"/>
          <w:szCs w:val="24"/>
          <w:lang w:val="es-ES_tradnl"/>
        </w:rPr>
        <w:t xml:space="preserve">nueva </w:t>
      </w:r>
      <w:r w:rsidRPr="00632766">
        <w:rPr>
          <w:rFonts w:ascii="MinionPro-Regular" w:hAnsi="MinionPro-Regular"/>
          <w:szCs w:val="24"/>
          <w:lang w:val="es-ES_tradnl"/>
        </w:rPr>
        <w:t xml:space="preserve">persona </w:t>
      </w:r>
      <w:r>
        <w:rPr>
          <w:rFonts w:ascii="MinionPro-Regular" w:hAnsi="MinionPro-Regular"/>
          <w:szCs w:val="24"/>
          <w:lang w:val="es-ES_tradnl"/>
        </w:rPr>
        <w:t>hasta alcanzar u</w:t>
      </w:r>
      <w:r w:rsidRPr="00632766">
        <w:rPr>
          <w:rFonts w:ascii="MinionPro-Regular" w:hAnsi="MinionPro-Regular"/>
          <w:szCs w:val="24"/>
          <w:lang w:val="es-ES_tradnl"/>
        </w:rPr>
        <w:t>n nivel de empleabilidad similar</w:t>
      </w:r>
      <w:r>
        <w:rPr>
          <w:rFonts w:ascii="MinionPro-Regular" w:hAnsi="MinionPro-Regular"/>
          <w:szCs w:val="24"/>
          <w:lang w:val="es-ES_tradnl"/>
        </w:rPr>
        <w:t>,</w:t>
      </w:r>
      <w:r w:rsidRPr="00632766">
        <w:rPr>
          <w:rFonts w:ascii="MinionPro-Regular" w:hAnsi="MinionPro-Regular"/>
          <w:szCs w:val="24"/>
          <w:lang w:val="es-ES_tradnl"/>
        </w:rPr>
        <w:t xml:space="preserve"> puede imponer costes significativos al centro especial de empleo</w:t>
      </w:r>
      <w:r>
        <w:rPr>
          <w:rFonts w:ascii="MinionPro-Regular" w:hAnsi="MinionPro-Regular"/>
          <w:szCs w:val="24"/>
          <w:lang w:val="es-ES_tradnl"/>
        </w:rPr>
        <w:t xml:space="preserve">. </w:t>
      </w:r>
      <w:r>
        <w:rPr>
          <w:rFonts w:ascii="MinionPro-Regular" w:hAnsi="MinionPro-Regular"/>
          <w:szCs w:val="24"/>
          <w:lang w:val="es-ES_tradnl"/>
        </w:rPr>
        <w:lastRenderedPageBreak/>
        <w:t xml:space="preserve">Como consecuencia, el centro tendrá pocos incentivos </w:t>
      </w:r>
      <w:r w:rsidRPr="00632766">
        <w:rPr>
          <w:rFonts w:ascii="MinionPro-Regular" w:hAnsi="MinionPro-Regular"/>
          <w:szCs w:val="24"/>
          <w:lang w:val="es-ES_tradnl"/>
        </w:rPr>
        <w:t xml:space="preserve"> a estimular al empleado a hacer el tránsito al empleo ordinario o al empleo con apoyo. </w:t>
      </w:r>
    </w:p>
    <w:p w:rsidR="00E2336B" w:rsidRDefault="00E2336B" w:rsidP="00632766">
      <w:pPr>
        <w:pBdr>
          <w:top w:val="single" w:sz="4" w:space="1" w:color="auto"/>
          <w:left w:val="single" w:sz="4" w:space="4" w:color="auto"/>
          <w:bottom w:val="single" w:sz="4" w:space="1" w:color="auto"/>
          <w:right w:val="single" w:sz="4" w:space="4" w:color="auto"/>
        </w:pBdr>
        <w:shd w:val="clear" w:color="auto" w:fill="D9D9D9"/>
        <w:autoSpaceDE w:val="0"/>
        <w:autoSpaceDN w:val="0"/>
        <w:spacing w:line="360" w:lineRule="auto"/>
        <w:jc w:val="both"/>
        <w:rPr>
          <w:rFonts w:ascii="MinionPro-Regular" w:hAnsi="MinionPro-Regular"/>
          <w:szCs w:val="24"/>
          <w:lang w:val="es-ES_tradnl"/>
        </w:rPr>
      </w:pPr>
    </w:p>
    <w:p w:rsidR="00E2336B" w:rsidRDefault="00E2336B" w:rsidP="00632766">
      <w:pPr>
        <w:pBdr>
          <w:top w:val="single" w:sz="4" w:space="1" w:color="auto"/>
          <w:left w:val="single" w:sz="4" w:space="4" w:color="auto"/>
          <w:bottom w:val="single" w:sz="4" w:space="1" w:color="auto"/>
          <w:right w:val="single" w:sz="4" w:space="4" w:color="auto"/>
        </w:pBdr>
        <w:shd w:val="clear" w:color="auto" w:fill="D9D9D9"/>
        <w:autoSpaceDE w:val="0"/>
        <w:autoSpaceDN w:val="0"/>
        <w:spacing w:line="360" w:lineRule="auto"/>
        <w:jc w:val="both"/>
        <w:rPr>
          <w:rFonts w:ascii="MinionPro-Regular" w:hAnsi="MinionPro-Regular"/>
          <w:szCs w:val="24"/>
          <w:lang w:val="es-ES_tradnl"/>
        </w:rPr>
      </w:pPr>
      <w:r w:rsidRPr="00632766">
        <w:rPr>
          <w:rFonts w:ascii="MinionPro-Regular" w:hAnsi="MinionPro-Regular"/>
          <w:szCs w:val="24"/>
          <w:lang w:val="es-ES_tradnl"/>
        </w:rPr>
        <w:t>Sin embargo, se da la paradoja de que son los propios centros especiales de empleo los mejor situados para poder valorar la empleabilidad de las personas con discapacidad y para conocer, en cada momento, cuáles son los candidatos</w:t>
      </w:r>
      <w:r>
        <w:rPr>
          <w:rFonts w:ascii="MinionPro-Regular" w:hAnsi="MinionPro-Regular"/>
          <w:szCs w:val="24"/>
          <w:lang w:val="es-ES_tradnl"/>
        </w:rPr>
        <w:t xml:space="preserve"> cuyas capacidades tienen más acomodo en el mercado y son, por lo tanto,</w:t>
      </w:r>
      <w:r w:rsidRPr="00632766">
        <w:rPr>
          <w:rFonts w:ascii="MinionPro-Regular" w:hAnsi="MinionPro-Regular"/>
          <w:szCs w:val="24"/>
          <w:lang w:val="es-ES_tradnl"/>
        </w:rPr>
        <w:t xml:space="preserve"> más idóneos para hacer la transición al mercado ordinario de trabajo. En el marco de los elementos establecidos en el Real Decreto 870/2007 cabría establecer fórmulas que disminuyeran el desincentivo de los centros especiales de empleo a impulsar el tránsito de sus propios empleados. </w:t>
      </w:r>
    </w:p>
    <w:p w:rsidR="00E2336B" w:rsidRDefault="00E2336B" w:rsidP="00F83E19">
      <w:pPr>
        <w:pStyle w:val="Epgrafe"/>
        <w:keepNext/>
        <w:jc w:val="both"/>
      </w:pPr>
    </w:p>
    <w:p w:rsidR="00E2336B" w:rsidRPr="00196082" w:rsidRDefault="00E2336B" w:rsidP="00196082">
      <w:pPr>
        <w:pStyle w:val="Textoindependiente"/>
      </w:pPr>
    </w:p>
    <w:p w:rsidR="00E2336B" w:rsidRPr="003C7141" w:rsidRDefault="00E2336B" w:rsidP="00F83E19">
      <w:pPr>
        <w:pStyle w:val="Epgrafe"/>
        <w:keepNext/>
        <w:pBdr>
          <w:top w:val="single" w:sz="4" w:space="1" w:color="auto"/>
          <w:bottom w:val="single" w:sz="4" w:space="1" w:color="auto"/>
        </w:pBdr>
        <w:jc w:val="both"/>
        <w:rPr>
          <w:rFonts w:ascii="MinionPro-Regular" w:hAnsi="MinionPro-Regular"/>
          <w:i w:val="0"/>
          <w:sz w:val="20"/>
        </w:rPr>
      </w:pPr>
      <w:r w:rsidRPr="00B44100">
        <w:rPr>
          <w:rFonts w:ascii="MinionPro-Regular" w:hAnsi="MinionPro-Regular"/>
          <w:i w:val="0"/>
          <w:sz w:val="20"/>
        </w:rPr>
        <w:t>Comparativa</w:t>
      </w:r>
      <w:r>
        <w:t xml:space="preserve"> </w:t>
      </w:r>
      <w:r w:rsidRPr="00B44100">
        <w:rPr>
          <w:rFonts w:ascii="MinionPro-Regular" w:hAnsi="MinionPro-Regular"/>
          <w:i w:val="0"/>
          <w:sz w:val="20"/>
        </w:rPr>
        <w:t>del</w:t>
      </w:r>
      <w:r>
        <w:t xml:space="preserve"> </w:t>
      </w:r>
      <w:r w:rsidRPr="00B44100">
        <w:rPr>
          <w:rFonts w:ascii="MinionPro-Regular" w:hAnsi="MinionPro-Regular"/>
          <w:i w:val="0"/>
          <w:sz w:val="20"/>
        </w:rPr>
        <w:t xml:space="preserve">porcentaje de la población por tipo de discapacidad cotizando en la Seguridad Social y en </w:t>
      </w:r>
      <w:r w:rsidRPr="00A75D50">
        <w:rPr>
          <w:rFonts w:ascii="MinionPro-Regular" w:hAnsi="MinionPro-Regular"/>
          <w:i w:val="0"/>
          <w:sz w:val="20"/>
        </w:rPr>
        <w:t xml:space="preserve">centros especiales de empleo </w:t>
      </w:r>
      <w:r w:rsidRPr="00B44100">
        <w:rPr>
          <w:rFonts w:ascii="MinionPro-Regular" w:hAnsi="MinionPro-Regular"/>
          <w:i w:val="0"/>
          <w:sz w:val="20"/>
        </w:rPr>
        <w:t>en 2010.</w:t>
      </w:r>
    </w:p>
    <w:p w:rsidR="00E2336B" w:rsidRDefault="00E1516B" w:rsidP="00F83E19">
      <w:pPr>
        <w:pStyle w:val="Textoindependiente"/>
        <w:pBdr>
          <w:top w:val="single" w:sz="4" w:space="1" w:color="auto"/>
          <w:bottom w:val="single" w:sz="4" w:space="1" w:color="auto"/>
        </w:pBdr>
        <w:spacing w:before="120" w:after="120"/>
      </w:pPr>
      <w:r>
        <w:rPr>
          <w:noProof/>
          <w:lang w:eastAsia="es-ES"/>
        </w:rPr>
        <w:drawing>
          <wp:inline distT="0" distB="0" distL="0" distR="0">
            <wp:extent cx="2665730" cy="2380615"/>
            <wp:effectExtent l="0" t="0" r="0" b="0"/>
            <wp:docPr id="120" name="Picture 12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1"/>
              </a:graphicData>
            </a:graphic>
          </wp:inline>
        </w:drawing>
      </w:r>
      <w:r>
        <w:rPr>
          <w:noProof/>
          <w:lang w:eastAsia="es-ES"/>
        </w:rPr>
        <w:drawing>
          <wp:inline distT="0" distB="0" distL="0" distR="0">
            <wp:extent cx="2665730" cy="2380615"/>
            <wp:effectExtent l="0" t="0" r="0" b="0"/>
            <wp:docPr id="121" name="Picture 12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2"/>
              </a:graphicData>
            </a:graphic>
          </wp:inline>
        </w:drawing>
      </w:r>
    </w:p>
    <w:p w:rsidR="00E2336B" w:rsidRDefault="00E2336B" w:rsidP="00213730">
      <w:pPr>
        <w:pBdr>
          <w:top w:val="single" w:sz="4" w:space="1" w:color="auto"/>
          <w:bottom w:val="single" w:sz="4" w:space="1" w:color="auto"/>
        </w:pBdr>
        <w:autoSpaceDE w:val="0"/>
        <w:autoSpaceDN w:val="0"/>
        <w:spacing w:line="360" w:lineRule="auto"/>
        <w:jc w:val="both"/>
        <w:rPr>
          <w:rFonts w:ascii="MinionPro-Regular" w:hAnsi="MinionPro-Regular"/>
          <w:sz w:val="20"/>
          <w:szCs w:val="24"/>
          <w:lang w:val="es-ES_tradnl"/>
        </w:rPr>
      </w:pPr>
      <w:r w:rsidRPr="00213730">
        <w:rPr>
          <w:rFonts w:ascii="MinionPro-Regular" w:hAnsi="MinionPro-Regular"/>
          <w:sz w:val="20"/>
          <w:szCs w:val="24"/>
          <w:lang w:val="es-ES_tradnl"/>
        </w:rPr>
        <w:t>Fuente: Elaboración propia a partir de los datos publicados en el Instituto Nacional de Estadística</w:t>
      </w:r>
    </w:p>
    <w:p w:rsidR="00E2336B" w:rsidRPr="00213730" w:rsidRDefault="00E2336B" w:rsidP="00213730">
      <w:pPr>
        <w:pBdr>
          <w:top w:val="single" w:sz="4" w:space="1" w:color="auto"/>
          <w:bottom w:val="single" w:sz="4" w:space="1" w:color="auto"/>
        </w:pBdr>
        <w:autoSpaceDE w:val="0"/>
        <w:autoSpaceDN w:val="0"/>
        <w:spacing w:line="360" w:lineRule="auto"/>
        <w:jc w:val="both"/>
        <w:rPr>
          <w:rFonts w:ascii="MinionPro-Regular" w:hAnsi="MinionPro-Regular"/>
          <w:sz w:val="20"/>
          <w:szCs w:val="24"/>
          <w:lang w:val="es-ES_tradnl"/>
        </w:rPr>
      </w:pPr>
    </w:p>
    <w:p w:rsidR="00E2336B" w:rsidRPr="00213730" w:rsidRDefault="00E2336B" w:rsidP="00213730">
      <w:pPr>
        <w:pBdr>
          <w:top w:val="single" w:sz="4" w:space="1" w:color="auto"/>
          <w:bottom w:val="single" w:sz="4" w:space="1" w:color="auto"/>
        </w:pBdr>
        <w:autoSpaceDE w:val="0"/>
        <w:autoSpaceDN w:val="0"/>
        <w:spacing w:line="360" w:lineRule="auto"/>
        <w:jc w:val="both"/>
        <w:rPr>
          <w:rFonts w:ascii="MinionPro-Regular" w:hAnsi="MinionPro-Regular"/>
          <w:sz w:val="20"/>
          <w:szCs w:val="24"/>
          <w:lang w:val="es-ES_tradnl"/>
        </w:rPr>
      </w:pPr>
      <w:r w:rsidRPr="00213730">
        <w:rPr>
          <w:rFonts w:ascii="MinionPro-Regular" w:hAnsi="MinionPro-Regular"/>
          <w:sz w:val="20"/>
          <w:szCs w:val="24"/>
          <w:lang w:val="es-ES_tradnl"/>
        </w:rPr>
        <w:t xml:space="preserve">Nota explicativa de las gráficas: En el margen izquierdo aparece un gráfico circular en el que se representa el porcentaje de asalariados con discapacidad cotizando en la seguridad social en 2010: 60% discapacidad física, 9% psíquica (incluye enfermedad mental y discapacidad intelectual), 10% sensorial y 21% otros. En el margen derecho, se representa en otro gráfico circular el porcentaje de asalariados con discapacidad en </w:t>
      </w:r>
      <w:r w:rsidRPr="00213730">
        <w:rPr>
          <w:rFonts w:ascii="MinionPro-Regular" w:hAnsi="MinionPro-Regular"/>
          <w:sz w:val="20"/>
          <w:szCs w:val="24"/>
          <w:lang w:val="es-ES_tradnl"/>
        </w:rPr>
        <w:lastRenderedPageBreak/>
        <w:t>centros especiales de empleo en 2010: 40% discapacidad física, 30% psíquica (incluye enfermedad mental y discapacidad intelectual), 17% sensorial y 13% otros.</w:t>
      </w:r>
    </w:p>
    <w:p w:rsidR="00E2336B" w:rsidRDefault="00E2336B">
      <w:pPr>
        <w:pStyle w:val="Textoindependiente"/>
      </w:pPr>
    </w:p>
    <w:p w:rsidR="00E2336B" w:rsidRPr="00102379" w:rsidRDefault="00E2336B" w:rsidP="0007541A">
      <w:pPr>
        <w:pStyle w:val="Ttulo3"/>
        <w:numPr>
          <w:ilvl w:val="2"/>
          <w:numId w:val="3"/>
        </w:numPr>
        <w:spacing w:line="240" w:lineRule="auto"/>
        <w:rPr>
          <w:lang w:val="es-ES_tradnl"/>
        </w:rPr>
      </w:pPr>
      <w:bookmarkStart w:id="482" w:name="_Toc352773611"/>
      <w:r w:rsidRPr="00102379">
        <w:rPr>
          <w:lang w:val="es-ES_tradnl"/>
        </w:rPr>
        <w:t>Mayor implicación de las empresas en el empleo de personas con discapacidad</w:t>
      </w:r>
      <w:r>
        <w:rPr>
          <w:lang w:val="es-ES_tradnl"/>
        </w:rPr>
        <w:t xml:space="preserve"> modificando la cuota de reserva  y la aplicación de las medidas alternativas</w:t>
      </w:r>
      <w:bookmarkEnd w:id="482"/>
    </w:p>
    <w:p w:rsidR="00E2336B" w:rsidRPr="00E9299A" w:rsidRDefault="00E2336B" w:rsidP="00703CE1">
      <w:pPr>
        <w:pStyle w:val="Textoindependiente"/>
        <w:rPr>
          <w:lang w:val="es-ES_tradnl"/>
        </w:rPr>
      </w:pPr>
    </w:p>
    <w:p w:rsidR="00E2336B" w:rsidRDefault="00E2336B" w:rsidP="00703CE1">
      <w:pPr>
        <w:pBdr>
          <w:top w:val="single" w:sz="4" w:space="1" w:color="auto"/>
          <w:left w:val="single" w:sz="4" w:space="4" w:color="auto"/>
          <w:bottom w:val="single" w:sz="4" w:space="1" w:color="auto"/>
          <w:right w:val="single" w:sz="4" w:space="4" w:color="auto"/>
        </w:pBdr>
        <w:autoSpaceDE w:val="0"/>
        <w:autoSpaceDN w:val="0"/>
        <w:spacing w:line="360" w:lineRule="auto"/>
        <w:jc w:val="both"/>
        <w:rPr>
          <w:rFonts w:ascii="MinionPro-Regular" w:hAnsi="MinionPro-Regular"/>
          <w:sz w:val="24"/>
          <w:szCs w:val="24"/>
          <w:lang w:val="es-ES_tradnl"/>
        </w:rPr>
      </w:pPr>
      <w:r w:rsidRPr="00CA5116">
        <w:rPr>
          <w:rFonts w:ascii="MinionPro-Regular" w:hAnsi="MinionPro-Regular"/>
          <w:sz w:val="24"/>
          <w:szCs w:val="24"/>
          <w:lang w:val="es-ES_tradnl"/>
        </w:rPr>
        <w:t>Definir un marco de integración</w:t>
      </w:r>
      <w:r>
        <w:rPr>
          <w:rFonts w:ascii="MinionPro-Regular" w:hAnsi="MinionPro-Regular"/>
          <w:sz w:val="24"/>
          <w:szCs w:val="24"/>
          <w:lang w:val="es-ES_tradnl"/>
        </w:rPr>
        <w:t xml:space="preserve"> (cuota de reserva y medidas alternativas) </w:t>
      </w:r>
      <w:r w:rsidRPr="00CA5116">
        <w:rPr>
          <w:rFonts w:ascii="MinionPro-Regular" w:hAnsi="MinionPro-Regular"/>
          <w:sz w:val="24"/>
          <w:szCs w:val="24"/>
          <w:lang w:val="es-ES_tradnl"/>
        </w:rPr>
        <w:t xml:space="preserve">que tenga en cuenta la demografía empresarial española y </w:t>
      </w:r>
      <w:r>
        <w:rPr>
          <w:rFonts w:ascii="MinionPro-Regular" w:hAnsi="MinionPro-Regular"/>
          <w:sz w:val="24"/>
          <w:szCs w:val="24"/>
          <w:lang w:val="es-ES_tradnl"/>
        </w:rPr>
        <w:t xml:space="preserve">además apueste por </w:t>
      </w:r>
      <w:r w:rsidRPr="00CA5116">
        <w:rPr>
          <w:rFonts w:ascii="MinionPro-Regular" w:hAnsi="MinionPro-Regular"/>
          <w:sz w:val="24"/>
          <w:szCs w:val="24"/>
          <w:lang w:val="es-ES_tradnl"/>
        </w:rPr>
        <w:t xml:space="preserve">los centros </w:t>
      </w:r>
      <w:r>
        <w:rPr>
          <w:rFonts w:ascii="MinionPro-Regular" w:hAnsi="MinionPro-Regular"/>
          <w:sz w:val="24"/>
          <w:szCs w:val="24"/>
          <w:lang w:val="es-ES_tradnl"/>
        </w:rPr>
        <w:t>especiales de empleo de iniciativa social como una medida complementaria – además de alternativa -  para cumplir con los objetivos de integración de</w:t>
      </w:r>
      <w:r w:rsidRPr="00CA5116">
        <w:rPr>
          <w:rFonts w:ascii="MinionPro-Regular" w:hAnsi="MinionPro-Regular"/>
          <w:sz w:val="24"/>
          <w:szCs w:val="24"/>
          <w:lang w:val="es-ES_tradnl"/>
        </w:rPr>
        <w:t xml:space="preserve"> colectivos con mayores dificultades de empleabilidad.</w:t>
      </w:r>
    </w:p>
    <w:p w:rsidR="00E2336B" w:rsidRDefault="00E2336B" w:rsidP="00703CE1">
      <w:pPr>
        <w:pBdr>
          <w:top w:val="single" w:sz="4" w:space="1" w:color="auto"/>
          <w:left w:val="single" w:sz="4" w:space="4" w:color="auto"/>
          <w:bottom w:val="single" w:sz="4" w:space="1" w:color="auto"/>
          <w:right w:val="single" w:sz="4" w:space="4" w:color="auto"/>
        </w:pBdr>
        <w:autoSpaceDE w:val="0"/>
        <w:autoSpaceDN w:val="0"/>
        <w:spacing w:line="360" w:lineRule="auto"/>
        <w:jc w:val="both"/>
        <w:rPr>
          <w:rFonts w:ascii="MinionPro-Regular" w:hAnsi="MinionPro-Regular"/>
          <w:sz w:val="24"/>
          <w:szCs w:val="24"/>
          <w:lang w:val="es-ES_tradnl"/>
        </w:rPr>
      </w:pPr>
    </w:p>
    <w:p w:rsidR="00E2336B" w:rsidRDefault="00E2336B" w:rsidP="00703CE1">
      <w:pPr>
        <w:pBdr>
          <w:top w:val="single" w:sz="4" w:space="1" w:color="auto"/>
          <w:left w:val="single" w:sz="4" w:space="4" w:color="auto"/>
          <w:bottom w:val="single" w:sz="4" w:space="1" w:color="auto"/>
          <w:right w:val="single" w:sz="4" w:space="4" w:color="auto"/>
        </w:pBdr>
        <w:autoSpaceDE w:val="0"/>
        <w:autoSpaceDN w:val="0"/>
        <w:spacing w:line="360" w:lineRule="auto"/>
        <w:jc w:val="both"/>
        <w:rPr>
          <w:rFonts w:ascii="MinionPro-Regular" w:hAnsi="MinionPro-Regular"/>
          <w:i/>
          <w:sz w:val="24"/>
          <w:szCs w:val="24"/>
          <w:lang w:val="es-ES_tradnl"/>
        </w:rPr>
      </w:pPr>
      <w:r w:rsidRPr="005A0A75">
        <w:rPr>
          <w:rFonts w:ascii="MinionPro-Regular" w:hAnsi="MinionPro-Regular"/>
          <w:i/>
          <w:sz w:val="24"/>
          <w:szCs w:val="24"/>
          <w:lang w:val="es-ES_tradnl"/>
        </w:rPr>
        <w:t xml:space="preserve">Por dónde comenzar: </w:t>
      </w:r>
    </w:p>
    <w:p w:rsidR="00E2336B" w:rsidRDefault="00E2336B" w:rsidP="00703CE1">
      <w:pPr>
        <w:pBdr>
          <w:top w:val="single" w:sz="4" w:space="1" w:color="auto"/>
          <w:left w:val="single" w:sz="4" w:space="4" w:color="auto"/>
          <w:bottom w:val="single" w:sz="4" w:space="1" w:color="auto"/>
          <w:right w:val="single" w:sz="4" w:space="4" w:color="auto"/>
        </w:pBd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Reforzar los requerimientos de la cuota de reserva ligándolos con el porcentaje de personas con discapacidad sobre la población laboral. Las empresas entre 25-50 empleados deberían tener al menos una persona con discapacidad en sus plantillas. A partir de 50 empleados la cuota debería incrementarse, hasta alcanzar el 5% para aquellas empresas con más de 250 empleados.</w:t>
      </w:r>
    </w:p>
    <w:p w:rsidR="00E2336B" w:rsidRDefault="00E2336B" w:rsidP="00703CE1">
      <w:pPr>
        <w:pBdr>
          <w:top w:val="single" w:sz="4" w:space="1" w:color="auto"/>
          <w:left w:val="single" w:sz="4" w:space="4" w:color="auto"/>
          <w:bottom w:val="single" w:sz="4" w:space="1" w:color="auto"/>
          <w:right w:val="single" w:sz="4" w:space="4" w:color="auto"/>
        </w:pBdr>
        <w:autoSpaceDE w:val="0"/>
        <w:autoSpaceDN w:val="0"/>
        <w:spacing w:line="360" w:lineRule="auto"/>
        <w:jc w:val="both"/>
        <w:rPr>
          <w:rFonts w:ascii="MinionPro-Regular" w:hAnsi="MinionPro-Regular"/>
          <w:sz w:val="24"/>
          <w:szCs w:val="24"/>
          <w:lang w:val="es-ES_tradnl"/>
        </w:rPr>
      </w:pPr>
    </w:p>
    <w:p w:rsidR="00E2336B" w:rsidRDefault="00E2336B" w:rsidP="00703CE1">
      <w:pPr>
        <w:pBdr>
          <w:top w:val="single" w:sz="4" w:space="1" w:color="auto"/>
          <w:left w:val="single" w:sz="4" w:space="4" w:color="auto"/>
          <w:bottom w:val="single" w:sz="4" w:space="1" w:color="auto"/>
          <w:right w:val="single" w:sz="4" w:space="4" w:color="auto"/>
        </w:pBd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Redefinir los criterios para el uso de medidas alternativas para impulsar la actividad de los centros especiales de empleo en sectores estratégicos o de mayor valor añadido.</w:t>
      </w:r>
    </w:p>
    <w:p w:rsidR="00E2336B" w:rsidRDefault="00E2336B" w:rsidP="00703CE1">
      <w:pPr>
        <w:pBdr>
          <w:top w:val="single" w:sz="4" w:space="1" w:color="auto"/>
          <w:left w:val="single" w:sz="4" w:space="4" w:color="auto"/>
          <w:bottom w:val="single" w:sz="4" w:space="1" w:color="auto"/>
          <w:right w:val="single" w:sz="4" w:space="4" w:color="auto"/>
        </w:pBdr>
        <w:autoSpaceDE w:val="0"/>
        <w:autoSpaceDN w:val="0"/>
        <w:spacing w:line="360" w:lineRule="auto"/>
        <w:jc w:val="both"/>
        <w:rPr>
          <w:rFonts w:ascii="MinionPro-Regular" w:hAnsi="MinionPro-Regular"/>
          <w:sz w:val="24"/>
          <w:szCs w:val="24"/>
          <w:lang w:val="es-ES_tradnl"/>
        </w:rPr>
      </w:pPr>
    </w:p>
    <w:p w:rsidR="00E2336B" w:rsidRDefault="00E2336B" w:rsidP="00703CE1">
      <w:pPr>
        <w:autoSpaceDE w:val="0"/>
        <w:autoSpaceDN w:val="0"/>
        <w:spacing w:line="360" w:lineRule="auto"/>
        <w:jc w:val="both"/>
        <w:rPr>
          <w:rFonts w:ascii="MinionPro-Regular" w:hAnsi="MinionPro-Regular"/>
          <w:sz w:val="24"/>
          <w:szCs w:val="24"/>
          <w:lang w:val="es-ES_tradnl"/>
        </w:rPr>
      </w:pPr>
    </w:p>
    <w:p w:rsidR="00E2336B" w:rsidRDefault="00E2336B" w:rsidP="00213730">
      <w:pPr>
        <w:autoSpaceDE w:val="0"/>
        <w:autoSpaceDN w:val="0"/>
        <w:spacing w:line="360" w:lineRule="auto"/>
        <w:jc w:val="both"/>
        <w:rPr>
          <w:rFonts w:ascii="MinionPro-Regular" w:hAnsi="MinionPro-Regular"/>
          <w:sz w:val="24"/>
          <w:szCs w:val="24"/>
          <w:lang w:val="es-ES_tradnl"/>
        </w:rPr>
      </w:pPr>
      <w:r w:rsidRPr="00E16A2D">
        <w:rPr>
          <w:rFonts w:ascii="MinionPro-Regular" w:hAnsi="MinionPro-Regular"/>
          <w:sz w:val="24"/>
          <w:szCs w:val="24"/>
          <w:lang w:val="es-ES_tradnl"/>
        </w:rPr>
        <w:t xml:space="preserve">El modelo </w:t>
      </w:r>
      <w:r>
        <w:rPr>
          <w:rFonts w:ascii="MinionPro-Regular" w:hAnsi="MinionPro-Regular"/>
          <w:sz w:val="24"/>
          <w:szCs w:val="24"/>
          <w:lang w:val="es-ES_tradnl"/>
        </w:rPr>
        <w:t>definido</w:t>
      </w:r>
      <w:r w:rsidRPr="00E16A2D">
        <w:rPr>
          <w:rFonts w:ascii="MinionPro-Regular" w:hAnsi="MinionPro-Regular"/>
          <w:sz w:val="24"/>
          <w:szCs w:val="24"/>
          <w:lang w:val="es-ES_tradnl"/>
        </w:rPr>
        <w:t xml:space="preserve"> en la LISMI</w:t>
      </w:r>
      <w:r>
        <w:rPr>
          <w:rFonts w:ascii="MinionPro-Regular" w:hAnsi="MinionPro-Regular"/>
          <w:sz w:val="24"/>
          <w:szCs w:val="24"/>
          <w:lang w:val="es-ES_tradnl"/>
        </w:rPr>
        <w:t xml:space="preserve"> ha sido muy útil para hacer visibles a la sociedad a las personas con discapacidad y para sentar las bases necesarias para su incorporación al mercado laboral. Sin embargo, existen dudas acerca de si el marco establecido en la </w:t>
      </w:r>
      <w:r>
        <w:rPr>
          <w:rFonts w:ascii="MinionPro-Regular" w:hAnsi="MinionPro-Regular"/>
          <w:sz w:val="24"/>
          <w:szCs w:val="24"/>
          <w:lang w:val="es-ES_tradnl"/>
        </w:rPr>
        <w:lastRenderedPageBreak/>
        <w:t xml:space="preserve">LISMI responde a las necesidades de las personas y del mercado de hoy. En particular, el marco actual no establece diferencias entre los centros especiales de empleo de iniciativa privada y de iniciativa social. Este es un asunto relevante dado que los centros especiales de empleo de iniciativa social emplean a colectivos con mayores dificultades en términos de empleabilidad. </w:t>
      </w:r>
    </w:p>
    <w:p w:rsidR="00313BDF" w:rsidRDefault="00313BDF" w:rsidP="00213730">
      <w:pPr>
        <w:autoSpaceDE w:val="0"/>
        <w:autoSpaceDN w:val="0"/>
        <w:spacing w:line="360" w:lineRule="auto"/>
        <w:jc w:val="both"/>
        <w:rPr>
          <w:rFonts w:ascii="MinionPro-Regular" w:hAnsi="MinionPro-Regular"/>
          <w:sz w:val="24"/>
          <w:szCs w:val="24"/>
          <w:lang w:val="es-ES_tradnl"/>
        </w:rPr>
      </w:pPr>
    </w:p>
    <w:p w:rsidR="00313BDF" w:rsidRDefault="00313BDF" w:rsidP="00213730">
      <w:pPr>
        <w:autoSpaceDE w:val="0"/>
        <w:autoSpaceDN w:val="0"/>
        <w:spacing w:line="360" w:lineRule="auto"/>
        <w:jc w:val="both"/>
        <w:rPr>
          <w:rFonts w:ascii="MinionPro-Regular" w:hAnsi="MinionPro-Regular"/>
          <w:sz w:val="24"/>
          <w:szCs w:val="24"/>
          <w:lang w:val="es-ES_tradnl"/>
        </w:rPr>
      </w:pPr>
    </w:p>
    <w:p w:rsidR="00313BDF" w:rsidRDefault="00313BDF" w:rsidP="00213730">
      <w:pPr>
        <w:autoSpaceDE w:val="0"/>
        <w:autoSpaceDN w:val="0"/>
        <w:spacing w:line="360" w:lineRule="auto"/>
        <w:jc w:val="both"/>
        <w:rPr>
          <w:rFonts w:ascii="MinionPro-Regular" w:hAnsi="MinionPro-Regular"/>
          <w:sz w:val="24"/>
          <w:szCs w:val="24"/>
          <w:lang w:val="es-ES_tradnl"/>
        </w:rPr>
      </w:pPr>
    </w:p>
    <w:p w:rsidR="00313BDF" w:rsidRDefault="00313BDF" w:rsidP="00213730">
      <w:pPr>
        <w:autoSpaceDE w:val="0"/>
        <w:autoSpaceDN w:val="0"/>
        <w:spacing w:line="360" w:lineRule="auto"/>
        <w:jc w:val="both"/>
        <w:rPr>
          <w:rFonts w:ascii="MinionPro-Regular" w:hAnsi="MinionPro-Regular"/>
          <w:sz w:val="24"/>
          <w:szCs w:val="24"/>
          <w:lang w:val="es-ES_tradnl"/>
        </w:rPr>
      </w:pPr>
    </w:p>
    <w:p w:rsidR="00313BDF" w:rsidRDefault="00313BDF" w:rsidP="00213730">
      <w:pPr>
        <w:autoSpaceDE w:val="0"/>
        <w:autoSpaceDN w:val="0"/>
        <w:spacing w:line="360" w:lineRule="auto"/>
        <w:jc w:val="both"/>
        <w:rPr>
          <w:rFonts w:ascii="MinionPro-Regular" w:hAnsi="MinionPro-Regular"/>
          <w:sz w:val="24"/>
          <w:szCs w:val="24"/>
          <w:lang w:val="es-ES_tradnl"/>
        </w:rPr>
      </w:pPr>
    </w:p>
    <w:p w:rsidR="00313BDF" w:rsidRDefault="00313BDF" w:rsidP="00213730">
      <w:pPr>
        <w:autoSpaceDE w:val="0"/>
        <w:autoSpaceDN w:val="0"/>
        <w:spacing w:line="360" w:lineRule="auto"/>
        <w:jc w:val="both"/>
        <w:rPr>
          <w:rFonts w:ascii="MinionPro-Regular" w:hAnsi="MinionPro-Regular"/>
          <w:sz w:val="24"/>
          <w:szCs w:val="24"/>
          <w:lang w:val="es-ES_tradnl"/>
        </w:rPr>
      </w:pPr>
    </w:p>
    <w:p w:rsidR="00E2336B" w:rsidRDefault="00E2336B" w:rsidP="00213730">
      <w:pPr>
        <w:autoSpaceDE w:val="0"/>
        <w:autoSpaceDN w:val="0"/>
        <w:spacing w:line="360" w:lineRule="auto"/>
        <w:jc w:val="both"/>
        <w:rPr>
          <w:rFonts w:ascii="MinionPro-Regular" w:hAnsi="MinionPro-Regular"/>
          <w:sz w:val="24"/>
          <w:szCs w:val="24"/>
          <w:lang w:val="es-ES_tradnl"/>
        </w:rPr>
      </w:pPr>
    </w:p>
    <w:p w:rsidR="00E2336B" w:rsidRPr="00D0247E" w:rsidRDefault="00E2336B" w:rsidP="00703CE1">
      <w:pPr>
        <w:pBdr>
          <w:top w:val="single" w:sz="4" w:space="1" w:color="auto"/>
        </w:pBdr>
        <w:autoSpaceDE w:val="0"/>
        <w:autoSpaceDN w:val="0"/>
        <w:jc w:val="both"/>
        <w:rPr>
          <w:rFonts w:ascii="MinionPro-Regular" w:hAnsi="MinionPro-Regular"/>
          <w:sz w:val="20"/>
          <w:szCs w:val="24"/>
          <w:lang w:val="es-ES_tradnl"/>
        </w:rPr>
      </w:pPr>
      <w:r w:rsidRPr="00D0247E">
        <w:rPr>
          <w:rFonts w:ascii="MinionPro-Regular" w:hAnsi="MinionPro-Regular"/>
          <w:sz w:val="20"/>
          <w:szCs w:val="24"/>
          <w:lang w:val="es-ES_tradnl"/>
        </w:rPr>
        <w:t>Eficacia del marco regulatorio según los gestores de los centros especiales de empleo.</w:t>
      </w:r>
    </w:p>
    <w:p w:rsidR="00E2336B" w:rsidRDefault="00E1516B" w:rsidP="00703CE1">
      <w:pPr>
        <w:autoSpaceDE w:val="0"/>
        <w:autoSpaceDN w:val="0"/>
        <w:jc w:val="both"/>
        <w:rPr>
          <w:rFonts w:ascii="MinionPro-Regular" w:hAnsi="MinionPro-Regular"/>
          <w:sz w:val="24"/>
          <w:szCs w:val="24"/>
          <w:lang w:val="es-ES_tradnl"/>
        </w:rPr>
      </w:pPr>
      <w:r>
        <w:rPr>
          <w:rFonts w:ascii="MinionPro-Regular" w:hAnsi="MinionPro-Regular"/>
          <w:noProof/>
          <w:sz w:val="24"/>
          <w:szCs w:val="24"/>
          <w:lang w:eastAsia="es-ES"/>
        </w:rPr>
        <w:drawing>
          <wp:inline distT="0" distB="0" distL="0" distR="0">
            <wp:extent cx="4451350" cy="2795270"/>
            <wp:effectExtent l="0" t="0" r="0" b="0"/>
            <wp:docPr id="122" name="Picture 12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3"/>
              </a:graphicData>
            </a:graphic>
          </wp:inline>
        </w:drawing>
      </w:r>
    </w:p>
    <w:p w:rsidR="00E2336B" w:rsidRPr="00213730" w:rsidRDefault="00E2336B" w:rsidP="00213730">
      <w:pPr>
        <w:pBdr>
          <w:bottom w:val="single" w:sz="4" w:space="1" w:color="auto"/>
        </w:pBdr>
        <w:autoSpaceDE w:val="0"/>
        <w:autoSpaceDN w:val="0"/>
        <w:spacing w:line="360" w:lineRule="auto"/>
        <w:jc w:val="both"/>
        <w:rPr>
          <w:rFonts w:ascii="MinionPro-Regular" w:hAnsi="MinionPro-Regular"/>
          <w:sz w:val="20"/>
          <w:szCs w:val="24"/>
          <w:lang w:val="es-ES_tradnl"/>
        </w:rPr>
      </w:pPr>
      <w:r w:rsidRPr="00213730">
        <w:rPr>
          <w:rFonts w:ascii="MinionPro-Regular" w:hAnsi="MinionPro-Regular"/>
          <w:sz w:val="20"/>
          <w:szCs w:val="24"/>
          <w:lang w:val="es-ES_tradnl"/>
        </w:rPr>
        <w:t>Fuente: Elaboración propia a partir de la encuesta a centros especiales de empleo. Noviembre 2012</w:t>
      </w:r>
    </w:p>
    <w:p w:rsidR="00E2336B" w:rsidRPr="00213730" w:rsidRDefault="00E2336B" w:rsidP="00213730">
      <w:pPr>
        <w:pBdr>
          <w:bottom w:val="single" w:sz="4" w:space="1" w:color="auto"/>
        </w:pBdr>
        <w:autoSpaceDE w:val="0"/>
        <w:autoSpaceDN w:val="0"/>
        <w:spacing w:line="360" w:lineRule="auto"/>
        <w:jc w:val="both"/>
        <w:rPr>
          <w:rFonts w:ascii="MinionPro-Regular" w:hAnsi="MinionPro-Regular"/>
          <w:sz w:val="20"/>
          <w:szCs w:val="24"/>
          <w:lang w:val="es-ES_tradnl"/>
        </w:rPr>
      </w:pPr>
      <w:r w:rsidRPr="00213730">
        <w:rPr>
          <w:rFonts w:ascii="MinionPro-Regular" w:hAnsi="MinionPro-Regular"/>
          <w:sz w:val="20"/>
          <w:szCs w:val="24"/>
          <w:lang w:val="es-ES_tradnl"/>
        </w:rPr>
        <w:t xml:space="preserve">Nota explicativa de la gráfica: Gráfica circular en la que aparece el porcentaje de gestores de centros especiales entrevistados que respondieron a la pregunta: ¿es eficaz el marco regulatorio? Las respuestas </w:t>
      </w:r>
      <w:r w:rsidRPr="00213730">
        <w:rPr>
          <w:rFonts w:ascii="MinionPro-Regular" w:hAnsi="MinionPro-Regular"/>
          <w:sz w:val="20"/>
          <w:szCs w:val="24"/>
          <w:lang w:val="es-ES_tradnl"/>
        </w:rPr>
        <w:lastRenderedPageBreak/>
        <w:t>son: 11% totalmente de acuerdo, 23% de acuerdo, 31% indiferente, 23% en desacuerdo y 12% totalmente en desacuerdo.</w:t>
      </w:r>
    </w:p>
    <w:p w:rsidR="00E2336B" w:rsidRDefault="00E2336B" w:rsidP="00703CE1">
      <w:pPr>
        <w:autoSpaceDE w:val="0"/>
        <w:autoSpaceDN w:val="0"/>
        <w:jc w:val="both"/>
        <w:rPr>
          <w:rFonts w:ascii="MinionPro-Regular" w:hAnsi="MinionPro-Regular"/>
          <w:sz w:val="24"/>
          <w:szCs w:val="24"/>
          <w:lang w:val="es-ES_tradnl"/>
        </w:rPr>
      </w:pPr>
    </w:p>
    <w:p w:rsidR="00E2336B" w:rsidRDefault="00E2336B" w:rsidP="00703CE1">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 xml:space="preserve">Del mismo modo, cabría asimismo preguntarse acerca de la cuota del 2% (y el 7% en el caso de la administración pública) que puede encontrarse en la legislación española. Como es sabido, las cuotas que pueden encontrarse en otros países europeos no sólo son superiores sino que, además, aplican a compañías de menor tamaño a las que son consideradas en la norma española. El ajuste de los requisitos establecidos a la realidad de la demografía empresarial española podría constituir un importante impulso a la tasa de ocupación de las personas con discapacidad en España y, por ende, constituir un impulso a la actividad de los centros especiales de empleo. </w:t>
      </w:r>
    </w:p>
    <w:p w:rsidR="00E2336B" w:rsidRDefault="00E2336B" w:rsidP="00703CE1">
      <w:pPr>
        <w:autoSpaceDE w:val="0"/>
        <w:autoSpaceDN w:val="0"/>
        <w:spacing w:line="360" w:lineRule="auto"/>
        <w:jc w:val="both"/>
        <w:rPr>
          <w:rFonts w:ascii="MinionPro-Regular" w:hAnsi="MinionPro-Regular"/>
          <w:sz w:val="24"/>
          <w:szCs w:val="24"/>
          <w:lang w:val="es-ES_tradnl"/>
        </w:rPr>
      </w:pPr>
    </w:p>
    <w:p w:rsidR="00E2336B" w:rsidRDefault="00E2336B" w:rsidP="00703CE1">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 xml:space="preserve">Adicionalmente, las medidas de integración podrían combinar la cuota de reserva con medidas complementarias a través de los centros de iniciativa social que pudieran paliar el déficit temporal de personas cualificadas como consecuencia de un aumento de la cuota. </w:t>
      </w:r>
    </w:p>
    <w:p w:rsidR="00E2336B" w:rsidRDefault="00E2336B" w:rsidP="00703CE1">
      <w:pPr>
        <w:autoSpaceDE w:val="0"/>
        <w:autoSpaceDN w:val="0"/>
        <w:spacing w:line="360" w:lineRule="auto"/>
        <w:jc w:val="both"/>
        <w:rPr>
          <w:rFonts w:ascii="MinionPro-Regular" w:hAnsi="MinionPro-Regular"/>
          <w:sz w:val="24"/>
          <w:szCs w:val="24"/>
          <w:lang w:val="es-ES_tradnl"/>
        </w:rPr>
      </w:pPr>
    </w:p>
    <w:p w:rsidR="00E2336B" w:rsidRDefault="00E2336B" w:rsidP="00703CE1">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En este sentido, la propia administración debería reforzar su nivel de cumplimiento con medidas complementarias que impulsaran la contratación pública, a igualdad de condiciones, con centros especiales de empleo.</w:t>
      </w:r>
    </w:p>
    <w:p w:rsidR="00E2336B" w:rsidRDefault="00E2336B" w:rsidP="00703CE1">
      <w:pPr>
        <w:autoSpaceDE w:val="0"/>
        <w:autoSpaceDN w:val="0"/>
        <w:spacing w:line="360" w:lineRule="auto"/>
        <w:jc w:val="both"/>
        <w:rPr>
          <w:rFonts w:ascii="MinionPro-Regular" w:hAnsi="MinionPro-Regular"/>
          <w:sz w:val="24"/>
          <w:szCs w:val="24"/>
          <w:lang w:val="es-ES_tradnl"/>
        </w:rPr>
      </w:pPr>
    </w:p>
    <w:p w:rsidR="00E2336B" w:rsidRDefault="00E2336B" w:rsidP="00703CE1">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De la misma manera, cabría reforzar el cumplimiento de la cuota por parte de las empresas afectadas. El incumplimiento de la misma debería llevar asociado el pago de un canon, aplicado de manera automática vía el pago de los seguros sociales, que podría ir destinado a un fondo nacional cuyos recursos deberían ser aplicados a la mejora de la empleabilidad de las personas con discapacidad.</w:t>
      </w:r>
    </w:p>
    <w:p w:rsidR="00E2336B" w:rsidRPr="00DB0A0C" w:rsidRDefault="00E2336B" w:rsidP="0007541A">
      <w:pPr>
        <w:pStyle w:val="Ttulo3"/>
        <w:numPr>
          <w:ilvl w:val="2"/>
          <w:numId w:val="3"/>
        </w:numPr>
        <w:spacing w:line="240" w:lineRule="auto"/>
        <w:rPr>
          <w:lang w:val="es-ES_tradnl"/>
        </w:rPr>
      </w:pPr>
      <w:bookmarkStart w:id="483" w:name="_Toc351665116"/>
      <w:bookmarkStart w:id="484" w:name="_Toc351665136"/>
      <w:bookmarkStart w:id="485" w:name="_Toc351665140"/>
      <w:bookmarkStart w:id="486" w:name="_Toc351665147"/>
      <w:bookmarkStart w:id="487" w:name="_Toc351665148"/>
      <w:bookmarkStart w:id="488" w:name="_Toc352773612"/>
      <w:bookmarkEnd w:id="483"/>
      <w:bookmarkEnd w:id="484"/>
      <w:bookmarkEnd w:id="485"/>
      <w:bookmarkEnd w:id="486"/>
      <w:bookmarkEnd w:id="487"/>
      <w:r>
        <w:lastRenderedPageBreak/>
        <w:t>Convergencia salarial</w:t>
      </w:r>
      <w:bookmarkEnd w:id="488"/>
    </w:p>
    <w:p w:rsidR="00E2336B" w:rsidRDefault="00E2336B" w:rsidP="00F83E19">
      <w:pPr>
        <w:autoSpaceDE w:val="0"/>
        <w:autoSpaceDN w:val="0"/>
        <w:jc w:val="both"/>
        <w:rPr>
          <w:rFonts w:ascii="MinionPro-Regular" w:hAnsi="MinionPro-Regular"/>
          <w:sz w:val="24"/>
          <w:szCs w:val="24"/>
          <w:lang w:val="es-ES_tradnl"/>
        </w:rPr>
      </w:pPr>
    </w:p>
    <w:p w:rsidR="00E2336B" w:rsidRDefault="00E2336B">
      <w:pPr>
        <w:pBdr>
          <w:top w:val="single" w:sz="4" w:space="1" w:color="auto"/>
          <w:left w:val="single" w:sz="4" w:space="4" w:color="auto"/>
          <w:bottom w:val="single" w:sz="4" w:space="1" w:color="auto"/>
          <w:right w:val="single" w:sz="4" w:space="4" w:color="auto"/>
        </w:pBd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Avanzar en la equiparación de salarios de las personas con discapacidad, desde una apuesta clara, objetivable y medible por el desarrollo profesional y la empleabilidad, en la que los servicios públicos de empleo deben desempeñar un papel protagonista.</w:t>
      </w:r>
    </w:p>
    <w:p w:rsidR="00E2336B" w:rsidRDefault="00E2336B">
      <w:pPr>
        <w:pBdr>
          <w:top w:val="single" w:sz="4" w:space="1" w:color="auto"/>
          <w:left w:val="single" w:sz="4" w:space="4" w:color="auto"/>
          <w:bottom w:val="single" w:sz="4" w:space="1" w:color="auto"/>
          <w:right w:val="single" w:sz="4" w:space="4" w:color="auto"/>
        </w:pBdr>
        <w:autoSpaceDE w:val="0"/>
        <w:autoSpaceDN w:val="0"/>
        <w:spacing w:line="360" w:lineRule="auto"/>
        <w:jc w:val="both"/>
        <w:rPr>
          <w:rFonts w:ascii="MinionPro-Regular" w:hAnsi="MinionPro-Regular"/>
          <w:sz w:val="24"/>
          <w:szCs w:val="24"/>
          <w:lang w:val="es-ES_tradnl"/>
        </w:rPr>
      </w:pPr>
    </w:p>
    <w:p w:rsidR="00E2336B" w:rsidRPr="005A0A75" w:rsidRDefault="00E2336B" w:rsidP="009805FA">
      <w:pPr>
        <w:pBdr>
          <w:top w:val="single" w:sz="4" w:space="1" w:color="auto"/>
          <w:left w:val="single" w:sz="4" w:space="4" w:color="auto"/>
          <w:bottom w:val="single" w:sz="4" w:space="1" w:color="auto"/>
          <w:right w:val="single" w:sz="4" w:space="4" w:color="auto"/>
        </w:pBdr>
        <w:autoSpaceDE w:val="0"/>
        <w:autoSpaceDN w:val="0"/>
        <w:spacing w:line="360" w:lineRule="auto"/>
        <w:jc w:val="both"/>
        <w:rPr>
          <w:rFonts w:ascii="MinionPro-Regular" w:hAnsi="MinionPro-Regular"/>
          <w:i/>
          <w:sz w:val="24"/>
          <w:szCs w:val="24"/>
          <w:lang w:val="es-ES_tradnl"/>
        </w:rPr>
      </w:pPr>
      <w:r w:rsidRPr="005A0A75">
        <w:rPr>
          <w:rFonts w:ascii="MinionPro-Regular" w:hAnsi="MinionPro-Regular"/>
          <w:i/>
          <w:sz w:val="24"/>
          <w:szCs w:val="24"/>
          <w:lang w:val="es-ES_tradnl"/>
        </w:rPr>
        <w:t xml:space="preserve">Por dónde comenzar: </w:t>
      </w:r>
    </w:p>
    <w:p w:rsidR="00E2336B" w:rsidRDefault="00E2336B">
      <w:pPr>
        <w:pBdr>
          <w:top w:val="single" w:sz="4" w:space="1" w:color="auto"/>
          <w:left w:val="single" w:sz="4" w:space="4" w:color="auto"/>
          <w:bottom w:val="single" w:sz="4" w:space="1" w:color="auto"/>
          <w:right w:val="single" w:sz="4" w:space="4" w:color="auto"/>
        </w:pBd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Exigencia de planes de desarrollo profesional para las personas con discapacidad que trabajen en los centros especiales de empleo, atendiendo a su empleabilidad y diseñando itinerarios formativos que maximicen su capacidad de adaptarse a las necesidades del mercado laboral.</w:t>
      </w:r>
    </w:p>
    <w:p w:rsidR="00E2336B" w:rsidRDefault="00E2336B">
      <w:pPr>
        <w:autoSpaceDE w:val="0"/>
        <w:autoSpaceDN w:val="0"/>
        <w:spacing w:line="360" w:lineRule="auto"/>
        <w:jc w:val="both"/>
        <w:rPr>
          <w:rFonts w:ascii="MinionPro-Regular" w:hAnsi="MinionPro-Regular"/>
          <w:sz w:val="24"/>
          <w:szCs w:val="24"/>
          <w:lang w:val="es-ES_tradnl"/>
        </w:rPr>
      </w:pPr>
    </w:p>
    <w:p w:rsidR="00E2336B" w:rsidRDefault="00E2336B">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 xml:space="preserve">De acuerdo a los datos del Instituto Nacional de Estadística, el salario medio en España se situó, en </w:t>
      </w:r>
      <w:r w:rsidRPr="007949F6">
        <w:rPr>
          <w:rFonts w:ascii="MinionPro-Regular" w:hAnsi="MinionPro-Regular"/>
          <w:sz w:val="24"/>
          <w:szCs w:val="24"/>
          <w:lang w:val="es-ES_tradnl"/>
        </w:rPr>
        <w:t xml:space="preserve">el año 2010, en los </w:t>
      </w:r>
      <w:r>
        <w:rPr>
          <w:rFonts w:ascii="MinionPro-Regular" w:hAnsi="MinionPro-Regular"/>
          <w:sz w:val="24"/>
          <w:szCs w:val="24"/>
          <w:lang w:val="es-ES_tradnl"/>
        </w:rPr>
        <w:t>22.511</w:t>
      </w:r>
      <w:r w:rsidRPr="007949F6">
        <w:rPr>
          <w:rFonts w:ascii="MinionPro-Regular" w:hAnsi="MinionPro-Regular"/>
          <w:sz w:val="24"/>
          <w:szCs w:val="24"/>
          <w:lang w:val="es-ES_tradnl"/>
        </w:rPr>
        <w:t>euros</w:t>
      </w:r>
      <w:r w:rsidRPr="007949F6">
        <w:rPr>
          <w:rStyle w:val="Refdenotaalpie"/>
          <w:rFonts w:ascii="MinionPro-Regular" w:hAnsi="MinionPro-Regular"/>
          <w:sz w:val="24"/>
          <w:szCs w:val="24"/>
          <w:lang w:val="es-ES_tradnl"/>
        </w:rPr>
        <w:footnoteReference w:id="68"/>
      </w:r>
      <w:r w:rsidRPr="007949F6">
        <w:rPr>
          <w:rFonts w:ascii="MinionPro-Regular" w:hAnsi="MinionPro-Regular"/>
          <w:sz w:val="24"/>
          <w:szCs w:val="24"/>
          <w:lang w:val="es-ES_tradnl"/>
        </w:rPr>
        <w:t xml:space="preserve">.  Por </w:t>
      </w:r>
      <w:r w:rsidRPr="00FF123C">
        <w:rPr>
          <w:rFonts w:ascii="MinionPro-Regular" w:hAnsi="MinionPro-Regular"/>
          <w:sz w:val="24"/>
          <w:szCs w:val="24"/>
          <w:lang w:val="es-ES_tradnl"/>
        </w:rPr>
        <w:t>su parte, la base de cotización media de los empleados con discapacidad, de acuerdo a la encuesta de vida laboral</w:t>
      </w:r>
      <w:r w:rsidRPr="00FF123C">
        <w:rPr>
          <w:rStyle w:val="Refdenotaalpie"/>
          <w:rFonts w:ascii="MinionPro-Regular" w:hAnsi="MinionPro-Regular"/>
          <w:sz w:val="24"/>
          <w:szCs w:val="24"/>
          <w:lang w:val="es-ES_tradnl"/>
        </w:rPr>
        <w:footnoteReference w:id="69"/>
      </w:r>
      <w:r w:rsidRPr="00FF123C">
        <w:rPr>
          <w:rFonts w:ascii="MinionPro-Regular" w:hAnsi="MinionPro-Regular"/>
          <w:sz w:val="24"/>
          <w:szCs w:val="24"/>
          <w:lang w:val="es-ES_tradnl"/>
        </w:rPr>
        <w:t>, se situaba en los 12.000 euros, alrededor de un 5</w:t>
      </w:r>
      <w:r>
        <w:rPr>
          <w:rFonts w:ascii="MinionPro-Regular" w:hAnsi="MinionPro-Regular"/>
          <w:sz w:val="24"/>
          <w:szCs w:val="24"/>
          <w:lang w:val="es-ES_tradnl"/>
        </w:rPr>
        <w:t xml:space="preserve">0% por debajo del salario medio en España. Los datos del Instituto Nacional de Estadística señalan el enorme impacto de la educación sobre el salario. De este modo, los trabajadores que disponen de un título universitario tienen una prima salarial del 57% por encima del salario medio. Por su parte, el salario de los trabajadores sin estudios se sitúa un 30% por debajo del salario medio. Los datos de las personas con discapacidad señalan que, a pesar del mayor coste de la vida para este colectivo, sus salarios en España están un 20% por debajo de la media de los trabajadores sin titulación. La equiparación salarial debe constituir un objetivo de primer orden para que el acceso al mercado de trabajo alcance su potencial para mejorar </w:t>
      </w:r>
      <w:r>
        <w:rPr>
          <w:rFonts w:ascii="MinionPro-Regular" w:hAnsi="MinionPro-Regular"/>
          <w:sz w:val="24"/>
          <w:szCs w:val="24"/>
          <w:lang w:val="es-ES_tradnl"/>
        </w:rPr>
        <w:lastRenderedPageBreak/>
        <w:t xml:space="preserve">la vida de las personas con discapacidad. Esta convergencia estará ligada íntimamente a la mejora de las cualificaciones de las personas con discapacidad. </w:t>
      </w:r>
    </w:p>
    <w:p w:rsidR="00E2336B" w:rsidRDefault="00E2336B">
      <w:pPr>
        <w:autoSpaceDE w:val="0"/>
        <w:autoSpaceDN w:val="0"/>
        <w:spacing w:line="360" w:lineRule="auto"/>
        <w:jc w:val="both"/>
        <w:rPr>
          <w:rFonts w:ascii="MinionPro-Regular" w:hAnsi="MinionPro-Regular"/>
          <w:sz w:val="24"/>
          <w:szCs w:val="24"/>
          <w:lang w:val="es-ES_tradnl"/>
        </w:rPr>
      </w:pPr>
    </w:p>
    <w:p w:rsidR="00E2336B" w:rsidRDefault="00E2336B">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Como muestran los datos disponibles, e</w:t>
      </w:r>
      <w:r w:rsidRPr="00D25FF2">
        <w:rPr>
          <w:rFonts w:ascii="MinionPro-Regular" w:hAnsi="MinionPro-Regular"/>
          <w:sz w:val="24"/>
          <w:szCs w:val="24"/>
          <w:lang w:val="es-ES_tradnl"/>
        </w:rPr>
        <w:t xml:space="preserve">l nivel </w:t>
      </w:r>
      <w:r>
        <w:rPr>
          <w:rFonts w:ascii="MinionPro-Regular" w:hAnsi="MinionPro-Regular"/>
          <w:sz w:val="24"/>
          <w:szCs w:val="24"/>
          <w:lang w:val="es-ES_tradnl"/>
        </w:rPr>
        <w:t>educativo</w:t>
      </w:r>
      <w:r w:rsidRPr="00D25FF2">
        <w:rPr>
          <w:rFonts w:ascii="MinionPro-Regular" w:hAnsi="MinionPro-Regular"/>
          <w:sz w:val="24"/>
          <w:szCs w:val="24"/>
          <w:lang w:val="es-ES_tradnl"/>
        </w:rPr>
        <w:t xml:space="preserve"> de las personas con discapacidad es inferior </w:t>
      </w:r>
      <w:r>
        <w:rPr>
          <w:rFonts w:ascii="MinionPro-Regular" w:hAnsi="MinionPro-Regular"/>
          <w:sz w:val="24"/>
          <w:szCs w:val="24"/>
          <w:lang w:val="es-ES_tradnl"/>
        </w:rPr>
        <w:t>al de la población general</w:t>
      </w:r>
      <w:r w:rsidRPr="00D25FF2">
        <w:rPr>
          <w:rFonts w:ascii="MinionPro-Regular" w:hAnsi="MinionPro-Regular"/>
          <w:sz w:val="24"/>
          <w:szCs w:val="24"/>
          <w:lang w:val="es-ES_tradnl"/>
        </w:rPr>
        <w:t xml:space="preserve">. </w:t>
      </w:r>
      <w:r>
        <w:rPr>
          <w:rFonts w:ascii="MinionPro-Regular" w:hAnsi="MinionPro-Regular"/>
          <w:sz w:val="24"/>
          <w:szCs w:val="24"/>
          <w:lang w:val="es-ES_tradnl"/>
        </w:rPr>
        <w:t xml:space="preserve">En este sentido, las unidades de apoyo deben desempeñar un papel de primer orden poniendo el foco en desarrollar planes de formación de calidad, individualizados y adaptados a las particularidades en términos de empleabilidad de las personas, asegurando que la formación se ajusta también a las necesidades del mercado. </w:t>
      </w:r>
    </w:p>
    <w:p w:rsidR="00E2336B" w:rsidRDefault="00E2336B">
      <w:pPr>
        <w:autoSpaceDE w:val="0"/>
        <w:autoSpaceDN w:val="0"/>
        <w:spacing w:line="360" w:lineRule="auto"/>
        <w:jc w:val="both"/>
        <w:rPr>
          <w:rFonts w:ascii="MinionPro-Regular" w:hAnsi="MinionPro-Regular"/>
          <w:sz w:val="24"/>
          <w:szCs w:val="24"/>
          <w:lang w:val="es-ES_tradnl"/>
        </w:rPr>
      </w:pPr>
    </w:p>
    <w:p w:rsidR="00E2336B" w:rsidRDefault="00E2336B">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Debe existir una mayor conexión entre las unidades de apoyo, las asociaciones sectoriales y los servicios públicos de empleo, que deberán contar con servicios y profesionales específicamente adaptados a las necesidades de las personas con discapacidad, para asegurar la mejor atención y que los planes de formación están ajustados tanto a las necesidades de la persona como a las demandas y la evolución del mercado. Las unidades deben ser herramientas no sólo para el bienestar de las personas con discapacidad sino también para su progresión y desarrollo profesional. También debe asegurarse que las unidades de apoyo cumplen con su propósito y responden verdaderamente a las necesidades de las personas con discapacidad. Adicionalmente, la administración pública y/o las asociaciones sectoriales deberían colaborar para ayudar al conjunto del sector de los centros especiales de empleo a entender qué constituye una buena práctica en este ámbito.</w:t>
      </w:r>
    </w:p>
    <w:p w:rsidR="00E2336B" w:rsidRDefault="00E2336B">
      <w:pPr>
        <w:autoSpaceDE w:val="0"/>
        <w:autoSpaceDN w:val="0"/>
        <w:spacing w:line="360" w:lineRule="auto"/>
        <w:jc w:val="both"/>
        <w:rPr>
          <w:rFonts w:ascii="MinionPro-Regular" w:hAnsi="MinionPro-Regular"/>
          <w:sz w:val="24"/>
          <w:szCs w:val="24"/>
          <w:lang w:val="es-ES_tradnl"/>
        </w:rPr>
      </w:pPr>
    </w:p>
    <w:p w:rsidR="00A5357D" w:rsidRDefault="00A5357D">
      <w:pPr>
        <w:autoSpaceDE w:val="0"/>
        <w:autoSpaceDN w:val="0"/>
        <w:spacing w:line="360" w:lineRule="auto"/>
        <w:jc w:val="both"/>
        <w:rPr>
          <w:rFonts w:ascii="MinionPro-Regular" w:hAnsi="MinionPro-Regular"/>
          <w:sz w:val="24"/>
          <w:szCs w:val="24"/>
          <w:lang w:val="es-ES_tradnl"/>
        </w:rPr>
      </w:pPr>
    </w:p>
    <w:p w:rsidR="00A5357D" w:rsidRDefault="00A5357D">
      <w:pPr>
        <w:autoSpaceDE w:val="0"/>
        <w:autoSpaceDN w:val="0"/>
        <w:spacing w:line="360" w:lineRule="auto"/>
        <w:jc w:val="both"/>
        <w:rPr>
          <w:rFonts w:ascii="MinionPro-Regular" w:hAnsi="MinionPro-Regular"/>
          <w:sz w:val="24"/>
          <w:szCs w:val="24"/>
          <w:lang w:val="es-ES_tradnl"/>
        </w:rPr>
      </w:pPr>
    </w:p>
    <w:p w:rsidR="00E2336B" w:rsidRPr="00315030" w:rsidRDefault="00E2336B" w:rsidP="00315030">
      <w:pPr>
        <w:pBdr>
          <w:top w:val="single" w:sz="4" w:space="1" w:color="auto"/>
          <w:left w:val="single" w:sz="4" w:space="4" w:color="auto"/>
          <w:bottom w:val="single" w:sz="4" w:space="1" w:color="auto"/>
          <w:right w:val="single" w:sz="4" w:space="4" w:color="auto"/>
        </w:pBdr>
        <w:shd w:val="clear" w:color="auto" w:fill="D9D9D9"/>
        <w:autoSpaceDE w:val="0"/>
        <w:autoSpaceDN w:val="0"/>
        <w:spacing w:line="360" w:lineRule="auto"/>
        <w:jc w:val="both"/>
        <w:rPr>
          <w:rFonts w:ascii="MinionPro-Regular" w:hAnsi="MinionPro-Regular"/>
          <w:b/>
          <w:szCs w:val="24"/>
          <w:lang w:val="es-ES_tradnl"/>
        </w:rPr>
      </w:pPr>
      <w:r w:rsidRPr="00315030">
        <w:rPr>
          <w:rFonts w:ascii="MinionPro-Regular" w:hAnsi="MinionPro-Regular"/>
          <w:b/>
          <w:szCs w:val="24"/>
          <w:lang w:val="es-ES_tradnl"/>
        </w:rPr>
        <w:lastRenderedPageBreak/>
        <w:t>Modelo 2020</w:t>
      </w:r>
    </w:p>
    <w:p w:rsidR="00E2336B" w:rsidRPr="00315030" w:rsidRDefault="00E2336B" w:rsidP="00315030">
      <w:pPr>
        <w:pBdr>
          <w:top w:val="single" w:sz="4" w:space="1" w:color="auto"/>
          <w:left w:val="single" w:sz="4" w:space="4" w:color="auto"/>
          <w:bottom w:val="single" w:sz="4" w:space="1" w:color="auto"/>
          <w:right w:val="single" w:sz="4" w:space="4" w:color="auto"/>
        </w:pBdr>
        <w:shd w:val="clear" w:color="auto" w:fill="D9D9D9"/>
        <w:autoSpaceDE w:val="0"/>
        <w:autoSpaceDN w:val="0"/>
        <w:spacing w:line="360" w:lineRule="auto"/>
        <w:jc w:val="both"/>
        <w:rPr>
          <w:rFonts w:ascii="MinionPro-Regular" w:hAnsi="MinionPro-Regular"/>
          <w:b/>
          <w:szCs w:val="24"/>
          <w:lang w:val="es-ES_tradnl"/>
        </w:rPr>
      </w:pPr>
      <w:r w:rsidRPr="00315030">
        <w:rPr>
          <w:rFonts w:ascii="MinionPro-Regular" w:hAnsi="MinionPro-Regular"/>
          <w:b/>
          <w:szCs w:val="24"/>
          <w:lang w:val="es-ES_tradnl"/>
        </w:rPr>
        <w:t>Reorientar el papel de las unidades de apoyo</w:t>
      </w:r>
      <w:r>
        <w:rPr>
          <w:rFonts w:ascii="MinionPro-Regular" w:hAnsi="MinionPro-Regular"/>
          <w:b/>
          <w:szCs w:val="24"/>
          <w:lang w:val="es-ES_tradnl"/>
        </w:rPr>
        <w:t xml:space="preserve"> y romper la dualidad entre las unidades de apoyo y los servicios de ajuste</w:t>
      </w:r>
    </w:p>
    <w:p w:rsidR="00E2336B" w:rsidRPr="00315030" w:rsidRDefault="00E2336B" w:rsidP="00315030">
      <w:pPr>
        <w:pBdr>
          <w:top w:val="single" w:sz="4" w:space="1" w:color="auto"/>
          <w:left w:val="single" w:sz="4" w:space="4" w:color="auto"/>
          <w:bottom w:val="single" w:sz="4" w:space="1" w:color="auto"/>
          <w:right w:val="single" w:sz="4" w:space="4" w:color="auto"/>
        </w:pBdr>
        <w:shd w:val="clear" w:color="auto" w:fill="D9D9D9"/>
        <w:autoSpaceDE w:val="0"/>
        <w:autoSpaceDN w:val="0"/>
        <w:spacing w:line="360" w:lineRule="auto"/>
        <w:jc w:val="both"/>
        <w:rPr>
          <w:rFonts w:ascii="MinionPro-Regular" w:hAnsi="MinionPro-Regular"/>
          <w:szCs w:val="24"/>
          <w:lang w:val="es-ES_tradnl"/>
        </w:rPr>
      </w:pPr>
    </w:p>
    <w:p w:rsidR="00E2336B" w:rsidRDefault="00E2336B" w:rsidP="00315030">
      <w:pPr>
        <w:pBdr>
          <w:top w:val="single" w:sz="4" w:space="1" w:color="auto"/>
          <w:left w:val="single" w:sz="4" w:space="4" w:color="auto"/>
          <w:bottom w:val="single" w:sz="4" w:space="1" w:color="auto"/>
          <w:right w:val="single" w:sz="4" w:space="4" w:color="auto"/>
        </w:pBdr>
        <w:shd w:val="clear" w:color="auto" w:fill="D9D9D9"/>
        <w:autoSpaceDE w:val="0"/>
        <w:autoSpaceDN w:val="0"/>
        <w:spacing w:line="360" w:lineRule="auto"/>
        <w:jc w:val="both"/>
        <w:rPr>
          <w:rFonts w:ascii="MinionPro-Regular" w:hAnsi="MinionPro-Regular"/>
          <w:szCs w:val="24"/>
          <w:lang w:val="es-ES_tradnl"/>
        </w:rPr>
      </w:pPr>
      <w:r w:rsidRPr="00315030">
        <w:rPr>
          <w:rFonts w:ascii="MinionPro-Regular" w:hAnsi="MinionPro-Regular"/>
          <w:szCs w:val="24"/>
          <w:lang w:val="es-ES_tradnl"/>
        </w:rPr>
        <w:t xml:space="preserve">El Real Decreto 469/2006 regula las unidades de apoyo a la actividad profesional en los centros especiales de empleo. En su artículo 2, el Real Decreto establece que las unidades de apoyo serán los equipos multiprofesionales enmarcados en los Servicios de Ajuste Personal y Social que tienen como objetivo ayudar a la persona con discapacidad a incorporarse, mantenerse y progresar en el puesto de trabajo que ocupa. </w:t>
      </w:r>
      <w:r>
        <w:rPr>
          <w:rFonts w:ascii="MinionPro-Regular" w:hAnsi="MinionPro-Regular"/>
          <w:szCs w:val="24"/>
          <w:lang w:val="es-ES_tradnl"/>
        </w:rPr>
        <w:t xml:space="preserve">Tienen como objetivo, por lo tanto, contribuir al progreso profesional, al desarrollo y a la capacitación de las personas con discapacidad. Sin olvidar, por supuesto las especiales necesidades de adaptación de este colectivo. </w:t>
      </w:r>
    </w:p>
    <w:p w:rsidR="00E2336B" w:rsidRDefault="00E2336B" w:rsidP="00315030">
      <w:pPr>
        <w:pBdr>
          <w:top w:val="single" w:sz="4" w:space="1" w:color="auto"/>
          <w:left w:val="single" w:sz="4" w:space="4" w:color="auto"/>
          <w:bottom w:val="single" w:sz="4" w:space="1" w:color="auto"/>
          <w:right w:val="single" w:sz="4" w:space="4" w:color="auto"/>
        </w:pBdr>
        <w:shd w:val="clear" w:color="auto" w:fill="D9D9D9"/>
        <w:autoSpaceDE w:val="0"/>
        <w:autoSpaceDN w:val="0"/>
        <w:spacing w:line="360" w:lineRule="auto"/>
        <w:jc w:val="both"/>
        <w:rPr>
          <w:rFonts w:ascii="MinionPro-Regular" w:hAnsi="MinionPro-Regular"/>
          <w:szCs w:val="24"/>
          <w:lang w:val="es-ES_tradnl"/>
        </w:rPr>
      </w:pPr>
    </w:p>
    <w:p w:rsidR="00E2336B" w:rsidRDefault="00E2336B" w:rsidP="00315030">
      <w:pPr>
        <w:pBdr>
          <w:top w:val="single" w:sz="4" w:space="1" w:color="auto"/>
          <w:left w:val="single" w:sz="4" w:space="4" w:color="auto"/>
          <w:bottom w:val="single" w:sz="4" w:space="1" w:color="auto"/>
          <w:right w:val="single" w:sz="4" w:space="4" w:color="auto"/>
        </w:pBdr>
        <w:shd w:val="clear" w:color="auto" w:fill="D9D9D9"/>
        <w:autoSpaceDE w:val="0"/>
        <w:autoSpaceDN w:val="0"/>
        <w:spacing w:line="360" w:lineRule="auto"/>
        <w:jc w:val="both"/>
        <w:rPr>
          <w:rFonts w:ascii="MinionPro-Regular" w:hAnsi="MinionPro-Regular"/>
          <w:szCs w:val="24"/>
          <w:lang w:val="es-ES_tradnl"/>
        </w:rPr>
      </w:pPr>
      <w:r w:rsidRPr="00315030">
        <w:rPr>
          <w:rFonts w:ascii="MinionPro-Regular" w:hAnsi="MinionPro-Regular"/>
          <w:szCs w:val="24"/>
          <w:lang w:val="es-ES_tradnl"/>
        </w:rPr>
        <w:t xml:space="preserve">Sin embargo, en el desarrollo de las funciones de las unidades de apoyo, el Real Decreto </w:t>
      </w:r>
      <w:r>
        <w:rPr>
          <w:rFonts w:ascii="MinionPro-Regular" w:hAnsi="MinionPro-Regular"/>
          <w:szCs w:val="24"/>
          <w:lang w:val="es-ES_tradnl"/>
        </w:rPr>
        <w:t xml:space="preserve">anteriormente mencionado </w:t>
      </w:r>
      <w:r w:rsidRPr="00315030">
        <w:rPr>
          <w:rFonts w:ascii="MinionPro-Regular" w:hAnsi="MinionPro-Regular"/>
          <w:szCs w:val="24"/>
          <w:lang w:val="es-ES_tradnl"/>
        </w:rPr>
        <w:t xml:space="preserve">pone el foco más bien en la asistencia a la persona </w:t>
      </w:r>
      <w:r>
        <w:rPr>
          <w:rFonts w:ascii="MinionPro-Regular" w:hAnsi="MinionPro-Regular"/>
          <w:szCs w:val="24"/>
          <w:lang w:val="es-ES_tradnl"/>
        </w:rPr>
        <w:t xml:space="preserve">y en su bienestar </w:t>
      </w:r>
      <w:r w:rsidRPr="00315030">
        <w:rPr>
          <w:rFonts w:ascii="MinionPro-Regular" w:hAnsi="MinionPro-Regular"/>
          <w:szCs w:val="24"/>
          <w:lang w:val="es-ES_tradnl"/>
        </w:rPr>
        <w:t xml:space="preserve">que </w:t>
      </w:r>
      <w:r>
        <w:rPr>
          <w:rFonts w:ascii="MinionPro-Regular" w:hAnsi="MinionPro-Regular"/>
          <w:szCs w:val="24"/>
          <w:lang w:val="es-ES_tradnl"/>
        </w:rPr>
        <w:t xml:space="preserve">en </w:t>
      </w:r>
      <w:r w:rsidRPr="00315030">
        <w:rPr>
          <w:rFonts w:ascii="MinionPro-Regular" w:hAnsi="MinionPro-Regular"/>
          <w:szCs w:val="24"/>
          <w:lang w:val="es-ES_tradnl"/>
        </w:rPr>
        <w:t xml:space="preserve">cuestiones relacionadas con el desarrollo y el progreso profesional. </w:t>
      </w:r>
      <w:r>
        <w:rPr>
          <w:rFonts w:ascii="MinionPro-Regular" w:hAnsi="MinionPro-Regular"/>
          <w:szCs w:val="24"/>
          <w:lang w:val="es-ES_tradnl"/>
        </w:rPr>
        <w:t xml:space="preserve">Sin restar, por supuesto, importancia al primer asunto, los objetivos establecidos para las unidades de apoyo parecen olvidar la importancia de mejorar la empleabilidad de las personas con discapacidad; la importancia, en definitiva, de ganar en habilidades, capacidades y competencias que les conviertan en empleados más valiosos para el centro en el que trabajen y que les faciliten, si así lo desean y en la medida en que esto sea posible, la búsqueda de otro empleo.  Si uno de sus objetivos principales debiera ser la mejora de la empleabilidad, entre sus funciones principales debería encontrarse </w:t>
      </w:r>
      <w:r w:rsidRPr="00315030">
        <w:rPr>
          <w:rFonts w:ascii="MinionPro-Regular" w:hAnsi="MinionPro-Regular"/>
          <w:szCs w:val="24"/>
          <w:lang w:val="es-ES_tradnl"/>
        </w:rPr>
        <w:t>la evaluación de las personas con discapacidad en el centro especial de empleo y</w:t>
      </w:r>
      <w:r>
        <w:rPr>
          <w:rFonts w:ascii="MinionPro-Regular" w:hAnsi="MinionPro-Regular"/>
          <w:szCs w:val="24"/>
          <w:lang w:val="es-ES_tradnl"/>
        </w:rPr>
        <w:t>, como resultado de ella,</w:t>
      </w:r>
      <w:r w:rsidRPr="00315030">
        <w:rPr>
          <w:rFonts w:ascii="MinionPro-Regular" w:hAnsi="MinionPro-Regular"/>
          <w:szCs w:val="24"/>
          <w:lang w:val="es-ES_tradnl"/>
        </w:rPr>
        <w:t xml:space="preserve"> el diseño de itinerarios formativos individuales que, </w:t>
      </w:r>
      <w:r>
        <w:rPr>
          <w:rFonts w:ascii="MinionPro-Regular" w:hAnsi="MinionPro-Regular"/>
          <w:szCs w:val="24"/>
          <w:lang w:val="es-ES_tradnl"/>
        </w:rPr>
        <w:t xml:space="preserve">les </w:t>
      </w:r>
      <w:r w:rsidRPr="00315030">
        <w:rPr>
          <w:rFonts w:ascii="MinionPro-Regular" w:hAnsi="MinionPro-Regular"/>
          <w:szCs w:val="24"/>
          <w:lang w:val="es-ES_tradnl"/>
        </w:rPr>
        <w:t xml:space="preserve">permitan mejorar </w:t>
      </w:r>
      <w:r>
        <w:rPr>
          <w:rFonts w:ascii="MinionPro-Regular" w:hAnsi="MinionPro-Regular"/>
          <w:szCs w:val="24"/>
          <w:lang w:val="es-ES_tradnl"/>
        </w:rPr>
        <w:t>sus habilidades y competencias y progresar profesionalmente</w:t>
      </w:r>
      <w:r w:rsidRPr="00315030">
        <w:rPr>
          <w:rFonts w:ascii="MinionPro-Regular" w:hAnsi="MinionPro-Regular"/>
          <w:szCs w:val="24"/>
          <w:lang w:val="es-ES_tradnl"/>
        </w:rPr>
        <w:t xml:space="preserve">. Los itinerarios formativos de las personas con discapacidad deberían ser revisados anualmente </w:t>
      </w:r>
      <w:r>
        <w:rPr>
          <w:rFonts w:ascii="MinionPro-Regular" w:hAnsi="MinionPro-Regular"/>
          <w:szCs w:val="24"/>
          <w:lang w:val="es-ES_tradnl"/>
        </w:rPr>
        <w:t xml:space="preserve">por las unidades de apoyo </w:t>
      </w:r>
      <w:r w:rsidRPr="00315030">
        <w:rPr>
          <w:rFonts w:ascii="MinionPro-Regular" w:hAnsi="MinionPro-Regular"/>
          <w:szCs w:val="24"/>
          <w:lang w:val="es-ES_tradnl"/>
        </w:rPr>
        <w:t>y dar lugar a planes anuales de formación individuales</w:t>
      </w:r>
      <w:r>
        <w:rPr>
          <w:rFonts w:ascii="MinionPro-Regular" w:hAnsi="MinionPro-Regular"/>
          <w:szCs w:val="24"/>
          <w:lang w:val="es-ES_tradnl"/>
        </w:rPr>
        <w:t>.</w:t>
      </w:r>
    </w:p>
    <w:p w:rsidR="00E2336B" w:rsidRDefault="00E2336B" w:rsidP="00315030">
      <w:pPr>
        <w:pBdr>
          <w:top w:val="single" w:sz="4" w:space="1" w:color="auto"/>
          <w:left w:val="single" w:sz="4" w:space="4" w:color="auto"/>
          <w:bottom w:val="single" w:sz="4" w:space="1" w:color="auto"/>
          <w:right w:val="single" w:sz="4" w:space="4" w:color="auto"/>
        </w:pBdr>
        <w:shd w:val="clear" w:color="auto" w:fill="D9D9D9"/>
        <w:autoSpaceDE w:val="0"/>
        <w:autoSpaceDN w:val="0"/>
        <w:spacing w:line="360" w:lineRule="auto"/>
        <w:jc w:val="both"/>
        <w:rPr>
          <w:rFonts w:ascii="MinionPro-Regular" w:hAnsi="MinionPro-Regular"/>
          <w:szCs w:val="24"/>
          <w:lang w:val="es-ES_tradnl"/>
        </w:rPr>
      </w:pPr>
    </w:p>
    <w:p w:rsidR="00E2336B" w:rsidRDefault="00E2336B" w:rsidP="00315030">
      <w:pPr>
        <w:pBdr>
          <w:top w:val="single" w:sz="4" w:space="1" w:color="auto"/>
          <w:left w:val="single" w:sz="4" w:space="4" w:color="auto"/>
          <w:bottom w:val="single" w:sz="4" w:space="1" w:color="auto"/>
          <w:right w:val="single" w:sz="4" w:space="4" w:color="auto"/>
        </w:pBdr>
        <w:shd w:val="clear" w:color="auto" w:fill="D9D9D9"/>
        <w:autoSpaceDE w:val="0"/>
        <w:autoSpaceDN w:val="0"/>
        <w:spacing w:line="360" w:lineRule="auto"/>
        <w:jc w:val="both"/>
        <w:rPr>
          <w:rFonts w:ascii="MinionPro-Regular" w:hAnsi="MinionPro-Regular"/>
          <w:szCs w:val="24"/>
          <w:lang w:val="es-ES_tradnl"/>
        </w:rPr>
      </w:pPr>
      <w:r>
        <w:rPr>
          <w:rFonts w:ascii="MinionPro-Regular" w:hAnsi="MinionPro-Regular"/>
          <w:szCs w:val="24"/>
          <w:lang w:val="es-ES_tradnl"/>
        </w:rPr>
        <w:lastRenderedPageBreak/>
        <w:t xml:space="preserve">La actual dualidad existente entre los servicios de ajuste y unidades de apoyo genera confusión acerca de cuál debe ser el papel de ambos. Ambas figuras deberían ser una sola que defina claramente cuál es la práctica esperada por parte de los centros especiales de empleo. Además, la legislación no debería abstraerse de la importancia del tamaño de los centros especiales de empleo. Para aquellos de menor tamaño debería permitirse la posibilidad de constituir unidades de apoyo multicentro, que actuarían como servicios mancomunados que harían más eficiente la prestación de estos servicios a las personas con discapacidad a las que dan empleo. </w:t>
      </w:r>
    </w:p>
    <w:p w:rsidR="00E2336B" w:rsidRPr="00315030" w:rsidRDefault="00E2336B" w:rsidP="00315030">
      <w:pPr>
        <w:pBdr>
          <w:top w:val="single" w:sz="4" w:space="1" w:color="auto"/>
          <w:left w:val="single" w:sz="4" w:space="4" w:color="auto"/>
          <w:bottom w:val="single" w:sz="4" w:space="1" w:color="auto"/>
          <w:right w:val="single" w:sz="4" w:space="4" w:color="auto"/>
        </w:pBdr>
        <w:shd w:val="clear" w:color="auto" w:fill="D9D9D9"/>
        <w:autoSpaceDE w:val="0"/>
        <w:autoSpaceDN w:val="0"/>
        <w:spacing w:line="360" w:lineRule="auto"/>
        <w:jc w:val="both"/>
        <w:rPr>
          <w:rFonts w:ascii="MinionPro-Regular" w:hAnsi="MinionPro-Regular"/>
          <w:szCs w:val="24"/>
          <w:lang w:val="es-ES_tradnl"/>
        </w:rPr>
      </w:pPr>
    </w:p>
    <w:p w:rsidR="00E2336B" w:rsidRPr="00315030" w:rsidRDefault="00E2336B" w:rsidP="00315030">
      <w:pPr>
        <w:pBdr>
          <w:top w:val="single" w:sz="4" w:space="1" w:color="auto"/>
          <w:left w:val="single" w:sz="4" w:space="4" w:color="auto"/>
          <w:bottom w:val="single" w:sz="4" w:space="1" w:color="auto"/>
          <w:right w:val="single" w:sz="4" w:space="4" w:color="auto"/>
        </w:pBdr>
        <w:shd w:val="clear" w:color="auto" w:fill="D9D9D9"/>
        <w:autoSpaceDE w:val="0"/>
        <w:autoSpaceDN w:val="0"/>
        <w:spacing w:line="360" w:lineRule="auto"/>
        <w:jc w:val="both"/>
        <w:rPr>
          <w:sz w:val="20"/>
          <w:lang w:val="es-ES_tradnl"/>
        </w:rPr>
      </w:pPr>
      <w:r w:rsidRPr="00315030">
        <w:rPr>
          <w:rFonts w:ascii="MinionPro-Regular" w:hAnsi="MinionPro-Regular"/>
          <w:szCs w:val="24"/>
          <w:lang w:val="es-ES_tradnl"/>
        </w:rPr>
        <w:t xml:space="preserve">El procedimiento de solicitud de subvenciones a las unidades de apoyo debería venir acompañado de las evaluaciones de empleabilidad de las personas con discapacidad, de los itinerarios formativos definidos y de los planes anuales de formación, así como su grado de cumplimiento. </w:t>
      </w:r>
      <w:r>
        <w:rPr>
          <w:rFonts w:ascii="MinionPro-Regular" w:hAnsi="MinionPro-Regular"/>
          <w:szCs w:val="24"/>
          <w:lang w:val="es-ES_tradnl"/>
        </w:rPr>
        <w:t>La definición de la composición de las unidades de apoyo, así como la modalidad de las ayudas deberían tener en cuenta el objetivo anterior, poniendo menos el acento en el número de personas y más en los perfiles necesarios para el desempeño de la tarea a desarrollar.</w:t>
      </w:r>
    </w:p>
    <w:p w:rsidR="00E2336B" w:rsidRPr="00251B12" w:rsidRDefault="00E2336B" w:rsidP="00315030">
      <w:pPr>
        <w:pBdr>
          <w:top w:val="single" w:sz="4" w:space="1" w:color="auto"/>
          <w:left w:val="single" w:sz="4" w:space="4" w:color="auto"/>
          <w:bottom w:val="single" w:sz="4" w:space="1" w:color="auto"/>
          <w:right w:val="single" w:sz="4" w:space="4" w:color="auto"/>
        </w:pBdr>
        <w:shd w:val="clear" w:color="auto" w:fill="D9D9D9"/>
        <w:rPr>
          <w:lang w:val="es-ES_tradnl"/>
        </w:rPr>
      </w:pPr>
    </w:p>
    <w:p w:rsidR="00E2336B" w:rsidRDefault="00E2336B">
      <w:pPr>
        <w:autoSpaceDE w:val="0"/>
        <w:autoSpaceDN w:val="0"/>
        <w:spacing w:line="360" w:lineRule="auto"/>
        <w:jc w:val="both"/>
        <w:rPr>
          <w:rFonts w:ascii="MinionPro-Regular" w:hAnsi="MinionPro-Regular"/>
          <w:sz w:val="24"/>
          <w:szCs w:val="24"/>
          <w:lang w:val="es-ES_tradnl"/>
        </w:rPr>
      </w:pPr>
    </w:p>
    <w:p w:rsidR="00E2336B" w:rsidRDefault="00E2336B" w:rsidP="00F83E19">
      <w:pPr>
        <w:autoSpaceDE w:val="0"/>
        <w:autoSpaceDN w:val="0"/>
        <w:jc w:val="both"/>
        <w:rPr>
          <w:rFonts w:ascii="MinionPro-Regular" w:hAnsi="MinionPro-Regular"/>
          <w:sz w:val="24"/>
          <w:szCs w:val="24"/>
          <w:lang w:val="es-ES_tradnl"/>
        </w:rPr>
      </w:pPr>
    </w:p>
    <w:p w:rsidR="00E2336B" w:rsidRDefault="00E2336B" w:rsidP="00F83E19">
      <w:pPr>
        <w:pBdr>
          <w:top w:val="single" w:sz="4" w:space="1" w:color="auto"/>
        </w:pBdr>
        <w:autoSpaceDE w:val="0"/>
        <w:autoSpaceDN w:val="0"/>
        <w:jc w:val="both"/>
        <w:rPr>
          <w:rFonts w:ascii="MinionPro-Regular" w:hAnsi="MinionPro-Regular"/>
          <w:sz w:val="20"/>
          <w:szCs w:val="24"/>
          <w:lang w:val="es-ES_tradnl"/>
        </w:rPr>
      </w:pPr>
      <w:r w:rsidRPr="00B44100">
        <w:rPr>
          <w:rFonts w:ascii="MinionPro-Regular" w:hAnsi="MinionPro-Regular"/>
          <w:sz w:val="20"/>
          <w:szCs w:val="24"/>
          <w:lang w:val="es-ES_tradnl"/>
        </w:rPr>
        <w:t xml:space="preserve">Eficacia de los planes de desarrollo profesional según los </w:t>
      </w:r>
      <w:r>
        <w:rPr>
          <w:rFonts w:ascii="MinionPro-Regular" w:hAnsi="MinionPro-Regular"/>
          <w:sz w:val="20"/>
          <w:szCs w:val="24"/>
          <w:lang w:val="es-ES_tradnl"/>
        </w:rPr>
        <w:t>centros especiales de empleo</w:t>
      </w:r>
    </w:p>
    <w:p w:rsidR="00E2336B" w:rsidRDefault="00E1516B" w:rsidP="000142BD">
      <w:pPr>
        <w:autoSpaceDE w:val="0"/>
        <w:autoSpaceDN w:val="0"/>
        <w:rPr>
          <w:rFonts w:ascii="MinionPro-Regular" w:hAnsi="MinionPro-Regular"/>
          <w:sz w:val="24"/>
          <w:szCs w:val="24"/>
          <w:lang w:val="es-ES_tradnl"/>
        </w:rPr>
      </w:pPr>
      <w:r>
        <w:rPr>
          <w:rFonts w:ascii="MinionPro-Regular" w:hAnsi="MinionPro-Regular"/>
          <w:noProof/>
          <w:sz w:val="24"/>
          <w:szCs w:val="24"/>
          <w:lang w:eastAsia="es-ES"/>
        </w:rPr>
        <w:drawing>
          <wp:inline distT="0" distB="0" distL="0" distR="0">
            <wp:extent cx="4451350" cy="2795270"/>
            <wp:effectExtent l="0" t="0" r="0" b="0"/>
            <wp:docPr id="123" name="Picture 12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4"/>
              </a:graphicData>
            </a:graphic>
          </wp:inline>
        </w:drawing>
      </w:r>
    </w:p>
    <w:p w:rsidR="00E2336B" w:rsidRDefault="00E2336B" w:rsidP="00213730">
      <w:pPr>
        <w:pBdr>
          <w:bottom w:val="single" w:sz="4" w:space="1" w:color="auto"/>
        </w:pBdr>
        <w:autoSpaceDE w:val="0"/>
        <w:autoSpaceDN w:val="0"/>
        <w:spacing w:line="360" w:lineRule="auto"/>
        <w:jc w:val="both"/>
        <w:rPr>
          <w:rFonts w:ascii="MinionPro-Regular" w:hAnsi="MinionPro-Regular"/>
          <w:sz w:val="20"/>
          <w:szCs w:val="24"/>
          <w:lang w:val="es-ES_tradnl"/>
        </w:rPr>
      </w:pPr>
      <w:r w:rsidRPr="00213730">
        <w:rPr>
          <w:rFonts w:ascii="MinionPro-Regular" w:hAnsi="MinionPro-Regular"/>
          <w:sz w:val="20"/>
          <w:szCs w:val="24"/>
          <w:lang w:val="es-ES_tradnl"/>
        </w:rPr>
        <w:lastRenderedPageBreak/>
        <w:t>Fuente: Elaboración propia sobre datos recibidos de la encuesta a centros especiales de empleo. Noviembre 2012.</w:t>
      </w:r>
    </w:p>
    <w:p w:rsidR="00E2336B" w:rsidRPr="00213730" w:rsidRDefault="00E2336B" w:rsidP="00213730">
      <w:pPr>
        <w:pBdr>
          <w:bottom w:val="single" w:sz="4" w:space="1" w:color="auto"/>
        </w:pBdr>
        <w:autoSpaceDE w:val="0"/>
        <w:autoSpaceDN w:val="0"/>
        <w:spacing w:line="360" w:lineRule="auto"/>
        <w:jc w:val="both"/>
        <w:rPr>
          <w:rFonts w:ascii="MinionPro-Regular" w:hAnsi="MinionPro-Regular"/>
          <w:sz w:val="20"/>
          <w:szCs w:val="24"/>
          <w:lang w:val="es-ES_tradnl"/>
        </w:rPr>
      </w:pPr>
    </w:p>
    <w:p w:rsidR="00E2336B" w:rsidRDefault="00E2336B">
      <w:pPr>
        <w:pBdr>
          <w:bottom w:val="single" w:sz="4" w:space="1" w:color="auto"/>
        </w:pBdr>
        <w:autoSpaceDE w:val="0"/>
        <w:autoSpaceDN w:val="0"/>
        <w:spacing w:line="360" w:lineRule="auto"/>
        <w:jc w:val="both"/>
        <w:rPr>
          <w:rFonts w:ascii="MinionPro-Regular" w:hAnsi="MinionPro-Regular"/>
          <w:sz w:val="20"/>
          <w:szCs w:val="24"/>
          <w:lang w:val="es-ES_tradnl"/>
        </w:rPr>
      </w:pPr>
      <w:r w:rsidRPr="00213730">
        <w:rPr>
          <w:rFonts w:ascii="MinionPro-Regular" w:hAnsi="MinionPro-Regular"/>
          <w:sz w:val="20"/>
          <w:szCs w:val="24"/>
          <w:lang w:val="es-ES_tradnl"/>
        </w:rPr>
        <w:t>Nota explicativa de la gráfica: Gráfica circular en la que aparece el porcentaje de gestores de centros especiales entrevistados que respondieron a la pregunta: ¿son eficaces los planes de desarrollo profesional? Las respuestas son: 23% totalmente de acuerdo, 25% de acuerdo, 39% indiferente, 9% en desacuerdo y 4% totalmente en desacuerdo.</w:t>
      </w:r>
    </w:p>
    <w:p w:rsidR="00E2336B" w:rsidRPr="00B23854" w:rsidRDefault="00E2336B" w:rsidP="00F83E19">
      <w:pPr>
        <w:autoSpaceDE w:val="0"/>
        <w:autoSpaceDN w:val="0"/>
        <w:jc w:val="both"/>
        <w:rPr>
          <w:rFonts w:ascii="MinionPro-Regular" w:hAnsi="MinionPro-Regular"/>
          <w:sz w:val="24"/>
          <w:szCs w:val="24"/>
          <w:lang w:val="es-ES_tradnl"/>
        </w:rPr>
      </w:pPr>
    </w:p>
    <w:p w:rsidR="00E2336B" w:rsidRDefault="00E2336B">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 xml:space="preserve">Por otra parte, cabría considerar la idoneidad de establecer </w:t>
      </w:r>
      <w:r w:rsidRPr="00B23854">
        <w:rPr>
          <w:rFonts w:ascii="MinionPro-Regular" w:hAnsi="MinionPro-Regular"/>
          <w:sz w:val="24"/>
          <w:szCs w:val="24"/>
          <w:lang w:val="es-ES_tradnl"/>
        </w:rPr>
        <w:t xml:space="preserve">fórmulas </w:t>
      </w:r>
      <w:r>
        <w:rPr>
          <w:rFonts w:ascii="MinionPro-Regular" w:hAnsi="MinionPro-Regular"/>
          <w:sz w:val="24"/>
          <w:szCs w:val="24"/>
          <w:lang w:val="es-ES_tradnl"/>
        </w:rPr>
        <w:t>mixtas</w:t>
      </w:r>
      <w:r w:rsidRPr="00B23854">
        <w:rPr>
          <w:rFonts w:ascii="MinionPro-Regular" w:hAnsi="MinionPro-Regular"/>
          <w:sz w:val="24"/>
          <w:szCs w:val="24"/>
          <w:lang w:val="es-ES_tradnl"/>
        </w:rPr>
        <w:t xml:space="preserve"> de empleo y formación </w:t>
      </w:r>
      <w:r>
        <w:rPr>
          <w:rFonts w:ascii="MinionPro-Regular" w:hAnsi="MinionPro-Regular"/>
          <w:sz w:val="24"/>
          <w:szCs w:val="24"/>
          <w:lang w:val="es-ES_tradnl"/>
        </w:rPr>
        <w:t>con el</w:t>
      </w:r>
      <w:r w:rsidRPr="00B23854">
        <w:rPr>
          <w:rFonts w:ascii="MinionPro-Regular" w:hAnsi="MinionPro-Regular"/>
          <w:sz w:val="24"/>
          <w:szCs w:val="24"/>
          <w:lang w:val="es-ES_tradnl"/>
        </w:rPr>
        <w:t xml:space="preserve"> objetivo de que las personas  con discapacidad contratadas pudiesen obtener certificados de profesionalidad y títulos homologados. Para ello, </w:t>
      </w:r>
      <w:r>
        <w:rPr>
          <w:rFonts w:ascii="MinionPro-Regular" w:hAnsi="MinionPro-Regular"/>
          <w:sz w:val="24"/>
          <w:szCs w:val="24"/>
          <w:lang w:val="es-ES_tradnl"/>
        </w:rPr>
        <w:t xml:space="preserve">sería necesaria la adopción de acuerdos de colaboración entre los centros, sus asociaciones y entidades de formación acreditadas. </w:t>
      </w:r>
    </w:p>
    <w:p w:rsidR="00E2336B" w:rsidRDefault="00E2336B">
      <w:pPr>
        <w:autoSpaceDE w:val="0"/>
        <w:autoSpaceDN w:val="0"/>
        <w:spacing w:line="360" w:lineRule="auto"/>
        <w:jc w:val="both"/>
        <w:rPr>
          <w:rFonts w:ascii="MinionPro-Regular" w:hAnsi="MinionPro-Regular"/>
          <w:sz w:val="24"/>
          <w:szCs w:val="24"/>
          <w:lang w:val="es-ES_tradnl"/>
        </w:rPr>
      </w:pPr>
    </w:p>
    <w:p w:rsidR="00A16B27" w:rsidRDefault="00E2336B">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En cualquier caso, la formación y el desarrollo de las personas con discapacidad deberían constituir un objetivo claro y medible de los centros especiales de empleo y constituir uno de los pilares explícitos de los programas de apoyo público.</w:t>
      </w:r>
    </w:p>
    <w:p w:rsidR="00E2336B" w:rsidRDefault="00E2336B">
      <w:pPr>
        <w:autoSpaceDE w:val="0"/>
        <w:autoSpaceDN w:val="0"/>
        <w:spacing w:line="360" w:lineRule="auto"/>
        <w:jc w:val="both"/>
        <w:rPr>
          <w:rFonts w:ascii="MinionPro-Regular" w:hAnsi="MinionPro-Regular"/>
          <w:sz w:val="24"/>
          <w:szCs w:val="24"/>
          <w:lang w:val="es-ES_tradnl"/>
        </w:rPr>
      </w:pPr>
    </w:p>
    <w:p w:rsidR="00E2336B" w:rsidRDefault="00E2336B" w:rsidP="007F3DBD">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También cabría reconsiderar la conveniencia de que existan convenios colectivos aplicables al sector de los centros especiales de empleo y sustituirlos por convenios sectoriales que permitan avanzar en la convergencia salarial y de condiciones para las personas con discapacidad.</w:t>
      </w:r>
    </w:p>
    <w:p w:rsidR="00E2336B" w:rsidRPr="00316B43" w:rsidRDefault="00E2336B" w:rsidP="0007541A">
      <w:pPr>
        <w:pStyle w:val="Ttulo2"/>
        <w:numPr>
          <w:ilvl w:val="1"/>
          <w:numId w:val="3"/>
        </w:numPr>
        <w:spacing w:line="240" w:lineRule="auto"/>
        <w:ind w:left="0"/>
      </w:pPr>
      <w:bookmarkStart w:id="489" w:name="_Toc340515916"/>
      <w:bookmarkStart w:id="490" w:name="_Toc352773613"/>
      <w:r>
        <w:t>Actuar sobre la competitividad</w:t>
      </w:r>
      <w:bookmarkEnd w:id="489"/>
      <w:bookmarkEnd w:id="490"/>
    </w:p>
    <w:p w:rsidR="00E2336B" w:rsidRDefault="00E2336B" w:rsidP="0007541A">
      <w:pPr>
        <w:pStyle w:val="Ttulo3"/>
        <w:numPr>
          <w:ilvl w:val="2"/>
          <w:numId w:val="3"/>
        </w:numPr>
        <w:spacing w:line="240" w:lineRule="auto"/>
        <w:rPr>
          <w:lang w:val="es-ES_tradnl"/>
        </w:rPr>
      </w:pPr>
      <w:bookmarkStart w:id="491" w:name="_Toc352773614"/>
      <w:r>
        <w:rPr>
          <w:lang w:val="es-ES_tradnl"/>
        </w:rPr>
        <w:t>Mayor unidad de mercado y menos trabas administrativas</w:t>
      </w:r>
      <w:bookmarkEnd w:id="491"/>
    </w:p>
    <w:p w:rsidR="00E2336B" w:rsidRDefault="00E2336B" w:rsidP="00F83E19">
      <w:pPr>
        <w:autoSpaceDE w:val="0"/>
        <w:autoSpaceDN w:val="0"/>
        <w:jc w:val="both"/>
        <w:rPr>
          <w:rFonts w:ascii="MinionPro-Regular" w:hAnsi="MinionPro-Regular"/>
          <w:sz w:val="24"/>
          <w:szCs w:val="24"/>
          <w:lang w:val="es-ES_tradnl"/>
        </w:rPr>
      </w:pPr>
    </w:p>
    <w:p w:rsidR="00E2336B" w:rsidRDefault="00E2336B">
      <w:pPr>
        <w:pBdr>
          <w:top w:val="single" w:sz="4" w:space="1" w:color="auto"/>
          <w:left w:val="single" w:sz="4" w:space="4" w:color="auto"/>
          <w:bottom w:val="single" w:sz="4" w:space="1" w:color="auto"/>
          <w:right w:val="single" w:sz="4" w:space="4" w:color="auto"/>
        </w:pBd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lastRenderedPageBreak/>
        <w:t xml:space="preserve">Definir un marco normativo para los centros especiales de empleo en España que sea garante de la unidad de mercado y que elimine las barreras y trabas administrativas que dificultan su competitividad y crecimiento. </w:t>
      </w:r>
    </w:p>
    <w:p w:rsidR="00E2336B" w:rsidRDefault="00E2336B">
      <w:pPr>
        <w:pBdr>
          <w:top w:val="single" w:sz="4" w:space="1" w:color="auto"/>
          <w:left w:val="single" w:sz="4" w:space="4" w:color="auto"/>
          <w:bottom w:val="single" w:sz="4" w:space="1" w:color="auto"/>
          <w:right w:val="single" w:sz="4" w:space="4" w:color="auto"/>
        </w:pBdr>
        <w:autoSpaceDE w:val="0"/>
        <w:autoSpaceDN w:val="0"/>
        <w:spacing w:line="360" w:lineRule="auto"/>
        <w:jc w:val="both"/>
        <w:rPr>
          <w:rFonts w:ascii="MinionPro-Regular" w:hAnsi="MinionPro-Regular"/>
          <w:sz w:val="24"/>
          <w:szCs w:val="24"/>
          <w:lang w:val="es-ES_tradnl"/>
        </w:rPr>
      </w:pPr>
    </w:p>
    <w:p w:rsidR="00E2336B" w:rsidRPr="005A0A75" w:rsidRDefault="00E2336B" w:rsidP="009805FA">
      <w:pPr>
        <w:pBdr>
          <w:top w:val="single" w:sz="4" w:space="1" w:color="auto"/>
          <w:left w:val="single" w:sz="4" w:space="4" w:color="auto"/>
          <w:bottom w:val="single" w:sz="4" w:space="1" w:color="auto"/>
          <w:right w:val="single" w:sz="4" w:space="4" w:color="auto"/>
        </w:pBdr>
        <w:autoSpaceDE w:val="0"/>
        <w:autoSpaceDN w:val="0"/>
        <w:spacing w:line="360" w:lineRule="auto"/>
        <w:jc w:val="both"/>
        <w:rPr>
          <w:rFonts w:ascii="MinionPro-Regular" w:hAnsi="MinionPro-Regular"/>
          <w:i/>
          <w:sz w:val="24"/>
          <w:szCs w:val="24"/>
          <w:lang w:val="es-ES_tradnl"/>
        </w:rPr>
      </w:pPr>
      <w:r w:rsidRPr="005A0A75">
        <w:rPr>
          <w:rFonts w:ascii="MinionPro-Regular" w:hAnsi="MinionPro-Regular"/>
          <w:i/>
          <w:sz w:val="24"/>
          <w:szCs w:val="24"/>
          <w:lang w:val="es-ES_tradnl"/>
        </w:rPr>
        <w:t xml:space="preserve">Por dónde comenzar: </w:t>
      </w:r>
    </w:p>
    <w:p w:rsidR="00E2336B" w:rsidRDefault="00E2336B" w:rsidP="009805FA">
      <w:pPr>
        <w:pBdr>
          <w:top w:val="single" w:sz="4" w:space="1" w:color="auto"/>
          <w:left w:val="single" w:sz="4" w:space="4" w:color="auto"/>
          <w:bottom w:val="single" w:sz="4" w:space="1" w:color="auto"/>
          <w:right w:val="single" w:sz="4" w:space="4" w:color="auto"/>
        </w:pBd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Establecimiento de un registro nacional para los centros especiales de empleo que incluya sus datos bási</w:t>
      </w:r>
      <w:r w:rsidR="000C23EB">
        <w:rPr>
          <w:rFonts w:ascii="MinionPro-Regular" w:hAnsi="MinionPro-Regular"/>
          <w:sz w:val="24"/>
          <w:szCs w:val="24"/>
          <w:lang w:val="es-ES_tradnl"/>
        </w:rPr>
        <w:t>cos de actividad y asignar al S</w:t>
      </w:r>
      <w:r>
        <w:rPr>
          <w:rFonts w:ascii="MinionPro-Regular" w:hAnsi="MinionPro-Regular"/>
          <w:sz w:val="24"/>
          <w:szCs w:val="24"/>
          <w:lang w:val="es-ES_tradnl"/>
        </w:rPr>
        <w:t>P</w:t>
      </w:r>
      <w:r w:rsidR="000C23EB">
        <w:rPr>
          <w:rFonts w:ascii="MinionPro-Regular" w:hAnsi="MinionPro-Regular"/>
          <w:sz w:val="24"/>
          <w:szCs w:val="24"/>
          <w:lang w:val="es-ES_tradnl"/>
        </w:rPr>
        <w:t>E</w:t>
      </w:r>
      <w:r>
        <w:rPr>
          <w:rFonts w:ascii="MinionPro-Regular" w:hAnsi="MinionPro-Regular"/>
          <w:sz w:val="24"/>
          <w:szCs w:val="24"/>
          <w:lang w:val="es-ES_tradnl"/>
        </w:rPr>
        <w:t>E la responsabilidad de supervisar aquellos centros que operen en más de tres comunidades autónomas.</w:t>
      </w:r>
    </w:p>
    <w:p w:rsidR="00E2336B" w:rsidRDefault="00E2336B">
      <w:pPr>
        <w:autoSpaceDE w:val="0"/>
        <w:autoSpaceDN w:val="0"/>
        <w:spacing w:line="360" w:lineRule="auto"/>
        <w:jc w:val="both"/>
        <w:rPr>
          <w:rFonts w:ascii="MinionPro-Regular" w:hAnsi="MinionPro-Regular"/>
          <w:sz w:val="24"/>
          <w:szCs w:val="24"/>
          <w:lang w:val="es-ES_tradnl"/>
        </w:rPr>
      </w:pPr>
    </w:p>
    <w:p w:rsidR="00E2336B" w:rsidRDefault="00E2336B">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Los centros especiales de empleo son organizaciones que venden sus productos y servicios en un mercado abierto y competitivo. Sin embargo, el modelo que existe en la actualidad muestra una notable fragmentación administrativa y presenta rigideces e ineficiencias que dificultan que estas organizaciones puedan crecer, desarrollarse y, en definitiva, competir en igualdad de condiciones en el mercado. Todo ello a pesar de que la Ley 5/2011, de Economía Social, establece en su artículo 8 que los poderes públicos promoverán la economía social  eliminando “los obstáculos que impidan el inicio y el desarrollo de una actividad económica de las entidades de la economía social. Para ello se prestará especial atención a la simplificación de trámites administrativos para la creación de entidades de economía social”.</w:t>
      </w:r>
    </w:p>
    <w:p w:rsidR="00E2336B" w:rsidRDefault="00E2336B">
      <w:pPr>
        <w:autoSpaceDE w:val="0"/>
        <w:autoSpaceDN w:val="0"/>
        <w:spacing w:line="360" w:lineRule="auto"/>
        <w:jc w:val="both"/>
        <w:rPr>
          <w:rFonts w:ascii="MinionPro-Regular" w:hAnsi="MinionPro-Regular"/>
          <w:sz w:val="24"/>
          <w:szCs w:val="24"/>
          <w:lang w:val="es-ES_tradnl"/>
        </w:rPr>
      </w:pPr>
    </w:p>
    <w:p w:rsidR="00E2336B" w:rsidRDefault="00E2336B">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 xml:space="preserve">El modelo ha sido modificado en los distintos ámbitos administrativos nacionales, hasta generar notables diferencias entre las comunidades autónomas en asuntos relacionados, por ejemplo, con las ayudas percibidas. </w:t>
      </w:r>
      <w:r w:rsidRPr="00867D87">
        <w:rPr>
          <w:rFonts w:ascii="MinionPro-Regular" w:hAnsi="MinionPro-Regular"/>
          <w:sz w:val="24"/>
          <w:szCs w:val="24"/>
          <w:lang w:val="es-ES_tradnl"/>
        </w:rPr>
        <w:t xml:space="preserve"> </w:t>
      </w:r>
      <w:r>
        <w:rPr>
          <w:rFonts w:ascii="MinionPro-Regular" w:hAnsi="MinionPro-Regular"/>
          <w:sz w:val="24"/>
          <w:szCs w:val="24"/>
          <w:lang w:val="es-ES_tradnl"/>
        </w:rPr>
        <w:t xml:space="preserve">Estas diferencias introducen notables asimetrías en lo que se refiere a la capacidad de prosperar y sobrevivir de los centros especiales de empleo en función del lugar en el que desarrollan su actividad y, sobre todo, dificultan la </w:t>
      </w:r>
      <w:r>
        <w:rPr>
          <w:rFonts w:ascii="MinionPro-Regular" w:hAnsi="MinionPro-Regular"/>
          <w:sz w:val="24"/>
          <w:szCs w:val="24"/>
          <w:lang w:val="es-ES_tradnl"/>
        </w:rPr>
        <w:lastRenderedPageBreak/>
        <w:t xml:space="preserve">actividad de los centros especiales de empleo que operan en varias comunidades autónomas. </w:t>
      </w:r>
    </w:p>
    <w:p w:rsidR="00E2336B" w:rsidRDefault="00E2336B">
      <w:pPr>
        <w:autoSpaceDE w:val="0"/>
        <w:autoSpaceDN w:val="0"/>
        <w:spacing w:line="360" w:lineRule="auto"/>
        <w:jc w:val="both"/>
        <w:rPr>
          <w:rFonts w:ascii="MinionPro-Regular" w:hAnsi="MinionPro-Regular"/>
          <w:sz w:val="24"/>
          <w:szCs w:val="24"/>
          <w:lang w:val="es-ES_tradnl"/>
        </w:rPr>
      </w:pPr>
    </w:p>
    <w:p w:rsidR="00A5357D" w:rsidRDefault="00E2336B">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 xml:space="preserve">Como es sabido, una de las principales dificultades a las que se enfrenta la economía española es el reducido tamaño de nuestras empresas. De hecho, los diagnósticos y recomendaciones de los organismos internacionales ponen de manifiesto la necesidad de eliminar barreras administrativas y ayudar a las compañías españolas a crecer. No debemos olvidar que si fueran una única empresa, los centros especiales de empleo serían una de las mayores compañías del país por número de empleados. La dispersión normativa y la fragmentación de la unidad de mercado en España tiene como consecuencia no sólo la existencia de desigualdades en el régimen de apoyo público a los centros. También genera trabas administrativas que dificultan su capacidad de aprovechar oportunidades de negocio, de crecer, de prosperar y de generar empleo. </w:t>
      </w:r>
      <w:r w:rsidRPr="00867D87">
        <w:rPr>
          <w:rFonts w:ascii="MinionPro-Regular" w:hAnsi="MinionPro-Regular"/>
          <w:sz w:val="24"/>
          <w:szCs w:val="24"/>
          <w:lang w:val="es-ES_tradnl"/>
        </w:rPr>
        <w:t xml:space="preserve"> </w:t>
      </w:r>
      <w:r>
        <w:rPr>
          <w:rFonts w:ascii="MinionPro-Regular" w:hAnsi="MinionPro-Regular"/>
          <w:sz w:val="24"/>
          <w:szCs w:val="24"/>
          <w:lang w:val="es-ES_tradnl"/>
        </w:rPr>
        <w:t>Cabe resaltar, por ejemplo, la dificultad que genera el hecho de cumplir numerosos trámites administrativos antes de poder operar en las distintas comunidades. O las dificultades que plantea el hecho de que los centros especiales de empleo no cuenten con personalidad jurídica propia.</w:t>
      </w:r>
    </w:p>
    <w:p w:rsidR="00E2336B" w:rsidRDefault="00E2336B">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 xml:space="preserve">En este sentido, y en un mercado en el que el tamaño y las economías de escala que lleva asociadas son crecientemente importantes, la capacidad de los centros especiales de empleo de prosperar y de competir requiere de una reconsideración de los trámites y procesos administrativos actualmente en vigor. Cabría, por ejemplo, pensar en fórmulas de ventanilla única, como un registro nacional de centros especiales de empleo que facilitaran, de una vez y a aquellos centros que lo desearan, los trámites necesarios para operar en las distintas comunidades autónomas sin menoscabo de las competencias que éstas tienen transferidas.  Esta filosofía ya puede, en cierta medida, encontrarse en la </w:t>
      </w:r>
      <w:r>
        <w:rPr>
          <w:rFonts w:ascii="MinionPro-Regular" w:hAnsi="MinionPro-Regular"/>
          <w:sz w:val="24"/>
          <w:szCs w:val="24"/>
          <w:lang w:val="es-ES_tradnl"/>
        </w:rPr>
        <w:lastRenderedPageBreak/>
        <w:t>normativa aplicable a los centros especiales de empleo en España. Por ejemplo, el Real Decreto 364/2005, que regula las medidas alternativas, establece, en su artículo 6, que la competencia del seguimiento del cumplimiento de esta norma, si el centro especial de empleo opera en varias comunidade</w:t>
      </w:r>
      <w:r w:rsidR="000C23EB">
        <w:rPr>
          <w:rFonts w:ascii="MinionPro-Regular" w:hAnsi="MinionPro-Regular"/>
          <w:sz w:val="24"/>
          <w:szCs w:val="24"/>
          <w:lang w:val="es-ES_tradnl"/>
        </w:rPr>
        <w:t>s autónomas, corresponderá al S</w:t>
      </w:r>
      <w:r>
        <w:rPr>
          <w:rFonts w:ascii="MinionPro-Regular" w:hAnsi="MinionPro-Regular"/>
          <w:sz w:val="24"/>
          <w:szCs w:val="24"/>
          <w:lang w:val="es-ES_tradnl"/>
        </w:rPr>
        <w:t>P</w:t>
      </w:r>
      <w:r w:rsidR="000C23EB">
        <w:rPr>
          <w:rFonts w:ascii="MinionPro-Regular" w:hAnsi="MinionPro-Regular"/>
          <w:sz w:val="24"/>
          <w:szCs w:val="24"/>
          <w:lang w:val="es-ES_tradnl"/>
        </w:rPr>
        <w:t>E</w:t>
      </w:r>
      <w:r>
        <w:rPr>
          <w:rFonts w:ascii="MinionPro-Regular" w:hAnsi="MinionPro-Regular"/>
          <w:sz w:val="24"/>
          <w:szCs w:val="24"/>
          <w:lang w:val="es-ES_tradnl"/>
        </w:rPr>
        <w:t xml:space="preserve">E. En este sentido, cabría asignar al </w:t>
      </w:r>
      <w:r w:rsidR="000C23EB">
        <w:rPr>
          <w:rFonts w:ascii="MinionPro-Regular" w:hAnsi="MinionPro-Regular"/>
          <w:sz w:val="24"/>
          <w:szCs w:val="24"/>
          <w:lang w:val="es-ES_tradnl"/>
        </w:rPr>
        <w:t>SPEE</w:t>
      </w:r>
      <w:r>
        <w:rPr>
          <w:rFonts w:ascii="MinionPro-Regular" w:hAnsi="MinionPro-Regular"/>
          <w:sz w:val="24"/>
          <w:szCs w:val="24"/>
          <w:lang w:val="es-ES_tradnl"/>
        </w:rPr>
        <w:t xml:space="preserve"> la responsabilidad de supervisar a aquellos centros que operen en más de tres comunidades autónomas. </w:t>
      </w:r>
    </w:p>
    <w:p w:rsidR="00E2336B" w:rsidRDefault="00E2336B">
      <w:pPr>
        <w:autoSpaceDE w:val="0"/>
        <w:autoSpaceDN w:val="0"/>
        <w:spacing w:line="360" w:lineRule="auto"/>
        <w:jc w:val="both"/>
        <w:rPr>
          <w:rFonts w:ascii="MinionPro-Regular" w:hAnsi="MinionPro-Regular"/>
          <w:sz w:val="24"/>
          <w:szCs w:val="24"/>
          <w:lang w:val="es-ES_tradnl"/>
        </w:rPr>
      </w:pPr>
    </w:p>
    <w:p w:rsidR="00E2336B" w:rsidRDefault="00E2336B">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 xml:space="preserve">Adicionalmente, la unidad de mercado requiere de consistencia en los requisitos de calificación, percepción de subvenciones y documentación necesaria en las distintas comunidades autónomas. </w:t>
      </w:r>
    </w:p>
    <w:p w:rsidR="00E2336B" w:rsidRDefault="00E2336B" w:rsidP="0007541A">
      <w:pPr>
        <w:pStyle w:val="Ttulo3"/>
        <w:numPr>
          <w:ilvl w:val="2"/>
          <w:numId w:val="3"/>
        </w:numPr>
        <w:spacing w:line="240" w:lineRule="auto"/>
        <w:rPr>
          <w:lang w:val="es-ES_tradnl"/>
        </w:rPr>
      </w:pPr>
      <w:bookmarkStart w:id="492" w:name="_Toc340515918"/>
      <w:bookmarkStart w:id="493" w:name="_Toc352773615"/>
      <w:r>
        <w:rPr>
          <w:lang w:val="es-ES_tradnl"/>
        </w:rPr>
        <w:t>Incentivos a la innovación, la eficiencia y la mejora</w:t>
      </w:r>
      <w:bookmarkEnd w:id="492"/>
      <w:bookmarkEnd w:id="493"/>
    </w:p>
    <w:p w:rsidR="00E2336B" w:rsidRDefault="00E2336B" w:rsidP="00F83E19">
      <w:pPr>
        <w:autoSpaceDE w:val="0"/>
        <w:autoSpaceDN w:val="0"/>
        <w:jc w:val="both"/>
        <w:rPr>
          <w:rFonts w:ascii="MinionPro-Regular" w:hAnsi="MinionPro-Regular"/>
          <w:sz w:val="24"/>
          <w:szCs w:val="24"/>
          <w:lang w:val="es-ES_tradnl"/>
        </w:rPr>
      </w:pPr>
    </w:p>
    <w:p w:rsidR="00E2336B" w:rsidRDefault="00E2336B" w:rsidP="009805FA">
      <w:pPr>
        <w:pBdr>
          <w:top w:val="single" w:sz="4" w:space="1" w:color="auto"/>
          <w:left w:val="single" w:sz="4" w:space="4" w:color="auto"/>
          <w:bottom w:val="single" w:sz="4" w:space="1" w:color="auto"/>
          <w:right w:val="single" w:sz="4" w:space="4" w:color="auto"/>
        </w:pBd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Orientar el sistema de ayudas complementarias  hacia la innovación, la eficiencia y el crecimiento, y que estimule el establecimiento de alianzas sectoriales orientadas a tales fines.</w:t>
      </w:r>
    </w:p>
    <w:p w:rsidR="00E2336B" w:rsidRPr="005A0A75" w:rsidRDefault="00E2336B" w:rsidP="009805FA">
      <w:pPr>
        <w:pBdr>
          <w:top w:val="single" w:sz="4" w:space="1" w:color="auto"/>
          <w:left w:val="single" w:sz="4" w:space="4" w:color="auto"/>
          <w:bottom w:val="single" w:sz="4" w:space="1" w:color="auto"/>
          <w:right w:val="single" w:sz="4" w:space="4" w:color="auto"/>
        </w:pBdr>
        <w:autoSpaceDE w:val="0"/>
        <w:autoSpaceDN w:val="0"/>
        <w:spacing w:line="360" w:lineRule="auto"/>
        <w:jc w:val="both"/>
        <w:rPr>
          <w:rFonts w:ascii="MinionPro-Regular" w:hAnsi="MinionPro-Regular"/>
          <w:i/>
          <w:sz w:val="24"/>
          <w:szCs w:val="24"/>
          <w:lang w:val="es-ES_tradnl"/>
        </w:rPr>
      </w:pPr>
      <w:r w:rsidRPr="005A0A75">
        <w:rPr>
          <w:rFonts w:ascii="MinionPro-Regular" w:hAnsi="MinionPro-Regular"/>
          <w:i/>
          <w:sz w:val="24"/>
          <w:szCs w:val="24"/>
          <w:lang w:val="es-ES_tradnl"/>
        </w:rPr>
        <w:t xml:space="preserve">Por dónde comenzar: </w:t>
      </w:r>
    </w:p>
    <w:p w:rsidR="00E2336B" w:rsidRDefault="00E2336B">
      <w:pPr>
        <w:pBdr>
          <w:top w:val="single" w:sz="4" w:space="1" w:color="auto"/>
          <w:left w:val="single" w:sz="4" w:space="4" w:color="auto"/>
          <w:bottom w:val="single" w:sz="4" w:space="1" w:color="auto"/>
          <w:right w:val="single" w:sz="4" w:space="4" w:color="auto"/>
        </w:pBd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 xml:space="preserve">Definir un esquema de ayudas que apoye a aquellos centros especiales de empleo más comprometidos con las personas, con la innovación y con el crecimiento. </w:t>
      </w:r>
    </w:p>
    <w:p w:rsidR="00E2336B" w:rsidRDefault="00E2336B">
      <w:pPr>
        <w:autoSpaceDE w:val="0"/>
        <w:autoSpaceDN w:val="0"/>
        <w:spacing w:line="360" w:lineRule="auto"/>
        <w:jc w:val="both"/>
        <w:rPr>
          <w:rFonts w:ascii="MinionPro-Regular" w:hAnsi="MinionPro-Regular"/>
          <w:sz w:val="24"/>
          <w:szCs w:val="24"/>
          <w:lang w:val="es-ES_tradnl"/>
        </w:rPr>
      </w:pPr>
    </w:p>
    <w:p w:rsidR="00E2336B" w:rsidRDefault="00E2336B">
      <w:pPr>
        <w:autoSpaceDE w:val="0"/>
        <w:autoSpaceDN w:val="0"/>
        <w:spacing w:line="360" w:lineRule="auto"/>
        <w:jc w:val="both"/>
        <w:rPr>
          <w:rFonts w:ascii="MinionPro-Regular" w:hAnsi="MinionPro-Regular"/>
          <w:sz w:val="24"/>
          <w:szCs w:val="24"/>
          <w:lang w:val="es-ES_tradnl"/>
        </w:rPr>
      </w:pPr>
      <w:r w:rsidRPr="00E16A2D">
        <w:rPr>
          <w:rFonts w:ascii="MinionPro-Regular" w:hAnsi="MinionPro-Regular"/>
          <w:sz w:val="24"/>
          <w:szCs w:val="24"/>
          <w:lang w:val="es-ES_tradnl"/>
        </w:rPr>
        <w:t xml:space="preserve">La crisis económica </w:t>
      </w:r>
      <w:r>
        <w:rPr>
          <w:rFonts w:ascii="MinionPro-Regular" w:hAnsi="MinionPro-Regular"/>
          <w:sz w:val="24"/>
          <w:szCs w:val="24"/>
          <w:lang w:val="es-ES_tradnl"/>
        </w:rPr>
        <w:t>que sufre el país está provocando también dificultades, como no podía ser de otra manera, a los centros especiales de empleo. De un lado, los centros sufren las dificultades que están experimentando sus clientes. De otro, los problemas de las administraciones están dificultando el mantenimiento del apoyo público.</w:t>
      </w:r>
    </w:p>
    <w:p w:rsidR="00E2336B" w:rsidRDefault="00E2336B">
      <w:pPr>
        <w:autoSpaceDE w:val="0"/>
        <w:autoSpaceDN w:val="0"/>
        <w:spacing w:line="360" w:lineRule="auto"/>
        <w:jc w:val="both"/>
        <w:rPr>
          <w:rFonts w:ascii="MinionPro-Regular" w:hAnsi="MinionPro-Regular"/>
          <w:sz w:val="24"/>
          <w:szCs w:val="24"/>
          <w:lang w:val="es-ES_tradnl"/>
        </w:rPr>
      </w:pPr>
    </w:p>
    <w:p w:rsidR="00E2336B" w:rsidRDefault="00E2336B">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lastRenderedPageBreak/>
        <w:t xml:space="preserve">En lo que se refiere a la comercialización de sus productos y servicios en el mercado, la actual crisis económica introduce dificultades para los centros. Son consecuencia de los problemas que experimentan los clientes, de la internalización de algunos servicios e, incluso, de la deslocalización. </w:t>
      </w:r>
    </w:p>
    <w:p w:rsidR="00E2336B" w:rsidRDefault="00E2336B">
      <w:pPr>
        <w:autoSpaceDE w:val="0"/>
        <w:autoSpaceDN w:val="0"/>
        <w:spacing w:line="360" w:lineRule="auto"/>
        <w:jc w:val="both"/>
        <w:rPr>
          <w:rFonts w:ascii="MinionPro-Regular" w:hAnsi="MinionPro-Regular"/>
          <w:sz w:val="24"/>
          <w:szCs w:val="24"/>
          <w:lang w:val="es-ES_tradnl"/>
        </w:rPr>
      </w:pPr>
    </w:p>
    <w:p w:rsidR="00E2336B" w:rsidRDefault="00E2336B">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Mirando más allá de la coyuntura, el actual clima económico ofrece la oportunidad de acometer una reflexión acerca de los sectores en los que los centros especiales de empleo tienen presencia, para buscar vías que les permitan orientarse hacia sectores más generadores de valor, más intensivos en innovación y que, por lo tanto, puedan ofrecer mejores salarios. Por supuesto, la transformación no es posible sin una mayor</w:t>
      </w:r>
      <w:r w:rsidR="00CA343C">
        <w:rPr>
          <w:rFonts w:ascii="MinionPro-Regular" w:hAnsi="MinionPro-Regular"/>
          <w:sz w:val="24"/>
          <w:szCs w:val="24"/>
          <w:lang w:val="es-ES_tradnl"/>
        </w:rPr>
        <w:t xml:space="preserve"> </w:t>
      </w:r>
      <w:r>
        <w:rPr>
          <w:rFonts w:ascii="MinionPro-Regular" w:hAnsi="MinionPro-Regular"/>
          <w:sz w:val="24"/>
          <w:szCs w:val="24"/>
          <w:lang w:val="es-ES_tradnl"/>
        </w:rPr>
        <w:t xml:space="preserve">capacitación de los empleados y sin </w:t>
      </w:r>
      <w:r w:rsidRPr="001F5F36">
        <w:rPr>
          <w:rFonts w:ascii="MinionPro-Regular" w:hAnsi="MinionPro-Regular"/>
          <w:sz w:val="24"/>
          <w:szCs w:val="24"/>
          <w:lang w:val="es-ES_tradnl"/>
        </w:rPr>
        <w:t>la transformación de los patrones prod</w:t>
      </w:r>
      <w:r>
        <w:rPr>
          <w:rFonts w:ascii="MinionPro-Regular" w:hAnsi="MinionPro-Regular"/>
          <w:sz w:val="24"/>
          <w:szCs w:val="24"/>
          <w:lang w:val="es-ES_tradnl"/>
        </w:rPr>
        <w:t>uctivos y organizativos de los c</w:t>
      </w:r>
      <w:r w:rsidRPr="001F5F36">
        <w:rPr>
          <w:rFonts w:ascii="MinionPro-Regular" w:hAnsi="MinionPro-Regular"/>
          <w:sz w:val="24"/>
          <w:szCs w:val="24"/>
          <w:lang w:val="es-ES_tradnl"/>
        </w:rPr>
        <w:t xml:space="preserve">entros. </w:t>
      </w:r>
      <w:r>
        <w:rPr>
          <w:rFonts w:ascii="MinionPro-Regular" w:hAnsi="MinionPro-Regular"/>
          <w:sz w:val="24"/>
          <w:szCs w:val="24"/>
          <w:lang w:val="es-ES_tradnl"/>
        </w:rPr>
        <w:t>Existen varias vías para avanzar en esa dirección.</w:t>
      </w:r>
    </w:p>
    <w:p w:rsidR="00E2336B" w:rsidRDefault="00E2336B">
      <w:pPr>
        <w:autoSpaceDE w:val="0"/>
        <w:autoSpaceDN w:val="0"/>
        <w:spacing w:line="360" w:lineRule="auto"/>
        <w:jc w:val="both"/>
        <w:rPr>
          <w:rFonts w:ascii="MinionPro-Regular" w:hAnsi="MinionPro-Regular"/>
          <w:sz w:val="24"/>
          <w:szCs w:val="24"/>
          <w:lang w:val="es-ES_tradnl"/>
        </w:rPr>
      </w:pPr>
    </w:p>
    <w:p w:rsidR="00E2336B" w:rsidRDefault="00E2336B">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De un lado, las herramientas de apoyo público a los centros especiales de empleo deberían establecer incentivos a la innovación, a la eficiencia, a la mejora de los procedimientos de gestión y, en definitiva, a la competitividad. A este respecto cabe recordar que los centros especiales de empleo y el mundo de la discapacidad no son ajenos a la innovación. Más bien al contrario; son pioneros en algunos ámbitos de gestión innovadora, como la utilización del</w:t>
      </w:r>
      <w:r w:rsidRPr="00A96C4B">
        <w:rPr>
          <w:rFonts w:ascii="MinionPro-Regular" w:hAnsi="MinionPro-Regular"/>
          <w:sz w:val="24"/>
          <w:szCs w:val="24"/>
          <w:lang w:val="es-ES_tradnl"/>
        </w:rPr>
        <w:t xml:space="preserve"> teletrabajo</w:t>
      </w:r>
      <w:r>
        <w:rPr>
          <w:rFonts w:ascii="MinionPro-Regular" w:hAnsi="MinionPro-Regular"/>
          <w:sz w:val="24"/>
          <w:szCs w:val="24"/>
          <w:lang w:val="es-ES_tradnl"/>
        </w:rPr>
        <w:t>.</w:t>
      </w:r>
    </w:p>
    <w:p w:rsidR="00E2336B" w:rsidRDefault="00E2336B" w:rsidP="00F83E19">
      <w:pPr>
        <w:autoSpaceDE w:val="0"/>
        <w:autoSpaceDN w:val="0"/>
        <w:jc w:val="both"/>
        <w:rPr>
          <w:rFonts w:ascii="MinionPro-Regular" w:hAnsi="MinionPro-Regular"/>
          <w:sz w:val="24"/>
          <w:szCs w:val="24"/>
          <w:lang w:val="es-ES_tradnl"/>
        </w:rPr>
      </w:pPr>
    </w:p>
    <w:p w:rsidR="00E2336B" w:rsidRDefault="00E2336B" w:rsidP="00F83E19">
      <w:pPr>
        <w:autoSpaceDE w:val="0"/>
        <w:autoSpaceDN w:val="0"/>
        <w:jc w:val="both"/>
        <w:rPr>
          <w:rFonts w:ascii="MinionPro-Regular" w:hAnsi="MinionPro-Regular"/>
          <w:sz w:val="24"/>
          <w:szCs w:val="24"/>
          <w:lang w:val="es-ES_tradnl"/>
        </w:rPr>
      </w:pPr>
    </w:p>
    <w:p w:rsidR="00E2336B" w:rsidRDefault="00E2336B">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 xml:space="preserve">De otro, las alianzas entre centros y la configuración de iniciativas de colaboración empresarial –como clústers- permitirían asimismo ganar tamaño, posibilitar la aparición de economías de escala y apalancar actividades como las relacionadas con la investigación, el desarrollo y la innovación. Las alianzas contribuirían asimismo a solventar el problema de sectores maduros en los que operan los centros especiales de </w:t>
      </w:r>
      <w:r>
        <w:rPr>
          <w:rFonts w:ascii="MinionPro-Regular" w:hAnsi="MinionPro-Regular"/>
          <w:sz w:val="24"/>
          <w:szCs w:val="24"/>
          <w:lang w:val="es-ES_tradnl"/>
        </w:rPr>
        <w:lastRenderedPageBreak/>
        <w:t xml:space="preserve">empleo, liberando recursos para invertir en nuevas actividades o sectores como los </w:t>
      </w:r>
      <w:r w:rsidRPr="002604A2">
        <w:rPr>
          <w:rFonts w:ascii="MinionPro-Regular" w:hAnsi="MinionPro-Regular"/>
          <w:sz w:val="24"/>
          <w:szCs w:val="24"/>
          <w:lang w:val="es-ES_tradnl"/>
        </w:rPr>
        <w:t>blue jobs (nuevas tecnología</w:t>
      </w:r>
      <w:r>
        <w:rPr>
          <w:rFonts w:ascii="MinionPro-Regular" w:hAnsi="MinionPro-Regular"/>
          <w:sz w:val="24"/>
          <w:szCs w:val="24"/>
          <w:lang w:val="es-ES_tradnl"/>
        </w:rPr>
        <w:t xml:space="preserve">s), white jobs (biosanitarios) o </w:t>
      </w:r>
      <w:r w:rsidRPr="002604A2">
        <w:rPr>
          <w:rFonts w:ascii="MinionPro-Regular" w:hAnsi="MinionPro-Regular"/>
          <w:sz w:val="24"/>
          <w:szCs w:val="24"/>
          <w:lang w:val="es-ES_tradnl"/>
        </w:rPr>
        <w:t>green jobs (medio ambiente)</w:t>
      </w:r>
      <w:r>
        <w:rPr>
          <w:rFonts w:ascii="MinionPro-Regular" w:hAnsi="MinionPro-Regular"/>
          <w:sz w:val="24"/>
          <w:szCs w:val="24"/>
          <w:lang w:val="es-ES_tradnl"/>
        </w:rPr>
        <w:t xml:space="preserve">. Las ayudas públicas deberían asimismo incentivar la búsqueda de oportunidades de colaboración o consolidación entre centros especiales de empleo. </w:t>
      </w:r>
    </w:p>
    <w:p w:rsidR="00E2336B" w:rsidRDefault="00E2336B" w:rsidP="00F83E19">
      <w:pPr>
        <w:autoSpaceDE w:val="0"/>
        <w:autoSpaceDN w:val="0"/>
        <w:jc w:val="both"/>
        <w:rPr>
          <w:rFonts w:ascii="MinionPro-Regular" w:hAnsi="MinionPro-Regular"/>
          <w:sz w:val="24"/>
          <w:szCs w:val="24"/>
          <w:lang w:val="es-ES_tradnl"/>
        </w:rPr>
      </w:pPr>
    </w:p>
    <w:p w:rsidR="00E2336B" w:rsidRPr="00B23854" w:rsidRDefault="00E2336B" w:rsidP="00F83E19">
      <w:pPr>
        <w:autoSpaceDE w:val="0"/>
        <w:autoSpaceDN w:val="0"/>
        <w:jc w:val="both"/>
        <w:rPr>
          <w:rFonts w:ascii="MinionPro-Regular" w:hAnsi="MinionPro-Regular"/>
          <w:sz w:val="24"/>
          <w:szCs w:val="24"/>
          <w:lang w:val="es-ES_tradnl"/>
        </w:rPr>
      </w:pPr>
    </w:p>
    <w:p w:rsidR="00E2336B" w:rsidRDefault="00E2336B">
      <w:pPr>
        <w:pBdr>
          <w:top w:val="single" w:sz="4" w:space="1" w:color="auto"/>
        </w:pBdr>
        <w:autoSpaceDE w:val="0"/>
        <w:autoSpaceDN w:val="0"/>
        <w:jc w:val="both"/>
        <w:rPr>
          <w:rFonts w:ascii="MinionPro-Regular" w:hAnsi="MinionPro-Regular"/>
          <w:sz w:val="20"/>
          <w:szCs w:val="24"/>
          <w:lang w:val="es-ES_tradnl"/>
        </w:rPr>
      </w:pPr>
      <w:r w:rsidRPr="00D0247E">
        <w:rPr>
          <w:rFonts w:ascii="MinionPro-Regular" w:hAnsi="MinionPro-Regular"/>
          <w:sz w:val="20"/>
          <w:szCs w:val="24"/>
          <w:lang w:val="es-ES_tradnl"/>
        </w:rPr>
        <w:t>Madurez de los sectores de actividad según los gestores de los centros especiales de empleo</w:t>
      </w:r>
    </w:p>
    <w:p w:rsidR="00E2336B" w:rsidRDefault="00E1516B" w:rsidP="00F83E19">
      <w:pPr>
        <w:autoSpaceDE w:val="0"/>
        <w:autoSpaceDN w:val="0"/>
        <w:jc w:val="both"/>
        <w:rPr>
          <w:rFonts w:ascii="MinionPro-Regular" w:hAnsi="MinionPro-Regular"/>
          <w:sz w:val="24"/>
          <w:szCs w:val="24"/>
          <w:lang w:val="es-ES_tradnl"/>
        </w:rPr>
      </w:pPr>
      <w:r>
        <w:rPr>
          <w:rFonts w:ascii="MinionPro-Regular" w:hAnsi="MinionPro-Regular"/>
          <w:noProof/>
          <w:sz w:val="24"/>
          <w:szCs w:val="24"/>
          <w:lang w:eastAsia="es-ES"/>
        </w:rPr>
        <w:drawing>
          <wp:inline distT="0" distB="0" distL="0" distR="0">
            <wp:extent cx="4451350" cy="3131185"/>
            <wp:effectExtent l="0" t="0" r="0" b="0"/>
            <wp:docPr id="124" name="Picture 12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5"/>
              </a:graphicData>
            </a:graphic>
          </wp:inline>
        </w:drawing>
      </w:r>
    </w:p>
    <w:p w:rsidR="00E2336B" w:rsidRDefault="00E2336B" w:rsidP="00213730">
      <w:pPr>
        <w:pBdr>
          <w:bottom w:val="single" w:sz="4" w:space="1" w:color="auto"/>
        </w:pBdr>
        <w:autoSpaceDE w:val="0"/>
        <w:autoSpaceDN w:val="0"/>
        <w:spacing w:line="360" w:lineRule="auto"/>
        <w:jc w:val="both"/>
        <w:rPr>
          <w:rFonts w:ascii="MinionPro-Regular" w:hAnsi="MinionPro-Regular"/>
          <w:sz w:val="20"/>
          <w:szCs w:val="24"/>
          <w:lang w:val="es-ES_tradnl"/>
        </w:rPr>
      </w:pPr>
      <w:r w:rsidRPr="00213730">
        <w:rPr>
          <w:rFonts w:ascii="MinionPro-Regular" w:hAnsi="MinionPro-Regular"/>
          <w:sz w:val="20"/>
          <w:szCs w:val="24"/>
          <w:lang w:val="es-ES_tradnl"/>
        </w:rPr>
        <w:t>Fuente: Elaboración propia a partir de la encuesta a centros especiales de empleo. Noviembre 2012.</w:t>
      </w:r>
    </w:p>
    <w:p w:rsidR="00E2336B" w:rsidRPr="00213730" w:rsidRDefault="00E2336B" w:rsidP="00213730">
      <w:pPr>
        <w:pBdr>
          <w:bottom w:val="single" w:sz="4" w:space="1" w:color="auto"/>
        </w:pBdr>
        <w:autoSpaceDE w:val="0"/>
        <w:autoSpaceDN w:val="0"/>
        <w:spacing w:line="360" w:lineRule="auto"/>
        <w:jc w:val="both"/>
        <w:rPr>
          <w:rFonts w:ascii="MinionPro-Regular" w:hAnsi="MinionPro-Regular"/>
          <w:sz w:val="20"/>
          <w:szCs w:val="24"/>
          <w:lang w:val="es-ES_tradnl"/>
        </w:rPr>
      </w:pPr>
    </w:p>
    <w:p w:rsidR="00E2336B" w:rsidRDefault="00E2336B">
      <w:pPr>
        <w:pBdr>
          <w:bottom w:val="single" w:sz="4" w:space="1" w:color="auto"/>
        </w:pBdr>
        <w:autoSpaceDE w:val="0"/>
        <w:autoSpaceDN w:val="0"/>
        <w:spacing w:line="360" w:lineRule="auto"/>
        <w:jc w:val="both"/>
        <w:rPr>
          <w:rFonts w:ascii="MinionPro-Regular" w:hAnsi="MinionPro-Regular"/>
          <w:sz w:val="20"/>
          <w:szCs w:val="24"/>
          <w:lang w:val="es-ES_tradnl"/>
        </w:rPr>
      </w:pPr>
      <w:r w:rsidRPr="00213730">
        <w:rPr>
          <w:rFonts w:ascii="MinionPro-Regular" w:hAnsi="MinionPro-Regular"/>
          <w:sz w:val="20"/>
          <w:szCs w:val="24"/>
          <w:lang w:val="es-ES_tradnl"/>
        </w:rPr>
        <w:t>Nota explicativa de la gráfica: Gráfica circular en la que aparece el porcentaje de gestores de centros especiales entrevistados que respondieron a la pregunta: ¿está la actividad de los centros especiales de empleo concentrada en sectores maduros? Las respuestas son: 18% totalmente de acuerdo, 37% de acuerdo, 30% indiferente, 12% en desacuerdo y 3% totalmente en desacuerdo.</w:t>
      </w:r>
    </w:p>
    <w:p w:rsidR="00E2336B" w:rsidRDefault="00E2336B" w:rsidP="00F83E19">
      <w:pPr>
        <w:rPr>
          <w:rFonts w:ascii="MinionPro-Regular" w:hAnsi="MinionPro-Regular"/>
          <w:sz w:val="24"/>
          <w:szCs w:val="24"/>
          <w:lang w:val="es-ES_tradnl"/>
        </w:rPr>
      </w:pPr>
    </w:p>
    <w:p w:rsidR="00E2336B" w:rsidRDefault="00E2336B">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Operar en sectores maduros obliga, en ocasiones, a competir en precios, dificulta</w:t>
      </w:r>
      <w:r w:rsidR="00CA343C">
        <w:rPr>
          <w:rFonts w:ascii="MinionPro-Regular" w:hAnsi="MinionPro-Regular"/>
          <w:sz w:val="24"/>
          <w:szCs w:val="24"/>
          <w:lang w:val="es-ES_tradnl"/>
        </w:rPr>
        <w:t xml:space="preserve"> </w:t>
      </w:r>
      <w:r>
        <w:rPr>
          <w:rFonts w:ascii="MinionPro-Regular" w:hAnsi="MinionPro-Regular"/>
          <w:sz w:val="24"/>
          <w:szCs w:val="24"/>
          <w:lang w:val="es-ES_tradnl"/>
        </w:rPr>
        <w:t xml:space="preserve">la posibilidad de generar valor añadido y puede restringir, al contar con menores recursos, las posibilidades formativas y de desarrollo de las personas con discapacidad.  Las alianzas y la generación de tamaño ofrecerían asimismo la posibilidad de profundizar en </w:t>
      </w:r>
      <w:r>
        <w:rPr>
          <w:rFonts w:ascii="MinionPro-Regular" w:hAnsi="MinionPro-Regular"/>
          <w:sz w:val="24"/>
          <w:szCs w:val="24"/>
          <w:lang w:val="es-ES_tradnl"/>
        </w:rPr>
        <w:lastRenderedPageBreak/>
        <w:t>la formación y el desarrollo de las personas con discapacidad. Es la pescadilla que se muerde la cola: el reducido nivel educativo</w:t>
      </w:r>
      <w:r w:rsidRPr="002604A2">
        <w:rPr>
          <w:rFonts w:ascii="MinionPro-Regular" w:hAnsi="MinionPro-Regular"/>
          <w:sz w:val="24"/>
          <w:szCs w:val="24"/>
          <w:lang w:val="es-ES_tradnl"/>
        </w:rPr>
        <w:t xml:space="preserve"> de los empleados de los </w:t>
      </w:r>
      <w:r>
        <w:rPr>
          <w:rFonts w:ascii="MinionPro-Regular" w:hAnsi="MinionPro-Regular"/>
          <w:sz w:val="24"/>
          <w:szCs w:val="24"/>
          <w:lang w:val="es-ES_tradnl"/>
        </w:rPr>
        <w:t>centros especiales de empleo les impide</w:t>
      </w:r>
      <w:r w:rsidRPr="002604A2">
        <w:rPr>
          <w:rFonts w:ascii="MinionPro-Regular" w:hAnsi="MinionPro-Regular"/>
          <w:sz w:val="24"/>
          <w:szCs w:val="24"/>
          <w:lang w:val="es-ES_tradnl"/>
        </w:rPr>
        <w:t xml:space="preserve"> trabajar en sectores de mayor valor añadido, sectores con más resistencia a la coyuntura económica actual.</w:t>
      </w:r>
      <w:r>
        <w:rPr>
          <w:rFonts w:ascii="MinionPro-Regular" w:hAnsi="MinionPro-Regular"/>
          <w:sz w:val="24"/>
          <w:szCs w:val="24"/>
          <w:lang w:val="es-ES_tradnl"/>
        </w:rPr>
        <w:t xml:space="preserve"> Pero el actual enfoque sectorial de los centros especiales de empleo impide generar un valor añadido suficiente que permita apostar por la formación y que mejore los salarios de las personas con discapacidad. </w:t>
      </w:r>
    </w:p>
    <w:p w:rsidR="00E2336B" w:rsidRDefault="00E2336B">
      <w:pPr>
        <w:autoSpaceDE w:val="0"/>
        <w:autoSpaceDN w:val="0"/>
        <w:spacing w:line="360" w:lineRule="auto"/>
        <w:jc w:val="both"/>
        <w:rPr>
          <w:rFonts w:ascii="MinionPro-Regular" w:hAnsi="MinionPro-Regular"/>
          <w:sz w:val="24"/>
          <w:szCs w:val="24"/>
          <w:lang w:val="es-ES_tradnl"/>
        </w:rPr>
      </w:pPr>
    </w:p>
    <w:p w:rsidR="00E2336B" w:rsidRDefault="00E2336B">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 xml:space="preserve">Las alianzas podrían adoptar distintas modalidades; algunas sencillas, como los servicios compartidos o las ofertas comerciales conjuntas; otras, más complejas, como la constitución de grupos empresariales. </w:t>
      </w:r>
    </w:p>
    <w:p w:rsidR="00E2336B" w:rsidRDefault="00E2336B" w:rsidP="00F83E19">
      <w:pPr>
        <w:rPr>
          <w:rFonts w:ascii="MinionPro-Regular" w:hAnsi="MinionPro-Regular"/>
          <w:sz w:val="24"/>
          <w:szCs w:val="24"/>
          <w:lang w:val="es-ES_tradnl"/>
        </w:rPr>
      </w:pPr>
    </w:p>
    <w:p w:rsidR="00E2336B" w:rsidRDefault="00E2336B">
      <w:pPr>
        <w:pBdr>
          <w:top w:val="single" w:sz="4" w:space="1" w:color="auto"/>
        </w:pBdr>
        <w:rPr>
          <w:rFonts w:ascii="MinionPro-Regular" w:hAnsi="MinionPro-Regular"/>
          <w:sz w:val="20"/>
          <w:lang w:val="es-ES_tradnl"/>
        </w:rPr>
      </w:pPr>
      <w:r w:rsidRPr="00740334">
        <w:rPr>
          <w:rFonts w:ascii="MinionPro-Regular" w:hAnsi="MinionPro-Regular"/>
          <w:sz w:val="20"/>
          <w:lang w:val="es-ES_tradnl"/>
        </w:rPr>
        <w:t>Nivel de especialización tecnológica considerado por los gestores de los centros especiales de empleo</w:t>
      </w:r>
    </w:p>
    <w:p w:rsidR="00E2336B" w:rsidRDefault="00E1516B" w:rsidP="00F83E19">
      <w:pPr>
        <w:rPr>
          <w:rFonts w:ascii="MinionPro-Regular" w:hAnsi="MinionPro-Regular"/>
          <w:sz w:val="24"/>
          <w:szCs w:val="24"/>
          <w:lang w:val="es-ES_tradnl"/>
        </w:rPr>
      </w:pPr>
      <w:r>
        <w:rPr>
          <w:rFonts w:ascii="MinionPro-Regular" w:hAnsi="MinionPro-Regular"/>
          <w:noProof/>
          <w:sz w:val="24"/>
          <w:szCs w:val="24"/>
          <w:lang w:eastAsia="es-ES"/>
        </w:rPr>
        <w:drawing>
          <wp:inline distT="0" distB="0" distL="0" distR="0">
            <wp:extent cx="4399280" cy="2795270"/>
            <wp:effectExtent l="0" t="0" r="0" b="0"/>
            <wp:docPr id="125" name="Picture 12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6"/>
              </a:graphicData>
            </a:graphic>
          </wp:inline>
        </w:drawing>
      </w:r>
    </w:p>
    <w:p w:rsidR="00E2336B" w:rsidRDefault="00E2336B" w:rsidP="00213730">
      <w:pPr>
        <w:pBdr>
          <w:bottom w:val="single" w:sz="4" w:space="1" w:color="auto"/>
        </w:pBdr>
        <w:autoSpaceDE w:val="0"/>
        <w:autoSpaceDN w:val="0"/>
        <w:spacing w:line="360" w:lineRule="auto"/>
        <w:jc w:val="both"/>
        <w:rPr>
          <w:rFonts w:ascii="MinionPro-Regular" w:hAnsi="MinionPro-Regular"/>
          <w:sz w:val="20"/>
          <w:szCs w:val="24"/>
          <w:lang w:val="es-ES_tradnl"/>
        </w:rPr>
      </w:pPr>
      <w:r w:rsidRPr="00213730">
        <w:rPr>
          <w:rFonts w:ascii="MinionPro-Regular" w:hAnsi="MinionPro-Regular"/>
          <w:sz w:val="20"/>
          <w:szCs w:val="24"/>
          <w:lang w:val="es-ES_tradnl"/>
        </w:rPr>
        <w:t>Fuente: Elaboración propia a partir de la encuesta a centros especiales de empleo. Noviembre 2012.</w:t>
      </w:r>
    </w:p>
    <w:p w:rsidR="00E2336B" w:rsidRPr="00213730" w:rsidRDefault="00E2336B" w:rsidP="00213730">
      <w:pPr>
        <w:pBdr>
          <w:bottom w:val="single" w:sz="4" w:space="1" w:color="auto"/>
        </w:pBdr>
        <w:autoSpaceDE w:val="0"/>
        <w:autoSpaceDN w:val="0"/>
        <w:spacing w:line="360" w:lineRule="auto"/>
        <w:jc w:val="both"/>
        <w:rPr>
          <w:rFonts w:ascii="MinionPro-Regular" w:hAnsi="MinionPro-Regular"/>
          <w:sz w:val="20"/>
          <w:szCs w:val="24"/>
          <w:lang w:val="es-ES_tradnl"/>
        </w:rPr>
      </w:pPr>
    </w:p>
    <w:p w:rsidR="00E2336B" w:rsidRDefault="00E2336B">
      <w:pPr>
        <w:pBdr>
          <w:bottom w:val="single" w:sz="4" w:space="1" w:color="auto"/>
        </w:pBdr>
        <w:autoSpaceDE w:val="0"/>
        <w:autoSpaceDN w:val="0"/>
        <w:spacing w:line="360" w:lineRule="auto"/>
        <w:jc w:val="both"/>
        <w:rPr>
          <w:rFonts w:ascii="MinionPro-Regular" w:hAnsi="MinionPro-Regular"/>
          <w:sz w:val="20"/>
          <w:szCs w:val="24"/>
          <w:lang w:val="es-ES_tradnl"/>
        </w:rPr>
      </w:pPr>
      <w:r w:rsidRPr="00213730">
        <w:rPr>
          <w:rFonts w:ascii="MinionPro-Regular" w:hAnsi="MinionPro-Regular"/>
          <w:sz w:val="20"/>
          <w:szCs w:val="24"/>
          <w:lang w:val="es-ES_tradnl"/>
        </w:rPr>
        <w:t>Nota explicativa de la gráfica: Gráfica circular en la que aparece el porcentaje de gestores de centros especiales entrevistados que respondieron a la pregunta: ¿cuál es el nivel de especialización tecnológica del centro especial de empleo ? Las respuestas son: 14% por debajo de la media del sector, 54% en la media del sector, 32% por encima de la media del sector.</w:t>
      </w:r>
    </w:p>
    <w:p w:rsidR="00E2336B" w:rsidRDefault="00E2336B" w:rsidP="00F83E19">
      <w:pPr>
        <w:rPr>
          <w:rFonts w:ascii="MinionPro-Regular" w:hAnsi="MinionPro-Regular"/>
          <w:sz w:val="24"/>
          <w:szCs w:val="24"/>
          <w:lang w:val="es-ES_tradnl"/>
        </w:rPr>
      </w:pPr>
    </w:p>
    <w:p w:rsidR="00E2336B" w:rsidRDefault="00E2336B" w:rsidP="00F83E19">
      <w:pPr>
        <w:rPr>
          <w:rFonts w:ascii="MinionPro-Regular" w:hAnsi="MinionPro-Regular"/>
          <w:sz w:val="24"/>
          <w:szCs w:val="24"/>
          <w:lang w:val="es-ES_tradnl"/>
        </w:rPr>
      </w:pPr>
    </w:p>
    <w:p w:rsidR="00A5357D" w:rsidRDefault="00A5357D" w:rsidP="00F83E19">
      <w:pPr>
        <w:rPr>
          <w:rFonts w:ascii="MinionPro-Regular" w:hAnsi="MinionPro-Regular"/>
          <w:sz w:val="24"/>
          <w:szCs w:val="24"/>
          <w:lang w:val="es-ES_tradnl"/>
        </w:rPr>
      </w:pPr>
    </w:p>
    <w:p w:rsidR="00A5357D" w:rsidRDefault="00A5357D" w:rsidP="00F83E19">
      <w:pPr>
        <w:rPr>
          <w:rFonts w:ascii="MinionPro-Regular" w:hAnsi="MinionPro-Regular"/>
          <w:sz w:val="24"/>
          <w:szCs w:val="24"/>
          <w:lang w:val="es-ES_tradnl"/>
        </w:rPr>
      </w:pPr>
    </w:p>
    <w:p w:rsidR="00A5357D" w:rsidRDefault="00A5357D" w:rsidP="00F83E19">
      <w:pPr>
        <w:rPr>
          <w:rFonts w:ascii="MinionPro-Regular" w:hAnsi="MinionPro-Regular"/>
          <w:sz w:val="24"/>
          <w:szCs w:val="24"/>
          <w:lang w:val="es-ES_tradnl"/>
        </w:rPr>
      </w:pPr>
    </w:p>
    <w:p w:rsidR="00A5357D" w:rsidRDefault="00A5357D" w:rsidP="00F83E19">
      <w:pPr>
        <w:rPr>
          <w:rFonts w:ascii="MinionPro-Regular" w:hAnsi="MinionPro-Regular"/>
          <w:sz w:val="24"/>
          <w:szCs w:val="24"/>
          <w:lang w:val="es-ES_tradnl"/>
        </w:rPr>
      </w:pPr>
    </w:p>
    <w:p w:rsidR="00A5357D" w:rsidRDefault="00A5357D" w:rsidP="00F83E19">
      <w:pPr>
        <w:rPr>
          <w:rFonts w:ascii="MinionPro-Regular" w:hAnsi="MinionPro-Regular"/>
          <w:sz w:val="24"/>
          <w:szCs w:val="24"/>
          <w:lang w:val="es-ES_tradnl"/>
        </w:rPr>
      </w:pPr>
    </w:p>
    <w:p w:rsidR="00A5357D" w:rsidRDefault="00A5357D" w:rsidP="00F83E19">
      <w:pPr>
        <w:rPr>
          <w:rFonts w:ascii="MinionPro-Regular" w:hAnsi="MinionPro-Regular"/>
          <w:sz w:val="24"/>
          <w:szCs w:val="24"/>
          <w:lang w:val="es-ES_tradnl"/>
        </w:rPr>
      </w:pPr>
    </w:p>
    <w:p w:rsidR="00A5357D" w:rsidRDefault="00A5357D" w:rsidP="00F83E19">
      <w:pPr>
        <w:rPr>
          <w:rFonts w:ascii="MinionPro-Regular" w:hAnsi="MinionPro-Regular"/>
          <w:sz w:val="24"/>
          <w:szCs w:val="24"/>
          <w:lang w:val="es-ES_tradnl"/>
        </w:rPr>
      </w:pPr>
    </w:p>
    <w:p w:rsidR="00E2336B" w:rsidRDefault="00E2336B">
      <w:pPr>
        <w:pBdr>
          <w:top w:val="single" w:sz="4" w:space="1" w:color="auto"/>
        </w:pBdr>
        <w:autoSpaceDE w:val="0"/>
        <w:autoSpaceDN w:val="0"/>
        <w:jc w:val="both"/>
        <w:rPr>
          <w:rFonts w:ascii="MinionPro-Regular" w:hAnsi="MinionPro-Regular"/>
          <w:sz w:val="20"/>
          <w:szCs w:val="24"/>
          <w:lang w:val="es-ES_tradnl"/>
        </w:rPr>
      </w:pPr>
      <w:r>
        <w:rPr>
          <w:rFonts w:ascii="MinionPro-Regular" w:hAnsi="MinionPro-Regular"/>
          <w:sz w:val="20"/>
          <w:szCs w:val="24"/>
          <w:lang w:val="es-ES_tradnl"/>
        </w:rPr>
        <w:t>Percepción de</w:t>
      </w:r>
      <w:r w:rsidRPr="00D0247E">
        <w:rPr>
          <w:rFonts w:ascii="MinionPro-Regular" w:hAnsi="MinionPro-Regular"/>
          <w:sz w:val="20"/>
          <w:szCs w:val="24"/>
          <w:lang w:val="es-ES_tradnl"/>
        </w:rPr>
        <w:t xml:space="preserve"> los gestores de los centros especiales de empleo</w:t>
      </w:r>
      <w:r>
        <w:rPr>
          <w:rFonts w:ascii="MinionPro-Regular" w:hAnsi="MinionPro-Regular"/>
          <w:sz w:val="20"/>
          <w:szCs w:val="24"/>
          <w:lang w:val="es-ES_tradnl"/>
        </w:rPr>
        <w:t xml:space="preserve"> acerca del nivel de innovación</w:t>
      </w:r>
    </w:p>
    <w:p w:rsidR="00E2336B" w:rsidRDefault="00E1516B" w:rsidP="00F83E19">
      <w:pPr>
        <w:autoSpaceDE w:val="0"/>
        <w:autoSpaceDN w:val="0"/>
        <w:jc w:val="both"/>
        <w:rPr>
          <w:rFonts w:ascii="MinionPro-Regular" w:hAnsi="MinionPro-Regular"/>
          <w:sz w:val="20"/>
          <w:szCs w:val="24"/>
          <w:lang w:val="es-ES_tradnl"/>
        </w:rPr>
      </w:pPr>
      <w:r>
        <w:rPr>
          <w:rFonts w:ascii="MinionPro-Regular" w:hAnsi="MinionPro-Regular"/>
          <w:noProof/>
          <w:sz w:val="20"/>
          <w:szCs w:val="24"/>
          <w:lang w:eastAsia="es-ES"/>
        </w:rPr>
        <w:drawing>
          <wp:inline distT="0" distB="0" distL="0" distR="0">
            <wp:extent cx="4451350" cy="2795270"/>
            <wp:effectExtent l="0" t="0" r="0" b="0"/>
            <wp:docPr id="126" name="Picture 12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7"/>
              </a:graphicData>
            </a:graphic>
          </wp:inline>
        </w:drawing>
      </w:r>
    </w:p>
    <w:p w:rsidR="00E2336B" w:rsidRDefault="00E2336B" w:rsidP="00213730">
      <w:pPr>
        <w:pBdr>
          <w:bottom w:val="single" w:sz="4" w:space="1" w:color="auto"/>
        </w:pBdr>
        <w:autoSpaceDE w:val="0"/>
        <w:autoSpaceDN w:val="0"/>
        <w:spacing w:line="360" w:lineRule="auto"/>
        <w:jc w:val="both"/>
        <w:rPr>
          <w:rFonts w:ascii="MinionPro-Regular" w:hAnsi="MinionPro-Regular"/>
          <w:sz w:val="20"/>
          <w:szCs w:val="24"/>
          <w:lang w:val="es-ES_tradnl"/>
        </w:rPr>
      </w:pPr>
      <w:r w:rsidRPr="00DE029C">
        <w:rPr>
          <w:rFonts w:ascii="MinionPro-Regular" w:hAnsi="MinionPro-Regular"/>
          <w:sz w:val="20"/>
          <w:szCs w:val="24"/>
          <w:lang w:val="es-ES_tradnl"/>
        </w:rPr>
        <w:t xml:space="preserve">Fuente: Elaboración propia a partir de la encuesta a centros especiales de empleo. </w:t>
      </w:r>
      <w:r>
        <w:rPr>
          <w:rFonts w:ascii="MinionPro-Regular" w:hAnsi="MinionPro-Regular"/>
          <w:sz w:val="20"/>
          <w:szCs w:val="24"/>
          <w:lang w:val="es-ES_tradnl"/>
        </w:rPr>
        <w:t>Noviembre 2012.</w:t>
      </w:r>
    </w:p>
    <w:p w:rsidR="00E2336B" w:rsidRDefault="00E2336B" w:rsidP="00213730">
      <w:pPr>
        <w:pBdr>
          <w:bottom w:val="single" w:sz="4" w:space="1" w:color="auto"/>
        </w:pBdr>
        <w:autoSpaceDE w:val="0"/>
        <w:autoSpaceDN w:val="0"/>
        <w:spacing w:line="360" w:lineRule="auto"/>
        <w:jc w:val="both"/>
        <w:rPr>
          <w:rFonts w:ascii="MinionPro-Regular" w:hAnsi="MinionPro-Regular"/>
          <w:sz w:val="20"/>
          <w:szCs w:val="24"/>
          <w:lang w:val="es-ES_tradnl"/>
        </w:rPr>
      </w:pPr>
    </w:p>
    <w:p w:rsidR="00E2336B" w:rsidRDefault="00E2336B">
      <w:pPr>
        <w:pBdr>
          <w:bottom w:val="single" w:sz="4" w:space="1" w:color="auto"/>
        </w:pBdr>
        <w:autoSpaceDE w:val="0"/>
        <w:autoSpaceDN w:val="0"/>
        <w:spacing w:line="360" w:lineRule="auto"/>
        <w:jc w:val="both"/>
        <w:rPr>
          <w:rFonts w:ascii="MinionPro-Regular" w:hAnsi="MinionPro-Regular"/>
          <w:sz w:val="20"/>
          <w:szCs w:val="24"/>
          <w:lang w:val="es-ES_tradnl"/>
        </w:rPr>
      </w:pPr>
      <w:r>
        <w:rPr>
          <w:rFonts w:ascii="MinionPro-Regular" w:hAnsi="MinionPro-Regular"/>
          <w:sz w:val="20"/>
          <w:szCs w:val="24"/>
          <w:lang w:val="es-ES_tradnl"/>
        </w:rPr>
        <w:t>Nota explicativa de la gráfica: Gráfica circular en la que aparece el porcentaje de gestores de centros especiales entrevistados que respondieron a la pregunta: ¿cuál es el nivel de innovación del centro especial de empleo? Las respuestas son: 15% por debajo de la media del sector, 55% en la media del sector, 30% por encima de la media del sector.</w:t>
      </w:r>
    </w:p>
    <w:p w:rsidR="00E2336B" w:rsidRDefault="00E2336B" w:rsidP="00F83E19">
      <w:pPr>
        <w:rPr>
          <w:rFonts w:ascii="MinionPro-Regular" w:hAnsi="MinionPro-Regular"/>
          <w:sz w:val="24"/>
          <w:szCs w:val="24"/>
          <w:lang w:val="es-ES_tradnl"/>
        </w:rPr>
      </w:pPr>
    </w:p>
    <w:p w:rsidR="00E2336B" w:rsidRDefault="00E2336B" w:rsidP="0007541A">
      <w:pPr>
        <w:pStyle w:val="Ttulo3"/>
        <w:numPr>
          <w:ilvl w:val="2"/>
          <w:numId w:val="3"/>
        </w:numPr>
        <w:spacing w:line="240" w:lineRule="auto"/>
        <w:rPr>
          <w:lang w:val="es-ES_tradnl"/>
        </w:rPr>
      </w:pPr>
      <w:bookmarkStart w:id="494" w:name="_Toc344964146"/>
      <w:bookmarkStart w:id="495" w:name="_Toc344964147"/>
      <w:bookmarkStart w:id="496" w:name="_Toc344964148"/>
      <w:bookmarkStart w:id="497" w:name="_Toc352773616"/>
      <w:bookmarkEnd w:id="494"/>
      <w:bookmarkEnd w:id="495"/>
      <w:bookmarkEnd w:id="496"/>
      <w:r>
        <w:rPr>
          <w:lang w:val="es-ES_tradnl"/>
        </w:rPr>
        <w:t>Dotar de mayor flexibilidad al modelo</w:t>
      </w:r>
      <w:bookmarkEnd w:id="497"/>
    </w:p>
    <w:p w:rsidR="00E2336B" w:rsidRPr="008C5519" w:rsidRDefault="00E2336B" w:rsidP="00F83E19">
      <w:pPr>
        <w:pStyle w:val="Textoindependiente"/>
        <w:rPr>
          <w:lang w:val="es-ES_tradnl"/>
        </w:rPr>
      </w:pPr>
    </w:p>
    <w:p w:rsidR="00E2336B" w:rsidRDefault="00E2336B">
      <w:pPr>
        <w:pBdr>
          <w:top w:val="single" w:sz="4" w:space="1" w:color="auto"/>
          <w:left w:val="single" w:sz="4" w:space="4" w:color="auto"/>
          <w:bottom w:val="single" w:sz="4" w:space="1" w:color="auto"/>
          <w:right w:val="single" w:sz="4" w:space="4" w:color="auto"/>
        </w:pBd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lastRenderedPageBreak/>
        <w:t xml:space="preserve">Definir </w:t>
      </w:r>
      <w:r w:rsidRPr="00F8236B">
        <w:rPr>
          <w:rFonts w:ascii="MinionPro-Regular" w:hAnsi="MinionPro-Regular"/>
          <w:sz w:val="24"/>
          <w:szCs w:val="24"/>
          <w:lang w:val="es-ES_tradnl"/>
        </w:rPr>
        <w:t xml:space="preserve">fórmulas de flexibilidad que se sitúen </w:t>
      </w:r>
      <w:r>
        <w:rPr>
          <w:rFonts w:ascii="MinionPro-Regular" w:hAnsi="MinionPro-Regular"/>
          <w:sz w:val="24"/>
          <w:szCs w:val="24"/>
          <w:lang w:val="es-ES_tradnl"/>
        </w:rPr>
        <w:t xml:space="preserve">por debajo del </w:t>
      </w:r>
      <w:r w:rsidRPr="00CA343C">
        <w:rPr>
          <w:rFonts w:ascii="MinionPro-Regular" w:hAnsi="MinionPro-Regular"/>
          <w:sz w:val="24"/>
          <w:szCs w:val="24"/>
          <w:lang w:val="es-ES_tradnl"/>
        </w:rPr>
        <w:t>mínimo de</w:t>
      </w:r>
      <w:r w:rsidR="00CA343C">
        <w:rPr>
          <w:rFonts w:ascii="MinionPro-Regular" w:hAnsi="MinionPro-Regular"/>
          <w:sz w:val="24"/>
          <w:szCs w:val="24"/>
          <w:lang w:val="es-ES_tradnl"/>
        </w:rPr>
        <w:t>l</w:t>
      </w:r>
      <w:r>
        <w:rPr>
          <w:rFonts w:ascii="MinionPro-Regular" w:hAnsi="MinionPro-Regular"/>
          <w:sz w:val="24"/>
          <w:szCs w:val="24"/>
          <w:lang w:val="es-ES_tradnl"/>
        </w:rPr>
        <w:t xml:space="preserve"> </w:t>
      </w:r>
      <w:r w:rsidRPr="00F8236B">
        <w:rPr>
          <w:rFonts w:ascii="MinionPro-Regular" w:hAnsi="MinionPro-Regular"/>
          <w:sz w:val="24"/>
          <w:szCs w:val="24"/>
          <w:lang w:val="es-ES_tradnl"/>
        </w:rPr>
        <w:t>70%</w:t>
      </w:r>
      <w:r>
        <w:rPr>
          <w:rFonts w:ascii="MinionPro-Regular" w:hAnsi="MinionPro-Regular"/>
          <w:sz w:val="24"/>
          <w:szCs w:val="24"/>
          <w:lang w:val="es-ES_tradnl"/>
        </w:rPr>
        <w:t xml:space="preserve"> </w:t>
      </w:r>
      <w:r w:rsidRPr="00CA343C">
        <w:rPr>
          <w:rFonts w:ascii="MinionPro-Regular" w:hAnsi="MinionPro-Regular"/>
          <w:sz w:val="24"/>
          <w:szCs w:val="24"/>
          <w:lang w:val="es-ES_tradnl"/>
        </w:rPr>
        <w:t>de trabajadores con disca</w:t>
      </w:r>
      <w:r w:rsidR="00CA343C" w:rsidRPr="00CA343C">
        <w:rPr>
          <w:rFonts w:ascii="MinionPro-Regular" w:hAnsi="MinionPro-Regular"/>
          <w:sz w:val="24"/>
          <w:szCs w:val="24"/>
          <w:lang w:val="es-ES_tradnl"/>
        </w:rPr>
        <w:t>pacidad para poder ser califica</w:t>
      </w:r>
      <w:r w:rsidRPr="00CA343C">
        <w:rPr>
          <w:rFonts w:ascii="MinionPro-Regular" w:hAnsi="MinionPro-Regular"/>
          <w:sz w:val="24"/>
          <w:szCs w:val="24"/>
          <w:lang w:val="es-ES_tradnl"/>
        </w:rPr>
        <w:t>do como</w:t>
      </w:r>
      <w:r w:rsidR="00CA343C" w:rsidRPr="00CA343C">
        <w:rPr>
          <w:rFonts w:ascii="MinionPro-Regular" w:hAnsi="MinionPro-Regular"/>
          <w:sz w:val="24"/>
          <w:szCs w:val="24"/>
          <w:lang w:val="es-ES_tradnl"/>
        </w:rPr>
        <w:t xml:space="preserve"> centro especial de empleo</w:t>
      </w:r>
      <w:r>
        <w:rPr>
          <w:rFonts w:ascii="MinionPro-Regular" w:hAnsi="MinionPro-Regular"/>
          <w:sz w:val="24"/>
          <w:szCs w:val="24"/>
          <w:lang w:val="es-ES_tradnl"/>
        </w:rPr>
        <w:t>,</w:t>
      </w:r>
      <w:r w:rsidRPr="00F8236B">
        <w:rPr>
          <w:rFonts w:ascii="MinionPro-Regular" w:hAnsi="MinionPro-Regular"/>
          <w:sz w:val="24"/>
          <w:szCs w:val="24"/>
          <w:lang w:val="es-ES_tradnl"/>
        </w:rPr>
        <w:t xml:space="preserve"> en función de los diferentes grados de empleabilidad de las personas </w:t>
      </w:r>
      <w:r>
        <w:rPr>
          <w:rFonts w:ascii="MinionPro-Regular" w:hAnsi="MinionPro-Regular"/>
          <w:sz w:val="24"/>
          <w:szCs w:val="24"/>
          <w:lang w:val="es-ES_tradnl"/>
        </w:rPr>
        <w:t>que constituyen sus plantillas, del origen social de la iniciativa, de su valor añadido o del carácter estratégico para el sector de los centros especiales de empleo.</w:t>
      </w:r>
    </w:p>
    <w:p w:rsidR="00E2336B" w:rsidRDefault="00E2336B">
      <w:pPr>
        <w:pBdr>
          <w:top w:val="single" w:sz="4" w:space="1" w:color="auto"/>
          <w:left w:val="single" w:sz="4" w:space="4" w:color="auto"/>
          <w:bottom w:val="single" w:sz="4" w:space="1" w:color="auto"/>
          <w:right w:val="single" w:sz="4" w:space="4" w:color="auto"/>
        </w:pBdr>
        <w:autoSpaceDE w:val="0"/>
        <w:autoSpaceDN w:val="0"/>
        <w:spacing w:line="360" w:lineRule="auto"/>
        <w:jc w:val="both"/>
        <w:rPr>
          <w:rFonts w:ascii="MinionPro-Regular" w:hAnsi="MinionPro-Regular"/>
          <w:sz w:val="24"/>
          <w:szCs w:val="24"/>
          <w:lang w:val="es-ES_tradnl"/>
        </w:rPr>
      </w:pPr>
    </w:p>
    <w:p w:rsidR="00E2336B" w:rsidRPr="005A0A75" w:rsidRDefault="00E2336B" w:rsidP="00CE0903">
      <w:pPr>
        <w:pBdr>
          <w:top w:val="single" w:sz="4" w:space="1" w:color="auto"/>
          <w:left w:val="single" w:sz="4" w:space="4" w:color="auto"/>
          <w:bottom w:val="single" w:sz="4" w:space="1" w:color="auto"/>
          <w:right w:val="single" w:sz="4" w:space="4" w:color="auto"/>
        </w:pBdr>
        <w:autoSpaceDE w:val="0"/>
        <w:autoSpaceDN w:val="0"/>
        <w:spacing w:line="360" w:lineRule="auto"/>
        <w:jc w:val="both"/>
        <w:rPr>
          <w:rFonts w:ascii="MinionPro-Regular" w:hAnsi="MinionPro-Regular"/>
          <w:i/>
          <w:sz w:val="24"/>
          <w:szCs w:val="24"/>
          <w:lang w:val="es-ES_tradnl"/>
        </w:rPr>
      </w:pPr>
      <w:r w:rsidRPr="005A0A75">
        <w:rPr>
          <w:rFonts w:ascii="MinionPro-Regular" w:hAnsi="MinionPro-Regular"/>
          <w:i/>
          <w:sz w:val="24"/>
          <w:szCs w:val="24"/>
          <w:lang w:val="es-ES_tradnl"/>
        </w:rPr>
        <w:t xml:space="preserve">Por dónde comenzar: </w:t>
      </w:r>
    </w:p>
    <w:p w:rsidR="00E2336B" w:rsidRDefault="00E2336B">
      <w:pPr>
        <w:pBdr>
          <w:top w:val="single" w:sz="4" w:space="1" w:color="auto"/>
          <w:left w:val="single" w:sz="4" w:space="4" w:color="auto"/>
          <w:bottom w:val="single" w:sz="4" w:space="1" w:color="auto"/>
          <w:right w:val="single" w:sz="4" w:space="4" w:color="auto"/>
        </w:pBd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Definir modelos piloto con estructuras y ayudas diferenciadas según criterios clave.</w:t>
      </w:r>
    </w:p>
    <w:p w:rsidR="00E2336B" w:rsidRDefault="00E2336B">
      <w:pPr>
        <w:autoSpaceDE w:val="0"/>
        <w:autoSpaceDN w:val="0"/>
        <w:spacing w:line="360" w:lineRule="auto"/>
        <w:jc w:val="both"/>
        <w:rPr>
          <w:rFonts w:ascii="MinionPro-Regular" w:hAnsi="MinionPro-Regular"/>
          <w:sz w:val="24"/>
          <w:szCs w:val="24"/>
          <w:lang w:val="es-ES_tradnl"/>
        </w:rPr>
      </w:pPr>
    </w:p>
    <w:p w:rsidR="00E2336B" w:rsidRDefault="00E2336B">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Cabe destacar lo extremo del modelo español actual de incorporación al mercado laboral de las personas con discapacidad. E</w:t>
      </w:r>
      <w:r w:rsidRPr="00867D87">
        <w:rPr>
          <w:rFonts w:ascii="MinionPro-Regular" w:hAnsi="MinionPro-Regular"/>
          <w:sz w:val="24"/>
          <w:szCs w:val="24"/>
          <w:lang w:val="es-ES_tradnl"/>
        </w:rPr>
        <w:t xml:space="preserve">xisten dos </w:t>
      </w:r>
      <w:r>
        <w:rPr>
          <w:rFonts w:ascii="MinionPro-Regular" w:hAnsi="MinionPro-Regular"/>
          <w:sz w:val="24"/>
          <w:szCs w:val="24"/>
          <w:lang w:val="es-ES_tradnl"/>
        </w:rPr>
        <w:t>alternativas (empresas ordinarias y centros especiales de empleo)</w:t>
      </w:r>
      <w:r w:rsidRPr="00867D87">
        <w:rPr>
          <w:rFonts w:ascii="MinionPro-Regular" w:hAnsi="MinionPro-Regular"/>
          <w:sz w:val="24"/>
          <w:szCs w:val="24"/>
          <w:lang w:val="es-ES_tradnl"/>
        </w:rPr>
        <w:t xml:space="preserve"> con unas posiciones </w:t>
      </w:r>
      <w:r>
        <w:rPr>
          <w:rFonts w:ascii="MinionPro-Regular" w:hAnsi="MinionPro-Regular"/>
          <w:sz w:val="24"/>
          <w:szCs w:val="24"/>
          <w:lang w:val="es-ES_tradnl"/>
        </w:rPr>
        <w:t xml:space="preserve">extremas en sus diferencias. En un extremo, nos encontramos con el </w:t>
      </w:r>
      <w:r w:rsidRPr="00867D87">
        <w:rPr>
          <w:rFonts w:ascii="MinionPro-Regular" w:hAnsi="MinionPro-Regular"/>
          <w:sz w:val="24"/>
          <w:szCs w:val="24"/>
          <w:lang w:val="es-ES_tradnl"/>
        </w:rPr>
        <w:t>2% de personas con discapacidad</w:t>
      </w:r>
      <w:r>
        <w:rPr>
          <w:rFonts w:ascii="MinionPro-Regular" w:hAnsi="MinionPro-Regular"/>
          <w:sz w:val="24"/>
          <w:szCs w:val="24"/>
          <w:lang w:val="es-ES_tradnl"/>
        </w:rPr>
        <w:t xml:space="preserve"> en las empresas ordinarias. En el otro, al 70% de los centros especiales de empleo. </w:t>
      </w:r>
    </w:p>
    <w:p w:rsidR="00E2336B" w:rsidRDefault="00E2336B">
      <w:pPr>
        <w:autoSpaceDE w:val="0"/>
        <w:autoSpaceDN w:val="0"/>
        <w:spacing w:line="360" w:lineRule="auto"/>
        <w:jc w:val="both"/>
        <w:rPr>
          <w:rFonts w:ascii="MinionPro-Regular" w:hAnsi="MinionPro-Regular"/>
          <w:sz w:val="24"/>
          <w:szCs w:val="24"/>
          <w:lang w:val="es-ES_tradnl"/>
        </w:rPr>
      </w:pPr>
    </w:p>
    <w:p w:rsidR="00E2336B" w:rsidRDefault="00E2336B">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 xml:space="preserve">En otros países de nuestro entorno, como Finlandia y sus empresas sociales, pueden encontrarse modelos donde la diferencia entre la cuota aplicable al empleo ordinario y los requerimientos del empleo protegido no son tan dispares como en el caso español. De hecho, el 70% establecido a los centros especiales de empleo españoles constituye la excepción y no la norma entre los países del entorno europeo. Las mencionadas empresas sociales finlandesas establecen un requisito del 30% de empleados con discapacidad grave. El porcentaje mínimo puede </w:t>
      </w:r>
      <w:r w:rsidRPr="00CA343C">
        <w:rPr>
          <w:rFonts w:ascii="MinionPro-Regular" w:hAnsi="MinionPro-Regular"/>
          <w:sz w:val="24"/>
          <w:szCs w:val="24"/>
          <w:lang w:val="es-ES_tradnl"/>
        </w:rPr>
        <w:t>alcanzarse</w:t>
      </w:r>
      <w:r w:rsidR="00CA343C" w:rsidRPr="00CA343C">
        <w:rPr>
          <w:rFonts w:ascii="MinionPro-Regular" w:hAnsi="MinionPro-Regular"/>
          <w:sz w:val="24"/>
          <w:szCs w:val="24"/>
          <w:lang w:val="es-ES_tradnl"/>
        </w:rPr>
        <w:t xml:space="preserve"> </w:t>
      </w:r>
      <w:r w:rsidRPr="00CA343C">
        <w:rPr>
          <w:rFonts w:ascii="MinionPro-Regular" w:hAnsi="MinionPro-Regular"/>
          <w:sz w:val="24"/>
          <w:szCs w:val="24"/>
          <w:lang w:val="es-ES_tradnl"/>
        </w:rPr>
        <w:t>combinando</w:t>
      </w:r>
      <w:r>
        <w:rPr>
          <w:rFonts w:ascii="MinionPro-Regular" w:hAnsi="MinionPro-Regular"/>
          <w:color w:val="FF0000"/>
          <w:sz w:val="24"/>
          <w:szCs w:val="24"/>
          <w:lang w:val="es-ES_tradnl"/>
        </w:rPr>
        <w:t xml:space="preserve"> </w:t>
      </w:r>
      <w:r>
        <w:rPr>
          <w:rFonts w:ascii="MinionPro-Regular" w:hAnsi="MinionPro-Regular"/>
          <w:sz w:val="24"/>
          <w:szCs w:val="24"/>
          <w:lang w:val="es-ES_tradnl"/>
        </w:rPr>
        <w:t xml:space="preserve">con el empleo de otros colectivos en especial dificultad. Un modelo similar puede encontrarse entre las empresas sociales italianas. </w:t>
      </w:r>
    </w:p>
    <w:p w:rsidR="00E2336B" w:rsidRDefault="00E2336B">
      <w:pPr>
        <w:autoSpaceDE w:val="0"/>
        <w:autoSpaceDN w:val="0"/>
        <w:spacing w:line="360" w:lineRule="auto"/>
        <w:jc w:val="both"/>
        <w:rPr>
          <w:rFonts w:ascii="MinionPro-Regular" w:hAnsi="MinionPro-Regular"/>
          <w:sz w:val="24"/>
          <w:szCs w:val="24"/>
          <w:lang w:val="es-ES_tradnl"/>
        </w:rPr>
      </w:pPr>
    </w:p>
    <w:p w:rsidR="00E2336B" w:rsidRDefault="00E2336B">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lastRenderedPageBreak/>
        <w:t xml:space="preserve">La revisión y la flexibilidad debería aplicar a casos excepcionales, debidamente justificados y vinculados a una iniciativa social. La excepción debería hacer referencia a aquellas circunstancias donde el grado de empleabilidad de las personas pudiera ofrecer dificultades particulares o utilizarse para el impulso de sectores estratégicos con alto valor añadido y poca presencia de los centros especiales de empleo, como </w:t>
      </w:r>
      <w:r w:rsidRPr="002604A2">
        <w:rPr>
          <w:rFonts w:ascii="MinionPro-Regular" w:hAnsi="MinionPro-Regular"/>
          <w:sz w:val="24"/>
          <w:szCs w:val="24"/>
          <w:lang w:val="es-ES_tradnl"/>
        </w:rPr>
        <w:t>blue jobs (nuevas tecnología</w:t>
      </w:r>
      <w:r>
        <w:rPr>
          <w:rFonts w:ascii="MinionPro-Regular" w:hAnsi="MinionPro-Regular"/>
          <w:sz w:val="24"/>
          <w:szCs w:val="24"/>
          <w:lang w:val="es-ES_tradnl"/>
        </w:rPr>
        <w:t xml:space="preserve">s), white jobs (biosanitarios) o </w:t>
      </w:r>
      <w:r w:rsidRPr="002604A2">
        <w:rPr>
          <w:rFonts w:ascii="MinionPro-Regular" w:hAnsi="MinionPro-Regular"/>
          <w:sz w:val="24"/>
          <w:szCs w:val="24"/>
          <w:lang w:val="es-ES_tradnl"/>
        </w:rPr>
        <w:t>green jobs (medio ambiente)</w:t>
      </w:r>
      <w:r>
        <w:rPr>
          <w:rFonts w:ascii="MinionPro-Regular" w:hAnsi="MinionPro-Regular"/>
          <w:sz w:val="24"/>
          <w:szCs w:val="24"/>
          <w:lang w:val="es-ES_tradnl"/>
        </w:rPr>
        <w:t xml:space="preserve">. También podría aplicarse para incorporar a los centros especiales de empleo a colectivos en especial dificultad o de difícil inserción. </w:t>
      </w:r>
    </w:p>
    <w:p w:rsidR="00E2336B" w:rsidRDefault="00E2336B">
      <w:pPr>
        <w:autoSpaceDE w:val="0"/>
        <w:autoSpaceDN w:val="0"/>
        <w:spacing w:line="360" w:lineRule="auto"/>
        <w:jc w:val="both"/>
        <w:rPr>
          <w:rFonts w:ascii="MinionPro-Regular" w:hAnsi="MinionPro-Regular"/>
          <w:sz w:val="24"/>
          <w:szCs w:val="24"/>
          <w:lang w:val="es-ES_tradnl"/>
        </w:rPr>
      </w:pPr>
    </w:p>
    <w:p w:rsidR="00E2336B" w:rsidRPr="00CB4D85" w:rsidRDefault="00E2336B" w:rsidP="00CB4D85">
      <w:pPr>
        <w:pBdr>
          <w:top w:val="single" w:sz="4" w:space="1" w:color="auto"/>
          <w:left w:val="single" w:sz="4" w:space="4" w:color="auto"/>
          <w:bottom w:val="single" w:sz="4" w:space="1" w:color="auto"/>
          <w:right w:val="single" w:sz="4" w:space="4" w:color="auto"/>
        </w:pBdr>
        <w:shd w:val="clear" w:color="auto" w:fill="D9D9D9"/>
        <w:autoSpaceDE w:val="0"/>
        <w:autoSpaceDN w:val="0"/>
        <w:spacing w:line="360" w:lineRule="auto"/>
        <w:jc w:val="both"/>
        <w:rPr>
          <w:rFonts w:ascii="MinionPro-Regular" w:hAnsi="MinionPro-Regular"/>
          <w:b/>
          <w:szCs w:val="24"/>
          <w:lang w:val="es-ES_tradnl"/>
        </w:rPr>
      </w:pPr>
      <w:r w:rsidRPr="00CB4D85">
        <w:rPr>
          <w:rFonts w:ascii="MinionPro-Regular" w:hAnsi="MinionPro-Regular"/>
          <w:b/>
          <w:szCs w:val="24"/>
          <w:lang w:val="es-ES_tradnl"/>
        </w:rPr>
        <w:t>Modelo 2020</w:t>
      </w:r>
    </w:p>
    <w:p w:rsidR="00E2336B" w:rsidRPr="00CB4D85" w:rsidRDefault="00E2336B" w:rsidP="00CB4D85">
      <w:pPr>
        <w:pBdr>
          <w:top w:val="single" w:sz="4" w:space="1" w:color="auto"/>
          <w:left w:val="single" w:sz="4" w:space="4" w:color="auto"/>
          <w:bottom w:val="single" w:sz="4" w:space="1" w:color="auto"/>
          <w:right w:val="single" w:sz="4" w:space="4" w:color="auto"/>
        </w:pBdr>
        <w:shd w:val="clear" w:color="auto" w:fill="D9D9D9"/>
        <w:autoSpaceDE w:val="0"/>
        <w:autoSpaceDN w:val="0"/>
        <w:spacing w:line="360" w:lineRule="auto"/>
        <w:jc w:val="both"/>
        <w:rPr>
          <w:rFonts w:ascii="MinionPro-Regular" w:hAnsi="MinionPro-Regular"/>
          <w:b/>
          <w:szCs w:val="24"/>
          <w:lang w:val="es-ES_tradnl"/>
        </w:rPr>
      </w:pPr>
      <w:r w:rsidRPr="00CB4D85">
        <w:rPr>
          <w:rFonts w:ascii="MinionPro-Regular" w:hAnsi="MinionPro-Regular"/>
          <w:b/>
          <w:szCs w:val="24"/>
          <w:lang w:val="es-ES_tradnl"/>
        </w:rPr>
        <w:t xml:space="preserve">Nuevas modalidades de centros </w:t>
      </w:r>
      <w:r>
        <w:rPr>
          <w:rFonts w:ascii="MinionPro-Regular" w:hAnsi="MinionPro-Regular"/>
          <w:b/>
          <w:szCs w:val="24"/>
          <w:lang w:val="es-ES_tradnl"/>
        </w:rPr>
        <w:t>entre el 50 y el</w:t>
      </w:r>
      <w:r w:rsidRPr="00CB4D85">
        <w:rPr>
          <w:rFonts w:ascii="MinionPro-Regular" w:hAnsi="MinionPro-Regular"/>
          <w:b/>
          <w:szCs w:val="24"/>
          <w:lang w:val="es-ES_tradnl"/>
        </w:rPr>
        <w:t xml:space="preserve"> 70%</w:t>
      </w:r>
    </w:p>
    <w:p w:rsidR="00E2336B" w:rsidRPr="00CB4D85" w:rsidRDefault="00E2336B" w:rsidP="00CB4D85">
      <w:pPr>
        <w:pBdr>
          <w:top w:val="single" w:sz="4" w:space="1" w:color="auto"/>
          <w:left w:val="single" w:sz="4" w:space="4" w:color="auto"/>
          <w:bottom w:val="single" w:sz="4" w:space="1" w:color="auto"/>
          <w:right w:val="single" w:sz="4" w:space="4" w:color="auto"/>
        </w:pBdr>
        <w:shd w:val="clear" w:color="auto" w:fill="D9D9D9"/>
        <w:autoSpaceDE w:val="0"/>
        <w:autoSpaceDN w:val="0"/>
        <w:spacing w:line="360" w:lineRule="auto"/>
        <w:jc w:val="both"/>
        <w:rPr>
          <w:rFonts w:ascii="MinionPro-Regular" w:hAnsi="MinionPro-Regular"/>
          <w:szCs w:val="24"/>
          <w:lang w:val="es-ES_tradnl"/>
        </w:rPr>
      </w:pPr>
    </w:p>
    <w:p w:rsidR="00E2336B" w:rsidRPr="00CB4D85" w:rsidRDefault="00E2336B" w:rsidP="00CB4D85">
      <w:pPr>
        <w:pBdr>
          <w:top w:val="single" w:sz="4" w:space="1" w:color="auto"/>
          <w:left w:val="single" w:sz="4" w:space="4" w:color="auto"/>
          <w:bottom w:val="single" w:sz="4" w:space="1" w:color="auto"/>
          <w:right w:val="single" w:sz="4" w:space="4" w:color="auto"/>
        </w:pBdr>
        <w:shd w:val="clear" w:color="auto" w:fill="D9D9D9"/>
        <w:autoSpaceDE w:val="0"/>
        <w:autoSpaceDN w:val="0"/>
        <w:spacing w:line="360" w:lineRule="auto"/>
        <w:jc w:val="both"/>
        <w:rPr>
          <w:rFonts w:ascii="MinionPro-Regular" w:hAnsi="MinionPro-Regular"/>
          <w:szCs w:val="24"/>
          <w:lang w:val="es-ES_tradnl"/>
        </w:rPr>
      </w:pPr>
      <w:r w:rsidRPr="00CB4D85">
        <w:rPr>
          <w:rFonts w:ascii="MinionPro-Regular" w:hAnsi="MinionPro-Regular"/>
          <w:szCs w:val="24"/>
          <w:lang w:val="es-ES_tradnl"/>
        </w:rPr>
        <w:t>La normativa española que regula los centros especiales de empleo establece que su plantilla deberá estar formada al menos en un 70% por personas con discapacidad. Como hemos visto</w:t>
      </w:r>
      <w:r>
        <w:rPr>
          <w:rFonts w:ascii="MinionPro-Regular" w:hAnsi="MinionPro-Regular"/>
          <w:szCs w:val="24"/>
          <w:lang w:val="es-ES_tradnl"/>
        </w:rPr>
        <w:t xml:space="preserve"> anteriormente</w:t>
      </w:r>
      <w:r w:rsidRPr="00CB4D85">
        <w:rPr>
          <w:rFonts w:ascii="MinionPro-Regular" w:hAnsi="MinionPro-Regular"/>
          <w:szCs w:val="24"/>
          <w:lang w:val="es-ES_tradnl"/>
        </w:rPr>
        <w:t xml:space="preserve">, este es un porcentaje sustancialmente más elevado que el que puede encontrarse en otros países de nuestro entorno. Además, en </w:t>
      </w:r>
      <w:r w:rsidRPr="00CA343C">
        <w:rPr>
          <w:rFonts w:ascii="MinionPro-Regular" w:hAnsi="MinionPro-Regular"/>
          <w:szCs w:val="24"/>
          <w:lang w:val="es-ES_tradnl"/>
        </w:rPr>
        <w:t xml:space="preserve">legislaciones </w:t>
      </w:r>
      <w:r w:rsidRPr="00CB4D85">
        <w:rPr>
          <w:rFonts w:ascii="MinionPro-Regular" w:hAnsi="MinionPro-Regular"/>
          <w:szCs w:val="24"/>
          <w:lang w:val="es-ES_tradnl"/>
        </w:rPr>
        <w:t xml:space="preserve">como la finlandesa o la italiana incorporan a otros colectivos en dificultad a las plantillas de las organizaciones equiparables a los centros especiales de empleo españoles. </w:t>
      </w:r>
    </w:p>
    <w:p w:rsidR="00E2336B" w:rsidRPr="00CB4D85" w:rsidRDefault="00E2336B" w:rsidP="00CB4D85">
      <w:pPr>
        <w:pBdr>
          <w:top w:val="single" w:sz="4" w:space="1" w:color="auto"/>
          <w:left w:val="single" w:sz="4" w:space="4" w:color="auto"/>
          <w:bottom w:val="single" w:sz="4" w:space="1" w:color="auto"/>
          <w:right w:val="single" w:sz="4" w:space="4" w:color="auto"/>
        </w:pBdr>
        <w:shd w:val="clear" w:color="auto" w:fill="D9D9D9"/>
        <w:autoSpaceDE w:val="0"/>
        <w:autoSpaceDN w:val="0"/>
        <w:spacing w:line="360" w:lineRule="auto"/>
        <w:jc w:val="both"/>
        <w:rPr>
          <w:rFonts w:ascii="MinionPro-Regular" w:hAnsi="MinionPro-Regular"/>
          <w:szCs w:val="24"/>
          <w:lang w:val="es-ES_tradnl"/>
        </w:rPr>
      </w:pPr>
    </w:p>
    <w:p w:rsidR="00E2336B" w:rsidRDefault="00E2336B" w:rsidP="00CB4D85">
      <w:pPr>
        <w:pBdr>
          <w:top w:val="single" w:sz="4" w:space="1" w:color="auto"/>
          <w:left w:val="single" w:sz="4" w:space="4" w:color="auto"/>
          <w:bottom w:val="single" w:sz="4" w:space="1" w:color="auto"/>
          <w:right w:val="single" w:sz="4" w:space="4" w:color="auto"/>
        </w:pBdr>
        <w:shd w:val="clear" w:color="auto" w:fill="D9D9D9"/>
        <w:autoSpaceDE w:val="0"/>
        <w:autoSpaceDN w:val="0"/>
        <w:spacing w:line="360" w:lineRule="auto"/>
        <w:jc w:val="both"/>
        <w:rPr>
          <w:rFonts w:ascii="MinionPro-Regular" w:hAnsi="MinionPro-Regular"/>
          <w:szCs w:val="24"/>
          <w:lang w:val="es-ES_tradnl"/>
        </w:rPr>
      </w:pPr>
      <w:r w:rsidRPr="00CB4D85">
        <w:rPr>
          <w:rFonts w:ascii="MinionPro-Regular" w:hAnsi="MinionPro-Regular"/>
          <w:szCs w:val="24"/>
          <w:lang w:val="es-ES_tradnl"/>
        </w:rPr>
        <w:t xml:space="preserve">En un contexto de dificultades económicas como las que actualmente vive nuestro país existen oportunidades para mejorar la </w:t>
      </w:r>
      <w:r>
        <w:rPr>
          <w:rFonts w:ascii="MinionPro-Regular" w:hAnsi="MinionPro-Regular"/>
          <w:szCs w:val="24"/>
          <w:lang w:val="es-ES_tradnl"/>
        </w:rPr>
        <w:t xml:space="preserve">eficiencia social </w:t>
      </w:r>
      <w:r w:rsidRPr="00CB4D85">
        <w:rPr>
          <w:rFonts w:ascii="MinionPro-Regular" w:hAnsi="MinionPro-Regular"/>
          <w:szCs w:val="24"/>
          <w:lang w:val="es-ES_tradnl"/>
        </w:rPr>
        <w:t xml:space="preserve">de los centros especiales de empleo de iniciativa social que incorporan a colectivos con mayores grados de dificultad </w:t>
      </w:r>
      <w:r>
        <w:rPr>
          <w:rFonts w:ascii="MinionPro-Regular" w:hAnsi="MinionPro-Regular"/>
          <w:szCs w:val="24"/>
          <w:lang w:val="es-ES_tradnl"/>
        </w:rPr>
        <w:t>cumpliendo una función social. Una alternativa sería abrir</w:t>
      </w:r>
      <w:r w:rsidRPr="00CB4D85">
        <w:rPr>
          <w:rFonts w:ascii="MinionPro-Regular" w:hAnsi="MinionPro-Regular"/>
          <w:szCs w:val="24"/>
          <w:lang w:val="es-ES_tradnl"/>
        </w:rPr>
        <w:t xml:space="preserve"> la posibilidad de incorporar a </w:t>
      </w:r>
      <w:r>
        <w:rPr>
          <w:rFonts w:ascii="MinionPro-Regular" w:hAnsi="MinionPro-Regular"/>
          <w:szCs w:val="24"/>
          <w:lang w:val="es-ES_tradnl"/>
        </w:rPr>
        <w:t>las</w:t>
      </w:r>
      <w:r w:rsidRPr="00CB4D85">
        <w:rPr>
          <w:rFonts w:ascii="MinionPro-Regular" w:hAnsi="MinionPro-Regular"/>
          <w:szCs w:val="24"/>
          <w:lang w:val="es-ES_tradnl"/>
        </w:rPr>
        <w:t xml:space="preserve"> plantillas</w:t>
      </w:r>
      <w:r>
        <w:rPr>
          <w:rFonts w:ascii="MinionPro-Regular" w:hAnsi="MinionPro-Regular"/>
          <w:szCs w:val="24"/>
          <w:lang w:val="es-ES_tradnl"/>
        </w:rPr>
        <w:t xml:space="preserve"> de los centros especiales de empleos</w:t>
      </w:r>
      <w:r w:rsidRPr="00CB4D85">
        <w:rPr>
          <w:rFonts w:ascii="MinionPro-Regular" w:hAnsi="MinionPro-Regular"/>
          <w:szCs w:val="24"/>
          <w:lang w:val="es-ES_tradnl"/>
        </w:rPr>
        <w:t xml:space="preserve"> a colectivos en especial dificultad</w:t>
      </w:r>
      <w:r>
        <w:rPr>
          <w:rFonts w:ascii="MinionPro-Regular" w:hAnsi="MinionPro-Regular"/>
          <w:szCs w:val="24"/>
          <w:lang w:val="es-ES_tradnl"/>
        </w:rPr>
        <w:t xml:space="preserve"> en términos de empleo</w:t>
      </w:r>
      <w:r w:rsidRPr="00CB4D85">
        <w:rPr>
          <w:rFonts w:ascii="MinionPro-Regular" w:hAnsi="MinionPro-Regular"/>
          <w:szCs w:val="24"/>
          <w:lang w:val="es-ES_tradnl"/>
        </w:rPr>
        <w:t xml:space="preserve">. </w:t>
      </w:r>
    </w:p>
    <w:p w:rsidR="00E2336B" w:rsidRDefault="00E2336B" w:rsidP="00CB4D85">
      <w:pPr>
        <w:pBdr>
          <w:top w:val="single" w:sz="4" w:space="1" w:color="auto"/>
          <w:left w:val="single" w:sz="4" w:space="4" w:color="auto"/>
          <w:bottom w:val="single" w:sz="4" w:space="1" w:color="auto"/>
          <w:right w:val="single" w:sz="4" w:space="4" w:color="auto"/>
        </w:pBdr>
        <w:shd w:val="clear" w:color="auto" w:fill="D9D9D9"/>
        <w:autoSpaceDE w:val="0"/>
        <w:autoSpaceDN w:val="0"/>
        <w:spacing w:line="360" w:lineRule="auto"/>
        <w:jc w:val="both"/>
        <w:rPr>
          <w:rFonts w:ascii="MinionPro-Regular" w:hAnsi="MinionPro-Regular"/>
          <w:szCs w:val="24"/>
          <w:lang w:val="es-ES_tradnl"/>
        </w:rPr>
      </w:pPr>
    </w:p>
    <w:p w:rsidR="00E2336B" w:rsidRDefault="00E2336B" w:rsidP="00CB4D85">
      <w:pPr>
        <w:pBdr>
          <w:top w:val="single" w:sz="4" w:space="1" w:color="auto"/>
          <w:left w:val="single" w:sz="4" w:space="4" w:color="auto"/>
          <w:bottom w:val="single" w:sz="4" w:space="1" w:color="auto"/>
          <w:right w:val="single" w:sz="4" w:space="4" w:color="auto"/>
        </w:pBdr>
        <w:shd w:val="clear" w:color="auto" w:fill="D9D9D9"/>
        <w:autoSpaceDE w:val="0"/>
        <w:autoSpaceDN w:val="0"/>
        <w:spacing w:line="360" w:lineRule="auto"/>
        <w:jc w:val="both"/>
        <w:rPr>
          <w:rFonts w:ascii="MinionPro-Regular" w:hAnsi="MinionPro-Regular"/>
          <w:szCs w:val="24"/>
          <w:lang w:val="es-ES_tradnl"/>
        </w:rPr>
      </w:pPr>
      <w:r w:rsidRPr="00CB4D85">
        <w:rPr>
          <w:rFonts w:ascii="MinionPro-Regular" w:hAnsi="MinionPro-Regular"/>
          <w:szCs w:val="24"/>
          <w:lang w:val="es-ES_tradnl"/>
        </w:rPr>
        <w:t xml:space="preserve">Como es sabido, en la actualidad, los centros especiales de empleo cuentan en sus plantillas con aproximadamente un 90% de personas con discapacidad. La incorporación de los colectivos </w:t>
      </w:r>
      <w:r w:rsidRPr="00CB4D85">
        <w:rPr>
          <w:rFonts w:ascii="MinionPro-Regular" w:hAnsi="MinionPro-Regular"/>
          <w:szCs w:val="24"/>
          <w:lang w:val="es-ES_tradnl"/>
        </w:rPr>
        <w:lastRenderedPageBreak/>
        <w:t xml:space="preserve">mencionados permitiría, sin menoscabar su función social, incorporar a los centros especiales de a colectivos que </w:t>
      </w:r>
      <w:r>
        <w:rPr>
          <w:rFonts w:ascii="MinionPro-Regular" w:hAnsi="MinionPro-Regular"/>
          <w:szCs w:val="24"/>
          <w:lang w:val="es-ES_tradnl"/>
        </w:rPr>
        <w:t>podrían</w:t>
      </w:r>
      <w:r w:rsidRPr="00CB4D85">
        <w:rPr>
          <w:rFonts w:ascii="MinionPro-Regular" w:hAnsi="MinionPro-Regular"/>
          <w:szCs w:val="24"/>
          <w:lang w:val="es-ES_tradnl"/>
        </w:rPr>
        <w:t xml:space="preserve">, en su caso, complementar las capacidades de las personas con discapacidad presentes en las plantillas de los centros especiales </w:t>
      </w:r>
      <w:r>
        <w:rPr>
          <w:rFonts w:ascii="MinionPro-Regular" w:hAnsi="MinionPro-Regular"/>
          <w:szCs w:val="24"/>
          <w:lang w:val="es-ES_tradnl"/>
        </w:rPr>
        <w:t xml:space="preserve">de empleo y, de este modo, generar un doble dividendo en términos de valor añadido social y de generar nuevas capacidades en los centros. </w:t>
      </w:r>
    </w:p>
    <w:p w:rsidR="00E2336B" w:rsidRDefault="00E2336B" w:rsidP="00CB4D85">
      <w:pPr>
        <w:pBdr>
          <w:top w:val="single" w:sz="4" w:space="1" w:color="auto"/>
          <w:left w:val="single" w:sz="4" w:space="4" w:color="auto"/>
          <w:bottom w:val="single" w:sz="4" w:space="1" w:color="auto"/>
          <w:right w:val="single" w:sz="4" w:space="4" w:color="auto"/>
        </w:pBdr>
        <w:shd w:val="clear" w:color="auto" w:fill="D9D9D9"/>
        <w:autoSpaceDE w:val="0"/>
        <w:autoSpaceDN w:val="0"/>
        <w:spacing w:line="360" w:lineRule="auto"/>
        <w:jc w:val="both"/>
        <w:rPr>
          <w:rFonts w:ascii="MinionPro-Regular" w:hAnsi="MinionPro-Regular"/>
          <w:szCs w:val="24"/>
          <w:lang w:val="es-ES_tradnl"/>
        </w:rPr>
      </w:pPr>
      <w:r w:rsidRPr="00CB4D85">
        <w:rPr>
          <w:rFonts w:ascii="MinionPro-Regular" w:hAnsi="MinionPro-Regular"/>
          <w:szCs w:val="24"/>
          <w:lang w:val="es-ES_tradnl"/>
        </w:rPr>
        <w:t xml:space="preserve"> </w:t>
      </w:r>
    </w:p>
    <w:p w:rsidR="00E2336B" w:rsidRPr="00CB4D85" w:rsidRDefault="00E2336B" w:rsidP="00CB4D85">
      <w:pPr>
        <w:pBdr>
          <w:top w:val="single" w:sz="4" w:space="1" w:color="auto"/>
          <w:left w:val="single" w:sz="4" w:space="4" w:color="auto"/>
          <w:bottom w:val="single" w:sz="4" w:space="1" w:color="auto"/>
          <w:right w:val="single" w:sz="4" w:space="4" w:color="auto"/>
        </w:pBdr>
        <w:shd w:val="clear" w:color="auto" w:fill="D9D9D9"/>
        <w:autoSpaceDE w:val="0"/>
        <w:autoSpaceDN w:val="0"/>
        <w:spacing w:line="360" w:lineRule="auto"/>
        <w:jc w:val="both"/>
        <w:rPr>
          <w:rFonts w:ascii="MinionPro-Regular" w:hAnsi="MinionPro-Regular"/>
          <w:szCs w:val="24"/>
          <w:lang w:val="es-ES_tradnl"/>
        </w:rPr>
      </w:pPr>
      <w:r>
        <w:rPr>
          <w:rFonts w:ascii="MinionPro-Regular" w:hAnsi="MinionPro-Regular"/>
          <w:szCs w:val="24"/>
          <w:lang w:val="es-ES_tradnl"/>
        </w:rPr>
        <w:t xml:space="preserve">Una alternativa sería establecer un modelo que estableciera en el 50 el porcentaje mínimo de personas con discapacidad, estableciendo la obligación de completar hasta el 70% de personas en plantilla con colectivos en especial dificultad.  Las ayudas aplicables a estos colectivos serían las ya establecidas en la legislación vigente. </w:t>
      </w:r>
    </w:p>
    <w:p w:rsidR="00E2336B" w:rsidRDefault="00E2336B">
      <w:pPr>
        <w:autoSpaceDE w:val="0"/>
        <w:autoSpaceDN w:val="0"/>
        <w:spacing w:line="360" w:lineRule="auto"/>
        <w:jc w:val="both"/>
        <w:rPr>
          <w:rFonts w:ascii="MinionPro-Regular" w:hAnsi="MinionPro-Regular"/>
          <w:sz w:val="24"/>
          <w:szCs w:val="24"/>
          <w:lang w:val="es-ES_tradnl"/>
        </w:rPr>
      </w:pPr>
    </w:p>
    <w:p w:rsidR="00E2336B" w:rsidRDefault="00E2336B" w:rsidP="0007541A">
      <w:pPr>
        <w:pStyle w:val="Ttulo3"/>
        <w:numPr>
          <w:ilvl w:val="2"/>
          <w:numId w:val="3"/>
        </w:numPr>
        <w:spacing w:line="240" w:lineRule="auto"/>
        <w:rPr>
          <w:lang w:val="es-ES_tradnl"/>
        </w:rPr>
      </w:pPr>
      <w:bookmarkStart w:id="498" w:name="_Toc352773617"/>
      <w:r>
        <w:rPr>
          <w:lang w:val="es-ES_tradnl"/>
        </w:rPr>
        <w:t>Profesionalizar la gestión</w:t>
      </w:r>
      <w:bookmarkEnd w:id="498"/>
    </w:p>
    <w:p w:rsidR="00E2336B" w:rsidRDefault="00E2336B" w:rsidP="00F83E19">
      <w:pPr>
        <w:pStyle w:val="Textoindependiente"/>
        <w:rPr>
          <w:lang w:val="es-ES_tradnl"/>
        </w:rPr>
      </w:pPr>
    </w:p>
    <w:p w:rsidR="00E2336B" w:rsidRDefault="00E2336B">
      <w:pPr>
        <w:pBdr>
          <w:top w:val="single" w:sz="4" w:space="1" w:color="auto"/>
          <w:left w:val="single" w:sz="4" w:space="4" w:color="auto"/>
          <w:bottom w:val="single" w:sz="4" w:space="1" w:color="auto"/>
          <w:right w:val="single" w:sz="4" w:space="4" w:color="auto"/>
        </w:pBd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Contar con un</w:t>
      </w:r>
      <w:r w:rsidRPr="00F8236B">
        <w:rPr>
          <w:rFonts w:ascii="MinionPro-Regular" w:hAnsi="MinionPro-Regular"/>
          <w:sz w:val="24"/>
          <w:szCs w:val="24"/>
          <w:lang w:val="es-ES_tradnl"/>
        </w:rPr>
        <w:t xml:space="preserve"> sistema de acreditaciones</w:t>
      </w:r>
      <w:r>
        <w:rPr>
          <w:rFonts w:ascii="MinionPro-Regular" w:hAnsi="MinionPro-Regular"/>
          <w:sz w:val="24"/>
          <w:szCs w:val="24"/>
          <w:lang w:val="es-ES_tradnl"/>
        </w:rPr>
        <w:t xml:space="preserve"> que establezca los requerimientos mínimos que, en términos de modelo de gestión, estructura de propiedad y desarrollo personal y profesional de las personas, debe reunir un centro especial de empleo. </w:t>
      </w:r>
    </w:p>
    <w:p w:rsidR="00E2336B" w:rsidRDefault="00E2336B">
      <w:pPr>
        <w:pBdr>
          <w:top w:val="single" w:sz="4" w:space="1" w:color="auto"/>
          <w:left w:val="single" w:sz="4" w:space="4" w:color="auto"/>
          <w:bottom w:val="single" w:sz="4" w:space="1" w:color="auto"/>
          <w:right w:val="single" w:sz="4" w:space="4" w:color="auto"/>
        </w:pBdr>
        <w:autoSpaceDE w:val="0"/>
        <w:autoSpaceDN w:val="0"/>
        <w:spacing w:line="360" w:lineRule="auto"/>
        <w:jc w:val="both"/>
        <w:rPr>
          <w:rFonts w:ascii="MinionPro-Regular" w:hAnsi="MinionPro-Regular"/>
          <w:sz w:val="24"/>
          <w:szCs w:val="24"/>
          <w:lang w:val="es-ES_tradnl"/>
        </w:rPr>
      </w:pPr>
    </w:p>
    <w:p w:rsidR="00E2336B" w:rsidRPr="005A0A75" w:rsidRDefault="00E2336B" w:rsidP="00CE0903">
      <w:pPr>
        <w:pBdr>
          <w:top w:val="single" w:sz="4" w:space="1" w:color="auto"/>
          <w:left w:val="single" w:sz="4" w:space="4" w:color="auto"/>
          <w:bottom w:val="single" w:sz="4" w:space="1" w:color="auto"/>
          <w:right w:val="single" w:sz="4" w:space="4" w:color="auto"/>
        </w:pBdr>
        <w:autoSpaceDE w:val="0"/>
        <w:autoSpaceDN w:val="0"/>
        <w:spacing w:line="360" w:lineRule="auto"/>
        <w:jc w:val="both"/>
        <w:rPr>
          <w:rFonts w:ascii="MinionPro-Regular" w:hAnsi="MinionPro-Regular"/>
          <w:i/>
          <w:sz w:val="24"/>
          <w:szCs w:val="24"/>
          <w:lang w:val="es-ES_tradnl"/>
        </w:rPr>
      </w:pPr>
      <w:r w:rsidRPr="005A0A75">
        <w:rPr>
          <w:rFonts w:ascii="MinionPro-Regular" w:hAnsi="MinionPro-Regular"/>
          <w:i/>
          <w:sz w:val="24"/>
          <w:szCs w:val="24"/>
          <w:lang w:val="es-ES_tradnl"/>
        </w:rPr>
        <w:t xml:space="preserve">Por dónde comenzar: </w:t>
      </w:r>
    </w:p>
    <w:p w:rsidR="00E2336B" w:rsidRPr="00E2336B" w:rsidRDefault="00E2336B">
      <w:pPr>
        <w:pBdr>
          <w:top w:val="single" w:sz="4" w:space="1" w:color="auto"/>
          <w:left w:val="single" w:sz="4" w:space="4" w:color="auto"/>
          <w:bottom w:val="single" w:sz="4" w:space="1" w:color="auto"/>
          <w:right w:val="single" w:sz="4" w:space="4" w:color="auto"/>
        </w:pBdr>
        <w:autoSpaceDE w:val="0"/>
        <w:autoSpaceDN w:val="0"/>
        <w:spacing w:line="360" w:lineRule="auto"/>
        <w:jc w:val="both"/>
        <w:rPr>
          <w:rFonts w:ascii="MinionPro-Regular" w:hAnsi="MinionPro-Regular"/>
          <w:color w:val="FF0000"/>
          <w:sz w:val="24"/>
          <w:szCs w:val="24"/>
          <w:lang w:val="es-ES_tradnl"/>
        </w:rPr>
      </w:pPr>
      <w:r>
        <w:rPr>
          <w:rFonts w:ascii="MinionPro-Regular" w:hAnsi="MinionPro-Regular"/>
          <w:sz w:val="24"/>
          <w:szCs w:val="24"/>
          <w:lang w:val="es-ES_tradnl"/>
        </w:rPr>
        <w:t xml:space="preserve">Impulsar la acreditación en un número significativo de centros especiales de empleo hasta llegar al 50% en 2014. </w:t>
      </w:r>
      <w:r w:rsidR="00F3097F">
        <w:rPr>
          <w:rFonts w:ascii="MinionPro-Regular" w:hAnsi="MinionPro-Regular"/>
          <w:sz w:val="24"/>
          <w:szCs w:val="24"/>
          <w:lang w:val="es-ES_tradnl"/>
        </w:rPr>
        <w:t xml:space="preserve">El estándar de referencia podría ser la </w:t>
      </w:r>
      <w:r w:rsidR="00F3097F" w:rsidRPr="002F1695">
        <w:rPr>
          <w:rFonts w:ascii="MinionPro-Regular" w:hAnsi="MinionPro-Regular"/>
          <w:sz w:val="24"/>
          <w:szCs w:val="24"/>
          <w:lang w:val="es-ES_tradnl"/>
        </w:rPr>
        <w:t>especificación para la gestión ética y profesionalizada de los centros especiales de empleo</w:t>
      </w:r>
      <w:r w:rsidR="00F3097F">
        <w:rPr>
          <w:rFonts w:ascii="MinionPro-Regular" w:hAnsi="MinionPro-Regular"/>
          <w:sz w:val="24"/>
          <w:szCs w:val="24"/>
          <w:lang w:val="es-ES_tradnl"/>
        </w:rPr>
        <w:t xml:space="preserve"> de </w:t>
      </w:r>
      <w:r w:rsidR="00F3097F" w:rsidRPr="00CA343C">
        <w:rPr>
          <w:rFonts w:ascii="MinionPro-Regular" w:hAnsi="MinionPro-Regular"/>
          <w:sz w:val="24"/>
          <w:szCs w:val="24"/>
          <w:lang w:val="es-ES_tradnl"/>
        </w:rPr>
        <w:t xml:space="preserve">FEACEM </w:t>
      </w:r>
      <w:r w:rsidR="00F3097F">
        <w:rPr>
          <w:rFonts w:ascii="MinionPro-Regular" w:hAnsi="MinionPro-Regular"/>
          <w:sz w:val="24"/>
          <w:szCs w:val="24"/>
          <w:lang w:val="es-ES_tradnl"/>
        </w:rPr>
        <w:t>y</w:t>
      </w:r>
      <w:r w:rsidR="00F3097F">
        <w:rPr>
          <w:rFonts w:ascii="MinionPro-Regular" w:hAnsi="MinionPro-Regular"/>
          <w:color w:val="FF0000"/>
          <w:sz w:val="24"/>
          <w:szCs w:val="24"/>
          <w:lang w:val="es-ES_tradnl"/>
        </w:rPr>
        <w:t xml:space="preserve"> </w:t>
      </w:r>
      <w:r w:rsidR="00F3097F">
        <w:rPr>
          <w:rFonts w:ascii="MinionPro-Regular" w:hAnsi="MinionPro-Regular"/>
          <w:sz w:val="24"/>
          <w:szCs w:val="24"/>
          <w:lang w:val="es-ES_tradnl"/>
        </w:rPr>
        <w:t>AENOR</w:t>
      </w:r>
    </w:p>
    <w:p w:rsidR="00E2336B" w:rsidRDefault="00E2336B">
      <w:pPr>
        <w:autoSpaceDE w:val="0"/>
        <w:autoSpaceDN w:val="0"/>
        <w:spacing w:line="360" w:lineRule="auto"/>
        <w:jc w:val="both"/>
        <w:rPr>
          <w:rFonts w:ascii="MinionPro-Regular" w:hAnsi="MinionPro-Regular"/>
          <w:sz w:val="24"/>
          <w:szCs w:val="24"/>
          <w:lang w:val="es-ES_tradnl"/>
        </w:rPr>
      </w:pPr>
    </w:p>
    <w:p w:rsidR="00E2336B" w:rsidRDefault="00E2336B">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 xml:space="preserve">La misión de los centros especiales de empleo es fundamentalmente social; incorporar al empleo a personas con discapacidad. El compromiso social puede dar lugar a que, en ocasiones, los propios gestores olviden que compiten en un mercado abierto. La </w:t>
      </w:r>
      <w:r>
        <w:rPr>
          <w:rFonts w:ascii="MinionPro-Regular" w:hAnsi="MinionPro-Regular"/>
          <w:sz w:val="24"/>
          <w:szCs w:val="24"/>
          <w:lang w:val="es-ES_tradnl"/>
        </w:rPr>
        <w:lastRenderedPageBreak/>
        <w:t>capacidad de competir está unida a la calidad de los gestores y a la robustez de los modelos de negocio y  de gestión. Estos, por lo tanto, constituyen factores críticos para el éxito de los centros especiales de empleo.</w:t>
      </w:r>
    </w:p>
    <w:p w:rsidR="00E2336B" w:rsidRDefault="00E2336B" w:rsidP="00F83E19">
      <w:pPr>
        <w:autoSpaceDE w:val="0"/>
        <w:autoSpaceDN w:val="0"/>
        <w:jc w:val="both"/>
        <w:rPr>
          <w:rFonts w:ascii="MinionPro-Regular" w:hAnsi="MinionPro-Regular"/>
          <w:sz w:val="24"/>
          <w:szCs w:val="24"/>
          <w:lang w:val="es-ES_tradnl"/>
        </w:rPr>
      </w:pPr>
    </w:p>
    <w:p w:rsidR="00E2336B" w:rsidRDefault="00E2336B">
      <w:pPr>
        <w:pBdr>
          <w:top w:val="single" w:sz="4" w:space="1" w:color="auto"/>
        </w:pBdr>
        <w:autoSpaceDE w:val="0"/>
        <w:autoSpaceDN w:val="0"/>
        <w:rPr>
          <w:rFonts w:ascii="MinionPro-Regular" w:hAnsi="MinionPro-Regular"/>
          <w:sz w:val="20"/>
          <w:szCs w:val="24"/>
          <w:lang w:val="es-ES_tradnl"/>
        </w:rPr>
      </w:pPr>
      <w:r w:rsidRPr="00D0247E">
        <w:rPr>
          <w:rFonts w:ascii="MinionPro-Regular" w:hAnsi="MinionPro-Regular"/>
          <w:sz w:val="20"/>
          <w:szCs w:val="24"/>
          <w:lang w:val="es-ES_tradnl"/>
        </w:rPr>
        <w:t>Sistemas de gestión existentes en los centros especiales de empleo</w:t>
      </w:r>
    </w:p>
    <w:p w:rsidR="00E2336B" w:rsidRDefault="00E1516B" w:rsidP="00F83E19">
      <w:pPr>
        <w:autoSpaceDE w:val="0"/>
        <w:autoSpaceDN w:val="0"/>
        <w:rPr>
          <w:rFonts w:ascii="MinionPro-Regular" w:hAnsi="MinionPro-Regular"/>
          <w:sz w:val="24"/>
          <w:szCs w:val="24"/>
          <w:lang w:val="es-ES_tradnl"/>
        </w:rPr>
      </w:pPr>
      <w:r>
        <w:rPr>
          <w:rFonts w:ascii="MinionPro-Regular" w:hAnsi="MinionPro-Regular"/>
          <w:noProof/>
          <w:sz w:val="24"/>
          <w:szCs w:val="24"/>
          <w:lang w:eastAsia="es-ES"/>
        </w:rPr>
        <w:drawing>
          <wp:inline distT="0" distB="0" distL="0" distR="0">
            <wp:extent cx="3942080" cy="2475865"/>
            <wp:effectExtent l="0" t="0" r="0" b="0"/>
            <wp:docPr id="127" name="Picture 12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8"/>
              </a:graphicData>
            </a:graphic>
          </wp:inline>
        </w:drawing>
      </w:r>
      <w:r w:rsidR="00E2336B">
        <w:rPr>
          <w:rFonts w:ascii="MinionPro-Regular" w:hAnsi="MinionPro-Regular"/>
          <w:sz w:val="24"/>
          <w:szCs w:val="24"/>
          <w:lang w:val="es-ES_tradnl"/>
        </w:rPr>
        <w:t xml:space="preserve"> </w:t>
      </w:r>
    </w:p>
    <w:p w:rsidR="00E2336B" w:rsidRDefault="00E2336B" w:rsidP="00213730">
      <w:pPr>
        <w:pBdr>
          <w:bottom w:val="single" w:sz="4" w:space="1" w:color="auto"/>
        </w:pBdr>
        <w:autoSpaceDE w:val="0"/>
        <w:autoSpaceDN w:val="0"/>
        <w:spacing w:line="360" w:lineRule="auto"/>
        <w:jc w:val="both"/>
        <w:rPr>
          <w:rFonts w:ascii="MinionPro-Regular" w:hAnsi="MinionPro-Regular"/>
          <w:sz w:val="20"/>
          <w:szCs w:val="24"/>
          <w:lang w:val="es-ES_tradnl"/>
        </w:rPr>
      </w:pPr>
      <w:r w:rsidRPr="00213730">
        <w:rPr>
          <w:rFonts w:ascii="MinionPro-Regular" w:hAnsi="MinionPro-Regular"/>
          <w:sz w:val="20"/>
          <w:szCs w:val="24"/>
          <w:lang w:val="es-ES_tradnl"/>
        </w:rPr>
        <w:t>Fuente: Elaboración propia a partir de la encuesta a centros especiales de empleo. Noviembre 2012.</w:t>
      </w:r>
    </w:p>
    <w:p w:rsidR="00E2336B" w:rsidRPr="00213730" w:rsidRDefault="00E2336B" w:rsidP="00213730">
      <w:pPr>
        <w:pBdr>
          <w:bottom w:val="single" w:sz="4" w:space="1" w:color="auto"/>
        </w:pBdr>
        <w:autoSpaceDE w:val="0"/>
        <w:autoSpaceDN w:val="0"/>
        <w:spacing w:line="360" w:lineRule="auto"/>
        <w:jc w:val="both"/>
        <w:rPr>
          <w:rFonts w:ascii="MinionPro-Regular" w:hAnsi="MinionPro-Regular"/>
          <w:sz w:val="20"/>
          <w:szCs w:val="24"/>
          <w:lang w:val="es-ES_tradnl"/>
        </w:rPr>
      </w:pPr>
    </w:p>
    <w:p w:rsidR="00E2336B" w:rsidRPr="00213730" w:rsidRDefault="00E2336B" w:rsidP="00213730">
      <w:pPr>
        <w:pBdr>
          <w:bottom w:val="single" w:sz="4" w:space="1" w:color="auto"/>
        </w:pBdr>
        <w:autoSpaceDE w:val="0"/>
        <w:autoSpaceDN w:val="0"/>
        <w:spacing w:line="360" w:lineRule="auto"/>
        <w:jc w:val="both"/>
        <w:rPr>
          <w:rFonts w:ascii="MinionPro-Regular" w:hAnsi="MinionPro-Regular"/>
          <w:sz w:val="20"/>
          <w:szCs w:val="24"/>
          <w:lang w:val="es-ES_tradnl"/>
        </w:rPr>
      </w:pPr>
      <w:r w:rsidRPr="00213730">
        <w:rPr>
          <w:rFonts w:ascii="MinionPro-Regular" w:hAnsi="MinionPro-Regular"/>
          <w:sz w:val="20"/>
          <w:szCs w:val="24"/>
          <w:lang w:val="es-ES_tradnl"/>
        </w:rPr>
        <w:t>Nota explicativa de la gráfica: Gráfica circular en la que aparece el porcentaje de gestores de centros especiales entrevistados que respondieron a la pregunta: ¿dispone el centro especial de empleo algún sistema de gestión? Las respuestas son: 43% ISO 9001, 23% ISO 14001, 3% EMAS, 20% OSHAS, 7% Especificación técnica de gestión ética y profesionalizada de AENOR y 4% otros.</w:t>
      </w:r>
    </w:p>
    <w:p w:rsidR="00E2336B" w:rsidRDefault="00E2336B" w:rsidP="00F83E19">
      <w:pPr>
        <w:autoSpaceDE w:val="0"/>
        <w:autoSpaceDN w:val="0"/>
        <w:jc w:val="both"/>
        <w:rPr>
          <w:rFonts w:ascii="MinionPro-Regular" w:hAnsi="MinionPro-Regular"/>
          <w:sz w:val="24"/>
          <w:szCs w:val="24"/>
          <w:lang w:val="es-ES_tradnl"/>
        </w:rPr>
      </w:pPr>
    </w:p>
    <w:p w:rsidR="00E2336B" w:rsidRDefault="00E2336B">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 xml:space="preserve">El futuro pasa, necesariamente, por mejorar la formación de los gestores, por la capacidad de atraer talento y por el fortalecimiento de los sistemas de gestión en línea con los aplicados por las compañías más avanzadas. </w:t>
      </w:r>
    </w:p>
    <w:p w:rsidR="00E2336B" w:rsidRDefault="00E2336B">
      <w:pPr>
        <w:autoSpaceDE w:val="0"/>
        <w:autoSpaceDN w:val="0"/>
        <w:spacing w:line="360" w:lineRule="auto"/>
        <w:jc w:val="both"/>
        <w:rPr>
          <w:rFonts w:ascii="MinionPro-Regular" w:hAnsi="MinionPro-Regular"/>
          <w:sz w:val="24"/>
          <w:szCs w:val="24"/>
          <w:lang w:val="es-ES_tradnl"/>
        </w:rPr>
      </w:pPr>
    </w:p>
    <w:p w:rsidR="00E2336B" w:rsidRDefault="00E2336B">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 xml:space="preserve">El avance en términos de profesionalización puede provenir de una combinación de esfuerzos entre la administración pública y del propio sector. Cabría establecer un sistema de acreditaciones, impulsado por el propio sector o por un tercero </w:t>
      </w:r>
      <w:r>
        <w:rPr>
          <w:rFonts w:ascii="MinionPro-Regular" w:hAnsi="MinionPro-Regular"/>
          <w:sz w:val="24"/>
          <w:szCs w:val="24"/>
          <w:lang w:val="es-ES_tradnl"/>
        </w:rPr>
        <w:lastRenderedPageBreak/>
        <w:t xml:space="preserve">independiente, que estableciera los requerimientos mínimos que debe reunir un centro especial de empleo ofrecer un entorno adecuado a las personas. Los requerimientos, que deberían partir de lo establecido en la legislación, deberían incidir asimismo en las características del modelo de gestión establecido por el centro para asegurar la adecuada incorporación de las personas con discapacidad y la mejora de su empleabilidad. La </w:t>
      </w:r>
      <w:r w:rsidRPr="002F1695">
        <w:rPr>
          <w:rFonts w:ascii="MinionPro-Regular" w:hAnsi="MinionPro-Regular"/>
          <w:sz w:val="24"/>
          <w:szCs w:val="24"/>
          <w:lang w:val="es-ES_tradnl"/>
        </w:rPr>
        <w:t>especificación para la gestión ética y profesionalizada de los centros especiales de empleo</w:t>
      </w:r>
      <w:r>
        <w:rPr>
          <w:rFonts w:ascii="MinionPro-Regular" w:hAnsi="MinionPro-Regular"/>
          <w:sz w:val="24"/>
          <w:szCs w:val="24"/>
          <w:lang w:val="es-ES_tradnl"/>
        </w:rPr>
        <w:t xml:space="preserve"> de </w:t>
      </w:r>
      <w:r w:rsidRPr="00CA343C">
        <w:rPr>
          <w:rFonts w:ascii="MinionPro-Regular" w:hAnsi="MinionPro-Regular"/>
          <w:sz w:val="24"/>
          <w:szCs w:val="24"/>
          <w:lang w:val="es-ES_tradnl"/>
        </w:rPr>
        <w:t xml:space="preserve">FEACEM </w:t>
      </w:r>
      <w:r w:rsidR="00CA343C">
        <w:rPr>
          <w:rFonts w:ascii="MinionPro-Regular" w:hAnsi="MinionPro-Regular"/>
          <w:sz w:val="24"/>
          <w:szCs w:val="24"/>
          <w:lang w:val="es-ES_tradnl"/>
        </w:rPr>
        <w:t>y</w:t>
      </w:r>
      <w:r>
        <w:rPr>
          <w:rFonts w:ascii="MinionPro-Regular" w:hAnsi="MinionPro-Regular"/>
          <w:color w:val="FF0000"/>
          <w:sz w:val="24"/>
          <w:szCs w:val="24"/>
          <w:lang w:val="es-ES_tradnl"/>
        </w:rPr>
        <w:t xml:space="preserve"> </w:t>
      </w:r>
      <w:r>
        <w:rPr>
          <w:rFonts w:ascii="MinionPro-Regular" w:hAnsi="MinionPro-Regular"/>
          <w:sz w:val="24"/>
          <w:szCs w:val="24"/>
          <w:lang w:val="es-ES_tradnl"/>
        </w:rPr>
        <w:t>AENOR, o el sello Bequal, gestionado por la fundación que lleva el mismo nombre y que pretende certificar a las empresas responsables con la discapacidad, podrían constituir el estándar de conducta.</w:t>
      </w:r>
    </w:p>
    <w:p w:rsidR="00E2336B" w:rsidRDefault="00E2336B">
      <w:pPr>
        <w:autoSpaceDE w:val="0"/>
        <w:autoSpaceDN w:val="0"/>
        <w:spacing w:line="360" w:lineRule="auto"/>
        <w:jc w:val="both"/>
        <w:rPr>
          <w:rFonts w:ascii="MinionPro-Regular" w:hAnsi="MinionPro-Regular"/>
          <w:sz w:val="24"/>
          <w:szCs w:val="24"/>
          <w:lang w:val="es-ES_tradnl"/>
        </w:rPr>
      </w:pPr>
    </w:p>
    <w:p w:rsidR="0007013E" w:rsidRDefault="00E2336B">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 xml:space="preserve">La administración pública podría requerir la obtención de la mencionada acreditación para alcanzar la condición de centro especial de empleo, para su mantenimiento o para el acceso a ayudas específicas a centros especiales de empleo innovadores. </w:t>
      </w:r>
      <w:r w:rsidR="00F23441" w:rsidRPr="0007013E">
        <w:rPr>
          <w:rFonts w:ascii="MinionPro-Regular" w:hAnsi="MinionPro-Regular"/>
          <w:sz w:val="24"/>
          <w:szCs w:val="24"/>
          <w:lang w:val="es-ES_tradnl"/>
        </w:rPr>
        <w:t>En este sentido, la administración pública podría avanzar también en el establecimiento de incentivos de coste cero primando, por ejemplo, la contratación con centros especiales de empleo acreditados a igualdad de condiciones con el resto de oferentes</w:t>
      </w:r>
      <w:r>
        <w:rPr>
          <w:rFonts w:ascii="MinionPro-Regular" w:hAnsi="MinionPro-Regular"/>
          <w:sz w:val="24"/>
          <w:szCs w:val="24"/>
          <w:lang w:val="es-ES_tradnl"/>
        </w:rPr>
        <w:t xml:space="preserve">. </w:t>
      </w:r>
      <w:r w:rsidR="009242F8" w:rsidRPr="009242F8">
        <w:t xml:space="preserve"> </w:t>
      </w:r>
      <w:r w:rsidR="009242F8">
        <w:t xml:space="preserve">Cabe destacar el caso de la </w:t>
      </w:r>
      <w:r w:rsidR="009242F8" w:rsidRPr="009242F8">
        <w:rPr>
          <w:rFonts w:ascii="MinionPro-Regular" w:hAnsi="MinionPro-Regular"/>
          <w:sz w:val="24"/>
          <w:szCs w:val="24"/>
          <w:lang w:val="es-ES_tradnl"/>
        </w:rPr>
        <w:t xml:space="preserve">Junta de Castilla y León </w:t>
      </w:r>
      <w:r w:rsidR="009242F8">
        <w:rPr>
          <w:rFonts w:ascii="MinionPro-Regular" w:hAnsi="MinionPro-Regular"/>
          <w:sz w:val="24"/>
          <w:szCs w:val="24"/>
          <w:lang w:val="es-ES_tradnl"/>
        </w:rPr>
        <w:t xml:space="preserve">que en 2012 </w:t>
      </w:r>
      <w:r w:rsidR="009242F8" w:rsidRPr="009242F8">
        <w:rPr>
          <w:rFonts w:ascii="MinionPro-Regular" w:hAnsi="MinionPro-Regular"/>
          <w:sz w:val="24"/>
          <w:szCs w:val="24"/>
          <w:lang w:val="es-ES_tradnl"/>
        </w:rPr>
        <w:t xml:space="preserve">decidió reservar un 6,5% de la contratación pública a favor de centros especiales de empleo. </w:t>
      </w:r>
    </w:p>
    <w:p w:rsidR="00313BDF" w:rsidRDefault="00313BDF">
      <w:pPr>
        <w:autoSpaceDE w:val="0"/>
        <w:autoSpaceDN w:val="0"/>
        <w:spacing w:line="360" w:lineRule="auto"/>
        <w:jc w:val="both"/>
        <w:rPr>
          <w:rFonts w:ascii="MinionPro-Regular" w:hAnsi="MinionPro-Regular"/>
          <w:sz w:val="24"/>
          <w:szCs w:val="24"/>
          <w:lang w:val="es-ES_tradnl"/>
        </w:rPr>
      </w:pPr>
    </w:p>
    <w:p w:rsidR="00E2336B" w:rsidRDefault="00E2336B">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Asegurar un mayor control que deben cumplir los centros especiales de empleo resulta crucial dado el daño irreparable que podría producirse a su reputación en caso de que se produjeran casos de malas prácticas. Especialmente cuando, en ocasiones, son acusados de competir en costes.</w:t>
      </w:r>
    </w:p>
    <w:p w:rsidR="00E2336B" w:rsidRDefault="00E2336B" w:rsidP="0007541A">
      <w:pPr>
        <w:pStyle w:val="Ttulo2"/>
        <w:numPr>
          <w:ilvl w:val="1"/>
          <w:numId w:val="3"/>
        </w:numPr>
        <w:spacing w:line="240" w:lineRule="auto"/>
        <w:ind w:left="0"/>
      </w:pPr>
      <w:bookmarkStart w:id="499" w:name="_Toc340515921"/>
      <w:bookmarkStart w:id="500" w:name="_Toc352773618"/>
      <w:r>
        <w:lastRenderedPageBreak/>
        <w:t>Actuar sobre la confianza</w:t>
      </w:r>
      <w:bookmarkEnd w:id="499"/>
      <w:bookmarkEnd w:id="500"/>
    </w:p>
    <w:p w:rsidR="00E2336B" w:rsidRDefault="00E2336B" w:rsidP="0007541A">
      <w:pPr>
        <w:pStyle w:val="Ttulo3"/>
        <w:numPr>
          <w:ilvl w:val="2"/>
          <w:numId w:val="3"/>
        </w:numPr>
        <w:spacing w:line="240" w:lineRule="auto"/>
        <w:rPr>
          <w:rFonts w:ascii="MinionPro-Regular" w:hAnsi="MinionPro-Regular"/>
          <w:szCs w:val="24"/>
          <w:lang w:val="es-ES_tradnl"/>
        </w:rPr>
      </w:pPr>
      <w:bookmarkStart w:id="501" w:name="_Toc352773619"/>
      <w:r>
        <w:rPr>
          <w:lang w:val="es-ES_tradnl"/>
        </w:rPr>
        <w:t>Exigencia y rigor en el cumplimiento de la cuota de reserva y en las medidas alternativas.</w:t>
      </w:r>
      <w:bookmarkEnd w:id="501"/>
    </w:p>
    <w:p w:rsidR="00E2336B" w:rsidRDefault="00E2336B" w:rsidP="00703CE1">
      <w:pPr>
        <w:autoSpaceDE w:val="0"/>
        <w:autoSpaceDN w:val="0"/>
        <w:jc w:val="both"/>
        <w:rPr>
          <w:rFonts w:ascii="MinionPro-Regular" w:hAnsi="MinionPro-Regular"/>
          <w:sz w:val="24"/>
          <w:szCs w:val="24"/>
          <w:lang w:val="es-ES_tradnl"/>
        </w:rPr>
      </w:pPr>
    </w:p>
    <w:p w:rsidR="00E2336B" w:rsidRDefault="00E2336B" w:rsidP="00703CE1">
      <w:pPr>
        <w:pBdr>
          <w:top w:val="single" w:sz="4" w:space="1" w:color="auto"/>
          <w:left w:val="single" w:sz="4" w:space="4" w:color="auto"/>
          <w:bottom w:val="single" w:sz="4" w:space="1" w:color="auto"/>
          <w:right w:val="single" w:sz="4" w:space="4" w:color="auto"/>
        </w:pBd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Mayor rigor en la exigencia de la aplicación de la cuota de reserva y de las medidas alternativas en los ámbitos público y privado, reforzando el régimen sancionador establecido al efecto, con el objetivo de aumentar su eficacia y promover la actividad de los centros especiales de empleo.</w:t>
      </w:r>
    </w:p>
    <w:p w:rsidR="00E2336B" w:rsidRDefault="00E2336B" w:rsidP="00703CE1">
      <w:pPr>
        <w:pBdr>
          <w:top w:val="single" w:sz="4" w:space="1" w:color="auto"/>
          <w:left w:val="single" w:sz="4" w:space="4" w:color="auto"/>
          <w:bottom w:val="single" w:sz="4" w:space="1" w:color="auto"/>
          <w:right w:val="single" w:sz="4" w:space="4" w:color="auto"/>
        </w:pBdr>
        <w:autoSpaceDE w:val="0"/>
        <w:autoSpaceDN w:val="0"/>
        <w:spacing w:line="360" w:lineRule="auto"/>
        <w:jc w:val="both"/>
        <w:rPr>
          <w:rFonts w:ascii="MinionPro-Regular" w:hAnsi="MinionPro-Regular"/>
          <w:sz w:val="24"/>
          <w:szCs w:val="24"/>
          <w:lang w:val="es-ES_tradnl"/>
        </w:rPr>
      </w:pPr>
    </w:p>
    <w:p w:rsidR="00E2336B" w:rsidRPr="005A0A75" w:rsidRDefault="00E2336B" w:rsidP="00703CE1">
      <w:pPr>
        <w:pBdr>
          <w:top w:val="single" w:sz="4" w:space="1" w:color="auto"/>
          <w:left w:val="single" w:sz="4" w:space="4" w:color="auto"/>
          <w:bottom w:val="single" w:sz="4" w:space="1" w:color="auto"/>
          <w:right w:val="single" w:sz="4" w:space="4" w:color="auto"/>
        </w:pBdr>
        <w:autoSpaceDE w:val="0"/>
        <w:autoSpaceDN w:val="0"/>
        <w:spacing w:line="360" w:lineRule="auto"/>
        <w:jc w:val="both"/>
        <w:rPr>
          <w:rFonts w:ascii="MinionPro-Regular" w:hAnsi="MinionPro-Regular"/>
          <w:i/>
          <w:sz w:val="24"/>
          <w:szCs w:val="24"/>
          <w:lang w:val="es-ES_tradnl"/>
        </w:rPr>
      </w:pPr>
      <w:r w:rsidRPr="005A0A75">
        <w:rPr>
          <w:rFonts w:ascii="MinionPro-Regular" w:hAnsi="MinionPro-Regular"/>
          <w:i/>
          <w:sz w:val="24"/>
          <w:szCs w:val="24"/>
          <w:lang w:val="es-ES_tradnl"/>
        </w:rPr>
        <w:t xml:space="preserve">Por dónde comenzar: </w:t>
      </w:r>
    </w:p>
    <w:p w:rsidR="00E2336B" w:rsidRDefault="00E2336B" w:rsidP="00703CE1">
      <w:pPr>
        <w:pBdr>
          <w:top w:val="single" w:sz="4" w:space="1" w:color="auto"/>
          <w:left w:val="single" w:sz="4" w:space="4" w:color="auto"/>
          <w:bottom w:val="single" w:sz="4" w:space="1" w:color="auto"/>
          <w:right w:val="single" w:sz="4" w:space="4" w:color="auto"/>
        </w:pBd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 xml:space="preserve">Aumentar la exigencia e inspección del cumplimiento por parte de las empresas y la administración. Promover la compra pública a centros especiales de empleo como alternativa para la administración que no tiene previsto aumento de plantilla. </w:t>
      </w:r>
    </w:p>
    <w:p w:rsidR="00E2336B" w:rsidRDefault="00E2336B" w:rsidP="00703CE1">
      <w:pPr>
        <w:autoSpaceDE w:val="0"/>
        <w:autoSpaceDN w:val="0"/>
        <w:spacing w:line="360" w:lineRule="auto"/>
        <w:jc w:val="both"/>
        <w:rPr>
          <w:rFonts w:ascii="MinionPro-Regular" w:hAnsi="MinionPro-Regular"/>
          <w:sz w:val="24"/>
          <w:szCs w:val="24"/>
          <w:lang w:val="es-ES_tradnl"/>
        </w:rPr>
      </w:pPr>
    </w:p>
    <w:p w:rsidR="00E2336B" w:rsidRDefault="00E2336B" w:rsidP="00703CE1">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 xml:space="preserve">Treinta años después de ver la luz, la cuota de reserva establecida en la LISMI sigue sin cumplirse en España. Una exigencia más rigurosa en su cumplimiento de la mencionada ley tendría como consecuencia un aumento significativo del empleo de las personas con discapacidad y, por ende, del papel de los centros especiales de empleo. Desde las cifras actuales, cabría pensar que el cumplimiento de la LISMI en los términos establecidos en la legislación permitiría crear hasta 40.000 nuevos empleos, 6.000 de ellos en los centros especiales de empleo. </w:t>
      </w:r>
    </w:p>
    <w:p w:rsidR="00E2336B" w:rsidRDefault="00E2336B" w:rsidP="00703CE1">
      <w:pPr>
        <w:autoSpaceDE w:val="0"/>
        <w:autoSpaceDN w:val="0"/>
        <w:spacing w:line="360" w:lineRule="auto"/>
        <w:jc w:val="both"/>
        <w:rPr>
          <w:rFonts w:ascii="MinionPro-Regular" w:hAnsi="MinionPro-Regular"/>
          <w:sz w:val="24"/>
          <w:szCs w:val="24"/>
          <w:lang w:val="es-ES_tradnl"/>
        </w:rPr>
      </w:pPr>
    </w:p>
    <w:p w:rsidR="00E2336B" w:rsidRDefault="00E2336B" w:rsidP="00703CE1">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 xml:space="preserve">Deberían también reforzarse los criterios estableciendo mecanismos que regulen posibles conflictos de interés que pudieran aparecer en aquellos casos, por ejemplo, en los que empresas sujetas a la cuota cuentan con centros especiales de empleo de su propiedad que venden productos o prestan servicios similares a los que presta la </w:t>
      </w:r>
      <w:r>
        <w:rPr>
          <w:rFonts w:ascii="MinionPro-Regular" w:hAnsi="MinionPro-Regular"/>
          <w:sz w:val="24"/>
          <w:szCs w:val="24"/>
          <w:lang w:val="es-ES_tradnl"/>
        </w:rPr>
        <w:lastRenderedPageBreak/>
        <w:t>compañía que constituye el centro. En estos casos, debería establecerse la obligatoriedad de aumentar la transición al empleo ordinario en la compañía en un porcentaje similar al del crecimiento del número de trabajadores de la empresa que constituye el centro especial de empleo.</w:t>
      </w:r>
    </w:p>
    <w:p w:rsidR="00E2336B" w:rsidRDefault="00E2336B" w:rsidP="00703CE1">
      <w:pPr>
        <w:autoSpaceDE w:val="0"/>
        <w:autoSpaceDN w:val="0"/>
        <w:spacing w:line="360" w:lineRule="auto"/>
        <w:jc w:val="both"/>
        <w:rPr>
          <w:rFonts w:ascii="MinionPro-Regular" w:hAnsi="MinionPro-Regular"/>
          <w:sz w:val="24"/>
          <w:szCs w:val="24"/>
          <w:lang w:val="es-ES_tradnl"/>
        </w:rPr>
      </w:pPr>
    </w:p>
    <w:p w:rsidR="00E2336B" w:rsidRPr="007920F7" w:rsidRDefault="00E2336B" w:rsidP="007920F7">
      <w:pPr>
        <w:pBdr>
          <w:top w:val="single" w:sz="4" w:space="1" w:color="auto"/>
          <w:left w:val="single" w:sz="4" w:space="4" w:color="auto"/>
          <w:bottom w:val="single" w:sz="4" w:space="1" w:color="auto"/>
          <w:right w:val="single" w:sz="4" w:space="4" w:color="auto"/>
        </w:pBdr>
        <w:shd w:val="clear" w:color="auto" w:fill="D9D9D9"/>
        <w:autoSpaceDE w:val="0"/>
        <w:autoSpaceDN w:val="0"/>
        <w:spacing w:line="360" w:lineRule="auto"/>
        <w:jc w:val="both"/>
        <w:rPr>
          <w:rFonts w:ascii="MinionPro-Regular" w:hAnsi="MinionPro-Regular"/>
          <w:b/>
          <w:szCs w:val="24"/>
          <w:lang w:val="es-ES_tradnl"/>
        </w:rPr>
      </w:pPr>
      <w:r w:rsidRPr="007920F7">
        <w:rPr>
          <w:rFonts w:ascii="MinionPro-Regular" w:hAnsi="MinionPro-Regular"/>
          <w:b/>
          <w:szCs w:val="24"/>
          <w:lang w:val="es-ES_tradnl"/>
        </w:rPr>
        <w:t>Modelo 2020</w:t>
      </w:r>
    </w:p>
    <w:p w:rsidR="00E2336B" w:rsidRPr="007920F7" w:rsidRDefault="00E2336B" w:rsidP="007920F7">
      <w:pPr>
        <w:pBdr>
          <w:top w:val="single" w:sz="4" w:space="1" w:color="auto"/>
          <w:left w:val="single" w:sz="4" w:space="4" w:color="auto"/>
          <w:bottom w:val="single" w:sz="4" w:space="1" w:color="auto"/>
          <w:right w:val="single" w:sz="4" w:space="4" w:color="auto"/>
        </w:pBdr>
        <w:shd w:val="clear" w:color="auto" w:fill="D9D9D9"/>
        <w:autoSpaceDE w:val="0"/>
        <w:autoSpaceDN w:val="0"/>
        <w:spacing w:line="360" w:lineRule="auto"/>
        <w:jc w:val="both"/>
        <w:rPr>
          <w:rFonts w:ascii="MinionPro-Regular" w:hAnsi="MinionPro-Regular"/>
          <w:b/>
          <w:szCs w:val="24"/>
          <w:lang w:val="es-ES_tradnl"/>
        </w:rPr>
      </w:pPr>
      <w:r w:rsidRPr="007920F7">
        <w:rPr>
          <w:rFonts w:ascii="MinionPro-Regular" w:hAnsi="MinionPro-Regular"/>
          <w:b/>
          <w:szCs w:val="24"/>
          <w:lang w:val="es-ES_tradnl"/>
        </w:rPr>
        <w:t>Estimular el cumplimiento de la Ley 13/1982 desde la administración pública</w:t>
      </w:r>
    </w:p>
    <w:p w:rsidR="00E2336B" w:rsidRPr="007920F7" w:rsidRDefault="00E2336B" w:rsidP="007920F7">
      <w:pPr>
        <w:pBdr>
          <w:top w:val="single" w:sz="4" w:space="1" w:color="auto"/>
          <w:left w:val="single" w:sz="4" w:space="4" w:color="auto"/>
          <w:bottom w:val="single" w:sz="4" w:space="1" w:color="auto"/>
          <w:right w:val="single" w:sz="4" w:space="4" w:color="auto"/>
        </w:pBdr>
        <w:shd w:val="clear" w:color="auto" w:fill="D9D9D9"/>
        <w:autoSpaceDE w:val="0"/>
        <w:autoSpaceDN w:val="0"/>
        <w:spacing w:line="360" w:lineRule="auto"/>
        <w:jc w:val="both"/>
        <w:rPr>
          <w:rFonts w:ascii="MinionPro-Regular" w:hAnsi="MinionPro-Regular"/>
          <w:szCs w:val="24"/>
          <w:lang w:val="es-ES_tradnl"/>
        </w:rPr>
      </w:pPr>
    </w:p>
    <w:p w:rsidR="00E2336B" w:rsidRPr="007920F7" w:rsidRDefault="00E2336B" w:rsidP="007920F7">
      <w:pPr>
        <w:pBdr>
          <w:top w:val="single" w:sz="4" w:space="1" w:color="auto"/>
          <w:left w:val="single" w:sz="4" w:space="4" w:color="auto"/>
          <w:bottom w:val="single" w:sz="4" w:space="1" w:color="auto"/>
          <w:right w:val="single" w:sz="4" w:space="4" w:color="auto"/>
        </w:pBdr>
        <w:shd w:val="clear" w:color="auto" w:fill="D9D9D9"/>
        <w:autoSpaceDE w:val="0"/>
        <w:autoSpaceDN w:val="0"/>
        <w:spacing w:line="360" w:lineRule="auto"/>
        <w:jc w:val="both"/>
        <w:rPr>
          <w:rFonts w:ascii="MinionPro-Regular" w:hAnsi="MinionPro-Regular"/>
          <w:szCs w:val="24"/>
          <w:lang w:val="es-ES_tradnl"/>
        </w:rPr>
      </w:pPr>
      <w:r w:rsidRPr="007920F7">
        <w:rPr>
          <w:rFonts w:ascii="MinionPro-Regular" w:hAnsi="MinionPro-Regular"/>
          <w:szCs w:val="24"/>
          <w:lang w:val="es-ES_tradnl"/>
        </w:rPr>
        <w:t>La administración pública puede desarrollar medidas, de coste cero, que estimulen el cumplimiento por parte de las empresas del sector privado de la cuota de reserva para personas con discapacidad establecida en la Ley 13/1982 de integración social de personas con discapacidad. Dicha ley establece que las empresas públicas y privadas que empleen  a un número de 50 o más trabajadores deberán tener, al menos, a un 2% de trabajadores con discapacidad en sus plantillas. Como es sabido, el nivel de cumplimiento de esta ley es todavía bajo. Para promover su cumplimiento, la administración tiene a su disposición dos instrumentos con una enorme capacidad de tracción en el sector privado: la contratación y las ayudas públicas.</w:t>
      </w:r>
    </w:p>
    <w:p w:rsidR="00E2336B" w:rsidRPr="007920F7" w:rsidRDefault="00E2336B" w:rsidP="007920F7">
      <w:pPr>
        <w:pBdr>
          <w:top w:val="single" w:sz="4" w:space="1" w:color="auto"/>
          <w:left w:val="single" w:sz="4" w:space="4" w:color="auto"/>
          <w:bottom w:val="single" w:sz="4" w:space="1" w:color="auto"/>
          <w:right w:val="single" w:sz="4" w:space="4" w:color="auto"/>
        </w:pBdr>
        <w:shd w:val="clear" w:color="auto" w:fill="D9D9D9"/>
        <w:autoSpaceDE w:val="0"/>
        <w:autoSpaceDN w:val="0"/>
        <w:spacing w:line="360" w:lineRule="auto"/>
        <w:jc w:val="both"/>
        <w:rPr>
          <w:rFonts w:ascii="MinionPro-Regular" w:hAnsi="MinionPro-Regular"/>
          <w:szCs w:val="24"/>
          <w:lang w:val="es-ES_tradnl"/>
        </w:rPr>
      </w:pPr>
    </w:p>
    <w:p w:rsidR="00E2336B" w:rsidRPr="0007013E" w:rsidRDefault="00E2336B" w:rsidP="007920F7">
      <w:pPr>
        <w:pBdr>
          <w:top w:val="single" w:sz="4" w:space="1" w:color="auto"/>
          <w:left w:val="single" w:sz="4" w:space="4" w:color="auto"/>
          <w:bottom w:val="single" w:sz="4" w:space="1" w:color="auto"/>
          <w:right w:val="single" w:sz="4" w:space="4" w:color="auto"/>
        </w:pBdr>
        <w:shd w:val="clear" w:color="auto" w:fill="D9D9D9"/>
        <w:autoSpaceDE w:val="0"/>
        <w:autoSpaceDN w:val="0"/>
        <w:spacing w:line="360" w:lineRule="auto"/>
        <w:jc w:val="both"/>
        <w:rPr>
          <w:rFonts w:ascii="MinionPro-Regular" w:hAnsi="MinionPro-Regular"/>
          <w:lang w:val="es-ES_tradnl"/>
        </w:rPr>
      </w:pPr>
      <w:r w:rsidRPr="007920F7">
        <w:rPr>
          <w:rFonts w:ascii="MinionPro-Regular" w:hAnsi="MinionPro-Regular"/>
          <w:szCs w:val="24"/>
          <w:lang w:val="es-ES_tradnl"/>
        </w:rPr>
        <w:t xml:space="preserve">Respecto de la contratación pública, el Real Decreto Legislativo 3/2011, que establece el texto refundido de la ley de contratos del sector público establece en su disposición adicional cuarta que los órganos de contratación podrán señalar la preferencia por la contratación con aquellas empresas públicas o privadas que tengan entre sus plantillas a un porcentaje de personas con discapacidad superior al 2%. Este redactado resulta, en cierta medida, paradójico, dado que viene a indicar que los órganos de contratación podrán señalar su preferencia por aquellas compañías cumplidoras de la ley. El redactado de esta disposición debería ser opuesto al que es hoy. La obtención de cualquier contrato público debería estar condicionada a la acreditación del cumplimiento, por parte de la empresa que opta al contrato, de la obligación de reservar un 2% </w:t>
      </w:r>
      <w:r w:rsidRPr="007920F7">
        <w:rPr>
          <w:rFonts w:ascii="MinionPro-Regular" w:hAnsi="MinionPro-Regular"/>
          <w:szCs w:val="24"/>
          <w:lang w:val="es-ES_tradnl"/>
        </w:rPr>
        <w:lastRenderedPageBreak/>
        <w:t>de los puestos de trabajo a personas con discapacidad en los términos establecidos en la LISMI y, en su caso, del Real Decreto 364/2005.</w:t>
      </w:r>
      <w:r>
        <w:rPr>
          <w:rFonts w:ascii="MinionPro-Regular" w:hAnsi="MinionPro-Regular"/>
          <w:szCs w:val="24"/>
          <w:lang w:val="es-ES_tradnl"/>
        </w:rPr>
        <w:t xml:space="preserve"> En España ya existen ejemplos que permiten apuntar en esta dirección. El pasado año 2012 </w:t>
      </w:r>
      <w:r w:rsidR="00F23441" w:rsidRPr="00F23441">
        <w:rPr>
          <w:rFonts w:ascii="MinionPro-Regular" w:hAnsi="MinionPro-Regular"/>
          <w:lang w:val="es-ES_tradnl"/>
        </w:rPr>
        <w:t>la Junta de Castilla y León de</w:t>
      </w:r>
      <w:r>
        <w:rPr>
          <w:rFonts w:ascii="MinionPro-Regular" w:hAnsi="MinionPro-Regular"/>
          <w:lang w:val="es-ES_tradnl"/>
        </w:rPr>
        <w:t>cidió</w:t>
      </w:r>
      <w:r w:rsidR="00F23441" w:rsidRPr="00F23441">
        <w:rPr>
          <w:rFonts w:ascii="MinionPro-Regular" w:hAnsi="MinionPro-Regular"/>
          <w:lang w:val="es-ES_tradnl"/>
        </w:rPr>
        <w:t xml:space="preserve"> reservar un tanto por ciento de la contratación pública a favor de centros especiales de empleo.</w:t>
      </w:r>
      <w:r>
        <w:rPr>
          <w:rFonts w:ascii="MinionPro-Regular" w:hAnsi="MinionPro-Regular"/>
          <w:lang w:val="es-ES_tradnl"/>
        </w:rPr>
        <w:t xml:space="preserve"> </w:t>
      </w:r>
      <w:r w:rsidR="0007013E">
        <w:rPr>
          <w:rFonts w:ascii="MinionPro-Regular" w:hAnsi="MinionPro-Regular"/>
          <w:lang w:val="es-ES_tradnl"/>
        </w:rPr>
        <w:t>A este respecto, y de acuerdo a la información pública disponible, l</w:t>
      </w:r>
      <w:r w:rsidR="009129EF" w:rsidRPr="0007013E">
        <w:rPr>
          <w:rFonts w:ascii="MinionPro-Regular" w:hAnsi="MinionPro-Regular"/>
          <w:lang w:val="es-ES_tradnl"/>
        </w:rPr>
        <w:t xml:space="preserve">a Junta de Castilla y León </w:t>
      </w:r>
      <w:r w:rsidR="0007013E">
        <w:rPr>
          <w:rFonts w:ascii="MinionPro-Regular" w:hAnsi="MinionPro-Regular"/>
          <w:lang w:val="es-ES_tradnl"/>
        </w:rPr>
        <w:t>estableció</w:t>
      </w:r>
      <w:r w:rsidR="009129EF" w:rsidRPr="0007013E">
        <w:rPr>
          <w:rFonts w:ascii="MinionPro-Regular" w:hAnsi="MinionPro-Regular"/>
          <w:lang w:val="es-ES_tradnl"/>
        </w:rPr>
        <w:t xml:space="preserve"> la reserva de un cómputo global anual del 6,5% del presupuesto total a contratos con centros especiales de empleo.</w:t>
      </w:r>
    </w:p>
    <w:p w:rsidR="00E2336B" w:rsidRPr="007920F7" w:rsidRDefault="00E2336B" w:rsidP="007920F7">
      <w:pPr>
        <w:pBdr>
          <w:top w:val="single" w:sz="4" w:space="1" w:color="auto"/>
          <w:left w:val="single" w:sz="4" w:space="4" w:color="auto"/>
          <w:bottom w:val="single" w:sz="4" w:space="1" w:color="auto"/>
          <w:right w:val="single" w:sz="4" w:space="4" w:color="auto"/>
        </w:pBdr>
        <w:shd w:val="clear" w:color="auto" w:fill="D9D9D9"/>
        <w:autoSpaceDE w:val="0"/>
        <w:autoSpaceDN w:val="0"/>
        <w:spacing w:line="360" w:lineRule="auto"/>
        <w:jc w:val="both"/>
        <w:rPr>
          <w:rFonts w:ascii="MinionPro-Regular" w:hAnsi="MinionPro-Regular"/>
          <w:szCs w:val="24"/>
          <w:lang w:val="es-ES_tradnl"/>
        </w:rPr>
      </w:pPr>
    </w:p>
    <w:p w:rsidR="00E2336B" w:rsidRPr="007920F7" w:rsidRDefault="00E2336B" w:rsidP="007920F7">
      <w:pPr>
        <w:pBdr>
          <w:top w:val="single" w:sz="4" w:space="1" w:color="auto"/>
          <w:left w:val="single" w:sz="4" w:space="4" w:color="auto"/>
          <w:bottom w:val="single" w:sz="4" w:space="1" w:color="auto"/>
          <w:right w:val="single" w:sz="4" w:space="4" w:color="auto"/>
        </w:pBdr>
        <w:shd w:val="clear" w:color="auto" w:fill="D9D9D9"/>
        <w:autoSpaceDE w:val="0"/>
        <w:autoSpaceDN w:val="0"/>
        <w:spacing w:line="360" w:lineRule="auto"/>
        <w:jc w:val="both"/>
        <w:rPr>
          <w:sz w:val="20"/>
          <w:lang w:val="es-ES_tradnl"/>
        </w:rPr>
      </w:pPr>
      <w:r w:rsidRPr="007920F7">
        <w:rPr>
          <w:rFonts w:ascii="MinionPro-Regular" w:hAnsi="MinionPro-Regular"/>
          <w:szCs w:val="24"/>
          <w:lang w:val="es-ES_tradnl"/>
        </w:rPr>
        <w:t>Por su parte, en lo que se refiere a las ayudas públicas, la Ley 38/2003, General de Subvenciones regula, en su artículo 13, las circunstancias que inhabilitan a un potencial beneficiario. Al igual que en el caso de la contratación pública, la percepción de una subvención pública debería incluir, como condición necesaria, que el beneficiario sea capaz de acreditar el cumplimiento de la 13/1982 de integración de las personas con discapacidad y, en su caso, del Real Decreto 364/2005.</w:t>
      </w:r>
    </w:p>
    <w:p w:rsidR="00E2336B" w:rsidRDefault="00E2336B" w:rsidP="007920F7">
      <w:pPr>
        <w:pBdr>
          <w:top w:val="single" w:sz="4" w:space="1" w:color="auto"/>
          <w:left w:val="single" w:sz="4" w:space="4" w:color="auto"/>
          <w:bottom w:val="single" w:sz="4" w:space="1" w:color="auto"/>
          <w:right w:val="single" w:sz="4" w:space="4" w:color="auto"/>
        </w:pBdr>
        <w:shd w:val="clear" w:color="auto" w:fill="D9D9D9"/>
        <w:autoSpaceDE w:val="0"/>
        <w:autoSpaceDN w:val="0"/>
        <w:spacing w:line="360" w:lineRule="auto"/>
        <w:jc w:val="both"/>
        <w:rPr>
          <w:rFonts w:ascii="MinionPro-Regular" w:hAnsi="MinionPro-Regular"/>
          <w:sz w:val="24"/>
          <w:szCs w:val="24"/>
          <w:lang w:val="es-ES_tradnl"/>
        </w:rPr>
      </w:pPr>
    </w:p>
    <w:p w:rsidR="00E2336B" w:rsidRDefault="00E2336B" w:rsidP="0007541A">
      <w:pPr>
        <w:pStyle w:val="Ttulo4"/>
        <w:numPr>
          <w:ilvl w:val="3"/>
          <w:numId w:val="3"/>
        </w:numPr>
        <w:tabs>
          <w:tab w:val="clear" w:pos="20"/>
          <w:tab w:val="left" w:pos="0"/>
        </w:tabs>
        <w:rPr>
          <w:lang w:val="es-ES_tradnl"/>
        </w:rPr>
      </w:pPr>
      <w:r w:rsidRPr="0069467F">
        <w:rPr>
          <w:lang w:val="es-ES_tradnl"/>
        </w:rPr>
        <w:t>Supervisión de la cuota de reserva</w:t>
      </w:r>
    </w:p>
    <w:p w:rsidR="00E2336B" w:rsidRDefault="00E2336B">
      <w:pPr>
        <w:pStyle w:val="Textoindependiente"/>
        <w:rPr>
          <w:lang w:val="es-ES_tradnl"/>
        </w:rPr>
      </w:pPr>
    </w:p>
    <w:p w:rsidR="00E2336B" w:rsidRDefault="00E2336B" w:rsidP="00703CE1">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 xml:space="preserve">El rigor debería aplicarse en la supervisión del cumplimiento de la cuota de reserva en los ámbitos público y privado, aplicando sistemas de sanciones ya experimentados en países como Alemania e Italia. Estos países aplican los fondos recaudados a través de las sanciones por el incumplimiento de la cuota de reserva a la promoción del empleo de personas con discapacidad. Una medida de coste cero para la administración pública podría consistir en reforzar los requerimientos en lo que se refiere a la obligatoriedad de ir más allá del cumplimiento legal para aquellas compañías que deseen acceder a los procedimientos de contratación pública. Del mismo modo, cabría establecer un grado </w:t>
      </w:r>
      <w:r>
        <w:rPr>
          <w:rFonts w:ascii="MinionPro-Regular" w:hAnsi="MinionPro-Regular"/>
          <w:sz w:val="24"/>
          <w:szCs w:val="24"/>
          <w:lang w:val="es-ES_tradnl"/>
        </w:rPr>
        <w:lastRenderedPageBreak/>
        <w:t>de cumplimiento mínimo de la cuota de reserva antes de poder acceder a la posibilidad de optar por las medidas alternativas.</w:t>
      </w:r>
    </w:p>
    <w:p w:rsidR="00E2336B" w:rsidRDefault="00E2336B" w:rsidP="00703CE1">
      <w:pPr>
        <w:autoSpaceDE w:val="0"/>
        <w:autoSpaceDN w:val="0"/>
        <w:spacing w:line="360" w:lineRule="auto"/>
        <w:jc w:val="both"/>
        <w:rPr>
          <w:rFonts w:ascii="MinionPro-Regular" w:hAnsi="MinionPro-Regular"/>
          <w:sz w:val="24"/>
          <w:szCs w:val="24"/>
          <w:lang w:val="es-ES_tradnl"/>
        </w:rPr>
      </w:pPr>
    </w:p>
    <w:p w:rsidR="00E2336B" w:rsidRDefault="00E2336B" w:rsidP="00703CE1">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 xml:space="preserve">En </w:t>
      </w:r>
      <w:r w:rsidRPr="00867D87">
        <w:rPr>
          <w:rFonts w:ascii="MinionPro-Regular" w:hAnsi="MinionPro-Regular"/>
          <w:sz w:val="24"/>
          <w:szCs w:val="24"/>
          <w:lang w:val="es-ES_tradnl"/>
        </w:rPr>
        <w:t xml:space="preserve">relación a las medidas alternativas, </w:t>
      </w:r>
      <w:r>
        <w:rPr>
          <w:rFonts w:ascii="MinionPro-Regular" w:hAnsi="MinionPro-Regular"/>
          <w:sz w:val="24"/>
          <w:szCs w:val="24"/>
          <w:lang w:val="es-ES_tradnl"/>
        </w:rPr>
        <w:t xml:space="preserve">podrían ser revisadas las opciones disponibles para asegurar que promueven la inclusión y la generación de empleo entre los colectivos con un menor grado de empleabilidad y que se refuerzan los incentivos para aquellos centros que generan empleo entre estos colectivos. </w:t>
      </w:r>
    </w:p>
    <w:p w:rsidR="0007013E" w:rsidRDefault="0007013E" w:rsidP="00213730">
      <w:pPr>
        <w:autoSpaceDE w:val="0"/>
        <w:autoSpaceDN w:val="0"/>
        <w:spacing w:line="360" w:lineRule="auto"/>
        <w:jc w:val="both"/>
        <w:rPr>
          <w:rFonts w:ascii="MinionPro-Regular" w:hAnsi="MinionPro-Regular"/>
          <w:sz w:val="24"/>
          <w:szCs w:val="24"/>
          <w:lang w:val="es-ES_tradnl"/>
        </w:rPr>
      </w:pPr>
    </w:p>
    <w:p w:rsidR="00E2336B" w:rsidRPr="007920F7" w:rsidRDefault="00E2336B" w:rsidP="007920F7">
      <w:pPr>
        <w:pBdr>
          <w:top w:val="single" w:sz="4" w:space="1" w:color="auto"/>
          <w:left w:val="single" w:sz="4" w:space="4" w:color="auto"/>
          <w:bottom w:val="single" w:sz="4" w:space="1" w:color="auto"/>
          <w:right w:val="single" w:sz="4" w:space="4" w:color="auto"/>
        </w:pBdr>
        <w:shd w:val="clear" w:color="auto" w:fill="D9D9D9"/>
        <w:autoSpaceDE w:val="0"/>
        <w:autoSpaceDN w:val="0"/>
        <w:spacing w:line="360" w:lineRule="auto"/>
        <w:jc w:val="both"/>
        <w:rPr>
          <w:rFonts w:ascii="MinionPro-Regular" w:hAnsi="MinionPro-Regular"/>
          <w:b/>
          <w:szCs w:val="24"/>
          <w:lang w:val="es-ES_tradnl"/>
        </w:rPr>
      </w:pPr>
      <w:r w:rsidRPr="007920F7">
        <w:rPr>
          <w:rFonts w:ascii="MinionPro-Regular" w:hAnsi="MinionPro-Regular"/>
          <w:b/>
          <w:szCs w:val="24"/>
          <w:lang w:val="es-ES_tradnl"/>
        </w:rPr>
        <w:t>Modelo 2020</w:t>
      </w:r>
    </w:p>
    <w:p w:rsidR="00E2336B" w:rsidRPr="007920F7" w:rsidRDefault="00E2336B" w:rsidP="007920F7">
      <w:pPr>
        <w:pBdr>
          <w:top w:val="single" w:sz="4" w:space="1" w:color="auto"/>
          <w:left w:val="single" w:sz="4" w:space="4" w:color="auto"/>
          <w:bottom w:val="single" w:sz="4" w:space="1" w:color="auto"/>
          <w:right w:val="single" w:sz="4" w:space="4" w:color="auto"/>
        </w:pBdr>
        <w:shd w:val="clear" w:color="auto" w:fill="D9D9D9"/>
        <w:autoSpaceDE w:val="0"/>
        <w:autoSpaceDN w:val="0"/>
        <w:spacing w:line="360" w:lineRule="auto"/>
        <w:jc w:val="both"/>
        <w:rPr>
          <w:rFonts w:ascii="MinionPro-Regular" w:hAnsi="MinionPro-Regular"/>
          <w:b/>
          <w:szCs w:val="24"/>
          <w:lang w:val="es-ES_tradnl"/>
        </w:rPr>
      </w:pPr>
      <w:r w:rsidRPr="007920F7">
        <w:rPr>
          <w:rFonts w:ascii="MinionPro-Regular" w:hAnsi="MinionPro-Regular"/>
          <w:b/>
          <w:szCs w:val="24"/>
          <w:lang w:val="es-ES_tradnl"/>
        </w:rPr>
        <w:t>Asegurar que las medidas alternativas cumplen con el espíritu de la ley</w:t>
      </w:r>
    </w:p>
    <w:p w:rsidR="00E2336B" w:rsidRPr="007920F7" w:rsidRDefault="00E2336B" w:rsidP="007920F7">
      <w:pPr>
        <w:pBdr>
          <w:top w:val="single" w:sz="4" w:space="1" w:color="auto"/>
          <w:left w:val="single" w:sz="4" w:space="4" w:color="auto"/>
          <w:bottom w:val="single" w:sz="4" w:space="1" w:color="auto"/>
          <w:right w:val="single" w:sz="4" w:space="4" w:color="auto"/>
        </w:pBdr>
        <w:shd w:val="clear" w:color="auto" w:fill="D9D9D9"/>
        <w:autoSpaceDE w:val="0"/>
        <w:autoSpaceDN w:val="0"/>
        <w:spacing w:line="360" w:lineRule="auto"/>
        <w:jc w:val="both"/>
        <w:rPr>
          <w:rFonts w:ascii="MinionPro-Regular" w:hAnsi="MinionPro-Regular"/>
          <w:szCs w:val="24"/>
          <w:lang w:val="es-ES_tradnl"/>
        </w:rPr>
      </w:pPr>
    </w:p>
    <w:p w:rsidR="00E2336B" w:rsidRPr="007920F7" w:rsidRDefault="00E2336B" w:rsidP="007920F7">
      <w:pPr>
        <w:pBdr>
          <w:top w:val="single" w:sz="4" w:space="1" w:color="auto"/>
          <w:left w:val="single" w:sz="4" w:space="4" w:color="auto"/>
          <w:bottom w:val="single" w:sz="4" w:space="1" w:color="auto"/>
          <w:right w:val="single" w:sz="4" w:space="4" w:color="auto"/>
        </w:pBdr>
        <w:shd w:val="clear" w:color="auto" w:fill="D9D9D9"/>
        <w:autoSpaceDE w:val="0"/>
        <w:autoSpaceDN w:val="0"/>
        <w:spacing w:line="360" w:lineRule="auto"/>
        <w:jc w:val="both"/>
        <w:rPr>
          <w:rFonts w:ascii="MinionPro-Regular" w:hAnsi="MinionPro-Regular"/>
          <w:szCs w:val="24"/>
          <w:lang w:val="es-ES_tradnl"/>
        </w:rPr>
      </w:pPr>
      <w:r w:rsidRPr="007920F7">
        <w:rPr>
          <w:rFonts w:ascii="MinionPro-Regular" w:hAnsi="MinionPro-Regular"/>
          <w:szCs w:val="24"/>
          <w:lang w:val="es-ES_tradnl"/>
        </w:rPr>
        <w:t>El Real Decreto 364/2005 establece las medidas alternativas al cumplimiento de la cuota de reserva para personas con discapacidad. En su artículo 2</w:t>
      </w:r>
      <w:r>
        <w:rPr>
          <w:rFonts w:ascii="MinionPro-Regular" w:hAnsi="MinionPro-Regular"/>
          <w:szCs w:val="24"/>
          <w:lang w:val="es-ES_tradnl"/>
        </w:rPr>
        <w:t>,</w:t>
      </w:r>
      <w:r w:rsidRPr="007920F7">
        <w:rPr>
          <w:rFonts w:ascii="MinionPro-Regular" w:hAnsi="MinionPro-Regular"/>
          <w:szCs w:val="24"/>
          <w:lang w:val="es-ES_tradnl"/>
        </w:rPr>
        <w:t xml:space="preserve"> el mencionado Real Decreto establece las distintas modalidades de las medidas alternativas así como los importes previstos de los contratos establecidos o de las donaciones y acciones de patrocinio que pueden dar lugar al cumplimiento de la ley. </w:t>
      </w:r>
    </w:p>
    <w:p w:rsidR="00E2336B" w:rsidRPr="007920F7" w:rsidRDefault="00E2336B" w:rsidP="007920F7">
      <w:pPr>
        <w:pBdr>
          <w:top w:val="single" w:sz="4" w:space="1" w:color="auto"/>
          <w:left w:val="single" w:sz="4" w:space="4" w:color="auto"/>
          <w:bottom w:val="single" w:sz="4" w:space="1" w:color="auto"/>
          <w:right w:val="single" w:sz="4" w:space="4" w:color="auto"/>
        </w:pBdr>
        <w:shd w:val="clear" w:color="auto" w:fill="D9D9D9"/>
        <w:autoSpaceDE w:val="0"/>
        <w:autoSpaceDN w:val="0"/>
        <w:spacing w:line="360" w:lineRule="auto"/>
        <w:jc w:val="both"/>
        <w:rPr>
          <w:rFonts w:ascii="MinionPro-Regular" w:hAnsi="MinionPro-Regular"/>
          <w:szCs w:val="24"/>
          <w:lang w:val="es-ES_tradnl"/>
        </w:rPr>
      </w:pPr>
    </w:p>
    <w:p w:rsidR="00E2336B" w:rsidRPr="007920F7" w:rsidRDefault="00E2336B" w:rsidP="007920F7">
      <w:pPr>
        <w:pBdr>
          <w:top w:val="single" w:sz="4" w:space="1" w:color="auto"/>
          <w:left w:val="single" w:sz="4" w:space="4" w:color="auto"/>
          <w:bottom w:val="single" w:sz="4" w:space="1" w:color="auto"/>
          <w:right w:val="single" w:sz="4" w:space="4" w:color="auto"/>
        </w:pBdr>
        <w:shd w:val="clear" w:color="auto" w:fill="D9D9D9"/>
        <w:autoSpaceDE w:val="0"/>
        <w:autoSpaceDN w:val="0"/>
        <w:spacing w:line="360" w:lineRule="auto"/>
        <w:jc w:val="both"/>
        <w:rPr>
          <w:rFonts w:ascii="MinionPro-Regular" w:hAnsi="MinionPro-Regular"/>
          <w:szCs w:val="24"/>
          <w:lang w:val="es-ES_tradnl"/>
        </w:rPr>
      </w:pPr>
      <w:r w:rsidRPr="007920F7">
        <w:rPr>
          <w:rFonts w:ascii="MinionPro-Regular" w:hAnsi="MinionPro-Regular"/>
          <w:szCs w:val="24"/>
          <w:lang w:val="es-ES_tradnl"/>
        </w:rPr>
        <w:t xml:space="preserve">Las medidas alternativas deberían tener por objetivo estimular la incorporación al mercado laboral de personas con discapacidad y, por lo tanto, desincentivar la adopción de medidas alternativas que no tengan tal propósito. Con tal objetivo, cabría revisar el importe de la medida alternativa prevista en el apartado c), relativa a donaciones y patrocinios, del artículo 2 del Real Decreto. En la actualidad, el importe de la medida alternativa se establece en 1,5 veces el IPREM por trabajador con discapacidad dejado de contratar por debajo de la cuota del dos por ciento, frente a las tres veces establecidas para el resto de medidas alternativas. Con el propósito de estimular la actividad laboral de las personas con discapacidad, cabría considerar la conveniencia de equiparar el importe previsto en dicha medida a las tres veces el IPREM que contemplan las medidas alternativas relativas a la contratación con centros especiales de empleo, </w:t>
      </w:r>
      <w:r w:rsidRPr="007920F7">
        <w:rPr>
          <w:rFonts w:ascii="MinionPro-Regular" w:hAnsi="MinionPro-Regular"/>
          <w:szCs w:val="24"/>
          <w:lang w:val="es-ES_tradnl"/>
        </w:rPr>
        <w:lastRenderedPageBreak/>
        <w:t>con trabajadores autónomos con discapacidad o relativa a la constitución de enclaves laborales. Adicionalmente, debería evitarse la posibilidad de que la realización de donaciones y de acciones de patrocinio pudiera desarrollarse con una fundación o asociación vinculada a la empresa que desarrolla la medida alternativa o que se pudiera entender como una prestación de servicios encubierta.</w:t>
      </w:r>
    </w:p>
    <w:p w:rsidR="00E2336B" w:rsidRPr="007920F7" w:rsidRDefault="00E2336B" w:rsidP="007920F7">
      <w:pPr>
        <w:pBdr>
          <w:top w:val="single" w:sz="4" w:space="1" w:color="auto"/>
          <w:left w:val="single" w:sz="4" w:space="4" w:color="auto"/>
          <w:bottom w:val="single" w:sz="4" w:space="1" w:color="auto"/>
          <w:right w:val="single" w:sz="4" w:space="4" w:color="auto"/>
        </w:pBdr>
        <w:shd w:val="clear" w:color="auto" w:fill="D9D9D9"/>
        <w:autoSpaceDE w:val="0"/>
        <w:autoSpaceDN w:val="0"/>
        <w:spacing w:line="360" w:lineRule="auto"/>
        <w:jc w:val="both"/>
        <w:rPr>
          <w:rFonts w:ascii="MinionPro-Regular" w:hAnsi="MinionPro-Regular"/>
          <w:szCs w:val="24"/>
          <w:lang w:val="es-ES_tradnl"/>
        </w:rPr>
      </w:pPr>
    </w:p>
    <w:p w:rsidR="00E2336B" w:rsidRPr="007920F7" w:rsidRDefault="00E2336B" w:rsidP="007920F7">
      <w:pPr>
        <w:pBdr>
          <w:top w:val="single" w:sz="4" w:space="1" w:color="auto"/>
          <w:left w:val="single" w:sz="4" w:space="4" w:color="auto"/>
          <w:bottom w:val="single" w:sz="4" w:space="1" w:color="auto"/>
          <w:right w:val="single" w:sz="4" w:space="4" w:color="auto"/>
        </w:pBdr>
        <w:shd w:val="clear" w:color="auto" w:fill="D9D9D9"/>
        <w:autoSpaceDE w:val="0"/>
        <w:autoSpaceDN w:val="0"/>
        <w:spacing w:line="360" w:lineRule="auto"/>
        <w:jc w:val="both"/>
        <w:rPr>
          <w:rFonts w:ascii="MinionPro-Regular" w:hAnsi="MinionPro-Regular"/>
          <w:szCs w:val="24"/>
          <w:lang w:val="es-ES_tradnl"/>
        </w:rPr>
      </w:pPr>
      <w:r w:rsidRPr="007920F7">
        <w:rPr>
          <w:rFonts w:ascii="MinionPro-Regular" w:hAnsi="MinionPro-Regular"/>
          <w:szCs w:val="24"/>
          <w:lang w:val="es-ES_tradnl"/>
        </w:rPr>
        <w:t xml:space="preserve">De la misma manera, </w:t>
      </w:r>
      <w:r>
        <w:rPr>
          <w:rFonts w:ascii="MinionPro-Regular" w:hAnsi="MinionPro-Regular"/>
          <w:szCs w:val="24"/>
          <w:lang w:val="es-ES_tradnl"/>
        </w:rPr>
        <w:t xml:space="preserve">cabría eliminar la posibilidad de una determinada compañía de </w:t>
      </w:r>
      <w:r w:rsidRPr="007920F7">
        <w:rPr>
          <w:rFonts w:ascii="MinionPro-Regular" w:hAnsi="MinionPro-Regular"/>
          <w:szCs w:val="24"/>
          <w:lang w:val="es-ES_tradnl"/>
        </w:rPr>
        <w:t xml:space="preserve">dar cumplimiento a las medidas </w:t>
      </w:r>
      <w:r>
        <w:rPr>
          <w:rFonts w:ascii="MinionPro-Regular" w:hAnsi="MinionPro-Regular"/>
          <w:szCs w:val="24"/>
          <w:lang w:val="es-ES_tradnl"/>
        </w:rPr>
        <w:t xml:space="preserve">alternativas </w:t>
      </w:r>
      <w:r w:rsidRPr="007920F7">
        <w:rPr>
          <w:rFonts w:ascii="MinionPro-Regular" w:hAnsi="MinionPro-Regular"/>
          <w:szCs w:val="24"/>
          <w:lang w:val="es-ES_tradnl"/>
        </w:rPr>
        <w:t xml:space="preserve">con un centro especial de empleo de su propiedad, que gestiona o que es gestionada por alguna compañía </w:t>
      </w:r>
      <w:r>
        <w:rPr>
          <w:rFonts w:ascii="MinionPro-Regular" w:hAnsi="MinionPro-Regular"/>
          <w:szCs w:val="24"/>
          <w:lang w:val="es-ES_tradnl"/>
        </w:rPr>
        <w:t>con la que mantiene vínculos de propiedad</w:t>
      </w:r>
      <w:r w:rsidRPr="007920F7">
        <w:rPr>
          <w:rFonts w:ascii="MinionPro-Regular" w:hAnsi="MinionPro-Regular"/>
          <w:szCs w:val="24"/>
          <w:lang w:val="es-ES_tradnl"/>
        </w:rPr>
        <w:t xml:space="preserve">. </w:t>
      </w:r>
    </w:p>
    <w:p w:rsidR="00E2336B" w:rsidRPr="007920F7" w:rsidRDefault="00E2336B" w:rsidP="007920F7">
      <w:pPr>
        <w:pBdr>
          <w:top w:val="single" w:sz="4" w:space="1" w:color="auto"/>
          <w:left w:val="single" w:sz="4" w:space="4" w:color="auto"/>
          <w:bottom w:val="single" w:sz="4" w:space="1" w:color="auto"/>
          <w:right w:val="single" w:sz="4" w:space="4" w:color="auto"/>
        </w:pBdr>
        <w:shd w:val="clear" w:color="auto" w:fill="D9D9D9"/>
        <w:autoSpaceDE w:val="0"/>
        <w:autoSpaceDN w:val="0"/>
        <w:spacing w:line="360" w:lineRule="auto"/>
        <w:jc w:val="both"/>
        <w:rPr>
          <w:rFonts w:ascii="MinionPro-Regular" w:hAnsi="MinionPro-Regular"/>
          <w:szCs w:val="24"/>
          <w:lang w:val="es-ES_tradnl"/>
        </w:rPr>
      </w:pPr>
    </w:p>
    <w:p w:rsidR="00E2336B" w:rsidRPr="007920F7" w:rsidRDefault="00E2336B" w:rsidP="007920F7">
      <w:pPr>
        <w:pBdr>
          <w:top w:val="single" w:sz="4" w:space="1" w:color="auto"/>
          <w:left w:val="single" w:sz="4" w:space="4" w:color="auto"/>
          <w:bottom w:val="single" w:sz="4" w:space="1" w:color="auto"/>
          <w:right w:val="single" w:sz="4" w:space="4" w:color="auto"/>
        </w:pBdr>
        <w:shd w:val="clear" w:color="auto" w:fill="D9D9D9"/>
        <w:autoSpaceDE w:val="0"/>
        <w:autoSpaceDN w:val="0"/>
        <w:spacing w:line="360" w:lineRule="auto"/>
        <w:jc w:val="both"/>
        <w:rPr>
          <w:rFonts w:ascii="MinionPro-Regular" w:hAnsi="MinionPro-Regular"/>
          <w:szCs w:val="24"/>
          <w:lang w:val="es-ES_tradnl"/>
        </w:rPr>
      </w:pPr>
      <w:r w:rsidRPr="007920F7">
        <w:rPr>
          <w:rFonts w:ascii="MinionPro-Regular" w:hAnsi="MinionPro-Regular"/>
          <w:szCs w:val="24"/>
          <w:lang w:val="es-ES_tradnl"/>
        </w:rPr>
        <w:t xml:space="preserve">En su artículo 59, también la Ley 7/2007, del Estatuto Básico del Empleado Público, establece una cuota de reserva para las personas con discapacidad en las distintas administraciones públicas. Sin embargo, el cumplimiento alternativo con carácter excepcional recogido en el Real Decreto 364/2005 tan sólo hace referencia a las empresas públicas, quedando fuera de su alcance el resto de administraciones públicas. Cabría, por lo tanto, considerar abrir la posibilidad del cumplimiento alternativo </w:t>
      </w:r>
      <w:r>
        <w:rPr>
          <w:rFonts w:ascii="MinionPro-Regular" w:hAnsi="MinionPro-Regular"/>
          <w:szCs w:val="24"/>
          <w:lang w:val="es-ES_tradnl"/>
        </w:rPr>
        <w:t>compensando con una mayor adjudicación de contratos públicos</w:t>
      </w:r>
      <w:r w:rsidRPr="007920F7">
        <w:rPr>
          <w:rFonts w:ascii="MinionPro-Regular" w:hAnsi="MinionPro-Regular"/>
          <w:szCs w:val="24"/>
          <w:lang w:val="es-ES_tradnl"/>
        </w:rPr>
        <w:t xml:space="preserve">. </w:t>
      </w:r>
      <w:r>
        <w:rPr>
          <w:rFonts w:ascii="MinionPro-Regular" w:hAnsi="MinionPro-Regular"/>
          <w:szCs w:val="24"/>
          <w:lang w:val="es-ES_tradnl"/>
        </w:rPr>
        <w:t xml:space="preserve">Las administraciones públicas podrían, asimismo, reconocer explícitamente a aquellas compañías que cuenten con el sello Bequal y a aquellas otras que superen la cuota legal de personas con discapacidad.  </w:t>
      </w:r>
    </w:p>
    <w:p w:rsidR="00E2336B" w:rsidRPr="007920F7" w:rsidRDefault="00E2336B" w:rsidP="007920F7">
      <w:pPr>
        <w:pBdr>
          <w:top w:val="single" w:sz="4" w:space="1" w:color="auto"/>
          <w:left w:val="single" w:sz="4" w:space="4" w:color="auto"/>
          <w:bottom w:val="single" w:sz="4" w:space="1" w:color="auto"/>
          <w:right w:val="single" w:sz="4" w:space="4" w:color="auto"/>
        </w:pBdr>
        <w:shd w:val="clear" w:color="auto" w:fill="D9D9D9"/>
        <w:autoSpaceDE w:val="0"/>
        <w:autoSpaceDN w:val="0"/>
        <w:spacing w:line="360" w:lineRule="auto"/>
        <w:jc w:val="both"/>
        <w:rPr>
          <w:rFonts w:ascii="MinionPro-Regular" w:hAnsi="MinionPro-Regular"/>
          <w:szCs w:val="24"/>
          <w:lang w:val="es-ES_tradnl"/>
        </w:rPr>
      </w:pPr>
    </w:p>
    <w:p w:rsidR="00E2336B" w:rsidRPr="00CD53B2" w:rsidRDefault="00E2336B" w:rsidP="00CD53B2">
      <w:pPr>
        <w:pBdr>
          <w:top w:val="single" w:sz="4" w:space="1" w:color="auto"/>
          <w:left w:val="single" w:sz="4" w:space="4" w:color="auto"/>
          <w:bottom w:val="single" w:sz="4" w:space="1" w:color="auto"/>
          <w:right w:val="single" w:sz="4" w:space="4" w:color="auto"/>
        </w:pBdr>
        <w:shd w:val="clear" w:color="auto" w:fill="D9D9D9"/>
        <w:autoSpaceDE w:val="0"/>
        <w:autoSpaceDN w:val="0"/>
        <w:spacing w:line="360" w:lineRule="auto"/>
        <w:jc w:val="both"/>
        <w:rPr>
          <w:rFonts w:ascii="MinionPro-Regular" w:hAnsi="MinionPro-Regular"/>
          <w:szCs w:val="24"/>
          <w:lang w:val="es-ES_tradnl"/>
        </w:rPr>
      </w:pPr>
      <w:r w:rsidRPr="007920F7">
        <w:rPr>
          <w:rFonts w:ascii="MinionPro-Regular" w:hAnsi="MinionPro-Regular"/>
          <w:szCs w:val="24"/>
          <w:lang w:val="es-ES_tradnl"/>
        </w:rPr>
        <w:t xml:space="preserve">En sus artículos 5 y 6, el Real Decreto 364/2005 asigna la responsabilidad de supervisar el cumplimiento de las medidas alternativas a los servicios públicos de empleo, bien estatales o bien autonómicos. Los resultados de la revisión del cumplimiento de las medidas alternativas, y de las cuotas de reserva, por parte de los servicios públicos de empleo deberían ser accesibles por el público. </w:t>
      </w:r>
      <w:r w:rsidRPr="00CD53B2">
        <w:rPr>
          <w:rFonts w:ascii="MinionPro-Regular" w:hAnsi="MinionPro-Regular"/>
          <w:szCs w:val="24"/>
          <w:lang w:val="es-ES_tradnl"/>
        </w:rPr>
        <w:t>De la misma manera, cabría reforzar el cumplimiento de la cuota por parte de las empresas afectadas. El incumplimiento debería llevar asociado</w:t>
      </w:r>
      <w:r>
        <w:rPr>
          <w:rFonts w:ascii="MinionPro-Regular" w:hAnsi="MinionPro-Regular"/>
          <w:szCs w:val="24"/>
          <w:lang w:val="es-ES_tradnl"/>
        </w:rPr>
        <w:t xml:space="preserve"> automáticamente </w:t>
      </w:r>
      <w:r w:rsidRPr="00CD53B2">
        <w:rPr>
          <w:rFonts w:ascii="MinionPro-Regular" w:hAnsi="MinionPro-Regular"/>
          <w:szCs w:val="24"/>
          <w:lang w:val="es-ES_tradnl"/>
        </w:rPr>
        <w:t xml:space="preserve">el pago de un canon, aplicado </w:t>
      </w:r>
      <w:r>
        <w:rPr>
          <w:rFonts w:ascii="MinionPro-Regular" w:hAnsi="MinionPro-Regular"/>
          <w:szCs w:val="24"/>
          <w:lang w:val="es-ES_tradnl"/>
        </w:rPr>
        <w:t>en</w:t>
      </w:r>
      <w:r w:rsidRPr="00CD53B2">
        <w:rPr>
          <w:rFonts w:ascii="MinionPro-Regular" w:hAnsi="MinionPro-Regular"/>
          <w:szCs w:val="24"/>
          <w:lang w:val="es-ES_tradnl"/>
        </w:rPr>
        <w:t xml:space="preserve"> </w:t>
      </w:r>
      <w:r>
        <w:rPr>
          <w:rFonts w:ascii="MinionPro-Regular" w:hAnsi="MinionPro-Regular"/>
          <w:szCs w:val="24"/>
          <w:lang w:val="es-ES_tradnl"/>
        </w:rPr>
        <w:t>el pago de los seguros sociales. El canon, como se mencionaba anteriormente</w:t>
      </w:r>
      <w:r w:rsidRPr="00CD53B2">
        <w:rPr>
          <w:rFonts w:ascii="MinionPro-Regular" w:hAnsi="MinionPro-Regular"/>
          <w:szCs w:val="24"/>
          <w:lang w:val="es-ES_tradnl"/>
        </w:rPr>
        <w:t xml:space="preserve"> </w:t>
      </w:r>
      <w:r w:rsidRPr="00CD53B2">
        <w:rPr>
          <w:rFonts w:ascii="MinionPro-Regular" w:hAnsi="MinionPro-Regular"/>
          <w:szCs w:val="24"/>
          <w:lang w:val="es-ES_tradnl"/>
        </w:rPr>
        <w:lastRenderedPageBreak/>
        <w:t xml:space="preserve">podría ir destinado a un fondo nacional </w:t>
      </w:r>
      <w:r>
        <w:rPr>
          <w:rFonts w:ascii="MinionPro-Regular" w:hAnsi="MinionPro-Regular"/>
          <w:szCs w:val="24"/>
          <w:lang w:val="es-ES_tradnl"/>
        </w:rPr>
        <w:t>para</w:t>
      </w:r>
      <w:r w:rsidRPr="00CD53B2">
        <w:rPr>
          <w:rFonts w:ascii="MinionPro-Regular" w:hAnsi="MinionPro-Regular"/>
          <w:szCs w:val="24"/>
          <w:lang w:val="es-ES_tradnl"/>
        </w:rPr>
        <w:t xml:space="preserve"> la mejora de la empleabilidad de las personas con discapacidad.</w:t>
      </w:r>
    </w:p>
    <w:p w:rsidR="00E2336B" w:rsidRPr="007920F7" w:rsidRDefault="00E2336B" w:rsidP="007920F7">
      <w:pPr>
        <w:pBdr>
          <w:top w:val="single" w:sz="4" w:space="1" w:color="auto"/>
          <w:left w:val="single" w:sz="4" w:space="4" w:color="auto"/>
          <w:bottom w:val="single" w:sz="4" w:space="1" w:color="auto"/>
          <w:right w:val="single" w:sz="4" w:space="4" w:color="auto"/>
        </w:pBdr>
        <w:shd w:val="clear" w:color="auto" w:fill="D9D9D9"/>
        <w:autoSpaceDE w:val="0"/>
        <w:autoSpaceDN w:val="0"/>
        <w:spacing w:line="360" w:lineRule="auto"/>
        <w:jc w:val="both"/>
        <w:rPr>
          <w:rFonts w:ascii="MinionPro-Regular" w:hAnsi="MinionPro-Regular"/>
          <w:szCs w:val="24"/>
          <w:lang w:val="es-ES_tradnl"/>
        </w:rPr>
      </w:pPr>
    </w:p>
    <w:p w:rsidR="00E2336B" w:rsidRPr="00213730" w:rsidRDefault="00E2336B" w:rsidP="00213730">
      <w:pPr>
        <w:autoSpaceDE w:val="0"/>
        <w:autoSpaceDN w:val="0"/>
        <w:spacing w:line="360" w:lineRule="auto"/>
        <w:jc w:val="both"/>
        <w:rPr>
          <w:rFonts w:ascii="MinionPro-Regular" w:hAnsi="MinionPro-Regular"/>
          <w:sz w:val="24"/>
          <w:szCs w:val="24"/>
          <w:lang w:val="es-ES_tradnl"/>
        </w:rPr>
      </w:pPr>
    </w:p>
    <w:p w:rsidR="00E2336B" w:rsidRDefault="00E2336B" w:rsidP="0007541A">
      <w:pPr>
        <w:pStyle w:val="Ttulo3"/>
        <w:numPr>
          <w:ilvl w:val="2"/>
          <w:numId w:val="3"/>
        </w:numPr>
        <w:spacing w:line="240" w:lineRule="auto"/>
        <w:rPr>
          <w:lang w:val="es-ES_tradnl"/>
        </w:rPr>
      </w:pPr>
      <w:bookmarkStart w:id="502" w:name="_Toc352773620"/>
      <w:bookmarkStart w:id="503" w:name="_Toc340515923"/>
      <w:r w:rsidRPr="00CE0903">
        <w:rPr>
          <w:lang w:val="es-ES_tradnl"/>
        </w:rPr>
        <w:t>Control y transparencia</w:t>
      </w:r>
      <w:bookmarkEnd w:id="502"/>
      <w:r w:rsidRPr="00CE0903">
        <w:rPr>
          <w:lang w:val="es-ES_tradnl"/>
        </w:rPr>
        <w:t xml:space="preserve"> </w:t>
      </w:r>
      <w:bookmarkEnd w:id="503"/>
    </w:p>
    <w:p w:rsidR="00E2336B" w:rsidRPr="00CE0903" w:rsidRDefault="00E2336B" w:rsidP="00CE0903">
      <w:pPr>
        <w:pStyle w:val="Textoindependiente"/>
        <w:rPr>
          <w:lang w:val="es-ES_tradnl"/>
        </w:rPr>
      </w:pPr>
    </w:p>
    <w:p w:rsidR="00E2336B" w:rsidRDefault="00E2336B">
      <w:pPr>
        <w:pBdr>
          <w:top w:val="single" w:sz="4" w:space="1" w:color="auto"/>
          <w:left w:val="single" w:sz="4" w:space="4" w:color="auto"/>
          <w:bottom w:val="single" w:sz="4" w:space="1" w:color="auto"/>
          <w:right w:val="single" w:sz="4" w:space="4" w:color="auto"/>
        </w:pBd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Avanzar, desde la autorregulación y el impulso público, en la transparencia como requerimiento básico del reconocimiento y confianza social en los centros especiales de empleo.</w:t>
      </w:r>
    </w:p>
    <w:p w:rsidR="00E2336B" w:rsidRDefault="00E2336B">
      <w:pPr>
        <w:pBdr>
          <w:top w:val="single" w:sz="4" w:space="1" w:color="auto"/>
          <w:left w:val="single" w:sz="4" w:space="4" w:color="auto"/>
          <w:bottom w:val="single" w:sz="4" w:space="1" w:color="auto"/>
          <w:right w:val="single" w:sz="4" w:space="4" w:color="auto"/>
        </w:pBdr>
        <w:autoSpaceDE w:val="0"/>
        <w:autoSpaceDN w:val="0"/>
        <w:spacing w:line="360" w:lineRule="auto"/>
        <w:jc w:val="both"/>
        <w:rPr>
          <w:rFonts w:ascii="MinionPro-Regular" w:hAnsi="MinionPro-Regular"/>
          <w:sz w:val="24"/>
          <w:szCs w:val="24"/>
          <w:lang w:val="es-ES_tradnl"/>
        </w:rPr>
      </w:pPr>
    </w:p>
    <w:p w:rsidR="00E2336B" w:rsidRPr="005A0A75" w:rsidRDefault="00E2336B" w:rsidP="00CE0903">
      <w:pPr>
        <w:pBdr>
          <w:top w:val="single" w:sz="4" w:space="1" w:color="auto"/>
          <w:left w:val="single" w:sz="4" w:space="4" w:color="auto"/>
          <w:bottom w:val="single" w:sz="4" w:space="1" w:color="auto"/>
          <w:right w:val="single" w:sz="4" w:space="4" w:color="auto"/>
        </w:pBdr>
        <w:autoSpaceDE w:val="0"/>
        <w:autoSpaceDN w:val="0"/>
        <w:spacing w:line="360" w:lineRule="auto"/>
        <w:jc w:val="both"/>
        <w:rPr>
          <w:rFonts w:ascii="MinionPro-Regular" w:hAnsi="MinionPro-Regular"/>
          <w:i/>
          <w:sz w:val="24"/>
          <w:szCs w:val="24"/>
          <w:lang w:val="es-ES_tradnl"/>
        </w:rPr>
      </w:pPr>
      <w:r w:rsidRPr="001364F4">
        <w:rPr>
          <w:rFonts w:ascii="MinionPro-Regular" w:hAnsi="MinionPro-Regular"/>
          <w:i/>
          <w:sz w:val="24"/>
          <w:szCs w:val="24"/>
          <w:lang w:val="es-ES_tradnl"/>
        </w:rPr>
        <w:t xml:space="preserve">Por dónde comenzar: </w:t>
      </w:r>
    </w:p>
    <w:p w:rsidR="00E2336B" w:rsidRDefault="00E2336B" w:rsidP="00CE0903">
      <w:pPr>
        <w:pBdr>
          <w:top w:val="single" w:sz="4" w:space="1" w:color="auto"/>
          <w:left w:val="single" w:sz="4" w:space="4" w:color="auto"/>
          <w:bottom w:val="single" w:sz="4" w:space="1" w:color="auto"/>
          <w:right w:val="single" w:sz="4" w:space="4" w:color="auto"/>
        </w:pBd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 xml:space="preserve">Reforzar la información pública disponible acerca de los centros especiales de empleo, tanto sectorial como relativa a los centros considerados individualmente. </w:t>
      </w:r>
    </w:p>
    <w:p w:rsidR="00E2336B" w:rsidRDefault="00E2336B">
      <w:pPr>
        <w:autoSpaceDE w:val="0"/>
        <w:autoSpaceDN w:val="0"/>
        <w:spacing w:line="360" w:lineRule="auto"/>
        <w:jc w:val="both"/>
        <w:rPr>
          <w:rFonts w:ascii="MinionPro-Regular" w:hAnsi="MinionPro-Regular"/>
          <w:sz w:val="24"/>
          <w:szCs w:val="24"/>
          <w:lang w:val="es-ES_tradnl"/>
        </w:rPr>
      </w:pPr>
    </w:p>
    <w:p w:rsidR="00E2336B" w:rsidRDefault="00E2336B">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Existe en el sector la percepción de que deberían ser reforzados los controles para prevenir un uso oportunista de la denominación centro especial de empleo. El uso oportunista puede tener que ver con la existencia de centros que no reúnen los requisitos establecidos para la percepción de ayudas. Pero también tendría que ver con la existencia de centros que no reúnen las condiciones para que las personas con discapacidad puedan desarrollar un trabajo satisfactorio y gratificante. La falta de información pública acerca del sector no ayuda a que éste sea conocido y respetado.</w:t>
      </w:r>
    </w:p>
    <w:p w:rsidR="00E2336B" w:rsidRDefault="00E2336B">
      <w:pPr>
        <w:autoSpaceDE w:val="0"/>
        <w:autoSpaceDN w:val="0"/>
        <w:spacing w:line="360" w:lineRule="auto"/>
        <w:jc w:val="both"/>
        <w:rPr>
          <w:rFonts w:ascii="MinionPro-Regular" w:hAnsi="MinionPro-Regular"/>
          <w:sz w:val="24"/>
          <w:szCs w:val="24"/>
          <w:lang w:val="es-ES_tradnl"/>
        </w:rPr>
      </w:pPr>
    </w:p>
    <w:p w:rsidR="00E2336B" w:rsidRDefault="00E2336B">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 xml:space="preserve">Para poner remedio a la falta de transparencia cabría pensar en el establecimiento de un código de conducta, impulsado por el propio sector, voluntario pero vinculante, en el que el sector estableciera los requisitos que, desde el cumplimiento estricto de la </w:t>
      </w:r>
      <w:r>
        <w:rPr>
          <w:rFonts w:ascii="MinionPro-Regular" w:hAnsi="MinionPro-Regular"/>
          <w:sz w:val="24"/>
          <w:szCs w:val="24"/>
          <w:lang w:val="es-ES_tradnl"/>
        </w:rPr>
        <w:lastRenderedPageBreak/>
        <w:t xml:space="preserve">legislación, debería cumplir un centro especial de empleo. Una vez suscrito, los firmantes se comprometerían a la revisión de su cumplimiento por un tercero independiente. El código debería incluir el compromiso de hacer pública, con carácter periódico, información no estratégica acerca de cuestiones relacionadas con el modelo de gestión de los centros y su impacto en términos de la empleabilidad de las personas. </w:t>
      </w:r>
    </w:p>
    <w:p w:rsidR="00E2336B" w:rsidRDefault="00E2336B">
      <w:pPr>
        <w:autoSpaceDE w:val="0"/>
        <w:autoSpaceDN w:val="0"/>
        <w:spacing w:line="360" w:lineRule="auto"/>
        <w:jc w:val="both"/>
        <w:rPr>
          <w:rFonts w:ascii="MinionPro-Regular" w:hAnsi="MinionPro-Regular"/>
          <w:sz w:val="24"/>
          <w:szCs w:val="24"/>
          <w:lang w:val="es-ES_tradnl"/>
        </w:rPr>
      </w:pPr>
    </w:p>
    <w:p w:rsidR="00E2336B" w:rsidRDefault="00E2336B">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 xml:space="preserve">Desde el ámbito de la administración, cabría pensar en incentivar el establecimiento de una línea ética, un sistema ya establecido en las principales compañías españolas. Este procedimiento debería permitir la notificación rápida, por sus propios empleados o por terceros, de casos en los que, eventualmente, un centro especial de empleo estuviera incumpliendo el espíritu o la letra de la normativa aplicable. </w:t>
      </w:r>
    </w:p>
    <w:p w:rsidR="00E2336B" w:rsidRDefault="00E2336B">
      <w:pPr>
        <w:autoSpaceDE w:val="0"/>
        <w:autoSpaceDN w:val="0"/>
        <w:spacing w:line="360" w:lineRule="auto"/>
        <w:jc w:val="both"/>
        <w:rPr>
          <w:rFonts w:ascii="MinionPro-Regular" w:hAnsi="MinionPro-Regular"/>
          <w:sz w:val="24"/>
          <w:szCs w:val="24"/>
          <w:lang w:val="es-ES_tradnl"/>
        </w:rPr>
      </w:pPr>
    </w:p>
    <w:p w:rsidR="00E2336B" w:rsidRDefault="00E2336B">
      <w:pPr>
        <w:autoSpaceDE w:val="0"/>
        <w:autoSpaceDN w:val="0"/>
        <w:spacing w:line="360" w:lineRule="auto"/>
        <w:jc w:val="both"/>
        <w:rPr>
          <w:rFonts w:ascii="MinionPro-Regular" w:hAnsi="MinionPro-Regular"/>
          <w:sz w:val="24"/>
          <w:szCs w:val="24"/>
          <w:lang w:val="es-ES_tradnl"/>
        </w:rPr>
      </w:pPr>
      <w:r w:rsidRPr="00545073">
        <w:rPr>
          <w:rFonts w:ascii="MinionPro-Regular" w:hAnsi="MinionPro-Regular"/>
          <w:sz w:val="24"/>
          <w:szCs w:val="24"/>
          <w:lang w:val="es-ES_tradnl"/>
        </w:rPr>
        <w:t>Los centros especiales de empleo deberían ser</w:t>
      </w:r>
      <w:r>
        <w:rPr>
          <w:rFonts w:ascii="MinionPro-Regular" w:hAnsi="MinionPro-Regular"/>
          <w:sz w:val="24"/>
          <w:szCs w:val="24"/>
          <w:lang w:val="es-ES_tradnl"/>
        </w:rPr>
        <w:t>, por su importante impacto social,</w:t>
      </w:r>
      <w:r w:rsidRPr="00545073">
        <w:rPr>
          <w:rFonts w:ascii="MinionPro-Regular" w:hAnsi="MinionPro-Regular"/>
          <w:sz w:val="24"/>
          <w:szCs w:val="24"/>
          <w:lang w:val="es-ES_tradnl"/>
        </w:rPr>
        <w:t xml:space="preserve"> una fórmula empresarial admirada</w:t>
      </w:r>
      <w:r>
        <w:rPr>
          <w:rFonts w:ascii="MinionPro-Regular" w:hAnsi="MinionPro-Regular"/>
          <w:sz w:val="24"/>
          <w:szCs w:val="24"/>
          <w:lang w:val="es-ES_tradnl"/>
        </w:rPr>
        <w:t xml:space="preserve"> por las administraciones públicas, por sus clientes y por la sociedad en general</w:t>
      </w:r>
      <w:r w:rsidRPr="00545073">
        <w:rPr>
          <w:rFonts w:ascii="MinionPro-Regular" w:hAnsi="MinionPro-Regular"/>
          <w:sz w:val="24"/>
          <w:szCs w:val="24"/>
          <w:lang w:val="es-ES_tradnl"/>
        </w:rPr>
        <w:t xml:space="preserve">. </w:t>
      </w:r>
      <w:r>
        <w:rPr>
          <w:rFonts w:ascii="MinionPro-Regular" w:hAnsi="MinionPro-Regular"/>
          <w:sz w:val="24"/>
          <w:szCs w:val="24"/>
          <w:lang w:val="es-ES_tradnl"/>
        </w:rPr>
        <w:t xml:space="preserve">Sin embargo, se enfrentan a un elevado nivel de desconocimiento, lo que dificulta que puedan poner en valor el enorme beneficio social que generan. En lugar de ser admirados por su función social, los centros especiales de empleo son considerados, en determinados ámbitos, como organizaciones débiles, poco modernas y competitivas. </w:t>
      </w:r>
    </w:p>
    <w:p w:rsidR="00E2336B" w:rsidRDefault="00E2336B">
      <w:pPr>
        <w:autoSpaceDE w:val="0"/>
        <w:autoSpaceDN w:val="0"/>
        <w:spacing w:line="360" w:lineRule="auto"/>
        <w:jc w:val="both"/>
        <w:rPr>
          <w:rFonts w:ascii="MinionPro-Regular" w:hAnsi="MinionPro-Regular"/>
          <w:sz w:val="24"/>
          <w:szCs w:val="24"/>
          <w:lang w:val="es-ES_tradnl"/>
        </w:rPr>
      </w:pPr>
    </w:p>
    <w:p w:rsidR="00E2336B" w:rsidRDefault="00E2336B" w:rsidP="009D098E">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 xml:space="preserve">Este desconocimiento es, en parte, atribuible al propio sector, que en ocasiones muestra un cierto complejo de inferioridad frente al conjunto del tejido empresarial. En ocasiones, los centros dudan a la hora de presentarse como tales ante los clientes, por temor a que su condición les reste atractivo comercial. </w:t>
      </w:r>
    </w:p>
    <w:p w:rsidR="00E2336B" w:rsidRDefault="00E2336B">
      <w:pPr>
        <w:pBdr>
          <w:top w:val="single" w:sz="4" w:space="1" w:color="auto"/>
        </w:pBdr>
        <w:autoSpaceDE w:val="0"/>
        <w:autoSpaceDN w:val="0"/>
        <w:jc w:val="both"/>
        <w:rPr>
          <w:rFonts w:ascii="MinionPro-Regular" w:hAnsi="MinionPro-Regular"/>
          <w:sz w:val="20"/>
          <w:szCs w:val="24"/>
          <w:lang w:val="es-ES_tradnl"/>
        </w:rPr>
      </w:pPr>
      <w:r w:rsidRPr="00367EED">
        <w:rPr>
          <w:rFonts w:ascii="MinionPro-Regular" w:hAnsi="MinionPro-Regular"/>
          <w:sz w:val="20"/>
          <w:szCs w:val="24"/>
          <w:lang w:val="es-ES_tradnl"/>
        </w:rPr>
        <w:t>La percepción de los centros especiales de empleo como dependientes de subvenciones</w:t>
      </w:r>
    </w:p>
    <w:p w:rsidR="00E2336B" w:rsidRDefault="00E1516B" w:rsidP="00F83E19">
      <w:pPr>
        <w:autoSpaceDE w:val="0"/>
        <w:autoSpaceDN w:val="0"/>
        <w:jc w:val="both"/>
        <w:rPr>
          <w:rFonts w:ascii="MinionPro-Regular" w:hAnsi="MinionPro-Regular"/>
          <w:sz w:val="24"/>
          <w:szCs w:val="24"/>
          <w:lang w:val="es-ES_tradnl"/>
        </w:rPr>
      </w:pPr>
      <w:r>
        <w:rPr>
          <w:rFonts w:ascii="MinionPro-Regular" w:hAnsi="MinionPro-Regular"/>
          <w:noProof/>
          <w:sz w:val="24"/>
          <w:szCs w:val="24"/>
          <w:lang w:eastAsia="es-ES"/>
        </w:rPr>
        <w:lastRenderedPageBreak/>
        <w:drawing>
          <wp:inline distT="0" distB="0" distL="0" distR="0">
            <wp:extent cx="4451350" cy="2924175"/>
            <wp:effectExtent l="0" t="0" r="0" b="0"/>
            <wp:docPr id="128" name="Picture 12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9"/>
              </a:graphicData>
            </a:graphic>
          </wp:inline>
        </w:drawing>
      </w:r>
    </w:p>
    <w:p w:rsidR="00E2336B" w:rsidRDefault="00E2336B" w:rsidP="00213730">
      <w:pPr>
        <w:pBdr>
          <w:bottom w:val="single" w:sz="4" w:space="1" w:color="auto"/>
        </w:pBdr>
        <w:autoSpaceDE w:val="0"/>
        <w:autoSpaceDN w:val="0"/>
        <w:spacing w:line="360" w:lineRule="auto"/>
        <w:jc w:val="both"/>
        <w:rPr>
          <w:rFonts w:ascii="MinionPro-Regular" w:hAnsi="MinionPro-Regular"/>
          <w:sz w:val="20"/>
          <w:szCs w:val="24"/>
          <w:lang w:val="es-ES_tradnl"/>
        </w:rPr>
      </w:pPr>
      <w:r w:rsidRPr="00213730">
        <w:rPr>
          <w:rFonts w:ascii="MinionPro-Regular" w:hAnsi="MinionPro-Regular"/>
          <w:sz w:val="20"/>
          <w:szCs w:val="24"/>
          <w:lang w:val="es-ES_tradnl"/>
        </w:rPr>
        <w:t>Fuente: Elaboración propia a partir de la encuesta a centros especiales de empleo. Noviembre 2012.</w:t>
      </w:r>
    </w:p>
    <w:p w:rsidR="00E2336B" w:rsidRPr="00213730" w:rsidRDefault="00E2336B" w:rsidP="00213730">
      <w:pPr>
        <w:pBdr>
          <w:bottom w:val="single" w:sz="4" w:space="1" w:color="auto"/>
        </w:pBdr>
        <w:autoSpaceDE w:val="0"/>
        <w:autoSpaceDN w:val="0"/>
        <w:spacing w:line="360" w:lineRule="auto"/>
        <w:jc w:val="both"/>
        <w:rPr>
          <w:rFonts w:ascii="MinionPro-Regular" w:hAnsi="MinionPro-Regular"/>
          <w:sz w:val="20"/>
          <w:szCs w:val="24"/>
          <w:lang w:val="es-ES_tradnl"/>
        </w:rPr>
      </w:pPr>
    </w:p>
    <w:p w:rsidR="00E2336B" w:rsidRPr="00213730" w:rsidRDefault="00E2336B" w:rsidP="00213730">
      <w:pPr>
        <w:pBdr>
          <w:bottom w:val="single" w:sz="4" w:space="1" w:color="auto"/>
        </w:pBdr>
        <w:autoSpaceDE w:val="0"/>
        <w:autoSpaceDN w:val="0"/>
        <w:spacing w:line="360" w:lineRule="auto"/>
        <w:jc w:val="both"/>
        <w:rPr>
          <w:rFonts w:ascii="MinionPro-Regular" w:hAnsi="MinionPro-Regular"/>
          <w:sz w:val="20"/>
          <w:szCs w:val="24"/>
          <w:lang w:val="es-ES_tradnl"/>
        </w:rPr>
      </w:pPr>
      <w:r w:rsidRPr="00213730">
        <w:rPr>
          <w:rFonts w:ascii="MinionPro-Regular" w:hAnsi="MinionPro-Regular"/>
          <w:sz w:val="20"/>
          <w:szCs w:val="24"/>
          <w:lang w:val="es-ES_tradnl"/>
        </w:rPr>
        <w:t>Nota explicativa de la gráfica: Gráfica circular en la que aparece el porcentaje de gestores de centros especiales entrevistados que respondieron a la pregunta: ¿se percibe a los centros especiales de empleo como dependientes de subvenciones? Las respuestas son: 38% totalmente de acuerdo, 35% de acuerdo, 17% indiferente, 7% en desacuerdo y 3% totalmente en desacuerdo.</w:t>
      </w:r>
    </w:p>
    <w:p w:rsidR="00E2336B" w:rsidRDefault="00E2336B" w:rsidP="00F83E19">
      <w:pPr>
        <w:autoSpaceDE w:val="0"/>
        <w:autoSpaceDN w:val="0"/>
        <w:jc w:val="both"/>
        <w:rPr>
          <w:rFonts w:ascii="MinionPro-Regular" w:hAnsi="MinionPro-Regular"/>
          <w:sz w:val="24"/>
          <w:szCs w:val="24"/>
          <w:lang w:val="es-ES_tradnl"/>
        </w:rPr>
      </w:pPr>
    </w:p>
    <w:p w:rsidR="00E2336B" w:rsidRDefault="00E2336B">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 xml:space="preserve">En este ámbito, cobra una especial importancia el papel de la red asociativa como altavoz de los logros y del valor añadido social generado por los centros especiales de empleo. La red asociativa, que desempeña una labor vital a favor de los centros especiales de empleo, podría asumir el papel de mejorar el perfil público y la visibilidad de los centros especiales de empleo y de las personas con discapacidad, especialmente en ámbitos distintos al de la discapacidad, teniendo una mayor presencia y diálogo con las asociaciones empresariales convencionales. </w:t>
      </w:r>
    </w:p>
    <w:p w:rsidR="00E2336B" w:rsidRDefault="00E2336B">
      <w:pPr>
        <w:autoSpaceDE w:val="0"/>
        <w:autoSpaceDN w:val="0"/>
        <w:spacing w:line="360" w:lineRule="auto"/>
        <w:jc w:val="both"/>
        <w:rPr>
          <w:rFonts w:ascii="MinionPro-Regular" w:hAnsi="MinionPro-Regular"/>
          <w:sz w:val="24"/>
          <w:szCs w:val="24"/>
          <w:lang w:val="es-ES_tradnl"/>
        </w:rPr>
      </w:pPr>
    </w:p>
    <w:p w:rsidR="00E2336B" w:rsidRDefault="00E2336B">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lastRenderedPageBreak/>
        <w:t xml:space="preserve">De especial importancia resulta poner en valor el retorno ofrecido por el sector a las ayudas públicas percibidas, aunque debe recordarse que el propósito de dichas ayudas no es obtener un retorno financiero sino cumplir una función social deseable. </w:t>
      </w:r>
    </w:p>
    <w:p w:rsidR="00E2336B" w:rsidRDefault="00E2336B">
      <w:pPr>
        <w:autoSpaceDE w:val="0"/>
        <w:autoSpaceDN w:val="0"/>
        <w:spacing w:line="360" w:lineRule="auto"/>
        <w:jc w:val="both"/>
        <w:rPr>
          <w:rFonts w:ascii="MinionPro-Regular" w:hAnsi="MinionPro-Regular"/>
          <w:sz w:val="20"/>
          <w:szCs w:val="24"/>
          <w:lang w:val="es-ES_tradnl"/>
        </w:rPr>
      </w:pPr>
    </w:p>
    <w:p w:rsidR="00E2336B" w:rsidRDefault="00E2336B" w:rsidP="00F83E19">
      <w:pPr>
        <w:autoSpaceDE w:val="0"/>
        <w:autoSpaceDN w:val="0"/>
        <w:jc w:val="both"/>
        <w:rPr>
          <w:rFonts w:ascii="MinionPro-Regular" w:hAnsi="MinionPro-Regular"/>
          <w:sz w:val="20"/>
          <w:szCs w:val="24"/>
          <w:lang w:val="es-ES_tradnl"/>
        </w:rPr>
      </w:pPr>
    </w:p>
    <w:p w:rsidR="00E2336B" w:rsidRDefault="00E2336B">
      <w:pPr>
        <w:pBdr>
          <w:top w:val="single" w:sz="4" w:space="1" w:color="auto"/>
        </w:pBdr>
        <w:autoSpaceDE w:val="0"/>
        <w:autoSpaceDN w:val="0"/>
        <w:jc w:val="both"/>
        <w:rPr>
          <w:rFonts w:ascii="MinionPro-Regular" w:hAnsi="MinionPro-Regular"/>
          <w:sz w:val="24"/>
          <w:szCs w:val="24"/>
          <w:lang w:val="es-ES_tradnl"/>
        </w:rPr>
      </w:pPr>
      <w:r w:rsidRPr="00367EED">
        <w:rPr>
          <w:rFonts w:ascii="MinionPro-Regular" w:hAnsi="MinionPro-Regular"/>
          <w:sz w:val="20"/>
          <w:szCs w:val="24"/>
          <w:lang w:val="es-ES_tradnl"/>
        </w:rPr>
        <w:t>El valor de la red asociativa según los centros especiales de empleo</w:t>
      </w:r>
    </w:p>
    <w:p w:rsidR="00E2336B" w:rsidRDefault="00E1516B" w:rsidP="00F83E19">
      <w:pPr>
        <w:autoSpaceDE w:val="0"/>
        <w:autoSpaceDN w:val="0"/>
        <w:jc w:val="both"/>
        <w:rPr>
          <w:rFonts w:ascii="MinionPro-Regular" w:hAnsi="MinionPro-Regular"/>
          <w:sz w:val="24"/>
          <w:szCs w:val="24"/>
          <w:lang w:val="es-ES_tradnl"/>
        </w:rPr>
      </w:pPr>
      <w:r>
        <w:rPr>
          <w:rFonts w:ascii="MinionPro-Regular" w:hAnsi="MinionPro-Regular"/>
          <w:noProof/>
          <w:sz w:val="24"/>
          <w:szCs w:val="24"/>
          <w:lang w:eastAsia="es-ES"/>
        </w:rPr>
        <w:drawing>
          <wp:inline distT="0" distB="0" distL="0" distR="0">
            <wp:extent cx="4451350" cy="2786380"/>
            <wp:effectExtent l="0" t="0" r="0" b="0"/>
            <wp:docPr id="129" name="Picture 12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0"/>
              </a:graphicData>
            </a:graphic>
          </wp:inline>
        </w:drawing>
      </w:r>
    </w:p>
    <w:p w:rsidR="00E2336B" w:rsidRDefault="00E2336B" w:rsidP="00213730">
      <w:pPr>
        <w:pBdr>
          <w:bottom w:val="single" w:sz="4" w:space="1" w:color="auto"/>
        </w:pBdr>
        <w:autoSpaceDE w:val="0"/>
        <w:autoSpaceDN w:val="0"/>
        <w:spacing w:line="360" w:lineRule="auto"/>
        <w:jc w:val="both"/>
        <w:rPr>
          <w:rFonts w:ascii="MinionPro-Regular" w:hAnsi="MinionPro-Regular"/>
          <w:sz w:val="20"/>
          <w:szCs w:val="24"/>
          <w:lang w:val="es-ES_tradnl"/>
        </w:rPr>
      </w:pPr>
      <w:r w:rsidRPr="00213730">
        <w:rPr>
          <w:rFonts w:ascii="MinionPro-Regular" w:hAnsi="MinionPro-Regular"/>
          <w:sz w:val="20"/>
          <w:szCs w:val="24"/>
          <w:lang w:val="es-ES_tradnl"/>
        </w:rPr>
        <w:t>Fuente: Elaboración propia a partir de la encuesta a centros especiales de empleo. Noviembre 2012.</w:t>
      </w:r>
    </w:p>
    <w:p w:rsidR="00E2336B" w:rsidRPr="00213730" w:rsidRDefault="00E2336B" w:rsidP="00213730">
      <w:pPr>
        <w:pBdr>
          <w:bottom w:val="single" w:sz="4" w:space="1" w:color="auto"/>
        </w:pBdr>
        <w:autoSpaceDE w:val="0"/>
        <w:autoSpaceDN w:val="0"/>
        <w:spacing w:line="360" w:lineRule="auto"/>
        <w:jc w:val="both"/>
        <w:rPr>
          <w:rFonts w:ascii="MinionPro-Regular" w:hAnsi="MinionPro-Regular"/>
          <w:sz w:val="20"/>
          <w:szCs w:val="24"/>
          <w:lang w:val="es-ES_tradnl"/>
        </w:rPr>
      </w:pPr>
    </w:p>
    <w:p w:rsidR="00E2336B" w:rsidRPr="00213730" w:rsidRDefault="00E2336B" w:rsidP="00213730">
      <w:pPr>
        <w:pBdr>
          <w:bottom w:val="single" w:sz="4" w:space="1" w:color="auto"/>
        </w:pBdr>
        <w:autoSpaceDE w:val="0"/>
        <w:autoSpaceDN w:val="0"/>
        <w:spacing w:line="360" w:lineRule="auto"/>
        <w:jc w:val="both"/>
        <w:rPr>
          <w:rFonts w:ascii="MinionPro-Regular" w:hAnsi="MinionPro-Regular"/>
          <w:sz w:val="20"/>
          <w:szCs w:val="24"/>
          <w:lang w:val="es-ES_tradnl"/>
        </w:rPr>
      </w:pPr>
      <w:r w:rsidRPr="00213730">
        <w:rPr>
          <w:rFonts w:ascii="MinionPro-Regular" w:hAnsi="MinionPro-Regular"/>
          <w:sz w:val="20"/>
          <w:szCs w:val="24"/>
          <w:lang w:val="es-ES_tradnl"/>
        </w:rPr>
        <w:t>Nota explicativa de la gráfica: Gráfica circular en la que aparece el porcentaje de gestores de centros especiales entrevistados que respondieron a la pregunta: ¿aporta valor la red asociativa? Las respuestas son: 24% totalmente de acuerdo, 34% de acuerdo, 28% indiferente, 10% en desacuerdo y 4% totalmente en desacuerdo.</w:t>
      </w:r>
    </w:p>
    <w:p w:rsidR="00E2336B" w:rsidRDefault="00E2336B" w:rsidP="00F83E19">
      <w:pPr>
        <w:autoSpaceDE w:val="0"/>
        <w:autoSpaceDN w:val="0"/>
        <w:jc w:val="both"/>
        <w:rPr>
          <w:rFonts w:ascii="MinionPro-Regular" w:hAnsi="MinionPro-Regular"/>
          <w:sz w:val="24"/>
          <w:szCs w:val="24"/>
          <w:lang w:val="es-ES_tradnl"/>
        </w:rPr>
      </w:pPr>
    </w:p>
    <w:p w:rsidR="00A5357D" w:rsidRDefault="00E2336B">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 xml:space="preserve">En un momento en el que impera un cierto cuestionamiento de las iniciativas públicas en materia social, es especialmente relevante que la labor de los centros especiales de empleo sea conocida y a su vez, reconocida por la sociedad. La visibilidad y el perfil público de los centros especiales de empleo está también ligado a que existan datos agregados y fácilmente accesibles sobre el conjunto del sector. En la actualidad no existe información agregada, actualizada y de calidad sobre los centros especiales de empleo en </w:t>
      </w:r>
      <w:r>
        <w:rPr>
          <w:rFonts w:ascii="MinionPro-Regular" w:hAnsi="MinionPro-Regular"/>
          <w:sz w:val="24"/>
          <w:szCs w:val="24"/>
          <w:lang w:val="es-ES_tradnl"/>
        </w:rPr>
        <w:lastRenderedPageBreak/>
        <w:t>España. Toda la información disponible en los registros oficiales acerca de los centros especiales de empleo en España debería estar alojada en un único lugar y ser de acceso público.</w:t>
      </w:r>
    </w:p>
    <w:p w:rsidR="00E2336B" w:rsidRDefault="00E2336B">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 xml:space="preserve"> </w:t>
      </w:r>
    </w:p>
    <w:p w:rsidR="00E2336B" w:rsidRDefault="00E2336B">
      <w:pPr>
        <w:autoSpaceDE w:val="0"/>
        <w:autoSpaceDN w:val="0"/>
        <w:spacing w:line="360" w:lineRule="auto"/>
        <w:jc w:val="both"/>
        <w:rPr>
          <w:rFonts w:ascii="MinionPro-Regular" w:hAnsi="MinionPro-Regular"/>
          <w:sz w:val="24"/>
          <w:szCs w:val="24"/>
          <w:lang w:val="es-ES_tradnl"/>
        </w:rPr>
      </w:pPr>
    </w:p>
    <w:p w:rsidR="00E2336B" w:rsidRPr="007920F7" w:rsidRDefault="00E2336B" w:rsidP="007920F7">
      <w:pPr>
        <w:pBdr>
          <w:top w:val="single" w:sz="4" w:space="1" w:color="auto"/>
          <w:left w:val="single" w:sz="4" w:space="4" w:color="auto"/>
          <w:bottom w:val="single" w:sz="4" w:space="1" w:color="auto"/>
          <w:right w:val="single" w:sz="4" w:space="4" w:color="auto"/>
        </w:pBdr>
        <w:shd w:val="clear" w:color="auto" w:fill="D9D9D9"/>
        <w:autoSpaceDE w:val="0"/>
        <w:autoSpaceDN w:val="0"/>
        <w:spacing w:line="360" w:lineRule="auto"/>
        <w:jc w:val="both"/>
        <w:rPr>
          <w:rFonts w:ascii="MinionPro-Regular" w:hAnsi="MinionPro-Regular"/>
          <w:b/>
          <w:szCs w:val="24"/>
          <w:lang w:val="es-ES_tradnl"/>
        </w:rPr>
      </w:pPr>
      <w:r w:rsidRPr="007920F7">
        <w:rPr>
          <w:rFonts w:ascii="MinionPro-Regular" w:hAnsi="MinionPro-Regular"/>
          <w:b/>
          <w:szCs w:val="24"/>
          <w:lang w:val="es-ES_tradnl"/>
        </w:rPr>
        <w:t>Modelo 2020</w:t>
      </w:r>
    </w:p>
    <w:p w:rsidR="00E2336B" w:rsidRPr="007920F7" w:rsidRDefault="00E2336B" w:rsidP="007920F7">
      <w:pPr>
        <w:pBdr>
          <w:top w:val="single" w:sz="4" w:space="1" w:color="auto"/>
          <w:left w:val="single" w:sz="4" w:space="4" w:color="auto"/>
          <w:bottom w:val="single" w:sz="4" w:space="1" w:color="auto"/>
          <w:right w:val="single" w:sz="4" w:space="4" w:color="auto"/>
        </w:pBdr>
        <w:shd w:val="clear" w:color="auto" w:fill="D9D9D9"/>
        <w:autoSpaceDE w:val="0"/>
        <w:autoSpaceDN w:val="0"/>
        <w:spacing w:line="360" w:lineRule="auto"/>
        <w:jc w:val="both"/>
        <w:rPr>
          <w:rFonts w:ascii="MinionPro-Regular" w:hAnsi="MinionPro-Regular"/>
          <w:b/>
          <w:szCs w:val="24"/>
          <w:lang w:val="es-ES_tradnl"/>
        </w:rPr>
      </w:pPr>
      <w:r w:rsidRPr="007920F7">
        <w:rPr>
          <w:rFonts w:ascii="MinionPro-Regular" w:hAnsi="MinionPro-Regular"/>
          <w:b/>
          <w:szCs w:val="24"/>
          <w:lang w:val="es-ES_tradnl"/>
        </w:rPr>
        <w:t>Reforzar la cuota de reserva a los centros especiales de empleo en la contratación pública</w:t>
      </w:r>
    </w:p>
    <w:p w:rsidR="00E2336B" w:rsidRPr="007920F7" w:rsidRDefault="00E2336B" w:rsidP="007920F7">
      <w:pPr>
        <w:pBdr>
          <w:top w:val="single" w:sz="4" w:space="1" w:color="auto"/>
          <w:left w:val="single" w:sz="4" w:space="4" w:color="auto"/>
          <w:bottom w:val="single" w:sz="4" w:space="1" w:color="auto"/>
          <w:right w:val="single" w:sz="4" w:space="4" w:color="auto"/>
        </w:pBdr>
        <w:shd w:val="clear" w:color="auto" w:fill="D9D9D9"/>
        <w:autoSpaceDE w:val="0"/>
        <w:autoSpaceDN w:val="0"/>
        <w:spacing w:line="360" w:lineRule="auto"/>
        <w:jc w:val="both"/>
        <w:rPr>
          <w:rFonts w:ascii="MinionPro-Regular" w:hAnsi="MinionPro-Regular"/>
          <w:szCs w:val="24"/>
          <w:lang w:val="es-ES_tradnl"/>
        </w:rPr>
      </w:pPr>
      <w:r w:rsidRPr="007920F7">
        <w:rPr>
          <w:rFonts w:ascii="MinionPro-Regular" w:hAnsi="MinionPro-Regular"/>
          <w:szCs w:val="24"/>
          <w:lang w:val="es-ES_tradnl"/>
        </w:rPr>
        <w:t>El 1 de marzo de 2012, el Comité Español de Representantes de Personas con Discapacidad (CERMI) presentaba un conjunto de propuestas de enmiendas al proyecto de Ley de Reforma del Mercado Laboral. La sexta de las  propuestas presentadas por CERMI</w:t>
      </w:r>
      <w:r w:rsidRPr="007920F7">
        <w:rPr>
          <w:sz w:val="20"/>
        </w:rPr>
        <w:t xml:space="preserve"> </w:t>
      </w:r>
      <w:r w:rsidRPr="007920F7">
        <w:rPr>
          <w:rFonts w:ascii="MinionPro-Regular" w:hAnsi="MinionPro-Regular"/>
          <w:szCs w:val="24"/>
          <w:lang w:val="es-ES_tradnl"/>
        </w:rPr>
        <w:t>se refería a la modificación del</w:t>
      </w:r>
      <w:r w:rsidRPr="007920F7">
        <w:rPr>
          <w:sz w:val="20"/>
        </w:rPr>
        <w:t xml:space="preserve"> </w:t>
      </w:r>
      <w:r w:rsidRPr="007920F7">
        <w:rPr>
          <w:rFonts w:ascii="MinionPro-Regular" w:hAnsi="MinionPro-Regular"/>
          <w:szCs w:val="24"/>
          <w:lang w:val="es-ES_tradnl"/>
        </w:rPr>
        <w:t>Real Decreto Legislativo 3/2011, de la Ley de Contratos del Sector Público que, en su disposición adicional quinta, establece la posibilidad de  reservar la participación en los procedimientos de adjudicación de contratos a centros especiales de empleo. La propuesta de CERMI hacía referencia a la reserva de la adjudicación, por parte de los órganos de contratación, de un 10% del importe anual de su contratación a los centros especiales de empleo de iniciativa social, quedando excluidos del cómputo los contratos de obras y de concesión de obra pública.</w:t>
      </w:r>
    </w:p>
    <w:p w:rsidR="00E2336B" w:rsidRPr="007920F7" w:rsidRDefault="00E2336B" w:rsidP="007920F7">
      <w:pPr>
        <w:pBdr>
          <w:top w:val="single" w:sz="4" w:space="1" w:color="auto"/>
          <w:left w:val="single" w:sz="4" w:space="4" w:color="auto"/>
          <w:bottom w:val="single" w:sz="4" w:space="1" w:color="auto"/>
          <w:right w:val="single" w:sz="4" w:space="4" w:color="auto"/>
        </w:pBdr>
        <w:shd w:val="clear" w:color="auto" w:fill="D9D9D9"/>
        <w:autoSpaceDE w:val="0"/>
        <w:autoSpaceDN w:val="0"/>
        <w:spacing w:line="360" w:lineRule="auto"/>
        <w:jc w:val="both"/>
        <w:rPr>
          <w:rFonts w:ascii="MinionPro-Regular" w:hAnsi="MinionPro-Regular"/>
          <w:szCs w:val="24"/>
          <w:lang w:val="es-ES_tradnl"/>
        </w:rPr>
      </w:pPr>
    </w:p>
    <w:p w:rsidR="00E2336B" w:rsidRPr="007920F7" w:rsidRDefault="00E2336B" w:rsidP="007920F7">
      <w:pPr>
        <w:pBdr>
          <w:top w:val="single" w:sz="4" w:space="1" w:color="auto"/>
          <w:left w:val="single" w:sz="4" w:space="4" w:color="auto"/>
          <w:bottom w:val="single" w:sz="4" w:space="1" w:color="auto"/>
          <w:right w:val="single" w:sz="4" w:space="4" w:color="auto"/>
        </w:pBdr>
        <w:shd w:val="clear" w:color="auto" w:fill="D9D9D9"/>
        <w:autoSpaceDE w:val="0"/>
        <w:autoSpaceDN w:val="0"/>
        <w:spacing w:line="360" w:lineRule="auto"/>
        <w:jc w:val="both"/>
        <w:rPr>
          <w:rFonts w:ascii="MinionPro-Regular" w:hAnsi="MinionPro-Regular"/>
          <w:szCs w:val="24"/>
          <w:lang w:val="es-ES_tradnl"/>
        </w:rPr>
      </w:pPr>
      <w:r w:rsidRPr="007920F7">
        <w:rPr>
          <w:rFonts w:ascii="MinionPro-Regular" w:hAnsi="MinionPro-Regular"/>
          <w:szCs w:val="24"/>
          <w:lang w:val="es-ES_tradnl"/>
        </w:rPr>
        <w:t xml:space="preserve">La contratación pública puede constituir un importante estímulo a los centros especiales de empleo. No sólo por los volúmenes de actividad generados sino porque la existencia de una cuota de reserva puede contribuir a la diversificación y búsqueda de nuevas oportunidades en sectores de mayor valor añadido por parte de los centros especiales de empleo. Una medida de esta naturaleza contribuiría también al crecimiento de los centros especiales de empleo contribuyendo, de este modo, a la mejora de su productividad y sería un estímulo para la búsqueda de oportunidades de colaboración y generación de clústers en el sector.  Cabe resaltar que tal medida no tendría coste alguno para la administración pública. </w:t>
      </w:r>
    </w:p>
    <w:p w:rsidR="00E2336B" w:rsidRDefault="00E2336B" w:rsidP="00F83E19">
      <w:pPr>
        <w:autoSpaceDE w:val="0"/>
        <w:autoSpaceDN w:val="0"/>
        <w:jc w:val="both"/>
        <w:rPr>
          <w:rFonts w:ascii="MinionPro-Regular" w:hAnsi="MinionPro-Regular"/>
          <w:sz w:val="24"/>
          <w:szCs w:val="24"/>
          <w:lang w:val="es-ES_tradnl"/>
        </w:rPr>
      </w:pPr>
    </w:p>
    <w:p w:rsidR="00E2336B" w:rsidRDefault="00E2336B" w:rsidP="0007541A">
      <w:pPr>
        <w:pStyle w:val="Ttulo3"/>
        <w:numPr>
          <w:ilvl w:val="2"/>
          <w:numId w:val="3"/>
        </w:numPr>
        <w:spacing w:line="240" w:lineRule="auto"/>
      </w:pPr>
      <w:bookmarkStart w:id="504" w:name="_Toc352773621"/>
      <w:r>
        <w:lastRenderedPageBreak/>
        <w:t>Un marco de ayudas eficiente y sostenible</w:t>
      </w:r>
      <w:bookmarkEnd w:id="504"/>
    </w:p>
    <w:p w:rsidR="00E2336B" w:rsidRDefault="00E2336B" w:rsidP="00F83E19">
      <w:pPr>
        <w:pStyle w:val="Textoindependiente"/>
      </w:pPr>
    </w:p>
    <w:p w:rsidR="00E2336B" w:rsidRDefault="00E2336B" w:rsidP="00CE0903">
      <w:pPr>
        <w:pBdr>
          <w:top w:val="single" w:sz="4" w:space="1" w:color="auto"/>
          <w:left w:val="single" w:sz="4" w:space="4" w:color="auto"/>
          <w:bottom w:val="single" w:sz="4" w:space="1" w:color="auto"/>
          <w:right w:val="single" w:sz="4" w:space="4" w:color="auto"/>
        </w:pBd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 xml:space="preserve">Orientación progresiva del apoyo público hacia los centros de mayor impacto social. </w:t>
      </w:r>
    </w:p>
    <w:p w:rsidR="00E2336B" w:rsidRDefault="00E2336B" w:rsidP="00CE0903">
      <w:pPr>
        <w:pBdr>
          <w:top w:val="single" w:sz="4" w:space="1" w:color="auto"/>
          <w:left w:val="single" w:sz="4" w:space="4" w:color="auto"/>
          <w:bottom w:val="single" w:sz="4" w:space="1" w:color="auto"/>
          <w:right w:val="single" w:sz="4" w:space="4" w:color="auto"/>
        </w:pBdr>
        <w:autoSpaceDE w:val="0"/>
        <w:autoSpaceDN w:val="0"/>
        <w:spacing w:line="360" w:lineRule="auto"/>
        <w:jc w:val="both"/>
        <w:rPr>
          <w:rFonts w:ascii="MinionPro-Regular" w:hAnsi="MinionPro-Regular"/>
          <w:i/>
          <w:sz w:val="24"/>
          <w:szCs w:val="24"/>
          <w:lang w:val="es-ES_tradnl"/>
        </w:rPr>
      </w:pPr>
    </w:p>
    <w:p w:rsidR="00E2336B" w:rsidRPr="005A0A75" w:rsidRDefault="00E2336B" w:rsidP="00CE0903">
      <w:pPr>
        <w:pBdr>
          <w:top w:val="single" w:sz="4" w:space="1" w:color="auto"/>
          <w:left w:val="single" w:sz="4" w:space="4" w:color="auto"/>
          <w:bottom w:val="single" w:sz="4" w:space="1" w:color="auto"/>
          <w:right w:val="single" w:sz="4" w:space="4" w:color="auto"/>
        </w:pBdr>
        <w:autoSpaceDE w:val="0"/>
        <w:autoSpaceDN w:val="0"/>
        <w:spacing w:line="360" w:lineRule="auto"/>
        <w:jc w:val="both"/>
        <w:rPr>
          <w:rFonts w:ascii="MinionPro-Regular" w:hAnsi="MinionPro-Regular"/>
          <w:i/>
          <w:sz w:val="24"/>
          <w:szCs w:val="24"/>
          <w:lang w:val="es-ES_tradnl"/>
        </w:rPr>
      </w:pPr>
      <w:r w:rsidRPr="005A0A75">
        <w:rPr>
          <w:rFonts w:ascii="MinionPro-Regular" w:hAnsi="MinionPro-Regular"/>
          <w:i/>
          <w:sz w:val="24"/>
          <w:szCs w:val="24"/>
          <w:lang w:val="es-ES_tradnl"/>
        </w:rPr>
        <w:t xml:space="preserve">Por dónde comenzar: </w:t>
      </w:r>
    </w:p>
    <w:p w:rsidR="00E2336B" w:rsidRDefault="00E2336B" w:rsidP="00CE0903">
      <w:pPr>
        <w:pBdr>
          <w:top w:val="single" w:sz="4" w:space="1" w:color="auto"/>
          <w:left w:val="single" w:sz="4" w:space="4" w:color="auto"/>
          <w:bottom w:val="single" w:sz="4" w:space="1" w:color="auto"/>
          <w:right w:val="single" w:sz="4" w:space="4" w:color="auto"/>
        </w:pBd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 xml:space="preserve">Incluir la empleabilidad de las personas, el destino final de las ayudas y el carácter social de la iniciativa que los promueve entre los criterios incluidos en las medidas de apoyo público a los centros, </w:t>
      </w:r>
    </w:p>
    <w:p w:rsidR="00E2336B" w:rsidRDefault="00E2336B">
      <w:pPr>
        <w:autoSpaceDE w:val="0"/>
        <w:autoSpaceDN w:val="0"/>
        <w:spacing w:line="360" w:lineRule="auto"/>
        <w:jc w:val="both"/>
        <w:rPr>
          <w:rFonts w:ascii="MinionPro-Regular" w:hAnsi="MinionPro-Regular"/>
          <w:sz w:val="24"/>
          <w:szCs w:val="24"/>
          <w:lang w:val="es-ES_tradnl"/>
        </w:rPr>
      </w:pPr>
    </w:p>
    <w:p w:rsidR="00E2336B" w:rsidRDefault="00E2336B">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 xml:space="preserve">La empleabilidad de </w:t>
      </w:r>
      <w:r w:rsidRPr="006B15F8">
        <w:rPr>
          <w:rFonts w:ascii="MinionPro-Regular" w:hAnsi="MinionPro-Regular"/>
          <w:sz w:val="24"/>
          <w:szCs w:val="24"/>
          <w:lang w:val="es-ES_tradnl"/>
        </w:rPr>
        <w:t>la persona</w:t>
      </w:r>
      <w:r>
        <w:rPr>
          <w:rFonts w:ascii="MinionPro-Regular" w:hAnsi="MinionPro-Regular"/>
          <w:sz w:val="24"/>
          <w:szCs w:val="24"/>
          <w:lang w:val="es-ES_tradnl"/>
        </w:rPr>
        <w:t xml:space="preserve"> y la finalidad</w:t>
      </w:r>
      <w:r w:rsidRPr="006B15F8">
        <w:rPr>
          <w:rFonts w:ascii="MinionPro-Regular" w:hAnsi="MinionPro-Regular"/>
          <w:sz w:val="24"/>
          <w:szCs w:val="24"/>
          <w:lang w:val="es-ES_tradnl"/>
        </w:rPr>
        <w:t xml:space="preserve"> </w:t>
      </w:r>
      <w:r>
        <w:rPr>
          <w:rFonts w:ascii="MinionPro-Regular" w:hAnsi="MinionPro-Regular"/>
          <w:sz w:val="24"/>
          <w:szCs w:val="24"/>
          <w:lang w:val="es-ES_tradnl"/>
        </w:rPr>
        <w:t xml:space="preserve">de las ayudas </w:t>
      </w:r>
      <w:r w:rsidRPr="006B15F8">
        <w:rPr>
          <w:rFonts w:ascii="MinionPro-Regular" w:hAnsi="MinionPro-Regular"/>
          <w:sz w:val="24"/>
          <w:szCs w:val="24"/>
          <w:lang w:val="es-ES_tradnl"/>
        </w:rPr>
        <w:t xml:space="preserve">deberían ser asuntos </w:t>
      </w:r>
      <w:r>
        <w:rPr>
          <w:rFonts w:ascii="MinionPro-Regular" w:hAnsi="MinionPro-Regular"/>
          <w:sz w:val="24"/>
          <w:szCs w:val="24"/>
          <w:lang w:val="es-ES_tradnl"/>
        </w:rPr>
        <w:t>críticos a la hora de determinar el apoyo público a los centros especiales de empleo. Esta es una tendencia que puede observarse en otros países del ámbito europeo, como en el Reino Unido, donde asistimos a una transformación desde el concepto de discapacidad al de empleabilidad.</w:t>
      </w:r>
    </w:p>
    <w:p w:rsidR="00E2336B" w:rsidRDefault="00E2336B">
      <w:pPr>
        <w:autoSpaceDE w:val="0"/>
        <w:autoSpaceDN w:val="0"/>
        <w:spacing w:line="360" w:lineRule="auto"/>
        <w:jc w:val="both"/>
        <w:rPr>
          <w:rFonts w:ascii="MinionPro-Regular" w:hAnsi="MinionPro-Regular"/>
          <w:sz w:val="24"/>
          <w:szCs w:val="24"/>
          <w:lang w:val="es-ES_tradnl"/>
        </w:rPr>
      </w:pPr>
    </w:p>
    <w:p w:rsidR="00A16B27" w:rsidRDefault="00E2336B">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 xml:space="preserve">En la actualidad, y en lo que se refiere a los centros especiales de empleo, las ayudas públicas </w:t>
      </w:r>
      <w:r w:rsidRPr="006B15F8">
        <w:rPr>
          <w:rFonts w:ascii="MinionPro-Regular" w:hAnsi="MinionPro-Regular"/>
          <w:sz w:val="24"/>
          <w:szCs w:val="24"/>
          <w:lang w:val="es-ES_tradnl"/>
        </w:rPr>
        <w:t xml:space="preserve">están </w:t>
      </w:r>
      <w:r>
        <w:rPr>
          <w:rFonts w:ascii="MinionPro-Regular" w:hAnsi="MinionPro-Regular"/>
          <w:sz w:val="24"/>
          <w:szCs w:val="24"/>
          <w:lang w:val="es-ES_tradnl"/>
        </w:rPr>
        <w:t xml:space="preserve">fundamentalmente </w:t>
      </w:r>
      <w:r w:rsidRPr="006B15F8">
        <w:rPr>
          <w:rFonts w:ascii="MinionPro-Regular" w:hAnsi="MinionPro-Regular"/>
          <w:sz w:val="24"/>
          <w:szCs w:val="24"/>
          <w:lang w:val="es-ES_tradnl"/>
        </w:rPr>
        <w:t xml:space="preserve">ligadas al número de personas con discapacidad contratadas, independientemente de las dificultades </w:t>
      </w:r>
      <w:r>
        <w:rPr>
          <w:rFonts w:ascii="MinionPro-Regular" w:hAnsi="MinionPro-Regular"/>
          <w:sz w:val="24"/>
          <w:szCs w:val="24"/>
          <w:lang w:val="es-ES_tradnl"/>
        </w:rPr>
        <w:t>en términos de empleabilidad</w:t>
      </w:r>
      <w:r w:rsidRPr="006B15F8">
        <w:rPr>
          <w:rFonts w:ascii="MinionPro-Regular" w:hAnsi="MinionPro-Regular"/>
          <w:sz w:val="24"/>
          <w:szCs w:val="24"/>
          <w:lang w:val="es-ES_tradnl"/>
        </w:rPr>
        <w:t xml:space="preserve">. </w:t>
      </w:r>
    </w:p>
    <w:p w:rsidR="00A16B27" w:rsidRDefault="00A16B27" w:rsidP="00A16B27">
      <w:pPr>
        <w:autoSpaceDE w:val="0"/>
        <w:autoSpaceDN w:val="0"/>
        <w:jc w:val="both"/>
        <w:rPr>
          <w:rFonts w:ascii="MinionPro-Regular" w:hAnsi="MinionPro-Regular"/>
          <w:sz w:val="24"/>
          <w:szCs w:val="24"/>
          <w:lang w:val="es-ES_tradnl"/>
        </w:rPr>
      </w:pPr>
    </w:p>
    <w:p w:rsidR="00A16B27" w:rsidRPr="004F27B9" w:rsidRDefault="00A16B27" w:rsidP="00A16B27">
      <w:pPr>
        <w:pBdr>
          <w:top w:val="single" w:sz="4" w:space="1" w:color="auto"/>
          <w:left w:val="single" w:sz="4" w:space="4" w:color="auto"/>
          <w:bottom w:val="single" w:sz="4" w:space="1" w:color="auto"/>
          <w:right w:val="single" w:sz="4" w:space="4" w:color="auto"/>
        </w:pBdr>
        <w:shd w:val="clear" w:color="auto" w:fill="D9D9D9"/>
        <w:autoSpaceDE w:val="0"/>
        <w:autoSpaceDN w:val="0"/>
        <w:jc w:val="both"/>
        <w:rPr>
          <w:rFonts w:ascii="MinionPro-Regular" w:hAnsi="MinionPro-Regular"/>
          <w:b/>
          <w:szCs w:val="24"/>
          <w:lang w:val="es-ES_tradnl"/>
        </w:rPr>
      </w:pPr>
      <w:r w:rsidRPr="004F27B9">
        <w:rPr>
          <w:rFonts w:ascii="MinionPro-Regular" w:hAnsi="MinionPro-Regular"/>
          <w:b/>
          <w:szCs w:val="24"/>
          <w:lang w:val="es-ES_tradnl"/>
        </w:rPr>
        <w:t>Modelo 2020</w:t>
      </w:r>
    </w:p>
    <w:p w:rsidR="00A16B27" w:rsidRPr="004F27B9" w:rsidRDefault="00A16B27" w:rsidP="00A16B27">
      <w:pPr>
        <w:pBdr>
          <w:top w:val="single" w:sz="4" w:space="1" w:color="auto"/>
          <w:left w:val="single" w:sz="4" w:space="4" w:color="auto"/>
          <w:bottom w:val="single" w:sz="4" w:space="1" w:color="auto"/>
          <w:right w:val="single" w:sz="4" w:space="4" w:color="auto"/>
        </w:pBdr>
        <w:shd w:val="clear" w:color="auto" w:fill="D9D9D9"/>
        <w:autoSpaceDE w:val="0"/>
        <w:autoSpaceDN w:val="0"/>
        <w:jc w:val="both"/>
        <w:rPr>
          <w:rFonts w:ascii="MinionPro-Regular" w:hAnsi="MinionPro-Regular"/>
          <w:b/>
          <w:szCs w:val="24"/>
          <w:lang w:val="es-ES_tradnl"/>
        </w:rPr>
      </w:pPr>
      <w:r w:rsidRPr="004F27B9">
        <w:rPr>
          <w:rFonts w:ascii="MinionPro-Regular" w:hAnsi="MinionPro-Regular"/>
          <w:b/>
          <w:szCs w:val="24"/>
          <w:lang w:val="es-ES_tradnl"/>
        </w:rPr>
        <w:t>Reconocer explícitamente a los centros especiales de empleo de iniciativa social</w:t>
      </w:r>
    </w:p>
    <w:p w:rsidR="00A16B27" w:rsidRPr="004F27B9" w:rsidRDefault="00A16B27" w:rsidP="00A16B27">
      <w:pPr>
        <w:pBdr>
          <w:top w:val="single" w:sz="4" w:space="1" w:color="auto"/>
          <w:left w:val="single" w:sz="4" w:space="4" w:color="auto"/>
          <w:bottom w:val="single" w:sz="4" w:space="1" w:color="auto"/>
          <w:right w:val="single" w:sz="4" w:space="4" w:color="auto"/>
        </w:pBdr>
        <w:shd w:val="clear" w:color="auto" w:fill="D9D9D9"/>
        <w:autoSpaceDE w:val="0"/>
        <w:autoSpaceDN w:val="0"/>
        <w:jc w:val="both"/>
        <w:rPr>
          <w:rFonts w:ascii="MinionPro-Regular" w:hAnsi="MinionPro-Regular"/>
          <w:b/>
          <w:szCs w:val="24"/>
          <w:lang w:val="es-ES_tradnl"/>
        </w:rPr>
      </w:pPr>
    </w:p>
    <w:p w:rsidR="00A16B27" w:rsidRPr="004F27B9" w:rsidRDefault="00A16B27" w:rsidP="00A16B27">
      <w:pPr>
        <w:pBdr>
          <w:top w:val="single" w:sz="4" w:space="1" w:color="auto"/>
          <w:left w:val="single" w:sz="4" w:space="4" w:color="auto"/>
          <w:bottom w:val="single" w:sz="4" w:space="1" w:color="auto"/>
          <w:right w:val="single" w:sz="4" w:space="4" w:color="auto"/>
        </w:pBdr>
        <w:shd w:val="clear" w:color="auto" w:fill="D9D9D9"/>
        <w:autoSpaceDE w:val="0"/>
        <w:autoSpaceDN w:val="0"/>
        <w:spacing w:line="360" w:lineRule="auto"/>
        <w:jc w:val="both"/>
        <w:rPr>
          <w:rFonts w:ascii="MinionPro-Regular" w:hAnsi="MinionPro-Regular"/>
          <w:szCs w:val="24"/>
          <w:lang w:val="es-ES_tradnl"/>
        </w:rPr>
      </w:pPr>
      <w:r w:rsidRPr="004F27B9">
        <w:rPr>
          <w:rFonts w:ascii="MinionPro-Regular" w:hAnsi="MinionPro-Regular"/>
          <w:szCs w:val="24"/>
          <w:lang w:val="es-ES_tradnl"/>
        </w:rPr>
        <w:t xml:space="preserve">La Ley 13/1982 de Integración Social de Minusválidos establece, en su artículo 45, que los centros especiales de empleo podrán ser constituidos tanto por organismos públicos y privados como por empresas. </w:t>
      </w:r>
      <w:r>
        <w:rPr>
          <w:rFonts w:ascii="MinionPro-Regular" w:hAnsi="MinionPro-Regular"/>
          <w:szCs w:val="24"/>
          <w:lang w:val="es-ES_tradnl"/>
        </w:rPr>
        <w:t>También determina</w:t>
      </w:r>
      <w:r w:rsidRPr="004F27B9">
        <w:rPr>
          <w:rFonts w:ascii="MinionPro-Regular" w:hAnsi="MinionPro-Regular"/>
          <w:szCs w:val="24"/>
          <w:lang w:val="es-ES_tradnl"/>
        </w:rPr>
        <w:t xml:space="preserve">, en su artículo 43, la ausencia de ánimo de lucro de los centros entre los criterios para determinar las ayudas públicas. Por su parte, el Real Decreto 223/1985, que regula los centros especiales de empleo, establece en su artículo 5 que </w:t>
      </w:r>
      <w:r>
        <w:rPr>
          <w:rFonts w:ascii="MinionPro-Regular" w:hAnsi="MinionPro-Regular"/>
          <w:szCs w:val="24"/>
          <w:lang w:val="es-ES_tradnl"/>
        </w:rPr>
        <w:t>aquellos</w:t>
      </w:r>
      <w:r w:rsidRPr="004F27B9">
        <w:rPr>
          <w:rFonts w:ascii="MinionPro-Regular" w:hAnsi="MinionPro-Regular"/>
          <w:szCs w:val="24"/>
          <w:lang w:val="es-ES_tradnl"/>
        </w:rPr>
        <w:t xml:space="preserve"> podrán tener o no ánimo de lucro dejando claro que deben, sin menoscabo de la función social </w:t>
      </w:r>
      <w:r w:rsidRPr="004F27B9">
        <w:rPr>
          <w:rFonts w:ascii="MinionPro-Regular" w:hAnsi="MinionPro-Regular"/>
          <w:szCs w:val="24"/>
          <w:lang w:val="es-ES_tradnl"/>
        </w:rPr>
        <w:lastRenderedPageBreak/>
        <w:t xml:space="preserve">que constituye su cometido, asemejarse en su estructura y características a las empresas ordinarias. Por su parte, la Ley 5/2011 de economía social incluye a los centros especiales de empleo entre las entidades de la economía social. </w:t>
      </w:r>
      <w:r>
        <w:rPr>
          <w:rFonts w:ascii="MinionPro-Regular" w:hAnsi="MinionPro-Regular"/>
          <w:szCs w:val="24"/>
          <w:lang w:val="es-ES_tradnl"/>
        </w:rPr>
        <w:t xml:space="preserve">El carácter social o privado de la iniciativa que los promueve no entra en los criterios establecidos. </w:t>
      </w:r>
    </w:p>
    <w:p w:rsidR="00A16B27" w:rsidRPr="004F27B9" w:rsidRDefault="00A16B27" w:rsidP="00A16B27">
      <w:pPr>
        <w:pBdr>
          <w:top w:val="single" w:sz="4" w:space="1" w:color="auto"/>
          <w:left w:val="single" w:sz="4" w:space="4" w:color="auto"/>
          <w:bottom w:val="single" w:sz="4" w:space="1" w:color="auto"/>
          <w:right w:val="single" w:sz="4" w:space="4" w:color="auto"/>
        </w:pBdr>
        <w:shd w:val="clear" w:color="auto" w:fill="D9D9D9"/>
        <w:autoSpaceDE w:val="0"/>
        <w:autoSpaceDN w:val="0"/>
        <w:spacing w:line="360" w:lineRule="auto"/>
        <w:jc w:val="both"/>
        <w:rPr>
          <w:rFonts w:ascii="MinionPro-Regular" w:hAnsi="MinionPro-Regular"/>
          <w:szCs w:val="24"/>
          <w:lang w:val="es-ES_tradnl"/>
        </w:rPr>
      </w:pPr>
    </w:p>
    <w:p w:rsidR="00A16B27" w:rsidRPr="004F27B9" w:rsidRDefault="00A16B27" w:rsidP="00A16B27">
      <w:pPr>
        <w:pBdr>
          <w:top w:val="single" w:sz="4" w:space="1" w:color="auto"/>
          <w:left w:val="single" w:sz="4" w:space="4" w:color="auto"/>
          <w:bottom w:val="single" w:sz="4" w:space="1" w:color="auto"/>
          <w:right w:val="single" w:sz="4" w:space="4" w:color="auto"/>
        </w:pBdr>
        <w:shd w:val="clear" w:color="auto" w:fill="D9D9D9"/>
        <w:autoSpaceDE w:val="0"/>
        <w:autoSpaceDN w:val="0"/>
        <w:spacing w:line="360" w:lineRule="auto"/>
        <w:jc w:val="both"/>
        <w:rPr>
          <w:rFonts w:ascii="MinionPro-Regular" w:hAnsi="MinionPro-Regular"/>
          <w:szCs w:val="24"/>
          <w:lang w:val="es-ES_tradnl"/>
        </w:rPr>
      </w:pPr>
      <w:r w:rsidRPr="004F27B9">
        <w:rPr>
          <w:rFonts w:ascii="MinionPro-Regular" w:hAnsi="MinionPro-Regular"/>
          <w:szCs w:val="24"/>
          <w:lang w:val="es-ES_tradnl"/>
        </w:rPr>
        <w:t xml:space="preserve">Los centros especiales de empleo tienen como misión principal la inserción en el mercado laboral de personas con discapacidad realizando un trabajo productivo y participando regularmente en las operaciones del mercado. El cumplimiento de su función social requiere, por lo tanto, que sean organizaciones productivas, eficientes y gestionadas con criterios de mercado. De otro modo, la inserción de estas personas </w:t>
      </w:r>
      <w:r>
        <w:rPr>
          <w:rFonts w:ascii="MinionPro-Regular" w:hAnsi="MinionPro-Regular"/>
          <w:szCs w:val="24"/>
          <w:lang w:val="es-ES_tradnl"/>
        </w:rPr>
        <w:t xml:space="preserve">en el largo plazo y con carácter permanente </w:t>
      </w:r>
      <w:r w:rsidRPr="004F27B9">
        <w:rPr>
          <w:rFonts w:ascii="MinionPro-Regular" w:hAnsi="MinionPro-Regular"/>
          <w:szCs w:val="24"/>
          <w:lang w:val="es-ES_tradnl"/>
        </w:rPr>
        <w:t xml:space="preserve">estará en riesgo como consecuencia de la fragilidad empresarial de la iniciativa. Sin embargo, el carácter de la iniciativa, social o privada, que los promueve es un asunto relevante </w:t>
      </w:r>
      <w:r>
        <w:rPr>
          <w:rFonts w:ascii="MinionPro-Regular" w:hAnsi="MinionPro-Regular"/>
          <w:szCs w:val="24"/>
          <w:lang w:val="es-ES_tradnl"/>
        </w:rPr>
        <w:t>que la normativa no debería obviar</w:t>
      </w:r>
      <w:r w:rsidRPr="004F27B9">
        <w:rPr>
          <w:rFonts w:ascii="MinionPro-Regular" w:hAnsi="MinionPro-Regular"/>
          <w:szCs w:val="24"/>
          <w:lang w:val="es-ES_tradnl"/>
        </w:rPr>
        <w:t xml:space="preserve">. </w:t>
      </w:r>
    </w:p>
    <w:p w:rsidR="00A16B27" w:rsidRPr="004F27B9" w:rsidRDefault="00A16B27" w:rsidP="00A16B27">
      <w:pPr>
        <w:pBdr>
          <w:top w:val="single" w:sz="4" w:space="1" w:color="auto"/>
          <w:left w:val="single" w:sz="4" w:space="4" w:color="auto"/>
          <w:bottom w:val="single" w:sz="4" w:space="1" w:color="auto"/>
          <w:right w:val="single" w:sz="4" w:space="4" w:color="auto"/>
        </w:pBdr>
        <w:shd w:val="clear" w:color="auto" w:fill="D9D9D9"/>
        <w:autoSpaceDE w:val="0"/>
        <w:autoSpaceDN w:val="0"/>
        <w:spacing w:line="360" w:lineRule="auto"/>
        <w:jc w:val="both"/>
        <w:rPr>
          <w:rFonts w:ascii="MinionPro-Regular" w:hAnsi="MinionPro-Regular"/>
          <w:szCs w:val="24"/>
          <w:lang w:val="es-ES_tradnl"/>
        </w:rPr>
      </w:pPr>
    </w:p>
    <w:p w:rsidR="00A16B27" w:rsidRDefault="00A16B27" w:rsidP="00A16B27">
      <w:pPr>
        <w:pBdr>
          <w:top w:val="single" w:sz="4" w:space="1" w:color="auto"/>
          <w:left w:val="single" w:sz="4" w:space="4" w:color="auto"/>
          <w:bottom w:val="single" w:sz="4" w:space="1" w:color="auto"/>
          <w:right w:val="single" w:sz="4" w:space="4" w:color="auto"/>
        </w:pBdr>
        <w:shd w:val="clear" w:color="auto" w:fill="D9D9D9"/>
        <w:autoSpaceDE w:val="0"/>
        <w:autoSpaceDN w:val="0"/>
        <w:spacing w:line="360" w:lineRule="auto"/>
        <w:jc w:val="both"/>
        <w:rPr>
          <w:rFonts w:ascii="MinionPro-Regular" w:hAnsi="MinionPro-Regular"/>
          <w:color w:val="4F81BD" w:themeColor="accent1"/>
          <w:szCs w:val="24"/>
        </w:rPr>
      </w:pPr>
      <w:r w:rsidRPr="00E20352">
        <w:rPr>
          <w:rFonts w:ascii="MinionPro-Regular" w:hAnsi="MinionPro-Regular"/>
          <w:szCs w:val="24"/>
          <w:lang w:val="es-ES_tradnl"/>
        </w:rPr>
        <w:t xml:space="preserve">Los centros especiales de empleo de iniciativa social son aquellos que </w:t>
      </w:r>
      <w:r w:rsidRPr="00E20352">
        <w:rPr>
          <w:rFonts w:ascii="MinionPro-Regular" w:hAnsi="MinionPro-Regular"/>
          <w:szCs w:val="24"/>
        </w:rPr>
        <w:t>sean promovidos y participados en más de un 50%, directa o indirectamente, por una o varias entidades, ya sean públicas o privadas, que no tengan ánimo de lucro o que tengan reconocido su carácter social en sus Estatutos, ya sean asociaciones, fundaciones, corporaciones de derecho público, cooperativas de iniciativa social u otras entidades de la economía social, así como también aquellos cuya titularidad corresponda a sociedades mercantiles en las que la mayoría de su capital social sea propiedad de alguna de las entidades señaladas anteriormente, ya sea de forma directa o bien indirecta a través del concepto de sociedad dominante regulado en el art. 42 del Código de Comercio, y siempre que en todos los casos en sus estatutos o en acuerdo social se obliguen a la reinversión íntegra de sus beneficios para la creación de oportunidades de empleo para personas con discapacidad y la mejora continua de su competitividad y de su actividad de economía social, teniendo en todo caso la facultad de optar por reinvertirlos en el propio centro especial de empleo o en otros centros especiales de empleo de iniciativa social</w:t>
      </w:r>
      <w:r w:rsidRPr="00C97CDB">
        <w:rPr>
          <w:rFonts w:ascii="MinionPro-Regular" w:hAnsi="MinionPro-Regular"/>
          <w:color w:val="4F81BD" w:themeColor="accent1"/>
          <w:szCs w:val="24"/>
        </w:rPr>
        <w:t>.</w:t>
      </w:r>
      <w:r>
        <w:rPr>
          <w:rFonts w:ascii="MinionPro-Regular" w:hAnsi="MinionPro-Regular"/>
          <w:color w:val="4F81BD" w:themeColor="accent1"/>
          <w:szCs w:val="24"/>
        </w:rPr>
        <w:t xml:space="preserve"> </w:t>
      </w:r>
    </w:p>
    <w:p w:rsidR="00A16B27" w:rsidRDefault="00A16B27" w:rsidP="00A16B27">
      <w:pPr>
        <w:pBdr>
          <w:top w:val="single" w:sz="4" w:space="1" w:color="auto"/>
          <w:left w:val="single" w:sz="4" w:space="4" w:color="auto"/>
          <w:bottom w:val="single" w:sz="4" w:space="1" w:color="auto"/>
          <w:right w:val="single" w:sz="4" w:space="4" w:color="auto"/>
        </w:pBdr>
        <w:shd w:val="clear" w:color="auto" w:fill="D9D9D9"/>
        <w:autoSpaceDE w:val="0"/>
        <w:autoSpaceDN w:val="0"/>
        <w:spacing w:line="360" w:lineRule="auto"/>
        <w:jc w:val="both"/>
        <w:rPr>
          <w:rFonts w:ascii="MinionPro-Regular" w:hAnsi="MinionPro-Regular"/>
          <w:color w:val="4F81BD" w:themeColor="accent1"/>
          <w:szCs w:val="24"/>
        </w:rPr>
      </w:pPr>
    </w:p>
    <w:p w:rsidR="00A16B27" w:rsidRPr="004F27B9" w:rsidRDefault="00A16B27" w:rsidP="00A16B27">
      <w:pPr>
        <w:pBdr>
          <w:top w:val="single" w:sz="4" w:space="1" w:color="auto"/>
          <w:left w:val="single" w:sz="4" w:space="4" w:color="auto"/>
          <w:bottom w:val="single" w:sz="4" w:space="1" w:color="auto"/>
          <w:right w:val="single" w:sz="4" w:space="4" w:color="auto"/>
        </w:pBdr>
        <w:shd w:val="clear" w:color="auto" w:fill="D9D9D9"/>
        <w:autoSpaceDE w:val="0"/>
        <w:autoSpaceDN w:val="0"/>
        <w:spacing w:line="360" w:lineRule="auto"/>
        <w:jc w:val="both"/>
        <w:rPr>
          <w:rFonts w:ascii="MinionPro-Regular" w:hAnsi="MinionPro-Regular"/>
          <w:szCs w:val="24"/>
          <w:lang w:val="es-ES_tradnl"/>
        </w:rPr>
      </w:pPr>
      <w:r w:rsidRPr="004F27B9">
        <w:rPr>
          <w:rFonts w:ascii="MinionPro-Regular" w:hAnsi="MinionPro-Regular"/>
          <w:szCs w:val="24"/>
          <w:lang w:val="es-ES_tradnl"/>
        </w:rPr>
        <w:lastRenderedPageBreak/>
        <w:t>Los centros especiales de empleo de iniciativa social deberían ser reconocidos de manera expresa en la normativa relativa al empleo de las personas con discapacidad, y recibir una atención particular en materia de ayudas públicas dado que estas ayudas, en caso de éxito del centro en la comercialización de bienes y servicios, revertirán en la integración de las personas con discapacidad</w:t>
      </w:r>
      <w:r>
        <w:rPr>
          <w:rFonts w:ascii="MinionPro-Regular" w:hAnsi="MinionPro-Regular"/>
          <w:szCs w:val="24"/>
          <w:lang w:val="es-ES_tradnl"/>
        </w:rPr>
        <w:t>, vía el propio centro y vía la iniciativa que lo promueve,</w:t>
      </w:r>
      <w:r w:rsidRPr="004F27B9">
        <w:rPr>
          <w:rFonts w:ascii="MinionPro-Regular" w:hAnsi="MinionPro-Regular"/>
          <w:szCs w:val="24"/>
          <w:lang w:val="es-ES_tradnl"/>
        </w:rPr>
        <w:t xml:space="preserve"> generando un efecto multiplicador de las ayudas públicas recibidas. Del mismo modo, </w:t>
      </w:r>
      <w:r>
        <w:rPr>
          <w:rFonts w:ascii="MinionPro-Regular" w:hAnsi="MinionPro-Regular"/>
          <w:szCs w:val="24"/>
          <w:lang w:val="es-ES_tradnl"/>
        </w:rPr>
        <w:t>los</w:t>
      </w:r>
      <w:r w:rsidRPr="004F27B9">
        <w:rPr>
          <w:rFonts w:ascii="MinionPro-Regular" w:hAnsi="MinionPro-Regular"/>
          <w:szCs w:val="24"/>
          <w:lang w:val="es-ES_tradnl"/>
        </w:rPr>
        <w:t xml:space="preserve"> desarrollos de la Ley 5/20</w:t>
      </w:r>
      <w:r>
        <w:rPr>
          <w:rFonts w:ascii="MinionPro-Regular" w:hAnsi="MinionPro-Regular"/>
          <w:szCs w:val="24"/>
          <w:lang w:val="es-ES_tradnl"/>
        </w:rPr>
        <w:t>1</w:t>
      </w:r>
      <w:r w:rsidRPr="004F27B9">
        <w:rPr>
          <w:rFonts w:ascii="MinionPro-Regular" w:hAnsi="MinionPro-Regular"/>
          <w:szCs w:val="24"/>
          <w:lang w:val="es-ES_tradnl"/>
        </w:rPr>
        <w:t xml:space="preserve">1 de Economía Social deberían hacer referencia expresa a los centros especiales de empleo de iniciativa social cuando en su artículo 5 enumera las organizaciones que forman parte de la </w:t>
      </w:r>
      <w:r>
        <w:rPr>
          <w:rFonts w:ascii="MinionPro-Regular" w:hAnsi="MinionPro-Regular"/>
          <w:szCs w:val="24"/>
          <w:lang w:val="es-ES_tradnl"/>
        </w:rPr>
        <w:t>economía</w:t>
      </w:r>
      <w:r w:rsidRPr="004F27B9">
        <w:rPr>
          <w:rFonts w:ascii="MinionPro-Regular" w:hAnsi="MinionPro-Regular"/>
          <w:szCs w:val="24"/>
          <w:lang w:val="es-ES_tradnl"/>
        </w:rPr>
        <w:t xml:space="preserve"> social. </w:t>
      </w:r>
      <w:r>
        <w:rPr>
          <w:rFonts w:ascii="MinionPro-Regular" w:hAnsi="MinionPro-Regular"/>
          <w:szCs w:val="24"/>
          <w:lang w:val="es-ES_tradnl"/>
        </w:rPr>
        <w:t xml:space="preserve">Cabría contemplar la posibilidad, asimismo, de otorgar personalidad jurídica propia a los centros especiales de empleo de iniciativa social. </w:t>
      </w:r>
    </w:p>
    <w:p w:rsidR="00A16B27" w:rsidRDefault="00A16B27" w:rsidP="00A16B27">
      <w:pPr>
        <w:autoSpaceDE w:val="0"/>
        <w:autoSpaceDN w:val="0"/>
        <w:jc w:val="both"/>
        <w:rPr>
          <w:rFonts w:ascii="MinionPro-Regular" w:hAnsi="MinionPro-Regular"/>
          <w:sz w:val="24"/>
          <w:szCs w:val="24"/>
          <w:lang w:val="es-ES_tradnl"/>
        </w:rPr>
      </w:pPr>
    </w:p>
    <w:p w:rsidR="00E2336B" w:rsidRDefault="00E2336B">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 xml:space="preserve">Si el objetivo principal de los centros especiales de empleo es incorporar al mercado laboral a personas con especiales dificultades, el esquema de ayudas públicas debería moverse también en esta dirección.  Las ayudas públicas deberían, por lo tanto, considerar el sentido social de la iniciativa en la medida en la que los centros impulsados por una iniciativa social </w:t>
      </w:r>
      <w:r w:rsidR="002F6AC0">
        <w:rPr>
          <w:rFonts w:ascii="MinionPro-Regular" w:hAnsi="MinionPro-Regular"/>
          <w:sz w:val="24"/>
          <w:szCs w:val="24"/>
          <w:lang w:val="es-ES_tradnl"/>
        </w:rPr>
        <w:t>apuestan más por</w:t>
      </w:r>
      <w:r>
        <w:rPr>
          <w:rFonts w:ascii="MinionPro-Regular" w:hAnsi="MinionPro-Regular"/>
          <w:color w:val="FF0000"/>
          <w:sz w:val="24"/>
          <w:szCs w:val="24"/>
          <w:lang w:val="es-ES_tradnl"/>
        </w:rPr>
        <w:t xml:space="preserve"> </w:t>
      </w:r>
      <w:r>
        <w:rPr>
          <w:rFonts w:ascii="MinionPro-Regular" w:hAnsi="MinionPro-Regular"/>
          <w:sz w:val="24"/>
          <w:szCs w:val="24"/>
          <w:lang w:val="es-ES_tradnl"/>
        </w:rPr>
        <w:t xml:space="preserve">contratación, dada su naturaleza, de personas con mayores dificultades de empleabilidad.  </w:t>
      </w:r>
    </w:p>
    <w:p w:rsidR="00E2336B" w:rsidRDefault="00E2336B">
      <w:pPr>
        <w:autoSpaceDE w:val="0"/>
        <w:autoSpaceDN w:val="0"/>
        <w:spacing w:line="360" w:lineRule="auto"/>
        <w:jc w:val="both"/>
        <w:rPr>
          <w:rFonts w:ascii="MinionPro-Regular" w:hAnsi="MinionPro-Regular"/>
          <w:sz w:val="24"/>
          <w:szCs w:val="24"/>
          <w:lang w:val="es-ES_tradnl"/>
        </w:rPr>
      </w:pPr>
    </w:p>
    <w:p w:rsidR="00E2336B" w:rsidRDefault="00E2336B">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En lo que se refiere a los réditos, quizá sería deseable establecer mecanismos que aseguraran que éstos retornan al propio centro en el caso de aquellos centros que reciben ayudas públicas, para ser invertidos en la empleabilidad de las personas con discapacidad.</w:t>
      </w:r>
    </w:p>
    <w:p w:rsidR="00E2336B" w:rsidRDefault="00E2336B">
      <w:pPr>
        <w:autoSpaceDE w:val="0"/>
        <w:autoSpaceDN w:val="0"/>
        <w:spacing w:line="360" w:lineRule="auto"/>
        <w:jc w:val="both"/>
        <w:rPr>
          <w:rFonts w:ascii="MinionPro-Regular" w:hAnsi="MinionPro-Regular"/>
          <w:sz w:val="24"/>
          <w:szCs w:val="24"/>
          <w:lang w:val="es-ES_tradnl"/>
        </w:rPr>
      </w:pPr>
    </w:p>
    <w:p w:rsidR="00E2336B" w:rsidRDefault="00E2336B">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 xml:space="preserve">Adicionalmente, la existencia de modelos distintos en función de las personas a las que emplean, permitiría la introducción de medidas de apoyo público de carácter finalista en </w:t>
      </w:r>
      <w:r>
        <w:rPr>
          <w:rFonts w:ascii="MinionPro-Regular" w:hAnsi="MinionPro-Regular"/>
          <w:sz w:val="24"/>
          <w:szCs w:val="24"/>
          <w:lang w:val="es-ES_tradnl"/>
        </w:rPr>
        <w:lastRenderedPageBreak/>
        <w:t>aquellos casos en los que</w:t>
      </w:r>
      <w:r w:rsidR="0082197A">
        <w:rPr>
          <w:rFonts w:ascii="MinionPro-Regular" w:hAnsi="MinionPro-Regular"/>
          <w:sz w:val="24"/>
          <w:szCs w:val="24"/>
          <w:lang w:val="es-ES_tradnl"/>
        </w:rPr>
        <w:t xml:space="preserve"> el nivel de empleabilidad</w:t>
      </w:r>
      <w:r>
        <w:rPr>
          <w:rFonts w:ascii="MinionPro-Regular" w:hAnsi="MinionPro-Regular"/>
          <w:color w:val="FF0000"/>
          <w:sz w:val="24"/>
          <w:szCs w:val="24"/>
          <w:lang w:val="es-ES_tradnl"/>
        </w:rPr>
        <w:t xml:space="preserve"> </w:t>
      </w:r>
      <w:r>
        <w:rPr>
          <w:rFonts w:ascii="MinionPro-Regular" w:hAnsi="MinionPro-Regular"/>
          <w:sz w:val="24"/>
          <w:szCs w:val="24"/>
          <w:lang w:val="es-ES_tradnl"/>
        </w:rPr>
        <w:t xml:space="preserve">hace más posible o deseable la transición hacia el empleo ordinario. </w:t>
      </w:r>
    </w:p>
    <w:p w:rsidR="00E2336B" w:rsidRDefault="00E2336B">
      <w:pPr>
        <w:autoSpaceDE w:val="0"/>
        <w:autoSpaceDN w:val="0"/>
        <w:spacing w:line="360" w:lineRule="auto"/>
        <w:jc w:val="both"/>
        <w:rPr>
          <w:rFonts w:ascii="MinionPro-Regular" w:hAnsi="MinionPro-Regular"/>
          <w:sz w:val="24"/>
          <w:szCs w:val="24"/>
          <w:lang w:val="es-ES_tradnl"/>
        </w:rPr>
      </w:pPr>
    </w:p>
    <w:p w:rsidR="00E2336B" w:rsidRDefault="00E2336B" w:rsidP="00D85C10">
      <w:pPr>
        <w:autoSpaceDE w:val="0"/>
        <w:autoSpaceDN w:val="0"/>
        <w:spacing w:line="360" w:lineRule="auto"/>
        <w:jc w:val="both"/>
        <w:rPr>
          <w:rFonts w:ascii="MinionPro-Regular" w:hAnsi="MinionPro-Regular"/>
          <w:sz w:val="24"/>
          <w:szCs w:val="24"/>
          <w:lang w:val="es-ES_tradnl"/>
        </w:rPr>
      </w:pPr>
      <w:r>
        <w:rPr>
          <w:rFonts w:ascii="MinionPro-Regular" w:hAnsi="MinionPro-Regular"/>
          <w:sz w:val="24"/>
          <w:szCs w:val="24"/>
          <w:lang w:val="es-ES_tradnl"/>
        </w:rPr>
        <w:t>Las ayudas deberían también estimular la innovación y la eficiencia de los centros, estableciendo incentivos a la modernización, a la profesionalización y, en definitiva, a aquellas iniciativas orientadas a robustecer y hacer más competitivos a los centros especiales de empleo.</w:t>
      </w:r>
      <w:bookmarkEnd w:id="461"/>
    </w:p>
    <w:p w:rsidR="00E2336B" w:rsidRDefault="00E2336B" w:rsidP="00D85C10">
      <w:pPr>
        <w:autoSpaceDE w:val="0"/>
        <w:autoSpaceDN w:val="0"/>
        <w:spacing w:line="360" w:lineRule="auto"/>
        <w:jc w:val="both"/>
        <w:rPr>
          <w:rFonts w:ascii="MinionPro-Regular" w:hAnsi="MinionPro-Regular"/>
          <w:sz w:val="24"/>
          <w:szCs w:val="24"/>
          <w:lang w:val="es-ES_tradnl"/>
        </w:rPr>
      </w:pPr>
    </w:p>
    <w:p w:rsidR="00E2336B" w:rsidRPr="00D13173" w:rsidRDefault="00E2336B" w:rsidP="007920F7">
      <w:pPr>
        <w:pBdr>
          <w:top w:val="single" w:sz="4" w:space="1" w:color="auto"/>
          <w:left w:val="single" w:sz="4" w:space="4" w:color="auto"/>
          <w:bottom w:val="single" w:sz="4" w:space="1" w:color="auto"/>
          <w:right w:val="single" w:sz="4" w:space="4" w:color="auto"/>
        </w:pBdr>
        <w:shd w:val="clear" w:color="auto" w:fill="D9D9D9"/>
        <w:rPr>
          <w:rFonts w:ascii="MinionPro-Regular" w:hAnsi="MinionPro-Regular"/>
          <w:b/>
          <w:szCs w:val="24"/>
          <w:lang w:val="es-ES_tradnl"/>
        </w:rPr>
      </w:pPr>
      <w:r w:rsidRPr="00D13173">
        <w:rPr>
          <w:rFonts w:ascii="MinionPro-Regular" w:hAnsi="MinionPro-Regular"/>
          <w:b/>
          <w:szCs w:val="24"/>
          <w:lang w:val="es-ES_tradnl"/>
        </w:rPr>
        <w:t>Modelo 2020</w:t>
      </w:r>
    </w:p>
    <w:p w:rsidR="00E2336B" w:rsidRDefault="00E2336B" w:rsidP="007920F7">
      <w:pPr>
        <w:pBdr>
          <w:top w:val="single" w:sz="4" w:space="1" w:color="auto"/>
          <w:left w:val="single" w:sz="4" w:space="4" w:color="auto"/>
          <w:bottom w:val="single" w:sz="4" w:space="1" w:color="auto"/>
          <w:right w:val="single" w:sz="4" w:space="4" w:color="auto"/>
        </w:pBdr>
        <w:shd w:val="clear" w:color="auto" w:fill="D9D9D9"/>
        <w:rPr>
          <w:rFonts w:ascii="MinionPro-Regular" w:hAnsi="MinionPro-Regular"/>
          <w:b/>
          <w:szCs w:val="24"/>
          <w:lang w:val="es-ES_tradnl"/>
        </w:rPr>
      </w:pPr>
      <w:r w:rsidRPr="00D13173">
        <w:rPr>
          <w:rFonts w:ascii="MinionPro-Regular" w:hAnsi="MinionPro-Regular"/>
          <w:b/>
          <w:szCs w:val="24"/>
          <w:lang w:val="es-ES_tradnl"/>
        </w:rPr>
        <w:t>Estimular, con las ayudas, la función social y la competitividad de los centros</w:t>
      </w:r>
    </w:p>
    <w:p w:rsidR="00E2336B" w:rsidRPr="00D13173" w:rsidRDefault="00E2336B" w:rsidP="007920F7">
      <w:pPr>
        <w:pBdr>
          <w:top w:val="single" w:sz="4" w:space="1" w:color="auto"/>
          <w:left w:val="single" w:sz="4" w:space="4" w:color="auto"/>
          <w:bottom w:val="single" w:sz="4" w:space="1" w:color="auto"/>
          <w:right w:val="single" w:sz="4" w:space="4" w:color="auto"/>
        </w:pBdr>
        <w:shd w:val="clear" w:color="auto" w:fill="D9D9D9"/>
        <w:rPr>
          <w:rFonts w:ascii="MinionPro-Regular" w:hAnsi="MinionPro-Regular"/>
          <w:b/>
          <w:szCs w:val="24"/>
          <w:lang w:val="es-ES_tradnl"/>
        </w:rPr>
      </w:pPr>
    </w:p>
    <w:p w:rsidR="00E2336B" w:rsidRDefault="00E2336B" w:rsidP="007920F7">
      <w:pPr>
        <w:pBdr>
          <w:top w:val="single" w:sz="4" w:space="1" w:color="auto"/>
          <w:left w:val="single" w:sz="4" w:space="4" w:color="auto"/>
          <w:bottom w:val="single" w:sz="4" w:space="1" w:color="auto"/>
          <w:right w:val="single" w:sz="4" w:space="4" w:color="auto"/>
        </w:pBdr>
        <w:shd w:val="clear" w:color="auto" w:fill="D9D9D9"/>
        <w:autoSpaceDE w:val="0"/>
        <w:autoSpaceDN w:val="0"/>
        <w:spacing w:line="360" w:lineRule="auto"/>
        <w:jc w:val="both"/>
        <w:rPr>
          <w:rFonts w:ascii="MinionPro-Regular" w:hAnsi="MinionPro-Regular"/>
          <w:szCs w:val="24"/>
          <w:lang w:val="es-ES_tradnl"/>
        </w:rPr>
      </w:pPr>
      <w:r w:rsidRPr="00D13173">
        <w:rPr>
          <w:rFonts w:ascii="MinionPro-Regular" w:hAnsi="MinionPro-Regular"/>
          <w:szCs w:val="24"/>
          <w:lang w:val="es-ES_tradnl"/>
        </w:rPr>
        <w:t>Junto con las prácticas de contratación pública, las ayudas constituyen el principal elemento del que disponen las administraciones públicas para orientar a los centros especiales de empleo hacia la competitividad, el crecimiento, la creación de empleo y, en definitiva, hacia la maximización de su función social. Sin embargo, tal y como están concebidas hoy, las ayudas públicas a los centros especiales de empleo no</w:t>
      </w:r>
      <w:r>
        <w:rPr>
          <w:rFonts w:ascii="MinionPro-Regular" w:hAnsi="MinionPro-Regular"/>
          <w:szCs w:val="24"/>
          <w:lang w:val="es-ES_tradnl"/>
        </w:rPr>
        <w:t xml:space="preserve"> siempre</w:t>
      </w:r>
      <w:r w:rsidRPr="00D13173">
        <w:rPr>
          <w:rFonts w:ascii="MinionPro-Regular" w:hAnsi="MinionPro-Regular"/>
          <w:szCs w:val="24"/>
          <w:lang w:val="es-ES_tradnl"/>
        </w:rPr>
        <w:t xml:space="preserve"> </w:t>
      </w:r>
      <w:r>
        <w:rPr>
          <w:rFonts w:ascii="MinionPro-Regular" w:hAnsi="MinionPro-Regular"/>
          <w:szCs w:val="24"/>
          <w:lang w:val="es-ES_tradnl"/>
        </w:rPr>
        <w:t>promueven el avance en la dirección anterior</w:t>
      </w:r>
      <w:r w:rsidRPr="00D13173">
        <w:rPr>
          <w:rFonts w:ascii="MinionPro-Regular" w:hAnsi="MinionPro-Regular"/>
          <w:szCs w:val="24"/>
          <w:lang w:val="es-ES_tradnl"/>
        </w:rPr>
        <w:t xml:space="preserve">. </w:t>
      </w:r>
      <w:r>
        <w:rPr>
          <w:rFonts w:ascii="MinionPro-Regular" w:hAnsi="MinionPro-Regular"/>
          <w:szCs w:val="24"/>
          <w:lang w:val="es-ES_tradnl"/>
        </w:rPr>
        <w:t xml:space="preserve"> </w:t>
      </w:r>
      <w:r w:rsidRPr="00D13173">
        <w:rPr>
          <w:rFonts w:ascii="MinionPro-Regular" w:hAnsi="MinionPro-Regular"/>
          <w:szCs w:val="24"/>
          <w:lang w:val="es-ES_tradnl"/>
        </w:rPr>
        <w:t xml:space="preserve">En primer lugar, las ayudas no discriminan a favor de los centros especiales de empleo de iniciativa social, que destacan por incorporar al empleo a personas </w:t>
      </w:r>
      <w:r w:rsidR="0082197A">
        <w:rPr>
          <w:rFonts w:ascii="MinionPro-Regular" w:hAnsi="MinionPro-Regular"/>
          <w:szCs w:val="24"/>
          <w:lang w:val="es-ES_tradnl"/>
        </w:rPr>
        <w:t>con un menor nivel de empleabilidad</w:t>
      </w:r>
      <w:r>
        <w:rPr>
          <w:rFonts w:ascii="MinionPro-Regular" w:hAnsi="MinionPro-Regular"/>
          <w:color w:val="FF0000"/>
          <w:szCs w:val="24"/>
          <w:lang w:val="es-ES_tradnl"/>
        </w:rPr>
        <w:t xml:space="preserve"> </w:t>
      </w:r>
      <w:r>
        <w:rPr>
          <w:rFonts w:ascii="MinionPro-Regular" w:hAnsi="MinionPro-Regular"/>
          <w:szCs w:val="24"/>
          <w:lang w:val="es-ES_tradnl"/>
        </w:rPr>
        <w:t>y por su compromiso fundacional con este colectivo</w:t>
      </w:r>
      <w:r w:rsidRPr="00D13173">
        <w:rPr>
          <w:rFonts w:ascii="MinionPro-Regular" w:hAnsi="MinionPro-Regular"/>
          <w:szCs w:val="24"/>
          <w:lang w:val="es-ES_tradnl"/>
        </w:rPr>
        <w:t>. En segundo,</w:t>
      </w:r>
      <w:r>
        <w:rPr>
          <w:rFonts w:ascii="MinionPro-Regular" w:hAnsi="MinionPro-Regular"/>
          <w:szCs w:val="24"/>
          <w:lang w:val="es-ES_tradnl"/>
        </w:rPr>
        <w:t xml:space="preserve"> en su forma actual</w:t>
      </w:r>
      <w:r w:rsidRPr="00D13173">
        <w:rPr>
          <w:rFonts w:ascii="MinionPro-Regular" w:hAnsi="MinionPro-Regular"/>
          <w:szCs w:val="24"/>
          <w:lang w:val="es-ES_tradnl"/>
        </w:rPr>
        <w:t xml:space="preserve"> tampoco </w:t>
      </w:r>
      <w:r>
        <w:rPr>
          <w:rFonts w:ascii="MinionPro-Regular" w:hAnsi="MinionPro-Regular"/>
          <w:szCs w:val="24"/>
          <w:lang w:val="es-ES_tradnl"/>
        </w:rPr>
        <w:t>actúan como acicate para premiar el desarrollo o la empleabilidad de las personas con discapacidad o la</w:t>
      </w:r>
      <w:r w:rsidRPr="00D13173">
        <w:rPr>
          <w:rFonts w:ascii="MinionPro-Regular" w:hAnsi="MinionPro-Regular"/>
          <w:szCs w:val="24"/>
          <w:lang w:val="es-ES_tradnl"/>
        </w:rPr>
        <w:t xml:space="preserve"> competitividad </w:t>
      </w:r>
      <w:r w:rsidR="00F23441" w:rsidRPr="00F23441">
        <w:rPr>
          <w:rFonts w:ascii="MinionPro-Regular" w:hAnsi="MinionPro-Regular"/>
          <w:strike/>
          <w:szCs w:val="24"/>
          <w:lang w:val="es-ES_tradnl"/>
        </w:rPr>
        <w:t>de</w:t>
      </w:r>
      <w:r w:rsidRPr="00D13173">
        <w:rPr>
          <w:rFonts w:ascii="MinionPro-Regular" w:hAnsi="MinionPro-Regular"/>
          <w:szCs w:val="24"/>
          <w:lang w:val="es-ES_tradnl"/>
        </w:rPr>
        <w:t xml:space="preserve"> </w:t>
      </w:r>
      <w:r>
        <w:rPr>
          <w:rFonts w:ascii="MinionPro-Regular" w:hAnsi="MinionPro-Regular"/>
          <w:szCs w:val="24"/>
          <w:lang w:val="es-ES_tradnl"/>
        </w:rPr>
        <w:t>del propio centro</w:t>
      </w:r>
      <w:r w:rsidRPr="00D13173">
        <w:rPr>
          <w:rFonts w:ascii="MinionPro-Regular" w:hAnsi="MinionPro-Regular"/>
          <w:szCs w:val="24"/>
          <w:lang w:val="es-ES_tradnl"/>
        </w:rPr>
        <w:t xml:space="preserve">. Además, la percepción de ayudas debería estar condicionada a la reinversión de los beneficios </w:t>
      </w:r>
      <w:r>
        <w:rPr>
          <w:rFonts w:ascii="MinionPro-Regular" w:hAnsi="MinionPro-Regular"/>
          <w:szCs w:val="24"/>
          <w:lang w:val="es-ES_tradnl"/>
        </w:rPr>
        <w:t xml:space="preserve">en el propio centro o en la iniciativa social que lo </w:t>
      </w:r>
      <w:r w:rsidRPr="0082197A">
        <w:rPr>
          <w:rFonts w:ascii="MinionPro-Regular" w:hAnsi="MinionPro-Regular"/>
          <w:szCs w:val="24"/>
          <w:lang w:val="es-ES_tradnl"/>
        </w:rPr>
        <w:t xml:space="preserve">promueve. Todas las ayudas públicas en esta materia deberían tener como objetivo último mejorar la </w:t>
      </w:r>
      <w:r w:rsidR="0082197A" w:rsidRPr="0082197A">
        <w:rPr>
          <w:rFonts w:ascii="MinionPro-Regular" w:hAnsi="MinionPro-Regular"/>
          <w:szCs w:val="24"/>
          <w:lang w:val="es-ES_tradnl"/>
        </w:rPr>
        <w:t>inclusión</w:t>
      </w:r>
      <w:r w:rsidRPr="0082197A">
        <w:rPr>
          <w:rFonts w:ascii="MinionPro-Regular" w:hAnsi="MinionPro-Regular"/>
          <w:szCs w:val="24"/>
          <w:lang w:val="es-ES_tradnl"/>
        </w:rPr>
        <w:t xml:space="preserve"> social</w:t>
      </w:r>
      <w:r>
        <w:rPr>
          <w:rFonts w:ascii="MinionPro-Regular" w:hAnsi="MinionPro-Regular"/>
          <w:szCs w:val="24"/>
          <w:lang w:val="es-ES_tradnl"/>
        </w:rPr>
        <w:t xml:space="preserve"> de las personas con discapacidad. </w:t>
      </w:r>
      <w:r w:rsidRPr="00D13173">
        <w:rPr>
          <w:rFonts w:ascii="MinionPro-Regular" w:hAnsi="MinionPro-Regular"/>
          <w:szCs w:val="24"/>
          <w:lang w:val="es-ES_tradnl"/>
        </w:rPr>
        <w:t xml:space="preserve"> </w:t>
      </w:r>
    </w:p>
    <w:p w:rsidR="00E2336B" w:rsidRPr="00D13173" w:rsidRDefault="00E2336B" w:rsidP="007920F7">
      <w:pPr>
        <w:pBdr>
          <w:top w:val="single" w:sz="4" w:space="1" w:color="auto"/>
          <w:left w:val="single" w:sz="4" w:space="4" w:color="auto"/>
          <w:bottom w:val="single" w:sz="4" w:space="1" w:color="auto"/>
          <w:right w:val="single" w:sz="4" w:space="4" w:color="auto"/>
        </w:pBdr>
        <w:shd w:val="clear" w:color="auto" w:fill="D9D9D9"/>
        <w:autoSpaceDE w:val="0"/>
        <w:autoSpaceDN w:val="0"/>
        <w:spacing w:line="360" w:lineRule="auto"/>
        <w:jc w:val="both"/>
        <w:rPr>
          <w:rFonts w:ascii="MinionPro-Regular" w:hAnsi="MinionPro-Regular"/>
          <w:szCs w:val="24"/>
          <w:lang w:val="es-ES_tradnl"/>
        </w:rPr>
      </w:pPr>
    </w:p>
    <w:p w:rsidR="00E2336B" w:rsidRDefault="00E2336B" w:rsidP="007920F7">
      <w:pPr>
        <w:pBdr>
          <w:top w:val="single" w:sz="4" w:space="1" w:color="auto"/>
          <w:left w:val="single" w:sz="4" w:space="4" w:color="auto"/>
          <w:bottom w:val="single" w:sz="4" w:space="1" w:color="auto"/>
          <w:right w:val="single" w:sz="4" w:space="4" w:color="auto"/>
        </w:pBdr>
        <w:shd w:val="clear" w:color="auto" w:fill="D9D9D9"/>
        <w:autoSpaceDE w:val="0"/>
        <w:autoSpaceDN w:val="0"/>
        <w:spacing w:line="360" w:lineRule="auto"/>
        <w:jc w:val="both"/>
        <w:rPr>
          <w:rFonts w:ascii="MinionPro-Regular" w:hAnsi="MinionPro-Regular"/>
          <w:szCs w:val="24"/>
          <w:lang w:val="es-ES_tradnl"/>
        </w:rPr>
      </w:pPr>
      <w:r w:rsidRPr="00D13173">
        <w:rPr>
          <w:rFonts w:ascii="MinionPro-Regular" w:hAnsi="MinionPro-Regular"/>
          <w:szCs w:val="24"/>
          <w:lang w:val="es-ES_tradnl"/>
        </w:rPr>
        <w:t xml:space="preserve">En su artículo 10, el Real Decreto 2273/1985 que regula los centros especiales de empleo establece que las ayudas </w:t>
      </w:r>
      <w:r>
        <w:rPr>
          <w:rFonts w:ascii="MinionPro-Regular" w:hAnsi="MinionPro-Regular"/>
          <w:szCs w:val="24"/>
          <w:lang w:val="es-ES_tradnl"/>
        </w:rPr>
        <w:t>de</w:t>
      </w:r>
      <w:r w:rsidRPr="00D13173">
        <w:rPr>
          <w:rFonts w:ascii="MinionPro-Regular" w:hAnsi="MinionPro-Regular"/>
          <w:szCs w:val="24"/>
          <w:lang w:val="es-ES_tradnl"/>
        </w:rPr>
        <w:t xml:space="preserve"> las administraciones públicas a los centros especiales de empleo se graduarán en función de la rentabilidad económica y social del centro. Sin embargo, la Orden </w:t>
      </w:r>
      <w:r w:rsidRPr="00D13173">
        <w:rPr>
          <w:rFonts w:ascii="MinionPro-Regular" w:hAnsi="MinionPro-Regular"/>
          <w:szCs w:val="24"/>
          <w:lang w:val="es-ES_tradnl"/>
        </w:rPr>
        <w:lastRenderedPageBreak/>
        <w:t xml:space="preserve">del 16 de octubre de 1998, que establece el régimen de </w:t>
      </w:r>
      <w:r>
        <w:rPr>
          <w:rFonts w:ascii="MinionPro-Regular" w:hAnsi="MinionPro-Regular"/>
          <w:szCs w:val="24"/>
          <w:lang w:val="es-ES_tradnl"/>
        </w:rPr>
        <w:t xml:space="preserve">las </w:t>
      </w:r>
      <w:r w:rsidRPr="00D13173">
        <w:rPr>
          <w:rFonts w:ascii="MinionPro-Regular" w:hAnsi="MinionPro-Regular"/>
          <w:szCs w:val="24"/>
          <w:lang w:val="es-ES_tradnl"/>
        </w:rPr>
        <w:t xml:space="preserve">ayudas no toma en suficiente consideración </w:t>
      </w:r>
      <w:r>
        <w:rPr>
          <w:rFonts w:ascii="MinionPro-Regular" w:hAnsi="MinionPro-Regular"/>
          <w:szCs w:val="24"/>
          <w:lang w:val="es-ES_tradnl"/>
        </w:rPr>
        <w:t xml:space="preserve">ninguno de los elementos anteriores; </w:t>
      </w:r>
      <w:r w:rsidRPr="00D13173">
        <w:rPr>
          <w:rFonts w:ascii="MinionPro-Regular" w:hAnsi="MinionPro-Regular"/>
          <w:szCs w:val="24"/>
          <w:lang w:val="es-ES_tradnl"/>
        </w:rPr>
        <w:t>ni el propósito social de la iniciativa que promueve el centro, ni la empleabilidad de las personas ni</w:t>
      </w:r>
      <w:r>
        <w:rPr>
          <w:rFonts w:ascii="MinionPro-Regular" w:hAnsi="MinionPro-Regular"/>
          <w:szCs w:val="24"/>
          <w:lang w:val="es-ES_tradnl"/>
        </w:rPr>
        <w:t xml:space="preserve">, por último, </w:t>
      </w:r>
      <w:r w:rsidRPr="00D13173">
        <w:rPr>
          <w:rFonts w:ascii="MinionPro-Regular" w:hAnsi="MinionPro-Regular"/>
          <w:szCs w:val="24"/>
          <w:lang w:val="es-ES_tradnl"/>
        </w:rPr>
        <w:t xml:space="preserve"> la competitividad de los centros. Tampoco el Real Decreto 469/2006, que regula las unidades de apoyo incide especialmente en la capacitación profesional y por tanto empleabilidad de las personas con discapacidad</w:t>
      </w:r>
      <w:r>
        <w:rPr>
          <w:rFonts w:ascii="MinionPro-Regular" w:hAnsi="MinionPro-Regular"/>
          <w:szCs w:val="24"/>
          <w:lang w:val="es-ES_tradnl"/>
        </w:rPr>
        <w:t>, como hemos visto anteriormente</w:t>
      </w:r>
      <w:r w:rsidRPr="00D13173">
        <w:rPr>
          <w:rFonts w:ascii="MinionPro-Regular" w:hAnsi="MinionPro-Regular"/>
          <w:szCs w:val="24"/>
          <w:lang w:val="es-ES_tradnl"/>
        </w:rPr>
        <w:t xml:space="preserve">. </w:t>
      </w:r>
    </w:p>
    <w:p w:rsidR="00E2336B" w:rsidRDefault="00E2336B" w:rsidP="007920F7">
      <w:pPr>
        <w:pBdr>
          <w:top w:val="single" w:sz="4" w:space="1" w:color="auto"/>
          <w:left w:val="single" w:sz="4" w:space="4" w:color="auto"/>
          <w:bottom w:val="single" w:sz="4" w:space="1" w:color="auto"/>
          <w:right w:val="single" w:sz="4" w:space="4" w:color="auto"/>
        </w:pBdr>
        <w:shd w:val="clear" w:color="auto" w:fill="D9D9D9"/>
        <w:autoSpaceDE w:val="0"/>
        <w:autoSpaceDN w:val="0"/>
        <w:spacing w:line="360" w:lineRule="auto"/>
        <w:jc w:val="both"/>
        <w:rPr>
          <w:rFonts w:ascii="MinionPro-Regular" w:hAnsi="MinionPro-Regular"/>
          <w:szCs w:val="24"/>
          <w:lang w:val="es-ES_tradnl"/>
        </w:rPr>
      </w:pPr>
    </w:p>
    <w:p w:rsidR="00E2336B" w:rsidRPr="00D13173" w:rsidRDefault="00E2336B" w:rsidP="007920F7">
      <w:pPr>
        <w:pBdr>
          <w:top w:val="single" w:sz="4" w:space="1" w:color="auto"/>
          <w:left w:val="single" w:sz="4" w:space="4" w:color="auto"/>
          <w:bottom w:val="single" w:sz="4" w:space="1" w:color="auto"/>
          <w:right w:val="single" w:sz="4" w:space="4" w:color="auto"/>
        </w:pBdr>
        <w:shd w:val="clear" w:color="auto" w:fill="D9D9D9"/>
        <w:autoSpaceDE w:val="0"/>
        <w:autoSpaceDN w:val="0"/>
        <w:spacing w:line="360" w:lineRule="auto"/>
        <w:jc w:val="both"/>
        <w:rPr>
          <w:rFonts w:ascii="MinionPro-Regular" w:hAnsi="MinionPro-Regular"/>
          <w:szCs w:val="24"/>
          <w:lang w:val="es-ES_tradnl"/>
        </w:rPr>
      </w:pPr>
      <w:r>
        <w:rPr>
          <w:rFonts w:ascii="MinionPro-Regular" w:hAnsi="MinionPro-Regular"/>
          <w:szCs w:val="24"/>
          <w:lang w:val="es-ES_tradnl"/>
        </w:rPr>
        <w:t>En este sentido, n</w:t>
      </w:r>
      <w:r w:rsidRPr="00D13173">
        <w:rPr>
          <w:rFonts w:ascii="MinionPro-Regular" w:hAnsi="MinionPro-Regular"/>
          <w:szCs w:val="24"/>
          <w:lang w:val="es-ES_tradnl"/>
        </w:rPr>
        <w:t>o hay que olvidar que el propio Real Decreto 2273/1985, en su artículo 5 establece entre los requisitos para la percepción de las ayudas que el proyecto tenga viabilidad técnica, económica y financiera, lo que refuerza la necesidad de asegurar que las ayudas están orientadas a mejorar la competitividad de los centros y la capacitación,</w:t>
      </w:r>
      <w:r>
        <w:rPr>
          <w:rFonts w:ascii="MinionPro-Regular" w:hAnsi="MinionPro-Regular"/>
          <w:szCs w:val="24"/>
          <w:lang w:val="es-ES_tradnl"/>
        </w:rPr>
        <w:t xml:space="preserve"> desarrollo y</w:t>
      </w:r>
      <w:r w:rsidRPr="00D13173">
        <w:rPr>
          <w:rFonts w:ascii="MinionPro-Regular" w:hAnsi="MinionPro-Regular"/>
          <w:szCs w:val="24"/>
          <w:lang w:val="es-ES_tradnl"/>
        </w:rPr>
        <w:t xml:space="preserve"> empleabilidad de las personas con discapacidad que trabajan en ellos. </w:t>
      </w:r>
    </w:p>
    <w:p w:rsidR="00E2336B" w:rsidRPr="00D13173" w:rsidRDefault="00E2336B" w:rsidP="007920F7">
      <w:pPr>
        <w:pBdr>
          <w:top w:val="single" w:sz="4" w:space="1" w:color="auto"/>
          <w:left w:val="single" w:sz="4" w:space="4" w:color="auto"/>
          <w:bottom w:val="single" w:sz="4" w:space="1" w:color="auto"/>
          <w:right w:val="single" w:sz="4" w:space="4" w:color="auto"/>
        </w:pBdr>
        <w:shd w:val="clear" w:color="auto" w:fill="D9D9D9"/>
        <w:autoSpaceDE w:val="0"/>
        <w:autoSpaceDN w:val="0"/>
        <w:spacing w:line="360" w:lineRule="auto"/>
        <w:jc w:val="both"/>
        <w:rPr>
          <w:rFonts w:ascii="MinionPro-Regular" w:hAnsi="MinionPro-Regular"/>
          <w:szCs w:val="24"/>
          <w:lang w:val="es-ES_tradnl"/>
        </w:rPr>
      </w:pPr>
    </w:p>
    <w:p w:rsidR="00E2336B" w:rsidRPr="00D13173" w:rsidRDefault="00E2336B" w:rsidP="007920F7">
      <w:pPr>
        <w:pBdr>
          <w:top w:val="single" w:sz="4" w:space="1" w:color="auto"/>
          <w:left w:val="single" w:sz="4" w:space="4" w:color="auto"/>
          <w:bottom w:val="single" w:sz="4" w:space="1" w:color="auto"/>
          <w:right w:val="single" w:sz="4" w:space="4" w:color="auto"/>
        </w:pBdr>
        <w:shd w:val="clear" w:color="auto" w:fill="D9D9D9"/>
        <w:autoSpaceDE w:val="0"/>
        <w:autoSpaceDN w:val="0"/>
        <w:spacing w:line="360" w:lineRule="auto"/>
        <w:jc w:val="both"/>
        <w:rPr>
          <w:rFonts w:ascii="MinionPro-Regular" w:hAnsi="MinionPro-Regular"/>
          <w:szCs w:val="24"/>
          <w:lang w:val="es-ES_tradnl"/>
        </w:rPr>
      </w:pPr>
      <w:r w:rsidRPr="00D13173">
        <w:rPr>
          <w:rFonts w:ascii="MinionPro-Regular" w:hAnsi="MinionPro-Regular"/>
          <w:szCs w:val="24"/>
          <w:lang w:val="es-ES_tradnl"/>
        </w:rPr>
        <w:t>Bajo este punto de vista, el esquema de las ayudas públicas debería atender a criterios</w:t>
      </w:r>
      <w:r>
        <w:rPr>
          <w:rFonts w:ascii="MinionPro-Regular" w:hAnsi="MinionPro-Regular"/>
          <w:szCs w:val="24"/>
          <w:lang w:val="es-ES_tradnl"/>
        </w:rPr>
        <w:t xml:space="preserve"> que hoy son básicamente</w:t>
      </w:r>
      <w:r w:rsidRPr="00D13173">
        <w:rPr>
          <w:rFonts w:ascii="MinionPro-Regular" w:hAnsi="MinionPro-Regular"/>
          <w:szCs w:val="24"/>
          <w:lang w:val="es-ES_tradnl"/>
        </w:rPr>
        <w:t xml:space="preserve"> de empleo sino a factores relacionados con crear mejores empleos para las personas con discapacidad </w:t>
      </w:r>
      <w:r>
        <w:rPr>
          <w:rFonts w:ascii="MinionPro-Regular" w:hAnsi="MinionPro-Regular"/>
          <w:szCs w:val="24"/>
          <w:lang w:val="es-ES_tradnl"/>
        </w:rPr>
        <w:t>y mejores centros especiales de empleo</w:t>
      </w:r>
      <w:r w:rsidRPr="00D13173">
        <w:rPr>
          <w:rFonts w:ascii="MinionPro-Regular" w:hAnsi="MinionPro-Regular"/>
          <w:szCs w:val="24"/>
          <w:lang w:val="es-ES_tradnl"/>
        </w:rPr>
        <w:t>.  Cabría, por lo tanto, distinguir varios conceptos en las ayudas.</w:t>
      </w:r>
    </w:p>
    <w:p w:rsidR="00E2336B" w:rsidRPr="00D13173" w:rsidRDefault="00E2336B" w:rsidP="007920F7">
      <w:pPr>
        <w:pBdr>
          <w:top w:val="single" w:sz="4" w:space="1" w:color="auto"/>
          <w:left w:val="single" w:sz="4" w:space="4" w:color="auto"/>
          <w:bottom w:val="single" w:sz="4" w:space="1" w:color="auto"/>
          <w:right w:val="single" w:sz="4" w:space="4" w:color="auto"/>
        </w:pBdr>
        <w:shd w:val="clear" w:color="auto" w:fill="D9D9D9"/>
        <w:autoSpaceDE w:val="0"/>
        <w:autoSpaceDN w:val="0"/>
        <w:spacing w:line="360" w:lineRule="auto"/>
        <w:jc w:val="both"/>
        <w:rPr>
          <w:rFonts w:ascii="MinionPro-Regular" w:hAnsi="MinionPro-Regular"/>
          <w:szCs w:val="24"/>
          <w:highlight w:val="yellow"/>
          <w:lang w:val="es-ES_tradnl"/>
        </w:rPr>
      </w:pPr>
    </w:p>
    <w:p w:rsidR="00E2336B" w:rsidRPr="00D13173" w:rsidRDefault="00E2336B" w:rsidP="007920F7">
      <w:pPr>
        <w:pBdr>
          <w:top w:val="single" w:sz="4" w:space="1" w:color="auto"/>
          <w:left w:val="single" w:sz="4" w:space="4" w:color="auto"/>
          <w:bottom w:val="single" w:sz="4" w:space="1" w:color="auto"/>
          <w:right w:val="single" w:sz="4" w:space="4" w:color="auto"/>
        </w:pBdr>
        <w:shd w:val="clear" w:color="auto" w:fill="D9D9D9"/>
        <w:autoSpaceDE w:val="0"/>
        <w:autoSpaceDN w:val="0"/>
        <w:spacing w:line="360" w:lineRule="auto"/>
        <w:jc w:val="both"/>
        <w:rPr>
          <w:rFonts w:ascii="MinionPro-Regular" w:hAnsi="MinionPro-Regular"/>
          <w:szCs w:val="24"/>
          <w:lang w:val="es-ES_tradnl"/>
        </w:rPr>
      </w:pPr>
      <w:r w:rsidRPr="005E4B08">
        <w:rPr>
          <w:rFonts w:ascii="MinionPro-Regular" w:hAnsi="MinionPro-Regular"/>
          <w:b/>
          <w:szCs w:val="24"/>
          <w:lang w:val="es-ES_tradnl"/>
        </w:rPr>
        <w:t>1. Ayudas universales,</w:t>
      </w:r>
      <w:r w:rsidRPr="00D13173">
        <w:rPr>
          <w:rFonts w:ascii="MinionPro-Regular" w:hAnsi="MinionPro-Regular"/>
          <w:szCs w:val="24"/>
          <w:lang w:val="es-ES_tradnl"/>
        </w:rPr>
        <w:t xml:space="preserve"> que </w:t>
      </w:r>
      <w:r>
        <w:rPr>
          <w:rFonts w:ascii="MinionPro-Regular" w:hAnsi="MinionPro-Regular"/>
          <w:szCs w:val="24"/>
          <w:lang w:val="es-ES_tradnl"/>
        </w:rPr>
        <w:t xml:space="preserve">vendrían a ser equivalentes </w:t>
      </w:r>
      <w:r w:rsidRPr="00D13173">
        <w:rPr>
          <w:rFonts w:ascii="MinionPro-Regular" w:hAnsi="MinionPro-Regular"/>
          <w:szCs w:val="24"/>
          <w:lang w:val="es-ES_tradnl"/>
        </w:rPr>
        <w:t>a las partidas hoy relacionadas con la generación de empleo</w:t>
      </w:r>
      <w:r>
        <w:rPr>
          <w:rFonts w:ascii="MinionPro-Regular" w:hAnsi="MinionPro-Regular"/>
          <w:szCs w:val="24"/>
          <w:lang w:val="es-ES_tradnl"/>
        </w:rPr>
        <w:t>,</w:t>
      </w:r>
      <w:r w:rsidRPr="00D13173">
        <w:rPr>
          <w:rFonts w:ascii="MinionPro-Regular" w:hAnsi="MinionPro-Regular"/>
          <w:szCs w:val="24"/>
          <w:lang w:val="es-ES_tradnl"/>
        </w:rPr>
        <w:t xml:space="preserve"> con las bonificaciones de las cuotas a la seguridad social y con las subvenciones del coste salarial. Estas ayudas </w:t>
      </w:r>
      <w:r>
        <w:rPr>
          <w:rFonts w:ascii="MinionPro-Regular" w:hAnsi="MinionPro-Regular"/>
          <w:szCs w:val="24"/>
          <w:lang w:val="es-ES_tradnl"/>
        </w:rPr>
        <w:t>universales</w:t>
      </w:r>
      <w:r w:rsidRPr="00D13173">
        <w:rPr>
          <w:rFonts w:ascii="MinionPro-Regular" w:hAnsi="MinionPro-Regular"/>
          <w:szCs w:val="24"/>
          <w:lang w:val="es-ES_tradnl"/>
        </w:rPr>
        <w:t xml:space="preserve"> deberían ser distintas en función de la naturaleza social o privada de la iniciativa que promueve el centro</w:t>
      </w:r>
      <w:r>
        <w:rPr>
          <w:rFonts w:ascii="MinionPro-Regular" w:hAnsi="MinionPro-Regular"/>
          <w:szCs w:val="24"/>
          <w:lang w:val="es-ES_tradnl"/>
        </w:rPr>
        <w:t xml:space="preserve"> especial de empleo</w:t>
      </w:r>
      <w:r w:rsidRPr="00D13173">
        <w:rPr>
          <w:rFonts w:ascii="MinionPro-Regular" w:hAnsi="MinionPro-Regular"/>
          <w:szCs w:val="24"/>
          <w:lang w:val="es-ES_tradnl"/>
        </w:rPr>
        <w:t xml:space="preserve">, para reflejar las distintas realidades de las personas a las que dan empleo ambas modalidades de centros. </w:t>
      </w:r>
    </w:p>
    <w:p w:rsidR="00E2336B" w:rsidRPr="00D13173" w:rsidRDefault="00E2336B" w:rsidP="007920F7">
      <w:pPr>
        <w:pBdr>
          <w:top w:val="single" w:sz="4" w:space="1" w:color="auto"/>
          <w:left w:val="single" w:sz="4" w:space="4" w:color="auto"/>
          <w:bottom w:val="single" w:sz="4" w:space="1" w:color="auto"/>
          <w:right w:val="single" w:sz="4" w:space="4" w:color="auto"/>
        </w:pBdr>
        <w:shd w:val="clear" w:color="auto" w:fill="D9D9D9"/>
        <w:autoSpaceDE w:val="0"/>
        <w:autoSpaceDN w:val="0"/>
        <w:spacing w:line="360" w:lineRule="auto"/>
        <w:jc w:val="both"/>
        <w:rPr>
          <w:rFonts w:ascii="MinionPro-Regular" w:hAnsi="MinionPro-Regular"/>
          <w:szCs w:val="24"/>
          <w:lang w:val="es-ES_tradnl"/>
        </w:rPr>
      </w:pPr>
    </w:p>
    <w:p w:rsidR="00E2336B" w:rsidRPr="00D13173" w:rsidRDefault="00E2336B" w:rsidP="007920F7">
      <w:pPr>
        <w:pBdr>
          <w:top w:val="single" w:sz="4" w:space="1" w:color="auto"/>
          <w:left w:val="single" w:sz="4" w:space="4" w:color="auto"/>
          <w:bottom w:val="single" w:sz="4" w:space="1" w:color="auto"/>
          <w:right w:val="single" w:sz="4" w:space="4" w:color="auto"/>
        </w:pBdr>
        <w:shd w:val="clear" w:color="auto" w:fill="D9D9D9"/>
        <w:autoSpaceDE w:val="0"/>
        <w:autoSpaceDN w:val="0"/>
        <w:spacing w:line="360" w:lineRule="auto"/>
        <w:jc w:val="both"/>
        <w:rPr>
          <w:rFonts w:ascii="MinionPro-Regular" w:hAnsi="MinionPro-Regular"/>
          <w:szCs w:val="24"/>
          <w:lang w:val="es-ES_tradnl"/>
        </w:rPr>
      </w:pPr>
      <w:r w:rsidRPr="005E4B08">
        <w:rPr>
          <w:rFonts w:ascii="MinionPro-Regular" w:hAnsi="MinionPro-Regular"/>
          <w:b/>
          <w:szCs w:val="24"/>
          <w:lang w:val="es-ES_tradnl"/>
        </w:rPr>
        <w:t>2. Ayudas a la empleabilidad,</w:t>
      </w:r>
      <w:r w:rsidRPr="00D13173">
        <w:rPr>
          <w:rFonts w:ascii="MinionPro-Regular" w:hAnsi="MinionPro-Regular"/>
          <w:szCs w:val="24"/>
          <w:lang w:val="es-ES_tradnl"/>
        </w:rPr>
        <w:t xml:space="preserve"> relacionadas con las actuales ayudas en concepto de  adaptación al puesto de trabajo y unidades de apoyo, y que deberían estar orientadas a la financiación de proyectos que tengan como objetivo mejorar la </w:t>
      </w:r>
      <w:r>
        <w:rPr>
          <w:rFonts w:ascii="MinionPro-Regular" w:hAnsi="MinionPro-Regular"/>
          <w:szCs w:val="24"/>
          <w:lang w:val="es-ES_tradnl"/>
        </w:rPr>
        <w:t xml:space="preserve">empleabilidad, el desarrollo de los itinerarios </w:t>
      </w:r>
      <w:r>
        <w:rPr>
          <w:rFonts w:ascii="MinionPro-Regular" w:hAnsi="MinionPro-Regular"/>
          <w:szCs w:val="24"/>
          <w:lang w:val="es-ES_tradnl"/>
        </w:rPr>
        <w:lastRenderedPageBreak/>
        <w:t xml:space="preserve">formativos y de los planes de carrera de las personas con discapacidad. Todo ello con el objetivo de mejorar la </w:t>
      </w:r>
      <w:r w:rsidRPr="00D13173">
        <w:rPr>
          <w:rFonts w:ascii="MinionPro-Regular" w:hAnsi="MinionPro-Regular"/>
          <w:szCs w:val="24"/>
          <w:lang w:val="es-ES_tradnl"/>
        </w:rPr>
        <w:t>capacitación profesional y</w:t>
      </w:r>
      <w:r>
        <w:rPr>
          <w:rFonts w:ascii="MinionPro-Regular" w:hAnsi="MinionPro-Regular"/>
          <w:szCs w:val="24"/>
          <w:lang w:val="es-ES_tradnl"/>
        </w:rPr>
        <w:t>, por lo tanto,</w:t>
      </w:r>
      <w:r w:rsidRPr="00D13173">
        <w:rPr>
          <w:rFonts w:ascii="MinionPro-Regular" w:hAnsi="MinionPro-Regular"/>
          <w:szCs w:val="24"/>
          <w:lang w:val="es-ES_tradnl"/>
        </w:rPr>
        <w:t xml:space="preserve"> el atractivo en el mercado laboral de las personas con discapacidad. </w:t>
      </w:r>
      <w:r>
        <w:rPr>
          <w:rFonts w:ascii="MinionPro-Regular" w:hAnsi="MinionPro-Regular"/>
          <w:szCs w:val="24"/>
          <w:lang w:val="es-ES_tradnl"/>
        </w:rPr>
        <w:t xml:space="preserve">Estas ayudas deberían primar, asimismo, a los centros que dan empleo a personas con un menor nivel inicial de empleabilidad y potenciar proyectos innovadores en materia de desarrollo profesional de las personas con discapacidad. </w:t>
      </w:r>
    </w:p>
    <w:p w:rsidR="00E2336B" w:rsidRPr="00D13173" w:rsidRDefault="00E2336B" w:rsidP="007920F7">
      <w:pPr>
        <w:pBdr>
          <w:top w:val="single" w:sz="4" w:space="1" w:color="auto"/>
          <w:left w:val="single" w:sz="4" w:space="4" w:color="auto"/>
          <w:bottom w:val="single" w:sz="4" w:space="1" w:color="auto"/>
          <w:right w:val="single" w:sz="4" w:space="4" w:color="auto"/>
        </w:pBdr>
        <w:shd w:val="clear" w:color="auto" w:fill="D9D9D9"/>
        <w:autoSpaceDE w:val="0"/>
        <w:autoSpaceDN w:val="0"/>
        <w:spacing w:line="360" w:lineRule="auto"/>
        <w:jc w:val="both"/>
        <w:rPr>
          <w:rFonts w:ascii="MinionPro-Regular" w:hAnsi="MinionPro-Regular"/>
          <w:szCs w:val="24"/>
          <w:lang w:val="es-ES_tradnl"/>
        </w:rPr>
      </w:pPr>
    </w:p>
    <w:p w:rsidR="00E2336B" w:rsidRPr="00D13173" w:rsidRDefault="00E2336B" w:rsidP="007920F7">
      <w:pPr>
        <w:pBdr>
          <w:top w:val="single" w:sz="4" w:space="1" w:color="auto"/>
          <w:left w:val="single" w:sz="4" w:space="4" w:color="auto"/>
          <w:bottom w:val="single" w:sz="4" w:space="1" w:color="auto"/>
          <w:right w:val="single" w:sz="4" w:space="4" w:color="auto"/>
        </w:pBdr>
        <w:shd w:val="clear" w:color="auto" w:fill="D9D9D9"/>
        <w:autoSpaceDE w:val="0"/>
        <w:autoSpaceDN w:val="0"/>
        <w:spacing w:line="360" w:lineRule="auto"/>
        <w:jc w:val="both"/>
        <w:rPr>
          <w:rFonts w:ascii="MinionPro-Regular" w:hAnsi="MinionPro-Regular"/>
          <w:szCs w:val="24"/>
          <w:lang w:val="es-ES_tradnl"/>
        </w:rPr>
      </w:pPr>
      <w:r w:rsidRPr="005E4B08">
        <w:rPr>
          <w:rFonts w:ascii="MinionPro-Regular" w:hAnsi="MinionPro-Regular"/>
          <w:b/>
          <w:szCs w:val="24"/>
          <w:lang w:val="es-ES_tradnl"/>
        </w:rPr>
        <w:t>3. Ayudas a la competitividad,</w:t>
      </w:r>
      <w:r w:rsidRPr="00D13173">
        <w:rPr>
          <w:rFonts w:ascii="MinionPro-Regular" w:hAnsi="MinionPro-Regular"/>
          <w:szCs w:val="24"/>
          <w:lang w:val="es-ES_tradnl"/>
        </w:rPr>
        <w:t xml:space="preserve"> que englobarían las que hoy hacen referencia a la asistencia técnica y el saneamiento financiero y que deberían tener como objetivo el apoyo a la realización de inversiones productivas y </w:t>
      </w:r>
      <w:r>
        <w:rPr>
          <w:rFonts w:ascii="MinionPro-Regular" w:hAnsi="MinionPro-Regular"/>
          <w:szCs w:val="24"/>
          <w:lang w:val="es-ES_tradnl"/>
        </w:rPr>
        <w:t>al desarrollo</w:t>
      </w:r>
      <w:r w:rsidRPr="00D13173">
        <w:rPr>
          <w:rFonts w:ascii="MinionPro-Regular" w:hAnsi="MinionPro-Regular"/>
          <w:szCs w:val="24"/>
          <w:lang w:val="es-ES_tradnl"/>
        </w:rPr>
        <w:t xml:space="preserve"> iniciativas individuales o auspiciadas por varios centros generadoras de oportunidades de mercado para el centro especial de empleo.  </w:t>
      </w:r>
    </w:p>
    <w:p w:rsidR="00E2336B" w:rsidRPr="00D13173" w:rsidRDefault="00E2336B" w:rsidP="007920F7">
      <w:pPr>
        <w:pBdr>
          <w:top w:val="single" w:sz="4" w:space="1" w:color="auto"/>
          <w:left w:val="single" w:sz="4" w:space="4" w:color="auto"/>
          <w:bottom w:val="single" w:sz="4" w:space="1" w:color="auto"/>
          <w:right w:val="single" w:sz="4" w:space="4" w:color="auto"/>
        </w:pBdr>
        <w:shd w:val="clear" w:color="auto" w:fill="D9D9D9"/>
        <w:autoSpaceDE w:val="0"/>
        <w:autoSpaceDN w:val="0"/>
        <w:spacing w:line="360" w:lineRule="auto"/>
        <w:jc w:val="both"/>
        <w:rPr>
          <w:rFonts w:ascii="MinionPro-Regular" w:hAnsi="MinionPro-Regular"/>
          <w:szCs w:val="24"/>
          <w:lang w:val="es-ES_tradnl"/>
        </w:rPr>
      </w:pPr>
    </w:p>
    <w:p w:rsidR="00E2336B" w:rsidRDefault="00E2336B" w:rsidP="007920F7">
      <w:pPr>
        <w:pBdr>
          <w:top w:val="single" w:sz="4" w:space="1" w:color="auto"/>
          <w:left w:val="single" w:sz="4" w:space="4" w:color="auto"/>
          <w:bottom w:val="single" w:sz="4" w:space="1" w:color="auto"/>
          <w:right w:val="single" w:sz="4" w:space="4" w:color="auto"/>
        </w:pBdr>
        <w:shd w:val="clear" w:color="auto" w:fill="D9D9D9"/>
        <w:autoSpaceDE w:val="0"/>
        <w:autoSpaceDN w:val="0"/>
        <w:spacing w:line="360" w:lineRule="auto"/>
        <w:jc w:val="both"/>
        <w:rPr>
          <w:rFonts w:ascii="MinionPro-Regular" w:hAnsi="MinionPro-Regular"/>
          <w:szCs w:val="24"/>
          <w:lang w:val="es-ES_tradnl"/>
        </w:rPr>
      </w:pPr>
      <w:r w:rsidRPr="00D13173">
        <w:rPr>
          <w:rFonts w:ascii="MinionPro-Regular" w:hAnsi="MinionPro-Regular"/>
          <w:szCs w:val="24"/>
          <w:lang w:val="es-ES_tradnl"/>
        </w:rPr>
        <w:t>El esquema propuesto sería modular. El segmento universal, con graduaciones</w:t>
      </w:r>
      <w:r>
        <w:rPr>
          <w:rFonts w:ascii="MinionPro-Regular" w:hAnsi="MinionPro-Regular"/>
          <w:szCs w:val="24"/>
          <w:lang w:val="es-ES_tradnl"/>
        </w:rPr>
        <w:t xml:space="preserve"> en función de la naturaleza social o privada de la iniciativa</w:t>
      </w:r>
      <w:r w:rsidRPr="00D13173">
        <w:rPr>
          <w:rFonts w:ascii="MinionPro-Regular" w:hAnsi="MinionPro-Regular"/>
          <w:szCs w:val="24"/>
          <w:lang w:val="es-ES_tradnl"/>
        </w:rPr>
        <w:t xml:space="preserve">, sería aplicable al conjunto de los centros especiales de empleo. El segundo, tendría como objetivo mejorar la empleabilidad de las personas con discapacidad y, por lo tanto, debería estar orientado a las personas con un menor grado de empleabilidad y a proyectos </w:t>
      </w:r>
      <w:r>
        <w:rPr>
          <w:rFonts w:ascii="MinionPro-Regular" w:hAnsi="MinionPro-Regular"/>
          <w:szCs w:val="24"/>
          <w:lang w:val="es-ES_tradnl"/>
        </w:rPr>
        <w:t>innovadores que la mejoraran</w:t>
      </w:r>
      <w:r w:rsidRPr="00D13173">
        <w:rPr>
          <w:rFonts w:ascii="MinionPro-Regular" w:hAnsi="MinionPro-Regular"/>
          <w:szCs w:val="24"/>
          <w:lang w:val="es-ES_tradnl"/>
        </w:rPr>
        <w:t xml:space="preserve">. </w:t>
      </w:r>
    </w:p>
    <w:p w:rsidR="00E2336B" w:rsidRDefault="00E2336B" w:rsidP="007920F7">
      <w:pPr>
        <w:pBdr>
          <w:top w:val="single" w:sz="4" w:space="1" w:color="auto"/>
          <w:left w:val="single" w:sz="4" w:space="4" w:color="auto"/>
          <w:bottom w:val="single" w:sz="4" w:space="1" w:color="auto"/>
          <w:right w:val="single" w:sz="4" w:space="4" w:color="auto"/>
        </w:pBdr>
        <w:shd w:val="clear" w:color="auto" w:fill="D9D9D9"/>
        <w:autoSpaceDE w:val="0"/>
        <w:autoSpaceDN w:val="0"/>
        <w:spacing w:line="360" w:lineRule="auto"/>
        <w:jc w:val="both"/>
        <w:rPr>
          <w:rFonts w:ascii="MinionPro-Regular" w:hAnsi="MinionPro-Regular"/>
          <w:szCs w:val="24"/>
          <w:lang w:val="es-ES_tradnl"/>
        </w:rPr>
      </w:pPr>
    </w:p>
    <w:p w:rsidR="00E2336B" w:rsidRDefault="00E2336B" w:rsidP="007920F7">
      <w:pPr>
        <w:pBdr>
          <w:top w:val="single" w:sz="4" w:space="1" w:color="auto"/>
          <w:left w:val="single" w:sz="4" w:space="4" w:color="auto"/>
          <w:bottom w:val="single" w:sz="4" w:space="1" w:color="auto"/>
          <w:right w:val="single" w:sz="4" w:space="4" w:color="auto"/>
        </w:pBdr>
        <w:shd w:val="clear" w:color="auto" w:fill="D9D9D9"/>
        <w:autoSpaceDE w:val="0"/>
        <w:autoSpaceDN w:val="0"/>
        <w:spacing w:line="360" w:lineRule="auto"/>
        <w:jc w:val="both"/>
        <w:rPr>
          <w:rFonts w:ascii="MinionPro-Regular" w:hAnsi="MinionPro-Regular"/>
          <w:szCs w:val="24"/>
          <w:lang w:val="es-ES_tradnl"/>
        </w:rPr>
      </w:pPr>
      <w:r w:rsidRPr="00D13173">
        <w:rPr>
          <w:rFonts w:ascii="MinionPro-Regular" w:hAnsi="MinionPro-Regular"/>
          <w:szCs w:val="24"/>
          <w:lang w:val="es-ES_tradnl"/>
        </w:rPr>
        <w:t>La determinación de la empleabilidad de una persona con discapacidad debería</w:t>
      </w:r>
      <w:r>
        <w:rPr>
          <w:rFonts w:ascii="MinionPro-Regular" w:hAnsi="MinionPro-Regular"/>
          <w:szCs w:val="24"/>
          <w:lang w:val="es-ES_tradnl"/>
        </w:rPr>
        <w:t>, tal y como se proponía anteriormente, ser responsabilidad de los servicios públicos y las unidades de apoyo y</w:t>
      </w:r>
      <w:r w:rsidRPr="00D13173">
        <w:rPr>
          <w:rFonts w:ascii="MinionPro-Regular" w:hAnsi="MinionPro-Regular"/>
          <w:szCs w:val="24"/>
          <w:lang w:val="es-ES_tradnl"/>
        </w:rPr>
        <w:t xml:space="preserve"> evaluarse al inicio</w:t>
      </w:r>
      <w:r>
        <w:rPr>
          <w:rFonts w:ascii="MinionPro-Regular" w:hAnsi="MinionPro-Regular"/>
          <w:szCs w:val="24"/>
          <w:lang w:val="es-ES_tradnl"/>
        </w:rPr>
        <w:t xml:space="preserve"> - y posteriormente de manera periódica-</w:t>
      </w:r>
      <w:r w:rsidRPr="00D13173">
        <w:rPr>
          <w:rFonts w:ascii="MinionPro-Regular" w:hAnsi="MinionPro-Regular"/>
          <w:szCs w:val="24"/>
          <w:lang w:val="es-ES_tradnl"/>
        </w:rPr>
        <w:t xml:space="preserve"> de </w:t>
      </w:r>
      <w:r>
        <w:rPr>
          <w:rFonts w:ascii="MinionPro-Regular" w:hAnsi="MinionPro-Regular"/>
          <w:szCs w:val="24"/>
          <w:lang w:val="es-ES_tradnl"/>
        </w:rPr>
        <w:t>la</w:t>
      </w:r>
      <w:r w:rsidRPr="00D13173">
        <w:rPr>
          <w:rFonts w:ascii="MinionPro-Regular" w:hAnsi="MinionPro-Regular"/>
          <w:szCs w:val="24"/>
          <w:lang w:val="es-ES_tradnl"/>
        </w:rPr>
        <w:t xml:space="preserve"> actividad profesional en el centro especial de empleo</w:t>
      </w:r>
      <w:r>
        <w:rPr>
          <w:rFonts w:ascii="MinionPro-Regular" w:hAnsi="MinionPro-Regular"/>
          <w:szCs w:val="24"/>
          <w:lang w:val="es-ES_tradnl"/>
        </w:rPr>
        <w:t xml:space="preserve">. La empleabilidad debería evaluarse  </w:t>
      </w:r>
      <w:r w:rsidRPr="00D13173">
        <w:rPr>
          <w:rFonts w:ascii="MinionPro-Regular" w:hAnsi="MinionPro-Regular"/>
          <w:szCs w:val="24"/>
          <w:lang w:val="es-ES_tradnl"/>
        </w:rPr>
        <w:t>atendiendo a factores como</w:t>
      </w:r>
      <w:r w:rsidR="0082197A">
        <w:rPr>
          <w:rFonts w:ascii="MinionPro-Regular" w:hAnsi="MinionPro-Regular"/>
          <w:szCs w:val="24"/>
          <w:lang w:val="es-ES_tradnl"/>
        </w:rPr>
        <w:t xml:space="preserve"> requerimientos y capacidades solicitadas para el puesto de trabajo,</w:t>
      </w:r>
      <w:r>
        <w:rPr>
          <w:rFonts w:ascii="MinionPro-Regular" w:hAnsi="MinionPro-Regular"/>
          <w:color w:val="FF0000"/>
          <w:szCs w:val="24"/>
          <w:lang w:val="es-ES_tradnl"/>
        </w:rPr>
        <w:t xml:space="preserve"> </w:t>
      </w:r>
      <w:r w:rsidRPr="00D13173">
        <w:rPr>
          <w:rFonts w:ascii="MinionPro-Regular" w:hAnsi="MinionPro-Regular"/>
          <w:szCs w:val="24"/>
          <w:lang w:val="es-ES_tradnl"/>
        </w:rPr>
        <w:t xml:space="preserve">capacidades de la persona con respecto a las requeridas para el desempeño de funciones similares en el empleo ordinario o </w:t>
      </w:r>
      <w:r>
        <w:rPr>
          <w:rFonts w:ascii="MinionPro-Regular" w:hAnsi="MinionPro-Regular"/>
          <w:szCs w:val="24"/>
          <w:lang w:val="es-ES_tradnl"/>
        </w:rPr>
        <w:t>los</w:t>
      </w:r>
      <w:r w:rsidRPr="00D13173">
        <w:rPr>
          <w:rFonts w:ascii="MinionPro-Regular" w:hAnsi="MinionPro-Regular"/>
          <w:szCs w:val="24"/>
          <w:lang w:val="es-ES_tradnl"/>
        </w:rPr>
        <w:t xml:space="preserve"> requerimientos habituales en ofertas de empleo</w:t>
      </w:r>
      <w:r>
        <w:rPr>
          <w:rFonts w:ascii="MinionPro-Regular" w:hAnsi="MinionPro-Regular"/>
          <w:szCs w:val="24"/>
          <w:lang w:val="es-ES_tradnl"/>
        </w:rPr>
        <w:t xml:space="preserve"> para funciones</w:t>
      </w:r>
      <w:r w:rsidR="0082197A">
        <w:rPr>
          <w:rFonts w:ascii="MinionPro-Regular" w:hAnsi="MinionPro-Regular"/>
          <w:szCs w:val="24"/>
          <w:lang w:val="es-ES_tradnl"/>
        </w:rPr>
        <w:t xml:space="preserve"> similares</w:t>
      </w:r>
      <w:r w:rsidRPr="00D13173">
        <w:rPr>
          <w:rFonts w:ascii="MinionPro-Regular" w:hAnsi="MinionPro-Regular"/>
          <w:szCs w:val="24"/>
          <w:lang w:val="es-ES_tradnl"/>
        </w:rPr>
        <w:t xml:space="preserve">, entre otros. La evaluación de la empleabilidad de las personas debería ser desarrollada por </w:t>
      </w:r>
      <w:r>
        <w:rPr>
          <w:rFonts w:ascii="MinionPro-Regular" w:hAnsi="MinionPro-Regular"/>
          <w:szCs w:val="24"/>
          <w:lang w:val="es-ES_tradnl"/>
        </w:rPr>
        <w:t>las unidades de apoyo</w:t>
      </w:r>
      <w:r w:rsidRPr="00D13173">
        <w:rPr>
          <w:rFonts w:ascii="MinionPro-Regular" w:hAnsi="MinionPro-Regular"/>
          <w:szCs w:val="24"/>
          <w:lang w:val="es-ES_tradnl"/>
        </w:rPr>
        <w:t>, definida de manera conjunta con los servicios públicos de empleo y dar lugar a</w:t>
      </w:r>
      <w:r w:rsidRPr="0082197A">
        <w:rPr>
          <w:rFonts w:ascii="MinionPro-Regular" w:hAnsi="MinionPro-Regular"/>
          <w:szCs w:val="24"/>
          <w:lang w:val="es-ES_tradnl"/>
        </w:rPr>
        <w:t xml:space="preserve"> </w:t>
      </w:r>
      <w:r w:rsidR="0082197A" w:rsidRPr="0082197A">
        <w:rPr>
          <w:rFonts w:ascii="MinionPro-Regular" w:hAnsi="MinionPro-Regular"/>
          <w:szCs w:val="24"/>
          <w:lang w:val="es-ES_tradnl"/>
        </w:rPr>
        <w:t>i</w:t>
      </w:r>
      <w:r w:rsidR="00F23441" w:rsidRPr="0082197A">
        <w:rPr>
          <w:rFonts w:ascii="MinionPro-Regular" w:hAnsi="MinionPro-Regular"/>
          <w:szCs w:val="24"/>
          <w:lang w:val="es-ES_tradnl"/>
        </w:rPr>
        <w:t>tinerarios</w:t>
      </w:r>
      <w:r>
        <w:rPr>
          <w:rFonts w:ascii="MinionPro-Regular" w:hAnsi="MinionPro-Regular"/>
          <w:color w:val="FF0000"/>
          <w:szCs w:val="24"/>
          <w:lang w:val="es-ES_tradnl"/>
        </w:rPr>
        <w:t xml:space="preserve"> </w:t>
      </w:r>
      <w:r w:rsidRPr="00D13173">
        <w:rPr>
          <w:rFonts w:ascii="MinionPro-Regular" w:hAnsi="MinionPro-Regular"/>
          <w:szCs w:val="24"/>
          <w:lang w:val="es-ES_tradnl"/>
        </w:rPr>
        <w:t xml:space="preserve">formativos que acercarán lo máximo posible a la persona a las capacidades requeridas en el empleo convencional. </w:t>
      </w:r>
    </w:p>
    <w:p w:rsidR="00E2336B" w:rsidRPr="00D13173" w:rsidRDefault="00E2336B" w:rsidP="007920F7">
      <w:pPr>
        <w:pBdr>
          <w:top w:val="single" w:sz="4" w:space="1" w:color="auto"/>
          <w:left w:val="single" w:sz="4" w:space="4" w:color="auto"/>
          <w:bottom w:val="single" w:sz="4" w:space="1" w:color="auto"/>
          <w:right w:val="single" w:sz="4" w:space="4" w:color="auto"/>
        </w:pBdr>
        <w:shd w:val="clear" w:color="auto" w:fill="D9D9D9"/>
        <w:autoSpaceDE w:val="0"/>
        <w:autoSpaceDN w:val="0"/>
        <w:spacing w:line="360" w:lineRule="auto"/>
        <w:jc w:val="both"/>
        <w:rPr>
          <w:rFonts w:ascii="MinionPro-Regular" w:hAnsi="MinionPro-Regular"/>
          <w:szCs w:val="24"/>
          <w:lang w:val="es-ES_tradnl"/>
        </w:rPr>
      </w:pPr>
    </w:p>
    <w:p w:rsidR="00E2336B" w:rsidRPr="00D13173" w:rsidRDefault="00E2336B" w:rsidP="007920F7">
      <w:pPr>
        <w:pBdr>
          <w:top w:val="single" w:sz="4" w:space="1" w:color="auto"/>
          <w:left w:val="single" w:sz="4" w:space="4" w:color="auto"/>
          <w:bottom w:val="single" w:sz="4" w:space="1" w:color="auto"/>
          <w:right w:val="single" w:sz="4" w:space="4" w:color="auto"/>
        </w:pBdr>
        <w:shd w:val="clear" w:color="auto" w:fill="D9D9D9"/>
        <w:autoSpaceDE w:val="0"/>
        <w:autoSpaceDN w:val="0"/>
        <w:spacing w:line="360" w:lineRule="auto"/>
        <w:jc w:val="both"/>
        <w:rPr>
          <w:rFonts w:ascii="MinionPro-Regular" w:hAnsi="MinionPro-Regular"/>
          <w:szCs w:val="24"/>
          <w:lang w:val="es-ES_tradnl"/>
        </w:rPr>
      </w:pPr>
      <w:r w:rsidRPr="00D13173">
        <w:rPr>
          <w:rFonts w:ascii="MinionPro-Regular" w:hAnsi="MinionPro-Regular"/>
          <w:szCs w:val="24"/>
          <w:lang w:val="es-ES_tradnl"/>
        </w:rPr>
        <w:t xml:space="preserve">Por su parte, las ayudas a la competitividad deberían estar orientadas a inversiones productivas, a la mejora de la productividad, a la internacionalización, a la formalización de alianzas y a otras iniciativas </w:t>
      </w:r>
      <w:r>
        <w:rPr>
          <w:rFonts w:ascii="MinionPro-Regular" w:hAnsi="MinionPro-Regular"/>
          <w:szCs w:val="24"/>
          <w:lang w:val="es-ES_tradnl"/>
        </w:rPr>
        <w:t xml:space="preserve">empresariales innovadoras </w:t>
      </w:r>
      <w:r w:rsidRPr="00D13173">
        <w:rPr>
          <w:rFonts w:ascii="MinionPro-Regular" w:hAnsi="MinionPro-Regular"/>
          <w:szCs w:val="24"/>
          <w:lang w:val="es-ES_tradnl"/>
        </w:rPr>
        <w:t xml:space="preserve">destinadas a mejorar la posición competitiva de los centros especiales de empleo. </w:t>
      </w:r>
    </w:p>
    <w:p w:rsidR="00E2336B" w:rsidRPr="003D5DD7" w:rsidRDefault="00E2336B" w:rsidP="003D5DD7">
      <w:pPr>
        <w:rPr>
          <w:rFonts w:ascii="MinonPro-Regular" w:hAnsi="MinonPro-Regular"/>
          <w:sz w:val="24"/>
          <w:szCs w:val="24"/>
        </w:rPr>
      </w:pPr>
      <w:r>
        <w:rPr>
          <w:rFonts w:ascii="MinionPro-Regular" w:hAnsi="MinionPro-Regular"/>
          <w:sz w:val="24"/>
          <w:szCs w:val="24"/>
          <w:lang w:val="es-ES_tradnl"/>
        </w:rPr>
        <w:br w:type="page"/>
      </w:r>
    </w:p>
    <w:p w:rsidR="00E2336B" w:rsidRPr="005F403B" w:rsidRDefault="00E2336B" w:rsidP="0007541A">
      <w:pPr>
        <w:pStyle w:val="Ttulo1"/>
        <w:numPr>
          <w:ilvl w:val="0"/>
          <w:numId w:val="3"/>
        </w:numPr>
        <w:rPr>
          <w:rFonts w:ascii="MinionPro-Regular" w:hAnsi="MinionPro-Regular"/>
          <w:lang w:val="es-ES_tradnl"/>
        </w:rPr>
      </w:pPr>
      <w:bookmarkStart w:id="505" w:name="_Toc344964155"/>
      <w:bookmarkStart w:id="506" w:name="_Toc344964156"/>
      <w:bookmarkStart w:id="507" w:name="_Toc344964157"/>
      <w:bookmarkStart w:id="508" w:name="_Toc344964158"/>
      <w:bookmarkStart w:id="509" w:name="_Toc344964159"/>
      <w:bookmarkStart w:id="510" w:name="_Toc344964160"/>
      <w:bookmarkStart w:id="511" w:name="_Toc344964167"/>
      <w:bookmarkStart w:id="512" w:name="_Toc344964168"/>
      <w:bookmarkStart w:id="513" w:name="_Toc344964169"/>
      <w:bookmarkStart w:id="514" w:name="_Toc344964170"/>
      <w:bookmarkStart w:id="515" w:name="_Toc344964171"/>
      <w:bookmarkStart w:id="516" w:name="_Toc344964172"/>
      <w:bookmarkStart w:id="517" w:name="_Toc344964173"/>
      <w:bookmarkStart w:id="518" w:name="_Toc344964174"/>
      <w:bookmarkStart w:id="519" w:name="_Toc344964175"/>
      <w:bookmarkStart w:id="520" w:name="_Toc344964176"/>
      <w:bookmarkStart w:id="521" w:name="_Toc344964177"/>
      <w:bookmarkStart w:id="522" w:name="_Toc344964178"/>
      <w:bookmarkStart w:id="523" w:name="_Toc344964179"/>
      <w:bookmarkStart w:id="524" w:name="_Toc344964180"/>
      <w:bookmarkStart w:id="525" w:name="_Toc344964181"/>
      <w:bookmarkStart w:id="526" w:name="_Toc344964182"/>
      <w:bookmarkStart w:id="527" w:name="_Toc344964183"/>
      <w:bookmarkStart w:id="528" w:name="_Toc344964184"/>
      <w:bookmarkStart w:id="529" w:name="_Toc344964185"/>
      <w:bookmarkStart w:id="530" w:name="_Toc344964186"/>
      <w:bookmarkStart w:id="531" w:name="_Toc344964187"/>
      <w:bookmarkStart w:id="532" w:name="_Toc344964188"/>
      <w:bookmarkStart w:id="533" w:name="_Toc344964189"/>
      <w:bookmarkStart w:id="534" w:name="_Toc344964190"/>
      <w:bookmarkStart w:id="535" w:name="_Toc344964191"/>
      <w:bookmarkStart w:id="536" w:name="_Toc344964192"/>
      <w:bookmarkStart w:id="537" w:name="_Toc344964193"/>
      <w:bookmarkStart w:id="538" w:name="_Toc344964194"/>
      <w:bookmarkStart w:id="539" w:name="_Toc344964195"/>
      <w:bookmarkStart w:id="540" w:name="_Toc344964196"/>
      <w:bookmarkStart w:id="541" w:name="_Toc344964197"/>
      <w:bookmarkStart w:id="542" w:name="_Toc344964198"/>
      <w:bookmarkStart w:id="543" w:name="_Toc344964199"/>
      <w:bookmarkStart w:id="544" w:name="_Toc344964200"/>
      <w:bookmarkStart w:id="545" w:name="_Toc344964201"/>
      <w:bookmarkStart w:id="546" w:name="_Toc344964202"/>
      <w:bookmarkStart w:id="547" w:name="_Toc344964203"/>
      <w:bookmarkStart w:id="548" w:name="_Toc344964204"/>
      <w:bookmarkStart w:id="549" w:name="_Toc344964205"/>
      <w:bookmarkStart w:id="550" w:name="_Toc344964206"/>
      <w:bookmarkStart w:id="551" w:name="_Toc344964207"/>
      <w:bookmarkStart w:id="552" w:name="_Toc344964208"/>
      <w:bookmarkStart w:id="553" w:name="_Toc344964209"/>
      <w:bookmarkStart w:id="554" w:name="_Toc344964210"/>
      <w:bookmarkStart w:id="555" w:name="_Toc344964211"/>
      <w:bookmarkStart w:id="556" w:name="_Toc344964212"/>
      <w:bookmarkStart w:id="557" w:name="_Toc344964213"/>
      <w:bookmarkStart w:id="558" w:name="_Toc344964214"/>
      <w:bookmarkStart w:id="559" w:name="_Toc344964215"/>
      <w:bookmarkStart w:id="560" w:name="_Toc344964216"/>
      <w:bookmarkStart w:id="561" w:name="_Toc344964217"/>
      <w:bookmarkStart w:id="562" w:name="_Toc344964218"/>
      <w:bookmarkStart w:id="563" w:name="_Toc344964219"/>
      <w:bookmarkStart w:id="564" w:name="_Toc344964220"/>
      <w:bookmarkStart w:id="565" w:name="_Toc344964221"/>
      <w:bookmarkStart w:id="566" w:name="_Toc344964222"/>
      <w:bookmarkStart w:id="567" w:name="_Toc344964223"/>
      <w:bookmarkStart w:id="568" w:name="_Toc344964224"/>
      <w:bookmarkStart w:id="569" w:name="_Toc344964225"/>
      <w:bookmarkStart w:id="570" w:name="_Toc344964226"/>
      <w:bookmarkStart w:id="571" w:name="_Toc344964227"/>
      <w:bookmarkStart w:id="572" w:name="_Toc344964228"/>
      <w:bookmarkStart w:id="573" w:name="_Toc344964229"/>
      <w:bookmarkStart w:id="574" w:name="_Toc344964230"/>
      <w:bookmarkStart w:id="575" w:name="_Toc344964231"/>
      <w:bookmarkStart w:id="576" w:name="_Toc344964232"/>
      <w:bookmarkStart w:id="577" w:name="_Toc344964233"/>
      <w:bookmarkStart w:id="578" w:name="_Toc344964234"/>
      <w:bookmarkStart w:id="579" w:name="_Toc344964235"/>
      <w:bookmarkStart w:id="580" w:name="_Toc344964236"/>
      <w:bookmarkStart w:id="581" w:name="_Toc344964237"/>
      <w:bookmarkStart w:id="582" w:name="_Toc344964238"/>
      <w:bookmarkStart w:id="583" w:name="_Toc344964239"/>
      <w:bookmarkStart w:id="584" w:name="_Toc344964240"/>
      <w:bookmarkStart w:id="585" w:name="_Toc344964241"/>
      <w:bookmarkStart w:id="586" w:name="_Toc344964242"/>
      <w:bookmarkStart w:id="587" w:name="_Toc344964243"/>
      <w:bookmarkStart w:id="588" w:name="_Toc344964244"/>
      <w:bookmarkStart w:id="589" w:name="_Toc344964245"/>
      <w:bookmarkStart w:id="590" w:name="_Toc344964246"/>
      <w:bookmarkStart w:id="591" w:name="_Toc344964247"/>
      <w:bookmarkStart w:id="592" w:name="_Toc344964248"/>
      <w:bookmarkStart w:id="593" w:name="_Toc344964249"/>
      <w:bookmarkStart w:id="594" w:name="_Toc344964250"/>
      <w:bookmarkStart w:id="595" w:name="_Toc344964256"/>
      <w:bookmarkStart w:id="596" w:name="_Toc344964259"/>
      <w:bookmarkStart w:id="597" w:name="_Toc344964265"/>
      <w:bookmarkStart w:id="598" w:name="_Toc344964271"/>
      <w:bookmarkStart w:id="599" w:name="_Toc340477612"/>
      <w:bookmarkStart w:id="600" w:name="_Toc352773622"/>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r w:rsidRPr="005F403B">
        <w:rPr>
          <w:rFonts w:ascii="MinionPro-Regular" w:hAnsi="MinionPro-Regular"/>
          <w:lang w:val="es-ES_tradnl"/>
        </w:rPr>
        <w:lastRenderedPageBreak/>
        <w:t>Bibliografía</w:t>
      </w:r>
      <w:bookmarkEnd w:id="600"/>
    </w:p>
    <w:p w:rsidR="00E2336B" w:rsidRDefault="00E2336B" w:rsidP="00424E91">
      <w:pPr>
        <w:pStyle w:val="Textoindependiente"/>
        <w:rPr>
          <w:rFonts w:ascii="MinionPro-Regular" w:hAnsi="MinionPro-Regular"/>
          <w:sz w:val="24"/>
          <w:lang w:val="es-ES_tradnl"/>
        </w:rPr>
      </w:pPr>
    </w:p>
    <w:p w:rsidR="00E2336B" w:rsidRDefault="00E2336B" w:rsidP="00424E91">
      <w:pPr>
        <w:pStyle w:val="Textoindependiente"/>
        <w:spacing w:line="360" w:lineRule="auto"/>
        <w:rPr>
          <w:rFonts w:ascii="MinionPro-Regular" w:hAnsi="MinionPro-Regular"/>
          <w:sz w:val="24"/>
          <w:szCs w:val="24"/>
          <w:lang w:val="en-US"/>
        </w:rPr>
      </w:pPr>
      <w:r w:rsidRPr="00827152">
        <w:rPr>
          <w:rFonts w:ascii="MinionPro-Regular" w:hAnsi="MinionPro-Regular"/>
          <w:sz w:val="24"/>
          <w:szCs w:val="24"/>
          <w:lang w:val="en-US"/>
        </w:rPr>
        <w:t>Adema, W., Fron P., y Ladaique M. (2011): “</w:t>
      </w:r>
      <w:r>
        <w:rPr>
          <w:rFonts w:ascii="MinionPro-Regular" w:hAnsi="MinionPro-Regular"/>
          <w:sz w:val="24"/>
          <w:szCs w:val="24"/>
          <w:lang w:val="en-US"/>
        </w:rPr>
        <w:t>I</w:t>
      </w:r>
      <w:r w:rsidRPr="00827152">
        <w:rPr>
          <w:rFonts w:ascii="MinionPro-Regular" w:hAnsi="MinionPro-Regular"/>
          <w:sz w:val="24"/>
          <w:szCs w:val="24"/>
          <w:lang w:val="en-US"/>
        </w:rPr>
        <w:t xml:space="preserve">s the European Welfare State really more expensive?: Indicators on Social Spending, 1980-2012; and a Manual to the OECD Social expenditure Database”, </w:t>
      </w:r>
      <w:r w:rsidRPr="00827152">
        <w:rPr>
          <w:rFonts w:ascii="MinionPro-Regular" w:hAnsi="MinionPro-Regular"/>
          <w:i/>
          <w:sz w:val="24"/>
          <w:szCs w:val="24"/>
          <w:lang w:val="en-US"/>
        </w:rPr>
        <w:t>OECD Social, Employment and Migration Working Papers</w:t>
      </w:r>
      <w:r w:rsidRPr="00827152">
        <w:rPr>
          <w:rFonts w:ascii="MinionPro-Regular" w:hAnsi="MinionPro-Regular"/>
          <w:sz w:val="24"/>
          <w:szCs w:val="24"/>
          <w:lang w:val="en-US"/>
        </w:rPr>
        <w:t xml:space="preserve">, No. 124, OECD Publishing. </w:t>
      </w:r>
    </w:p>
    <w:p w:rsidR="00E2336B" w:rsidRDefault="00E2336B" w:rsidP="00424E91">
      <w:pPr>
        <w:pStyle w:val="Textoindependiente"/>
        <w:spacing w:line="360" w:lineRule="auto"/>
        <w:rPr>
          <w:rFonts w:ascii="MinionPro-Regular" w:hAnsi="MinionPro-Regular"/>
          <w:sz w:val="24"/>
          <w:szCs w:val="24"/>
          <w:lang w:val="es-ES_tradnl"/>
        </w:rPr>
      </w:pPr>
      <w:r>
        <w:rPr>
          <w:rFonts w:ascii="MinionPro-Regular" w:hAnsi="MinionPro-Regular"/>
          <w:sz w:val="24"/>
          <w:szCs w:val="24"/>
          <w:lang w:val="es-ES_tradnl"/>
        </w:rPr>
        <w:t>Barea, J., y J.L. Monzón</w:t>
      </w:r>
      <w:r w:rsidRPr="00951F0E">
        <w:rPr>
          <w:rFonts w:ascii="MinionPro-Regular" w:hAnsi="MinionPro-Regular"/>
          <w:sz w:val="24"/>
          <w:szCs w:val="24"/>
          <w:lang w:val="es-ES_tradnl"/>
        </w:rPr>
        <w:t xml:space="preserve"> (2008): </w:t>
      </w:r>
      <w:r w:rsidRPr="00951F0E">
        <w:rPr>
          <w:rFonts w:ascii="MinionPro-Regular" w:hAnsi="MinionPro-Regular"/>
          <w:i/>
          <w:sz w:val="24"/>
          <w:szCs w:val="24"/>
          <w:lang w:val="es-ES_tradnl"/>
        </w:rPr>
        <w:t>Economía social e inserción laboral de las personas con discapacidad en el País Vasco</w:t>
      </w:r>
      <w:r w:rsidRPr="00951F0E">
        <w:rPr>
          <w:rFonts w:ascii="MinionPro-Regular" w:hAnsi="MinionPro-Regular"/>
          <w:sz w:val="24"/>
          <w:szCs w:val="24"/>
          <w:lang w:val="es-ES_tradnl"/>
        </w:rPr>
        <w:t>, Bilbao: Fundación BBVA.</w:t>
      </w:r>
    </w:p>
    <w:p w:rsidR="00D04B7D" w:rsidRDefault="00D04B7D" w:rsidP="00424E91">
      <w:pPr>
        <w:pStyle w:val="Textoindependiente"/>
        <w:spacing w:line="360" w:lineRule="auto"/>
        <w:rPr>
          <w:rFonts w:ascii="MinionPro-Regular" w:hAnsi="MinionPro-Regular"/>
          <w:sz w:val="24"/>
          <w:szCs w:val="24"/>
          <w:lang w:val="es-ES_tradnl"/>
        </w:rPr>
      </w:pPr>
      <w:r>
        <w:rPr>
          <w:rFonts w:ascii="MinionPro-Regular" w:hAnsi="MinionPro-Regular"/>
          <w:sz w:val="24"/>
          <w:szCs w:val="24"/>
          <w:lang w:val="es-ES_tradnl"/>
        </w:rPr>
        <w:t xml:space="preserve">CEPES (2011), </w:t>
      </w:r>
      <w:r w:rsidR="00E86451" w:rsidRPr="00E86451">
        <w:rPr>
          <w:rFonts w:ascii="MinionPro-Regular" w:hAnsi="MinionPro-Regular"/>
          <w:i/>
          <w:sz w:val="24"/>
          <w:szCs w:val="24"/>
          <w:lang w:val="es-ES_tradnl"/>
        </w:rPr>
        <w:t>El impacto socioeconómico de las entidades de economía social.</w:t>
      </w:r>
      <w:r>
        <w:rPr>
          <w:rFonts w:ascii="MinionPro-Regular" w:hAnsi="MinionPro-Regular"/>
          <w:sz w:val="24"/>
          <w:szCs w:val="24"/>
          <w:lang w:val="es-ES_tradnl"/>
        </w:rPr>
        <w:t xml:space="preserve"> </w:t>
      </w:r>
    </w:p>
    <w:p w:rsidR="00E2336B" w:rsidRDefault="00E2336B" w:rsidP="00424E91">
      <w:pPr>
        <w:pStyle w:val="Textoindependiente"/>
        <w:spacing w:line="360" w:lineRule="auto"/>
        <w:rPr>
          <w:rFonts w:ascii="MinionPro-Regular" w:hAnsi="MinionPro-Regular"/>
          <w:sz w:val="24"/>
          <w:szCs w:val="24"/>
          <w:lang w:val="es-ES_tradnl"/>
        </w:rPr>
      </w:pPr>
      <w:r>
        <w:rPr>
          <w:rFonts w:ascii="MinionPro-Regular" w:hAnsi="MinionPro-Regular"/>
          <w:sz w:val="24"/>
          <w:szCs w:val="24"/>
          <w:lang w:val="es-ES_tradnl"/>
        </w:rPr>
        <w:t xml:space="preserve">CIRIEC Venezuela (2003), Las cooperativas sociales o de solidaridad. </w:t>
      </w:r>
      <w:r w:rsidRPr="004129F2">
        <w:rPr>
          <w:rFonts w:ascii="MinionPro-Regular" w:hAnsi="MinionPro-Regular"/>
          <w:i/>
          <w:sz w:val="24"/>
          <w:szCs w:val="24"/>
          <w:lang w:val="es-ES_tradnl"/>
        </w:rPr>
        <w:t>Cayapa, Revista Venezolana de Economía Social</w:t>
      </w:r>
      <w:r>
        <w:rPr>
          <w:rFonts w:ascii="MinionPro-Regular" w:hAnsi="MinionPro-Regular"/>
          <w:i/>
          <w:sz w:val="24"/>
          <w:szCs w:val="24"/>
          <w:lang w:val="es-ES_tradnl"/>
        </w:rPr>
        <w:t xml:space="preserve">, </w:t>
      </w:r>
      <w:r>
        <w:rPr>
          <w:rFonts w:ascii="MinionPro-Regular" w:hAnsi="MinionPro-Regular"/>
          <w:sz w:val="24"/>
          <w:szCs w:val="24"/>
          <w:lang w:val="es-ES_tradnl"/>
        </w:rPr>
        <w:t>Mérida (Venezuela), Vol.3 Núm. 006.</w:t>
      </w:r>
    </w:p>
    <w:p w:rsidR="00E2336B" w:rsidRPr="004129F2" w:rsidRDefault="00E2336B" w:rsidP="00424E91">
      <w:pPr>
        <w:pStyle w:val="Textoindependiente"/>
        <w:spacing w:line="360" w:lineRule="auto"/>
        <w:rPr>
          <w:rFonts w:ascii="MinionPro-Regular" w:hAnsi="MinionPro-Regular"/>
          <w:sz w:val="24"/>
          <w:szCs w:val="24"/>
          <w:lang w:val="es-ES_tradnl"/>
        </w:rPr>
      </w:pPr>
      <w:r>
        <w:rPr>
          <w:rFonts w:ascii="MinionPro-Regular" w:hAnsi="MinionPro-Regular"/>
          <w:sz w:val="24"/>
          <w:szCs w:val="24"/>
          <w:lang w:val="es-ES_tradnl"/>
        </w:rPr>
        <w:t xml:space="preserve">Comisión Europea, Parlamento y Consejo (2000): </w:t>
      </w:r>
      <w:r w:rsidRPr="005611E0">
        <w:rPr>
          <w:rFonts w:ascii="MinionPro-Regular" w:hAnsi="MinionPro-Regular"/>
          <w:i/>
          <w:sz w:val="24"/>
          <w:szCs w:val="24"/>
          <w:lang w:val="es-ES_tradnl"/>
        </w:rPr>
        <w:t>Carta de los Derechos Fundamentales de la Unión Europea</w:t>
      </w:r>
      <w:r>
        <w:rPr>
          <w:rFonts w:ascii="MinionPro-Regular" w:hAnsi="MinionPro-Regular"/>
          <w:sz w:val="24"/>
          <w:szCs w:val="24"/>
          <w:lang w:val="es-ES_tradnl"/>
        </w:rPr>
        <w:t>, Diario Oficial de las Comunidades Europeas.</w:t>
      </w:r>
    </w:p>
    <w:p w:rsidR="00E2336B" w:rsidRDefault="00E2336B" w:rsidP="00424E91">
      <w:pPr>
        <w:pStyle w:val="Textoindependiente"/>
        <w:spacing w:line="360" w:lineRule="auto"/>
        <w:rPr>
          <w:rFonts w:ascii="MinionPro-Regular" w:hAnsi="MinionPro-Regular"/>
          <w:sz w:val="24"/>
          <w:szCs w:val="24"/>
          <w:lang w:val="es-ES_tradnl"/>
        </w:rPr>
      </w:pPr>
      <w:r w:rsidRPr="00827152">
        <w:rPr>
          <w:rFonts w:ascii="MinionPro-Regular" w:hAnsi="MinionPro-Regular"/>
          <w:sz w:val="24"/>
          <w:szCs w:val="24"/>
          <w:lang w:val="es-ES_tradnl"/>
        </w:rPr>
        <w:t>Comisión Europea (200</w:t>
      </w:r>
      <w:r>
        <w:rPr>
          <w:rFonts w:ascii="MinionPro-Regular" w:hAnsi="MinionPro-Regular"/>
          <w:sz w:val="24"/>
          <w:szCs w:val="24"/>
          <w:lang w:val="es-ES_tradnl"/>
        </w:rPr>
        <w:t>4</w:t>
      </w:r>
      <w:r w:rsidRPr="00827152">
        <w:rPr>
          <w:rFonts w:ascii="MinionPro-Regular" w:hAnsi="MinionPro-Regular"/>
          <w:sz w:val="24"/>
          <w:szCs w:val="24"/>
          <w:lang w:val="es-ES_tradnl"/>
        </w:rPr>
        <w:t xml:space="preserve">): </w:t>
      </w:r>
      <w:r w:rsidRPr="00827152">
        <w:rPr>
          <w:rFonts w:ascii="MinionPro-Regular" w:hAnsi="MinionPro-Regular"/>
          <w:i/>
          <w:sz w:val="24"/>
          <w:szCs w:val="24"/>
          <w:lang w:val="es-ES_tradnl"/>
        </w:rPr>
        <w:t>Active Labour Market Programmes for People with disabilities</w:t>
      </w:r>
      <w:r w:rsidRPr="00827152">
        <w:rPr>
          <w:rFonts w:ascii="MinionPro-Regular" w:hAnsi="MinionPro-Regular"/>
          <w:sz w:val="24"/>
          <w:szCs w:val="24"/>
          <w:lang w:val="es-ES_tradnl"/>
        </w:rPr>
        <w:t>, Dirección General de Empleo y Asuntos Sociales.</w:t>
      </w:r>
    </w:p>
    <w:p w:rsidR="00E2336B" w:rsidRPr="005C0877" w:rsidRDefault="00E2336B" w:rsidP="0007541A">
      <w:pPr>
        <w:pStyle w:val="Textoindependiente"/>
        <w:numPr>
          <w:ilvl w:val="0"/>
          <w:numId w:val="18"/>
        </w:numPr>
        <w:spacing w:line="360" w:lineRule="auto"/>
        <w:rPr>
          <w:rFonts w:ascii="MinionPro-Regular" w:hAnsi="MinionPro-Regular"/>
          <w:sz w:val="24"/>
          <w:szCs w:val="24"/>
          <w:lang w:val="en-US"/>
        </w:rPr>
      </w:pPr>
      <w:r w:rsidRPr="005C0877">
        <w:rPr>
          <w:rFonts w:ascii="MinionPro-Regular" w:hAnsi="MinionPro-Regular"/>
          <w:sz w:val="24"/>
          <w:szCs w:val="24"/>
          <w:lang w:val="en-US"/>
        </w:rPr>
        <w:t xml:space="preserve">(2008): </w:t>
      </w:r>
      <w:r w:rsidRPr="005C0877">
        <w:rPr>
          <w:rFonts w:ascii="MinionPro-Regular" w:hAnsi="MinionPro-Regular"/>
          <w:i/>
          <w:sz w:val="24"/>
          <w:szCs w:val="24"/>
          <w:lang w:val="en-US"/>
        </w:rPr>
        <w:t>Quality in and equality of access to healthcare services</w:t>
      </w:r>
      <w:r>
        <w:rPr>
          <w:rFonts w:ascii="MinionPro-Regular" w:hAnsi="MinionPro-Regular"/>
          <w:sz w:val="24"/>
          <w:szCs w:val="24"/>
          <w:lang w:val="en-US"/>
        </w:rPr>
        <w:t xml:space="preserve">, </w:t>
      </w:r>
      <w:r w:rsidRPr="005C0877">
        <w:rPr>
          <w:rFonts w:ascii="MinionPro-Regular" w:hAnsi="MinionPro-Regular"/>
          <w:sz w:val="24"/>
          <w:szCs w:val="24"/>
          <w:lang w:val="en-US"/>
        </w:rPr>
        <w:t>Dirección General de Empleo y Asuntos Sociales.</w:t>
      </w:r>
    </w:p>
    <w:p w:rsidR="00E2336B" w:rsidRDefault="00E2336B" w:rsidP="0007541A">
      <w:pPr>
        <w:pStyle w:val="Textoindependiente"/>
        <w:numPr>
          <w:ilvl w:val="0"/>
          <w:numId w:val="18"/>
        </w:numPr>
        <w:spacing w:line="360" w:lineRule="auto"/>
        <w:rPr>
          <w:rFonts w:ascii="MinionPro-Regular" w:hAnsi="MinionPro-Regular"/>
          <w:sz w:val="24"/>
          <w:szCs w:val="24"/>
          <w:lang w:val="es-ES_tradnl"/>
        </w:rPr>
      </w:pPr>
      <w:r w:rsidRPr="005C0877">
        <w:rPr>
          <w:rFonts w:ascii="MinionPro-Regular" w:hAnsi="MinionPro-Regular"/>
          <w:sz w:val="24"/>
          <w:szCs w:val="24"/>
          <w:lang w:val="en-US"/>
        </w:rPr>
        <w:t xml:space="preserve"> </w:t>
      </w:r>
      <w:r>
        <w:rPr>
          <w:rFonts w:ascii="MinionPro-Regular" w:hAnsi="MinionPro-Regular"/>
          <w:sz w:val="24"/>
          <w:szCs w:val="24"/>
          <w:lang w:val="es-ES_tradnl"/>
        </w:rPr>
        <w:t>(2010): Estrategia Europea de Discapacidad 2010-2020: Un compromiso renovado para una Europa sin barreras.</w:t>
      </w:r>
    </w:p>
    <w:p w:rsidR="00E2336B" w:rsidRDefault="00E2336B" w:rsidP="00424E91">
      <w:pPr>
        <w:pStyle w:val="Textoindependiente"/>
        <w:spacing w:line="360" w:lineRule="auto"/>
        <w:rPr>
          <w:rFonts w:ascii="MinionPro-Regular" w:hAnsi="MinionPro-Regular"/>
          <w:sz w:val="24"/>
          <w:szCs w:val="24"/>
          <w:lang w:val="es-ES_tradnl"/>
        </w:rPr>
      </w:pPr>
      <w:r>
        <w:rPr>
          <w:rFonts w:ascii="MinionPro-Regular" w:hAnsi="MinionPro-Regular"/>
          <w:sz w:val="24"/>
          <w:szCs w:val="24"/>
          <w:lang w:val="es-ES_tradnl"/>
        </w:rPr>
        <w:t xml:space="preserve">Comité Español de Representantes de Personas con Discapacidad (CERMI), (2003): Discapacidad y exclusión social en la Unión Europea. Tiempo de cambio, herramientas para el cambio. </w:t>
      </w:r>
      <w:r w:rsidRPr="003D6D26">
        <w:rPr>
          <w:rFonts w:ascii="MinionPro-Regular" w:hAnsi="MinionPro-Regular"/>
          <w:i/>
          <w:sz w:val="24"/>
          <w:szCs w:val="24"/>
          <w:lang w:val="es-ES_tradnl"/>
        </w:rPr>
        <w:t>Colección CERMI</w:t>
      </w:r>
      <w:r>
        <w:rPr>
          <w:rFonts w:ascii="MinionPro-Regular" w:hAnsi="MinionPro-Regular"/>
          <w:sz w:val="24"/>
          <w:szCs w:val="24"/>
          <w:lang w:val="es-ES_tradnl"/>
        </w:rPr>
        <w:t>, nº7.</w:t>
      </w:r>
    </w:p>
    <w:p w:rsidR="00E2336B" w:rsidRDefault="00E2336B" w:rsidP="00424E91">
      <w:pPr>
        <w:pStyle w:val="Textoindependiente"/>
        <w:spacing w:line="360" w:lineRule="auto"/>
        <w:rPr>
          <w:rFonts w:ascii="MinionPro-Regular" w:hAnsi="MinionPro-Regular"/>
          <w:sz w:val="24"/>
          <w:szCs w:val="24"/>
          <w:lang w:val="es-ES_tradnl"/>
        </w:rPr>
      </w:pPr>
      <w:r>
        <w:rPr>
          <w:rFonts w:ascii="MinionPro-Regular" w:hAnsi="MinionPro-Regular"/>
          <w:sz w:val="24"/>
          <w:szCs w:val="24"/>
          <w:lang w:val="es-ES_tradnl"/>
        </w:rPr>
        <w:lastRenderedPageBreak/>
        <w:t xml:space="preserve">Confederación Española de Asociaciones a favor de las Personas con Discapacidad Intelectual, FEAPS (2009), </w:t>
      </w:r>
      <w:r w:rsidRPr="003E0770">
        <w:rPr>
          <w:rFonts w:ascii="MinionPro-Regular" w:hAnsi="MinionPro-Regular"/>
          <w:i/>
          <w:sz w:val="24"/>
          <w:szCs w:val="24"/>
          <w:lang w:val="es-ES_tradnl"/>
        </w:rPr>
        <w:t>Estudio del sobreesfuerzo económico que la discapacidad intelectual ocasiona en la familia en España</w:t>
      </w:r>
      <w:r>
        <w:rPr>
          <w:rFonts w:ascii="MinionPro-Regular" w:hAnsi="MinionPro-Regular"/>
          <w:sz w:val="24"/>
          <w:szCs w:val="24"/>
          <w:lang w:val="es-ES_tradnl"/>
        </w:rPr>
        <w:t>, Madrid: FEAPS.</w:t>
      </w:r>
    </w:p>
    <w:p w:rsidR="00E2336B" w:rsidRDefault="00E2336B" w:rsidP="00424E91">
      <w:pPr>
        <w:pStyle w:val="Textoindependiente"/>
        <w:spacing w:line="360" w:lineRule="auto"/>
        <w:rPr>
          <w:rFonts w:ascii="MinionPro-Regular" w:hAnsi="MinionPro-Regular"/>
          <w:sz w:val="24"/>
          <w:szCs w:val="24"/>
          <w:lang w:val="en-US"/>
        </w:rPr>
      </w:pPr>
      <w:r>
        <w:rPr>
          <w:rFonts w:ascii="MinionPro-Regular" w:hAnsi="MinionPro-Regular"/>
          <w:sz w:val="24"/>
          <w:szCs w:val="24"/>
          <w:lang w:val="en-US"/>
        </w:rPr>
        <w:t xml:space="preserve">Disability Italian Network (2009), </w:t>
      </w:r>
      <w:r w:rsidRPr="004129F2">
        <w:rPr>
          <w:rFonts w:ascii="MinionPro-Regular" w:hAnsi="MinionPro-Regular"/>
          <w:i/>
          <w:sz w:val="24"/>
          <w:szCs w:val="24"/>
          <w:lang w:val="en-US"/>
        </w:rPr>
        <w:t>Italy-ANED country profile</w:t>
      </w:r>
      <w:r>
        <w:rPr>
          <w:rFonts w:ascii="MinionPro-Regular" w:hAnsi="MinionPro-Regular"/>
          <w:sz w:val="24"/>
          <w:szCs w:val="24"/>
          <w:lang w:val="en-US"/>
        </w:rPr>
        <w:t>, Academic of European Disability experts (ANED).</w:t>
      </w:r>
    </w:p>
    <w:p w:rsidR="00E2336B" w:rsidRDefault="00E2336B" w:rsidP="004129F2">
      <w:pPr>
        <w:pStyle w:val="Textoindependiente"/>
        <w:spacing w:line="360" w:lineRule="auto"/>
        <w:rPr>
          <w:rFonts w:ascii="MinionPro-Regular" w:hAnsi="MinionPro-Regular"/>
          <w:sz w:val="24"/>
          <w:szCs w:val="24"/>
          <w:lang w:val="en-US"/>
        </w:rPr>
      </w:pPr>
      <w:r>
        <w:rPr>
          <w:rFonts w:ascii="MinionPro-Regular" w:hAnsi="MinionPro-Regular"/>
          <w:sz w:val="24"/>
          <w:szCs w:val="24"/>
          <w:lang w:val="en-US"/>
        </w:rPr>
        <w:t xml:space="preserve">Disability Studies Association (2009), </w:t>
      </w:r>
      <w:r w:rsidRPr="004129F2">
        <w:rPr>
          <w:rFonts w:ascii="MinionPro-Regular" w:hAnsi="MinionPro-Regular"/>
          <w:i/>
          <w:sz w:val="24"/>
          <w:szCs w:val="24"/>
          <w:lang w:val="en-US"/>
        </w:rPr>
        <w:t>United Kingdom-ANED</w:t>
      </w:r>
      <w:r>
        <w:rPr>
          <w:rFonts w:ascii="MinionPro-Regular" w:hAnsi="MinionPro-Regular"/>
          <w:sz w:val="24"/>
          <w:szCs w:val="24"/>
          <w:lang w:val="en-US"/>
        </w:rPr>
        <w:t xml:space="preserve"> </w:t>
      </w:r>
      <w:r w:rsidRPr="004129F2">
        <w:rPr>
          <w:rFonts w:ascii="MinionPro-Regular" w:hAnsi="MinionPro-Regular"/>
          <w:i/>
          <w:sz w:val="24"/>
          <w:szCs w:val="24"/>
          <w:lang w:val="en-US"/>
        </w:rPr>
        <w:t>country profile</w:t>
      </w:r>
      <w:r>
        <w:rPr>
          <w:rFonts w:ascii="MinionPro-Regular" w:hAnsi="MinionPro-Regular"/>
          <w:sz w:val="24"/>
          <w:szCs w:val="24"/>
          <w:lang w:val="en-US"/>
        </w:rPr>
        <w:t>, Academic of European Disability experts (ANED).</w:t>
      </w:r>
    </w:p>
    <w:p w:rsidR="00E2336B" w:rsidRDefault="00E2336B" w:rsidP="00424E91">
      <w:pPr>
        <w:pStyle w:val="Textoindependiente"/>
        <w:spacing w:line="360" w:lineRule="auto"/>
        <w:rPr>
          <w:rFonts w:ascii="MinionPro-Regular" w:hAnsi="MinionPro-Regular"/>
          <w:sz w:val="24"/>
          <w:szCs w:val="24"/>
          <w:lang w:val="en-US"/>
        </w:rPr>
      </w:pPr>
      <w:r>
        <w:rPr>
          <w:rFonts w:ascii="MinionPro-Regular" w:hAnsi="MinionPro-Regular"/>
          <w:sz w:val="24"/>
          <w:szCs w:val="24"/>
          <w:lang w:val="en-US"/>
        </w:rPr>
        <w:t xml:space="preserve">Equal Employment Opportunity Commission (2005): </w:t>
      </w:r>
      <w:r w:rsidRPr="000607C5">
        <w:rPr>
          <w:rFonts w:ascii="MinionPro-Regular" w:hAnsi="MinionPro-Regular"/>
          <w:i/>
          <w:sz w:val="24"/>
          <w:szCs w:val="24"/>
          <w:lang w:val="en-US"/>
        </w:rPr>
        <w:t>Best practices for the employment of people with disabilities in State Government</w:t>
      </w:r>
      <w:r>
        <w:rPr>
          <w:rFonts w:ascii="MinionPro-Regular" w:hAnsi="MinionPro-Regular"/>
          <w:sz w:val="24"/>
          <w:szCs w:val="24"/>
          <w:lang w:val="en-US"/>
        </w:rPr>
        <w:t>, Estados Unidos: Office of Legal Counsel.</w:t>
      </w:r>
    </w:p>
    <w:p w:rsidR="00E2336B" w:rsidRDefault="00E2336B" w:rsidP="00424E91">
      <w:pPr>
        <w:pStyle w:val="Textoindependiente"/>
        <w:spacing w:line="360" w:lineRule="auto"/>
        <w:rPr>
          <w:rFonts w:ascii="MinionPro-Regular" w:hAnsi="MinionPro-Regular"/>
          <w:sz w:val="24"/>
          <w:szCs w:val="24"/>
          <w:lang w:val="en-US"/>
        </w:rPr>
      </w:pPr>
      <w:r>
        <w:rPr>
          <w:rFonts w:ascii="MinionPro-Regular" w:hAnsi="MinionPro-Regular"/>
          <w:sz w:val="24"/>
          <w:szCs w:val="24"/>
          <w:lang w:val="en-US"/>
        </w:rPr>
        <w:t xml:space="preserve">European Foundation Centre (2012): </w:t>
      </w:r>
      <w:r w:rsidRPr="00455028">
        <w:rPr>
          <w:rFonts w:ascii="MinionPro-Regular" w:hAnsi="MinionPro-Regular"/>
          <w:i/>
          <w:sz w:val="24"/>
          <w:szCs w:val="24"/>
          <w:lang w:val="en-US"/>
        </w:rPr>
        <w:t>Assessing the impact of European Governments’ austerity plans on the rights of people with disabilities</w:t>
      </w:r>
      <w:r>
        <w:rPr>
          <w:rFonts w:ascii="MinionPro-Regular" w:hAnsi="MinionPro-Regular"/>
          <w:sz w:val="24"/>
          <w:szCs w:val="24"/>
          <w:lang w:val="en-US"/>
        </w:rPr>
        <w:t>.</w:t>
      </w:r>
    </w:p>
    <w:p w:rsidR="00E2336B" w:rsidRDefault="00E2336B" w:rsidP="00424E91">
      <w:pPr>
        <w:pStyle w:val="Textoindependiente"/>
        <w:spacing w:line="360" w:lineRule="auto"/>
        <w:rPr>
          <w:rFonts w:ascii="MinionPro-Regular" w:hAnsi="MinionPro-Regular"/>
          <w:sz w:val="24"/>
          <w:szCs w:val="24"/>
          <w:lang w:val="en-US"/>
        </w:rPr>
      </w:pPr>
      <w:r>
        <w:rPr>
          <w:rFonts w:ascii="MinionPro-Regular" w:hAnsi="MinionPro-Regular"/>
          <w:sz w:val="24"/>
          <w:szCs w:val="24"/>
          <w:lang w:val="en-US"/>
        </w:rPr>
        <w:t>Grammenos, S. (2003): Illness, disability and social inclusion, Brussels: European Foundation for the Improvement of Living and Working Conditions.</w:t>
      </w:r>
    </w:p>
    <w:p w:rsidR="00E2336B" w:rsidRDefault="00E2336B" w:rsidP="0007541A">
      <w:pPr>
        <w:pStyle w:val="Textoindependiente"/>
        <w:numPr>
          <w:ilvl w:val="0"/>
          <w:numId w:val="18"/>
        </w:numPr>
        <w:spacing w:line="360" w:lineRule="auto"/>
        <w:rPr>
          <w:rFonts w:ascii="MinionPro-Regular" w:hAnsi="MinionPro-Regular"/>
          <w:sz w:val="24"/>
          <w:szCs w:val="24"/>
          <w:lang w:val="en-US"/>
        </w:rPr>
      </w:pPr>
      <w:r w:rsidRPr="004B4E97">
        <w:rPr>
          <w:rFonts w:ascii="MinionPro-Regular" w:hAnsi="MinionPro-Regular"/>
          <w:sz w:val="24"/>
          <w:szCs w:val="24"/>
          <w:lang w:val="en-US"/>
        </w:rPr>
        <w:t xml:space="preserve">(2011): </w:t>
      </w:r>
      <w:r w:rsidRPr="004B4E97">
        <w:rPr>
          <w:rFonts w:ascii="MinionPro-Regular" w:hAnsi="MinionPro-Regular"/>
          <w:i/>
          <w:sz w:val="24"/>
          <w:szCs w:val="24"/>
          <w:lang w:val="en-US"/>
        </w:rPr>
        <w:t>Indicators of disability equality in Europe</w:t>
      </w:r>
      <w:r>
        <w:rPr>
          <w:rFonts w:ascii="MinionPro-Regular" w:hAnsi="MinionPro-Regular"/>
          <w:sz w:val="24"/>
          <w:szCs w:val="24"/>
          <w:lang w:val="en-US"/>
        </w:rPr>
        <w:t>, Academic Network of European Disability experts (ANED).</w:t>
      </w:r>
    </w:p>
    <w:p w:rsidR="00E2336B" w:rsidRDefault="00E2336B" w:rsidP="00424E91">
      <w:pPr>
        <w:pStyle w:val="Textoindependiente"/>
        <w:spacing w:line="360" w:lineRule="auto"/>
        <w:rPr>
          <w:rFonts w:ascii="MinionPro-Regular" w:hAnsi="MinionPro-Regular"/>
          <w:sz w:val="24"/>
          <w:szCs w:val="24"/>
          <w:lang w:val="en-US"/>
        </w:rPr>
      </w:pPr>
      <w:r>
        <w:rPr>
          <w:rFonts w:ascii="MinionPro-Regular" w:hAnsi="MinionPro-Regular"/>
          <w:sz w:val="24"/>
          <w:szCs w:val="24"/>
          <w:lang w:val="en-US"/>
        </w:rPr>
        <w:t>Greve, B. (2009): The labour market situation of disabled people in European countries and implementation of employment policies: a summary of evidence from country reports and research studies, Dinamarca: Academic Network of European Disability experts (ANED).</w:t>
      </w:r>
    </w:p>
    <w:p w:rsidR="00E2336B" w:rsidRPr="00762C73" w:rsidRDefault="00E2336B" w:rsidP="00424E91">
      <w:pPr>
        <w:pStyle w:val="Textoindependiente"/>
        <w:spacing w:line="360" w:lineRule="auto"/>
        <w:rPr>
          <w:rFonts w:ascii="MinionPro-Regular" w:hAnsi="MinionPro-Regular"/>
          <w:sz w:val="24"/>
          <w:szCs w:val="24"/>
          <w:lang w:val="es-ES_tradnl"/>
        </w:rPr>
      </w:pPr>
      <w:r w:rsidRPr="00762C73">
        <w:rPr>
          <w:rFonts w:ascii="MinionPro-Regular" w:hAnsi="MinionPro-Regular"/>
          <w:sz w:val="24"/>
          <w:szCs w:val="24"/>
          <w:lang w:val="es-ES_tradnl"/>
        </w:rPr>
        <w:t>Guillén Gestoso, C. y Contreras C</w:t>
      </w:r>
      <w:r>
        <w:rPr>
          <w:rFonts w:ascii="MinionPro-Regular" w:hAnsi="MinionPro-Regular"/>
          <w:sz w:val="24"/>
          <w:szCs w:val="24"/>
          <w:lang w:val="es-ES_tradnl"/>
        </w:rPr>
        <w:t xml:space="preserve">hamorro, R: </w:t>
      </w:r>
      <w:r w:rsidRPr="00762C73">
        <w:rPr>
          <w:rFonts w:ascii="MinionPro-Regular" w:hAnsi="MinionPro-Regular"/>
          <w:i/>
          <w:sz w:val="24"/>
          <w:szCs w:val="24"/>
          <w:lang w:val="es-ES_tradnl"/>
        </w:rPr>
        <w:t>Discapacitados y empresas: un análisis de la productividad, el coste de oportunidad desconocido</w:t>
      </w:r>
      <w:r>
        <w:rPr>
          <w:rFonts w:ascii="MinionPro-Regular" w:hAnsi="MinionPro-Regular"/>
          <w:sz w:val="24"/>
          <w:szCs w:val="24"/>
          <w:lang w:val="es-ES_tradnl"/>
        </w:rPr>
        <w:t>: Fundación Mapfre.</w:t>
      </w:r>
    </w:p>
    <w:p w:rsidR="00E2336B" w:rsidRPr="004B4E97" w:rsidRDefault="00E2336B" w:rsidP="00424E91">
      <w:pPr>
        <w:pStyle w:val="Textoindependiente"/>
        <w:spacing w:line="360" w:lineRule="auto"/>
        <w:rPr>
          <w:rFonts w:ascii="MinionPro-Regular" w:hAnsi="MinionPro-Regular"/>
          <w:sz w:val="24"/>
          <w:szCs w:val="24"/>
          <w:lang w:val="en-US"/>
        </w:rPr>
      </w:pPr>
      <w:r>
        <w:rPr>
          <w:rFonts w:ascii="MinionPro-Regular" w:hAnsi="MinionPro-Regular"/>
          <w:sz w:val="24"/>
          <w:szCs w:val="24"/>
          <w:lang w:val="en-US"/>
        </w:rPr>
        <w:lastRenderedPageBreak/>
        <w:t xml:space="preserve">HM Government, Department of Health (2009): </w:t>
      </w:r>
      <w:r w:rsidRPr="00762C73">
        <w:rPr>
          <w:rFonts w:ascii="MinionPro-Regular" w:hAnsi="MinionPro-Regular"/>
          <w:i/>
          <w:sz w:val="24"/>
          <w:szCs w:val="24"/>
          <w:lang w:val="en-US"/>
        </w:rPr>
        <w:t>Valuing employment now: real jobs for people with learning disabilities</w:t>
      </w:r>
      <w:r>
        <w:rPr>
          <w:rFonts w:ascii="MinionPro-Regular" w:hAnsi="MinionPro-Regular"/>
          <w:sz w:val="24"/>
          <w:szCs w:val="24"/>
          <w:lang w:val="en-US"/>
        </w:rPr>
        <w:t xml:space="preserve">, United Kingdom, Office for Disability Issues, HM Government. </w:t>
      </w:r>
    </w:p>
    <w:p w:rsidR="00E2336B" w:rsidRDefault="00E2336B" w:rsidP="00424E91">
      <w:pPr>
        <w:pStyle w:val="Textoindependiente"/>
        <w:spacing w:line="360" w:lineRule="auto"/>
        <w:rPr>
          <w:rFonts w:ascii="MinionPro-Regular" w:hAnsi="MinionPro-Regular"/>
          <w:sz w:val="24"/>
          <w:szCs w:val="24"/>
          <w:lang w:val="es-ES_tradnl"/>
        </w:rPr>
      </w:pPr>
      <w:r>
        <w:rPr>
          <w:rFonts w:ascii="MinionPro-Regular" w:hAnsi="MinionPro-Regular"/>
          <w:sz w:val="24"/>
          <w:szCs w:val="24"/>
          <w:lang w:val="es-ES_tradnl"/>
        </w:rPr>
        <w:t xml:space="preserve">Instituto Nacional De Estadística (2008): </w:t>
      </w:r>
      <w:r w:rsidRPr="00951F0E">
        <w:rPr>
          <w:rFonts w:ascii="MinionPro-Regular" w:hAnsi="MinionPro-Regular"/>
          <w:i/>
          <w:sz w:val="24"/>
          <w:szCs w:val="24"/>
          <w:lang w:val="es-ES_tradnl"/>
        </w:rPr>
        <w:t>Encuesta sobre Discapacidad, Autonomía Personal y Situaciones de Dependencia</w:t>
      </w:r>
      <w:r>
        <w:rPr>
          <w:rFonts w:ascii="MinionPro-Regular" w:hAnsi="MinionPro-Regular"/>
          <w:sz w:val="24"/>
          <w:szCs w:val="24"/>
          <w:lang w:val="es-ES_tradnl"/>
        </w:rPr>
        <w:t>, Madrid: Subdirección General de Estadísticas Sociales Sectoriales.</w:t>
      </w:r>
    </w:p>
    <w:p w:rsidR="00E2336B" w:rsidRDefault="00E2336B" w:rsidP="0007541A">
      <w:pPr>
        <w:pStyle w:val="Textoindependiente"/>
        <w:numPr>
          <w:ilvl w:val="0"/>
          <w:numId w:val="17"/>
        </w:numPr>
        <w:spacing w:line="360" w:lineRule="auto"/>
        <w:rPr>
          <w:rFonts w:ascii="MinionPro-Regular" w:hAnsi="MinionPro-Regular"/>
          <w:sz w:val="24"/>
          <w:szCs w:val="24"/>
          <w:lang w:val="es-ES_tradnl"/>
        </w:rPr>
      </w:pPr>
      <w:r w:rsidRPr="002B3ED3">
        <w:rPr>
          <w:rFonts w:ascii="MinionPro-Regular" w:hAnsi="MinionPro-Regular"/>
          <w:sz w:val="24"/>
          <w:szCs w:val="24"/>
          <w:lang w:val="es-ES_tradnl"/>
        </w:rPr>
        <w:t xml:space="preserve"> (2011): </w:t>
      </w:r>
      <w:r w:rsidRPr="002B3ED3">
        <w:rPr>
          <w:rFonts w:ascii="MinionPro-Regular" w:hAnsi="MinionPro-Regular"/>
          <w:i/>
          <w:sz w:val="24"/>
          <w:szCs w:val="24"/>
          <w:lang w:val="es-ES_tradnl"/>
        </w:rPr>
        <w:t>El empleo de las personas con discapacidad. Serie 2008-2010</w:t>
      </w:r>
      <w:r w:rsidRPr="002B3ED3">
        <w:rPr>
          <w:rFonts w:ascii="MinionPro-Regular" w:hAnsi="MinionPro-Regular"/>
          <w:sz w:val="24"/>
          <w:szCs w:val="24"/>
          <w:lang w:val="es-ES_tradnl"/>
        </w:rPr>
        <w:t>, Madrid: INE</w:t>
      </w:r>
    </w:p>
    <w:p w:rsidR="00E23F12" w:rsidRDefault="00E23F12" w:rsidP="002B3ED3">
      <w:pPr>
        <w:pStyle w:val="Textoindependiente"/>
        <w:spacing w:line="360" w:lineRule="auto"/>
        <w:rPr>
          <w:rFonts w:ascii="MinionPro-Regular" w:hAnsi="MinionPro-Regular"/>
          <w:sz w:val="24"/>
          <w:szCs w:val="24"/>
          <w:lang w:val="es-ES_tradnl"/>
        </w:rPr>
      </w:pPr>
      <w:r>
        <w:rPr>
          <w:rFonts w:ascii="MinionPro-Regular" w:hAnsi="MinionPro-Regular"/>
          <w:sz w:val="24"/>
          <w:szCs w:val="24"/>
          <w:lang w:val="es-ES_tradnl"/>
        </w:rPr>
        <w:t xml:space="preserve">Instituto Nacional De Estadística (2011): </w:t>
      </w:r>
      <w:r w:rsidRPr="00951F0E">
        <w:rPr>
          <w:rFonts w:ascii="MinionPro-Regular" w:hAnsi="MinionPro-Regular"/>
          <w:i/>
          <w:sz w:val="24"/>
          <w:szCs w:val="24"/>
          <w:lang w:val="es-ES_tradnl"/>
        </w:rPr>
        <w:t xml:space="preserve">Encuesta </w:t>
      </w:r>
      <w:r>
        <w:rPr>
          <w:rFonts w:ascii="MinionPro-Regular" w:hAnsi="MinionPro-Regular"/>
          <w:i/>
          <w:sz w:val="24"/>
          <w:szCs w:val="24"/>
          <w:lang w:val="es-ES_tradnl"/>
        </w:rPr>
        <w:t>de población activa.</w:t>
      </w:r>
    </w:p>
    <w:p w:rsidR="00E2336B" w:rsidRDefault="00E2336B" w:rsidP="002B3ED3">
      <w:pPr>
        <w:pStyle w:val="Textoindependiente"/>
        <w:spacing w:line="360" w:lineRule="auto"/>
        <w:rPr>
          <w:rFonts w:ascii="MinionPro-Regular" w:hAnsi="MinionPro-Regular"/>
          <w:sz w:val="24"/>
          <w:szCs w:val="24"/>
          <w:lang w:val="es-ES_tradnl"/>
        </w:rPr>
      </w:pPr>
      <w:r>
        <w:rPr>
          <w:rFonts w:ascii="MinionPro-Regular" w:hAnsi="MinionPro-Regular"/>
          <w:sz w:val="24"/>
          <w:szCs w:val="24"/>
          <w:lang w:val="es-ES_tradnl"/>
        </w:rPr>
        <w:t>Jiménez, A., Verdugo, M.A., y Jordán de Urríes F.B (2000): Informe sobre las políticas sociales y el empleo de las personas con discapacidad en España. Situación actual e hitos fundamentales de la última década, Servicio de Información sobre Discapacidad (SID).</w:t>
      </w:r>
    </w:p>
    <w:p w:rsidR="00E2336B" w:rsidRDefault="00E2336B" w:rsidP="002B3ED3">
      <w:pPr>
        <w:pStyle w:val="Textoindependiente"/>
        <w:spacing w:line="360" w:lineRule="auto"/>
        <w:rPr>
          <w:rFonts w:ascii="MinionPro-Regular" w:hAnsi="MinionPro-Regular"/>
          <w:sz w:val="24"/>
          <w:szCs w:val="24"/>
          <w:lang w:val="es-ES_tradnl"/>
        </w:rPr>
      </w:pPr>
      <w:r>
        <w:rPr>
          <w:rFonts w:ascii="MinionPro-Regular" w:hAnsi="MinionPro-Regular"/>
          <w:sz w:val="24"/>
          <w:szCs w:val="24"/>
          <w:lang w:val="es-ES_tradnl"/>
        </w:rPr>
        <w:t xml:space="preserve">Jiménez Lara, A., y A. Huete García (2008): </w:t>
      </w:r>
      <w:r w:rsidRPr="003E0770">
        <w:rPr>
          <w:rFonts w:ascii="MinionPro-Regular" w:hAnsi="MinionPro-Regular"/>
          <w:i/>
          <w:sz w:val="24"/>
          <w:szCs w:val="24"/>
          <w:lang w:val="es-ES_tradnl"/>
        </w:rPr>
        <w:t>Estudio sobre el agravio comparativo económico que origina la discapacidad</w:t>
      </w:r>
      <w:r>
        <w:rPr>
          <w:rFonts w:ascii="MinionPro-Regular" w:hAnsi="MinionPro-Regular"/>
          <w:sz w:val="24"/>
          <w:szCs w:val="24"/>
          <w:lang w:val="es-ES_tradnl"/>
        </w:rPr>
        <w:t>, Madrid: Ministerio de Sanidad, Política Social e Igualdad (Dirección general de Coordinación de Políticas Sectoriales sobre Discapacidad), Universidad Carlos III.</w:t>
      </w:r>
    </w:p>
    <w:p w:rsidR="00E2336B" w:rsidRDefault="00E2336B" w:rsidP="002B3ED3">
      <w:pPr>
        <w:pStyle w:val="Textoindependiente"/>
        <w:spacing w:line="360" w:lineRule="auto"/>
        <w:rPr>
          <w:rFonts w:ascii="MinionPro-Regular" w:hAnsi="MinionPro-Regular"/>
          <w:sz w:val="24"/>
          <w:szCs w:val="24"/>
          <w:lang w:val="es-ES_tradnl"/>
        </w:rPr>
      </w:pPr>
      <w:r>
        <w:rPr>
          <w:rFonts w:ascii="MinionPro-Regular" w:hAnsi="MinionPro-Regular"/>
          <w:sz w:val="24"/>
          <w:szCs w:val="24"/>
          <w:lang w:val="es-ES_tradnl"/>
        </w:rPr>
        <w:t>Jiménez Lara, A., y A. Huete García. Y García Díaz, N. (coord.), (2002): La discapacidad en cifras, Madrid, Ministerio de Trabajo y Asuntos Sociales.</w:t>
      </w:r>
    </w:p>
    <w:p w:rsidR="00E2336B" w:rsidRPr="002B3ED3" w:rsidRDefault="00E2336B" w:rsidP="002B3ED3">
      <w:pPr>
        <w:pStyle w:val="Textoindependiente"/>
        <w:spacing w:line="360" w:lineRule="auto"/>
        <w:rPr>
          <w:rFonts w:ascii="MinionPro-Regular" w:hAnsi="MinionPro-Regular"/>
          <w:sz w:val="24"/>
          <w:szCs w:val="24"/>
          <w:lang w:val="es-ES_tradnl"/>
        </w:rPr>
      </w:pPr>
      <w:r>
        <w:rPr>
          <w:rFonts w:ascii="MinionPro-Regular" w:hAnsi="MinionPro-Regular"/>
          <w:sz w:val="24"/>
          <w:szCs w:val="24"/>
          <w:lang w:val="es-ES_tradnl"/>
        </w:rPr>
        <w:t>Jiménez Lara, A. y Rodríguez Castedo, A. (2012): La economía social y la atención a la dependencia. Propuestas para contribuir al desarrollo de los servicios de atención de la dependencia y a la generación de empleo estable y de calidad</w:t>
      </w:r>
    </w:p>
    <w:p w:rsidR="00E2336B" w:rsidRDefault="00E2336B" w:rsidP="002B3ED3">
      <w:pPr>
        <w:pStyle w:val="Textoindependiente"/>
        <w:spacing w:line="360" w:lineRule="auto"/>
        <w:rPr>
          <w:rFonts w:ascii="MinionPro-Regular" w:hAnsi="MinionPro-Regular"/>
          <w:sz w:val="24"/>
          <w:szCs w:val="24"/>
          <w:lang w:val="es-ES_tradnl"/>
        </w:rPr>
      </w:pPr>
      <w:r>
        <w:rPr>
          <w:rFonts w:ascii="MinionPro-Regular" w:hAnsi="MinionPro-Regular"/>
          <w:sz w:val="24"/>
          <w:szCs w:val="24"/>
          <w:lang w:val="es-ES_tradnl"/>
        </w:rPr>
        <w:t xml:space="preserve">Jordán de Urríes, F.B, M.A. Vérdugo Alonso, C. Jenaro y M. Campo (2009): </w:t>
      </w:r>
      <w:r w:rsidRPr="00BC4473">
        <w:rPr>
          <w:rFonts w:ascii="MinionPro-Regular" w:hAnsi="MinionPro-Regular"/>
          <w:i/>
          <w:sz w:val="24"/>
          <w:szCs w:val="24"/>
          <w:lang w:val="es-ES_tradnl"/>
        </w:rPr>
        <w:t xml:space="preserve">Empleo y protección económica de las personas con discapacidad. Una aproximación desde la </w:t>
      </w:r>
      <w:r w:rsidRPr="00BC4473">
        <w:rPr>
          <w:rFonts w:ascii="MinionPro-Regular" w:hAnsi="MinionPro-Regular"/>
          <w:i/>
          <w:sz w:val="24"/>
          <w:szCs w:val="24"/>
          <w:lang w:val="es-ES_tradnl"/>
        </w:rPr>
        <w:lastRenderedPageBreak/>
        <w:t>información contenida en el SID</w:t>
      </w:r>
      <w:r>
        <w:rPr>
          <w:rFonts w:ascii="MinionPro-Regular" w:hAnsi="MinionPro-Regular"/>
          <w:sz w:val="24"/>
          <w:szCs w:val="24"/>
          <w:lang w:val="es-ES_tradnl"/>
        </w:rPr>
        <w:t>, Madrid: Servicio de Información sobre Discapacidad, Ministerio de Sanidad y Política Social, Instituto Universitario de Integración en la Comunidad (INICO).</w:t>
      </w:r>
    </w:p>
    <w:p w:rsidR="00E2336B" w:rsidRPr="004B4E97" w:rsidRDefault="00E2336B" w:rsidP="0007541A">
      <w:pPr>
        <w:pStyle w:val="Textoindependiente"/>
        <w:numPr>
          <w:ilvl w:val="0"/>
          <w:numId w:val="17"/>
        </w:numPr>
        <w:spacing w:line="360" w:lineRule="auto"/>
        <w:rPr>
          <w:rFonts w:ascii="MinionPro-Regular" w:hAnsi="MinionPro-Regular"/>
          <w:sz w:val="24"/>
          <w:szCs w:val="24"/>
          <w:lang w:val="en-US"/>
        </w:rPr>
      </w:pPr>
      <w:r w:rsidRPr="004B4E97">
        <w:rPr>
          <w:rFonts w:ascii="MinionPro-Regular" w:hAnsi="MinionPro-Regular"/>
          <w:sz w:val="24"/>
          <w:szCs w:val="24"/>
          <w:lang w:val="en-US"/>
        </w:rPr>
        <w:t xml:space="preserve">(2009a): </w:t>
      </w:r>
      <w:r w:rsidRPr="004B4E97">
        <w:rPr>
          <w:rFonts w:ascii="MinionPro-Regular" w:hAnsi="MinionPro-Regular"/>
          <w:i/>
          <w:sz w:val="24"/>
          <w:szCs w:val="24"/>
          <w:lang w:val="en-US"/>
        </w:rPr>
        <w:t>Report on the employment of disabled people in European countries, Spain</w:t>
      </w:r>
      <w:r>
        <w:rPr>
          <w:rFonts w:ascii="MinionPro-Regular" w:hAnsi="MinionPro-Regular"/>
          <w:sz w:val="24"/>
          <w:szCs w:val="24"/>
          <w:lang w:val="en-US"/>
        </w:rPr>
        <w:t>, Salamanca: Academic Network of European Disability experts (ANED).</w:t>
      </w:r>
      <w:r w:rsidRPr="004B4E97">
        <w:rPr>
          <w:rFonts w:ascii="MinionPro-Regular" w:hAnsi="MinionPro-Regular"/>
          <w:sz w:val="24"/>
          <w:szCs w:val="24"/>
          <w:lang w:val="en-US"/>
        </w:rPr>
        <w:t xml:space="preserve"> </w:t>
      </w:r>
    </w:p>
    <w:p w:rsidR="00E2336B" w:rsidRDefault="00E2336B" w:rsidP="002B3ED3">
      <w:pPr>
        <w:pStyle w:val="Textoindependiente"/>
        <w:spacing w:line="360" w:lineRule="auto"/>
        <w:rPr>
          <w:rFonts w:ascii="MinionPro-Regular" w:hAnsi="MinionPro-Regular"/>
          <w:sz w:val="24"/>
          <w:szCs w:val="24"/>
          <w:lang w:val="es-ES_tradnl"/>
        </w:rPr>
      </w:pPr>
      <w:r>
        <w:rPr>
          <w:rFonts w:ascii="MinionPro-Regular" w:hAnsi="MinionPro-Regular"/>
          <w:sz w:val="24"/>
          <w:szCs w:val="24"/>
          <w:lang w:val="es-ES_tradnl"/>
        </w:rPr>
        <w:t xml:space="preserve">Jordán de Urríes, F.B, M.A. Vérdugo Alonso, M.C. Sánchez, y M.C. Benito (2009): </w:t>
      </w:r>
      <w:r w:rsidRPr="00766233">
        <w:rPr>
          <w:rFonts w:ascii="MinionPro-Regular" w:hAnsi="MinionPro-Regular"/>
          <w:i/>
          <w:sz w:val="24"/>
          <w:szCs w:val="24"/>
          <w:lang w:val="es-ES_tradnl"/>
        </w:rPr>
        <w:t xml:space="preserve">Influencia de la protección social y el sistema de pensiones en la actividad y el acceso </w:t>
      </w:r>
      <w:r>
        <w:rPr>
          <w:rFonts w:ascii="MinionPro-Regular" w:hAnsi="MinionPro-Regular"/>
          <w:i/>
          <w:sz w:val="24"/>
          <w:szCs w:val="24"/>
          <w:lang w:val="es-ES_tradnl"/>
        </w:rPr>
        <w:t xml:space="preserve">al </w:t>
      </w:r>
      <w:r w:rsidRPr="00766233">
        <w:rPr>
          <w:rFonts w:ascii="MinionPro-Regular" w:hAnsi="MinionPro-Regular"/>
          <w:i/>
          <w:sz w:val="24"/>
          <w:szCs w:val="24"/>
          <w:lang w:val="es-ES_tradnl"/>
        </w:rPr>
        <w:t>empleo de las personas con discapacidad</w:t>
      </w:r>
      <w:r>
        <w:rPr>
          <w:rFonts w:ascii="MinionPro-Regular" w:hAnsi="MinionPro-Regular"/>
          <w:sz w:val="24"/>
          <w:szCs w:val="24"/>
          <w:lang w:val="es-ES_tradnl"/>
        </w:rPr>
        <w:t>, Madrid: Ministerio de Trabajo e Inmigración (Secretaría de Estado de Seguridad Social) e INICO.</w:t>
      </w:r>
    </w:p>
    <w:p w:rsidR="00E2336B" w:rsidRDefault="00E2336B" w:rsidP="002B3ED3">
      <w:pPr>
        <w:pStyle w:val="Textoindependiente"/>
        <w:spacing w:line="360" w:lineRule="auto"/>
        <w:rPr>
          <w:rFonts w:ascii="MinionPro-Regular" w:hAnsi="MinionPro-Regular"/>
          <w:sz w:val="24"/>
          <w:szCs w:val="24"/>
          <w:lang w:val="es-ES_tradnl"/>
        </w:rPr>
      </w:pPr>
      <w:r>
        <w:rPr>
          <w:rFonts w:ascii="MinionPro-Regular" w:hAnsi="MinionPro-Regular"/>
          <w:sz w:val="24"/>
          <w:szCs w:val="24"/>
          <w:lang w:val="es-ES_tradnl"/>
        </w:rPr>
        <w:t xml:space="preserve">Jordán de Urríes, F.B. y M.A. Vérdugo Alonso (2010): </w:t>
      </w:r>
      <w:r w:rsidRPr="005A6751">
        <w:rPr>
          <w:rFonts w:ascii="MinionPro-Regular" w:hAnsi="MinionPro-Regular"/>
          <w:i/>
          <w:sz w:val="24"/>
          <w:szCs w:val="24"/>
          <w:lang w:val="es-ES_tradnl"/>
        </w:rPr>
        <w:t>Informe sobre la situación de los Centros Especiales de Empleo en España</w:t>
      </w:r>
      <w:r>
        <w:rPr>
          <w:rFonts w:ascii="MinionPro-Regular" w:hAnsi="MinionPro-Regular"/>
          <w:sz w:val="24"/>
          <w:szCs w:val="24"/>
          <w:lang w:val="es-ES_tradnl"/>
        </w:rPr>
        <w:t>, Salamanca: Instituto Universitario de Integración en la Comunidad (INICO).</w:t>
      </w:r>
    </w:p>
    <w:p w:rsidR="00E2336B" w:rsidRDefault="00E2336B" w:rsidP="0007541A">
      <w:pPr>
        <w:pStyle w:val="Textoindependiente"/>
        <w:numPr>
          <w:ilvl w:val="0"/>
          <w:numId w:val="15"/>
        </w:numPr>
        <w:spacing w:line="360" w:lineRule="auto"/>
        <w:rPr>
          <w:rFonts w:ascii="MinionPro-Regular" w:hAnsi="MinionPro-Regular"/>
          <w:sz w:val="24"/>
          <w:szCs w:val="24"/>
          <w:lang w:val="es-ES_tradnl"/>
        </w:rPr>
      </w:pPr>
      <w:r>
        <w:rPr>
          <w:rFonts w:ascii="MinionPro-Regular" w:hAnsi="MinionPro-Regular"/>
          <w:sz w:val="24"/>
          <w:szCs w:val="24"/>
          <w:lang w:val="es-ES_tradnl"/>
        </w:rPr>
        <w:t xml:space="preserve">(2007.a): El futuro del empleo con apoyo. ¿hacia dónde nos dirigimos? </w:t>
      </w:r>
      <w:r w:rsidRPr="00E53C47">
        <w:rPr>
          <w:rFonts w:ascii="MinionPro-Regular" w:hAnsi="MinionPro-Regular"/>
          <w:i/>
          <w:sz w:val="24"/>
          <w:szCs w:val="24"/>
          <w:lang w:val="es-ES_tradnl"/>
        </w:rPr>
        <w:t>Revista Siglo Cero, Revista Española sobre Discapacidad Intelectual</w:t>
      </w:r>
      <w:r>
        <w:rPr>
          <w:rFonts w:ascii="MinionPro-Regular" w:hAnsi="MinionPro-Regular"/>
          <w:sz w:val="24"/>
          <w:szCs w:val="24"/>
          <w:lang w:val="es-ES_tradnl"/>
        </w:rPr>
        <w:t>, Vol. 38. Núm.223, 39-50.</w:t>
      </w:r>
    </w:p>
    <w:p w:rsidR="00E2336B" w:rsidRDefault="00E2336B" w:rsidP="0007541A">
      <w:pPr>
        <w:pStyle w:val="Textoindependiente"/>
        <w:numPr>
          <w:ilvl w:val="0"/>
          <w:numId w:val="15"/>
        </w:numPr>
        <w:spacing w:line="360" w:lineRule="auto"/>
        <w:rPr>
          <w:rFonts w:ascii="MinionPro-Regular" w:hAnsi="MinionPro-Regular"/>
          <w:sz w:val="24"/>
          <w:szCs w:val="24"/>
          <w:lang w:val="es-ES_tradnl"/>
        </w:rPr>
      </w:pPr>
      <w:r>
        <w:rPr>
          <w:rFonts w:ascii="MinionPro-Regular" w:hAnsi="MinionPro-Regular"/>
          <w:sz w:val="24"/>
          <w:szCs w:val="24"/>
          <w:lang w:val="es-ES_tradnl"/>
        </w:rPr>
        <w:t xml:space="preserve">(2007.b): Empleo con apoyo: el nacimiento de una regulación muy esperada. </w:t>
      </w:r>
      <w:r w:rsidRPr="000607C5">
        <w:rPr>
          <w:rFonts w:ascii="MinionPro-Regular" w:hAnsi="MinionPro-Regular"/>
          <w:i/>
          <w:sz w:val="24"/>
          <w:szCs w:val="24"/>
          <w:lang w:val="es-ES_tradnl"/>
        </w:rPr>
        <w:t>Revista Alares nº2</w:t>
      </w:r>
      <w:r>
        <w:rPr>
          <w:rFonts w:ascii="MinionPro-Regular" w:hAnsi="MinionPro-Regular"/>
          <w:sz w:val="24"/>
          <w:szCs w:val="24"/>
          <w:lang w:val="es-ES_tradnl"/>
        </w:rPr>
        <w:t>.</w:t>
      </w:r>
    </w:p>
    <w:p w:rsidR="00E2336B" w:rsidRDefault="00E2336B" w:rsidP="0007541A">
      <w:pPr>
        <w:pStyle w:val="Textoindependiente"/>
        <w:numPr>
          <w:ilvl w:val="0"/>
          <w:numId w:val="15"/>
        </w:numPr>
        <w:spacing w:line="360" w:lineRule="auto"/>
        <w:rPr>
          <w:rFonts w:ascii="MinionPro-Regular" w:hAnsi="MinionPro-Regular"/>
          <w:sz w:val="24"/>
          <w:szCs w:val="24"/>
          <w:lang w:val="es-ES_tradnl"/>
        </w:rPr>
      </w:pPr>
      <w:r>
        <w:rPr>
          <w:rFonts w:ascii="MinionPro-Regular" w:hAnsi="MinionPro-Regular"/>
          <w:sz w:val="24"/>
          <w:szCs w:val="24"/>
          <w:lang w:val="es-ES_tradnl"/>
        </w:rPr>
        <w:t xml:space="preserve">(2007.c): Los </w:t>
      </w:r>
      <w:r w:rsidRPr="008F3246">
        <w:rPr>
          <w:rFonts w:ascii="MinionPro-Regular" w:hAnsi="MinionPro-Regular"/>
          <w:i/>
          <w:sz w:val="24"/>
          <w:szCs w:val="24"/>
          <w:lang w:val="es-ES_tradnl"/>
        </w:rPr>
        <w:t>Centros Especiales de Empleo en la Comunidad de Madrid. Un estudio de sus características y de la percepción de sus usuarios</w:t>
      </w:r>
      <w:r>
        <w:rPr>
          <w:rFonts w:ascii="MinionPro-Regular" w:hAnsi="MinionPro-Regular"/>
          <w:sz w:val="24"/>
          <w:szCs w:val="24"/>
          <w:lang w:val="es-ES_tradnl"/>
        </w:rPr>
        <w:t>. Salamanca, INICO y Asociación de profesionales de la Integración en España (APIE).</w:t>
      </w:r>
    </w:p>
    <w:p w:rsidR="00E2336B" w:rsidRDefault="00E2336B" w:rsidP="002B3ED3">
      <w:pPr>
        <w:pStyle w:val="Textoindependiente"/>
        <w:spacing w:line="360" w:lineRule="auto"/>
        <w:rPr>
          <w:rFonts w:ascii="MinionPro-Regular" w:hAnsi="MinionPro-Regular"/>
          <w:sz w:val="24"/>
          <w:szCs w:val="24"/>
          <w:lang w:val="es-ES_tradnl"/>
        </w:rPr>
      </w:pPr>
      <w:r>
        <w:rPr>
          <w:rFonts w:ascii="MinionPro-Regular" w:hAnsi="MinionPro-Regular"/>
          <w:sz w:val="24"/>
          <w:szCs w:val="24"/>
          <w:lang w:val="es-ES_tradnl"/>
        </w:rPr>
        <w:t xml:space="preserve">Jordi Amoros, C. (2006): </w:t>
      </w:r>
      <w:r w:rsidRPr="009F7B04">
        <w:rPr>
          <w:rFonts w:ascii="MinionPro-Regular" w:hAnsi="MinionPro-Regular"/>
          <w:i/>
          <w:sz w:val="24"/>
          <w:szCs w:val="24"/>
          <w:lang w:val="es-ES_tradnl"/>
        </w:rPr>
        <w:t>Mujeres con discapacidad y protección social, accesibilidad y suficiencia</w:t>
      </w:r>
      <w:r>
        <w:rPr>
          <w:rFonts w:ascii="MinionPro-Regular" w:hAnsi="MinionPro-Regular"/>
          <w:sz w:val="24"/>
          <w:szCs w:val="24"/>
          <w:lang w:val="es-ES_tradnl"/>
        </w:rPr>
        <w:t>, Tarragona: Dirección General de Ordenación de la Seguridad Social, Ministerio de Trabajo y Asuntos Sociales.</w:t>
      </w:r>
    </w:p>
    <w:p w:rsidR="00E2336B" w:rsidRDefault="00E2336B" w:rsidP="002B3ED3">
      <w:pPr>
        <w:pStyle w:val="Textoindependiente"/>
        <w:spacing w:line="360" w:lineRule="auto"/>
        <w:rPr>
          <w:rFonts w:ascii="MinionPro-Regular" w:hAnsi="MinionPro-Regular"/>
          <w:sz w:val="24"/>
          <w:szCs w:val="24"/>
          <w:lang w:val="es-ES_tradnl"/>
        </w:rPr>
      </w:pPr>
      <w:r>
        <w:rPr>
          <w:rFonts w:ascii="MinionPro-Regular" w:hAnsi="MinionPro-Regular"/>
          <w:sz w:val="24"/>
          <w:szCs w:val="24"/>
          <w:lang w:val="es-ES_tradnl"/>
        </w:rPr>
        <w:lastRenderedPageBreak/>
        <w:t>Laloma García, M. (2007): Empleo protegido en España, Madrid: Colección Telefónica Accesible número 3.</w:t>
      </w:r>
    </w:p>
    <w:p w:rsidR="00E2336B" w:rsidRDefault="00E2336B" w:rsidP="002B3ED3">
      <w:pPr>
        <w:pStyle w:val="Textoindependiente"/>
        <w:spacing w:line="360" w:lineRule="auto"/>
        <w:rPr>
          <w:rFonts w:ascii="MinionPro-Regular" w:hAnsi="MinionPro-Regular"/>
          <w:sz w:val="24"/>
          <w:szCs w:val="24"/>
          <w:lang w:val="es-ES_tradnl"/>
        </w:rPr>
      </w:pPr>
      <w:r>
        <w:rPr>
          <w:rFonts w:ascii="MinionPro-Regular" w:hAnsi="MinionPro-Regular"/>
          <w:sz w:val="24"/>
          <w:szCs w:val="24"/>
          <w:lang w:val="es-ES_tradnl"/>
        </w:rPr>
        <w:t>LKS Consultores, (2010): Plan de apoyo para el mantenimiento y creación de empleo en los centros especiales de empleo de la Comunidad Autónoma de País Vasco, Modragon Humanity at work.</w:t>
      </w:r>
    </w:p>
    <w:p w:rsidR="00E2336B" w:rsidRDefault="00E2336B" w:rsidP="002B3ED3">
      <w:pPr>
        <w:pStyle w:val="Textoindependiente"/>
        <w:spacing w:line="360" w:lineRule="auto"/>
        <w:rPr>
          <w:rFonts w:ascii="MinionPro-Regular" w:hAnsi="MinionPro-Regular"/>
          <w:sz w:val="24"/>
          <w:szCs w:val="24"/>
          <w:lang w:val="es-ES_tradnl"/>
        </w:rPr>
      </w:pPr>
      <w:r>
        <w:rPr>
          <w:rFonts w:ascii="MinionPro-Regular" w:hAnsi="MinionPro-Regular"/>
          <w:sz w:val="24"/>
          <w:szCs w:val="24"/>
          <w:lang w:val="es-ES_tradnl"/>
        </w:rPr>
        <w:t xml:space="preserve">Maiello, M. (2001): La Cooperación Social en Italia en el movimiento cooperativo y en el sector no lucrativo, </w:t>
      </w:r>
      <w:r w:rsidRPr="00880078">
        <w:rPr>
          <w:rFonts w:ascii="MinionPro-Regular" w:hAnsi="MinionPro-Regular"/>
          <w:i/>
          <w:sz w:val="24"/>
          <w:szCs w:val="24"/>
          <w:lang w:val="es-ES_tradnl"/>
        </w:rPr>
        <w:t>Revista CIRIEC-España</w:t>
      </w:r>
      <w:r>
        <w:rPr>
          <w:rFonts w:ascii="MinionPro-Regular" w:hAnsi="MinionPro-Regular"/>
          <w:sz w:val="24"/>
          <w:szCs w:val="24"/>
          <w:lang w:val="es-ES_tradnl"/>
        </w:rPr>
        <w:t>. Valencia, Núm. 037, 177-202</w:t>
      </w:r>
    </w:p>
    <w:p w:rsidR="00E2336B" w:rsidRDefault="00E2336B" w:rsidP="002B3ED3">
      <w:pPr>
        <w:pStyle w:val="Textoindependiente"/>
        <w:spacing w:line="360" w:lineRule="auto"/>
        <w:rPr>
          <w:rFonts w:ascii="MinionPro-Regular" w:hAnsi="MinionPro-Regular"/>
          <w:sz w:val="24"/>
          <w:szCs w:val="24"/>
          <w:lang w:val="es-ES_tradnl"/>
        </w:rPr>
      </w:pPr>
      <w:r>
        <w:rPr>
          <w:rFonts w:ascii="MinionPro-Regular" w:hAnsi="MinionPro-Regular"/>
          <w:sz w:val="24"/>
          <w:szCs w:val="24"/>
          <w:lang w:val="es-ES_tradnl"/>
        </w:rPr>
        <w:t xml:space="preserve">Malo, M. (2003): </w:t>
      </w:r>
      <w:r w:rsidRPr="008F3246">
        <w:rPr>
          <w:rFonts w:ascii="MinionPro-Regular" w:hAnsi="MinionPro-Regular"/>
          <w:sz w:val="24"/>
          <w:szCs w:val="24"/>
          <w:lang w:val="es-ES_tradnl"/>
        </w:rPr>
        <w:t>Las personas con discapacidad en el mercado de trabajo español</w:t>
      </w:r>
      <w:r>
        <w:rPr>
          <w:rFonts w:ascii="MinionPro-Regular" w:hAnsi="MinionPro-Regular"/>
          <w:sz w:val="24"/>
          <w:szCs w:val="24"/>
          <w:lang w:val="es-ES_tradnl"/>
        </w:rPr>
        <w:t xml:space="preserve">. </w:t>
      </w:r>
      <w:r w:rsidRPr="008F3246">
        <w:rPr>
          <w:rFonts w:ascii="MinionPro-Regular" w:hAnsi="MinionPro-Regular"/>
          <w:i/>
          <w:sz w:val="24"/>
          <w:szCs w:val="24"/>
          <w:lang w:val="es-ES_tradnl"/>
        </w:rPr>
        <w:t>Revista del Ministerio de Trabajo y Asuntos Sociales (Madrid),</w:t>
      </w:r>
      <w:r>
        <w:rPr>
          <w:rFonts w:ascii="MinionPro-Regular" w:hAnsi="MinionPro-Regular"/>
          <w:sz w:val="24"/>
          <w:szCs w:val="24"/>
          <w:lang w:val="es-ES_tradnl"/>
        </w:rPr>
        <w:t xml:space="preserve"> 46, 99-126.</w:t>
      </w:r>
    </w:p>
    <w:p w:rsidR="00E2336B" w:rsidRDefault="00E2336B" w:rsidP="002B3ED3">
      <w:pPr>
        <w:pStyle w:val="Textoindependiente"/>
        <w:spacing w:line="360" w:lineRule="auto"/>
        <w:rPr>
          <w:rFonts w:ascii="MinionPro-Regular" w:hAnsi="MinionPro-Regular"/>
          <w:sz w:val="24"/>
          <w:szCs w:val="24"/>
          <w:lang w:val="es-ES_tradnl"/>
        </w:rPr>
      </w:pPr>
      <w:r>
        <w:rPr>
          <w:rFonts w:ascii="MinionPro-Regular" w:hAnsi="MinionPro-Regular"/>
          <w:sz w:val="24"/>
          <w:szCs w:val="24"/>
          <w:lang w:val="es-ES_tradnl"/>
        </w:rPr>
        <w:t xml:space="preserve">Malo, M.A., Cueto, B., y Rodríguez V. (2011): Compatibilidad entre pensiones contributivas por incapacidad y empleo: el caso español, </w:t>
      </w:r>
      <w:r w:rsidRPr="00762C73">
        <w:rPr>
          <w:rFonts w:ascii="MinionPro-Regular" w:hAnsi="MinionPro-Regular"/>
          <w:i/>
          <w:sz w:val="24"/>
          <w:szCs w:val="24"/>
          <w:lang w:val="es-ES_tradnl"/>
        </w:rPr>
        <w:t xml:space="preserve">Cuadernos de Relaciones Laborales </w:t>
      </w:r>
      <w:r>
        <w:rPr>
          <w:rFonts w:ascii="MinionPro-Regular" w:hAnsi="MinionPro-Regular"/>
          <w:sz w:val="24"/>
          <w:szCs w:val="24"/>
          <w:lang w:val="es-ES_tradnl"/>
        </w:rPr>
        <w:t>Vol. 29, Núm. 1 125-153.</w:t>
      </w:r>
    </w:p>
    <w:p w:rsidR="00E2336B" w:rsidRDefault="00E2336B" w:rsidP="002B3ED3">
      <w:pPr>
        <w:pStyle w:val="Textoindependiente"/>
        <w:spacing w:line="360" w:lineRule="auto"/>
        <w:rPr>
          <w:rFonts w:ascii="MinionPro-Regular" w:hAnsi="MinionPro-Regular"/>
          <w:sz w:val="24"/>
          <w:szCs w:val="24"/>
          <w:lang w:val="es-ES_tradnl"/>
        </w:rPr>
      </w:pPr>
      <w:r>
        <w:rPr>
          <w:rFonts w:ascii="MinionPro-Regular" w:hAnsi="MinionPro-Regular"/>
          <w:sz w:val="24"/>
          <w:szCs w:val="24"/>
          <w:lang w:val="es-ES_tradnl"/>
        </w:rPr>
        <w:t xml:space="preserve">Martínez Ríos, B. (2009): </w:t>
      </w:r>
      <w:r w:rsidRPr="00766233">
        <w:rPr>
          <w:rFonts w:ascii="MinionPro-Regular" w:hAnsi="MinionPro-Regular"/>
          <w:i/>
          <w:sz w:val="24"/>
          <w:szCs w:val="24"/>
          <w:lang w:val="es-ES_tradnl"/>
        </w:rPr>
        <w:t>Aproximación a los costes extraordinarios de la discapacidad y su contribución a la pobreza desde un enfoque basado en los derechos humanos,</w:t>
      </w:r>
      <w:r>
        <w:rPr>
          <w:rFonts w:ascii="MinionPro-Regular" w:hAnsi="MinionPro-Regular"/>
          <w:sz w:val="24"/>
          <w:szCs w:val="24"/>
          <w:lang w:val="es-ES_tradnl"/>
        </w:rPr>
        <w:t xml:space="preserve"> Madrid: Comité Español de Representantes de Personas con Discapacidad (CERMI), con el apoyo del Ministerio de Asuntos Exteriores y Cooperación. (Colección Convención ONU Nº 4).</w:t>
      </w:r>
    </w:p>
    <w:p w:rsidR="00E2336B" w:rsidRDefault="00E2336B" w:rsidP="002B3ED3">
      <w:pPr>
        <w:pStyle w:val="Textoindependiente"/>
        <w:spacing w:line="360" w:lineRule="auto"/>
        <w:rPr>
          <w:rFonts w:ascii="MinionPro-Regular" w:hAnsi="MinionPro-Regular"/>
          <w:sz w:val="24"/>
          <w:szCs w:val="24"/>
          <w:lang w:val="es-ES_tradnl"/>
        </w:rPr>
      </w:pPr>
      <w:r>
        <w:rPr>
          <w:rFonts w:ascii="MinionPro-Regular" w:hAnsi="MinionPro-Regular"/>
          <w:sz w:val="24"/>
          <w:szCs w:val="24"/>
          <w:lang w:val="es-ES_tradnl"/>
        </w:rPr>
        <w:t xml:space="preserve">Ministerio de Trabajo e inmigración y Ministerio de Sanidad y Política Social (2008): </w:t>
      </w:r>
      <w:r w:rsidRPr="00BC4473">
        <w:rPr>
          <w:rFonts w:ascii="MinionPro-Regular" w:hAnsi="MinionPro-Regular"/>
          <w:i/>
          <w:sz w:val="24"/>
          <w:szCs w:val="24"/>
          <w:lang w:val="es-ES_tradnl"/>
        </w:rPr>
        <w:t>Estrategia global de acción para el empleo de las personas con discapacidad 2008-2012</w:t>
      </w:r>
      <w:r>
        <w:rPr>
          <w:rFonts w:ascii="MinionPro-Regular" w:hAnsi="MinionPro-Regular"/>
          <w:sz w:val="24"/>
          <w:szCs w:val="24"/>
          <w:lang w:val="es-ES_tradnl"/>
        </w:rPr>
        <w:t>, Madrid: Subdirección General de Información Administrativa y Publicaciones.</w:t>
      </w:r>
    </w:p>
    <w:p w:rsidR="00E2336B" w:rsidRDefault="00E2336B" w:rsidP="002B3ED3">
      <w:pPr>
        <w:pStyle w:val="Textoindependiente"/>
        <w:spacing w:line="360" w:lineRule="auto"/>
        <w:rPr>
          <w:rFonts w:ascii="MinionPro-Regular" w:hAnsi="MinionPro-Regular"/>
          <w:sz w:val="24"/>
          <w:szCs w:val="24"/>
          <w:lang w:val="es-ES_tradnl"/>
        </w:rPr>
      </w:pPr>
      <w:r>
        <w:rPr>
          <w:rFonts w:ascii="MinionPro-Regular" w:hAnsi="MinionPro-Regular"/>
          <w:sz w:val="24"/>
          <w:szCs w:val="24"/>
          <w:lang w:val="es-ES_tradnl"/>
        </w:rPr>
        <w:t xml:space="preserve">Ministerio de Trabajo e Inmigración (2012): </w:t>
      </w:r>
      <w:r w:rsidRPr="00E43EDC">
        <w:rPr>
          <w:rFonts w:ascii="MinionPro-Regular" w:hAnsi="MinionPro-Regular"/>
          <w:i/>
          <w:sz w:val="24"/>
          <w:szCs w:val="24"/>
          <w:lang w:val="es-ES_tradnl"/>
        </w:rPr>
        <w:t>Informe del Mercado de Trabajo de las personas con discapacidad Estatal. Datos 2011</w:t>
      </w:r>
      <w:r>
        <w:rPr>
          <w:rFonts w:ascii="MinionPro-Regular" w:hAnsi="MinionPro-Regular"/>
          <w:sz w:val="24"/>
          <w:szCs w:val="24"/>
          <w:lang w:val="es-ES_tradnl"/>
        </w:rPr>
        <w:t>, Madrid: Servicio Público de Empleo Estatal, Subdirección General de Estadística e Información.</w:t>
      </w:r>
    </w:p>
    <w:p w:rsidR="00E2336B" w:rsidRDefault="00E2336B" w:rsidP="002B3ED3">
      <w:pPr>
        <w:pStyle w:val="Textoindependiente"/>
        <w:spacing w:line="360" w:lineRule="auto"/>
        <w:rPr>
          <w:rFonts w:ascii="MinionPro-Regular" w:hAnsi="MinionPro-Regular"/>
          <w:sz w:val="24"/>
          <w:szCs w:val="24"/>
          <w:lang w:val="es-ES_tradnl"/>
        </w:rPr>
      </w:pPr>
      <w:r>
        <w:rPr>
          <w:rFonts w:ascii="MinionPro-Regular" w:hAnsi="MinionPro-Regular"/>
          <w:sz w:val="24"/>
          <w:szCs w:val="24"/>
          <w:lang w:val="es-ES_tradnl"/>
        </w:rPr>
        <w:lastRenderedPageBreak/>
        <w:t xml:space="preserve">Ministerio de Empleo y Seguridad Social (octubre 2012): </w:t>
      </w:r>
      <w:r w:rsidRPr="00C90940">
        <w:rPr>
          <w:rFonts w:ascii="MinionPro-Regular" w:hAnsi="MinionPro-Regular"/>
          <w:i/>
          <w:sz w:val="24"/>
          <w:szCs w:val="24"/>
          <w:lang w:val="es-ES_tradnl"/>
        </w:rPr>
        <w:t>Bonificaciones/Reducciones a la contratación laboral. Cuadro resumen de la normativa vigente</w:t>
      </w:r>
      <w:r>
        <w:rPr>
          <w:rFonts w:ascii="MinionPro-Regular" w:hAnsi="MinionPro-Regular"/>
          <w:sz w:val="24"/>
          <w:szCs w:val="24"/>
          <w:lang w:val="es-ES_tradnl"/>
        </w:rPr>
        <w:t>, Madrid, Servicio Público de Empleo Estatal.</w:t>
      </w:r>
    </w:p>
    <w:p w:rsidR="00E2336B" w:rsidRDefault="00E2336B" w:rsidP="002B3ED3">
      <w:pPr>
        <w:pStyle w:val="Textoindependiente"/>
        <w:spacing w:line="360" w:lineRule="auto"/>
        <w:rPr>
          <w:rFonts w:ascii="MinionPro-Regular" w:hAnsi="MinionPro-Regular"/>
          <w:sz w:val="24"/>
          <w:szCs w:val="24"/>
          <w:lang w:val="es-ES_tradnl"/>
        </w:rPr>
      </w:pPr>
      <w:r>
        <w:rPr>
          <w:rFonts w:ascii="MinionPro-Regular" w:hAnsi="MinionPro-Regular"/>
          <w:sz w:val="24"/>
          <w:szCs w:val="24"/>
          <w:lang w:val="es-ES_tradnl"/>
        </w:rPr>
        <w:t xml:space="preserve">Ministerio de Sanidad, Política Social e Igualdad y Real Patronato sobre discapacidad (2011): </w:t>
      </w:r>
      <w:r w:rsidRPr="008F3246">
        <w:rPr>
          <w:rFonts w:ascii="MinionPro-Regular" w:hAnsi="MinionPro-Regular"/>
          <w:i/>
          <w:sz w:val="24"/>
          <w:szCs w:val="24"/>
          <w:lang w:val="es-ES_tradnl"/>
        </w:rPr>
        <w:t>Estrategia española sobre discapacidad 2012-2020</w:t>
      </w:r>
      <w:r>
        <w:rPr>
          <w:rFonts w:ascii="MinionPro-Regular" w:hAnsi="MinionPro-Regular"/>
          <w:sz w:val="24"/>
          <w:szCs w:val="24"/>
          <w:lang w:val="es-ES_tradnl"/>
        </w:rPr>
        <w:t>, Madrid: Real Patronato sobre discapacidad.</w:t>
      </w:r>
    </w:p>
    <w:p w:rsidR="00E2336B" w:rsidRDefault="00E2336B" w:rsidP="002B3ED3">
      <w:pPr>
        <w:pStyle w:val="Textoindependiente"/>
        <w:spacing w:line="360" w:lineRule="auto"/>
        <w:rPr>
          <w:rFonts w:ascii="MinionPro-Regular" w:hAnsi="MinionPro-Regular"/>
          <w:sz w:val="24"/>
          <w:szCs w:val="24"/>
          <w:lang w:val="es-ES_tradnl"/>
        </w:rPr>
      </w:pPr>
      <w:r>
        <w:rPr>
          <w:rFonts w:ascii="MinionPro-Regular" w:hAnsi="MinionPro-Regular"/>
          <w:sz w:val="24"/>
          <w:szCs w:val="24"/>
          <w:lang w:val="es-ES_tradnl"/>
        </w:rPr>
        <w:t>Muestra Continua de Vidas Laborales (2011), Dirección General de Ordenación de la Seguridad Social.</w:t>
      </w:r>
    </w:p>
    <w:p w:rsidR="00E2336B" w:rsidRDefault="00E2336B" w:rsidP="002B3ED3">
      <w:pPr>
        <w:pStyle w:val="Textoindependiente"/>
        <w:spacing w:line="360" w:lineRule="auto"/>
        <w:rPr>
          <w:rFonts w:ascii="MinionPro-Regular" w:hAnsi="MinionPro-Regular"/>
          <w:sz w:val="24"/>
          <w:szCs w:val="24"/>
          <w:lang w:val="en-US"/>
        </w:rPr>
      </w:pPr>
      <w:r>
        <w:rPr>
          <w:rFonts w:ascii="MinionPro-Regular" w:hAnsi="MinionPro-Regular"/>
          <w:sz w:val="24"/>
          <w:szCs w:val="24"/>
          <w:lang w:val="en-US"/>
        </w:rPr>
        <w:t xml:space="preserve">National Archives, </w:t>
      </w:r>
      <w:r w:rsidRPr="005C0877">
        <w:rPr>
          <w:rFonts w:ascii="MinionPro-Regular" w:hAnsi="MinionPro-Regular"/>
          <w:i/>
          <w:sz w:val="24"/>
          <w:szCs w:val="24"/>
          <w:lang w:val="en-US"/>
        </w:rPr>
        <w:t>Equality Act (2010)</w:t>
      </w:r>
      <w:r>
        <w:rPr>
          <w:rFonts w:ascii="MinionPro-Regular" w:hAnsi="MinionPro-Regular"/>
          <w:sz w:val="24"/>
          <w:szCs w:val="24"/>
          <w:lang w:val="en-US"/>
        </w:rPr>
        <w:t>, United Kingdom: The National Archives, HM Government.</w:t>
      </w:r>
    </w:p>
    <w:p w:rsidR="00E2336B" w:rsidRPr="00E2336B" w:rsidRDefault="00F23441" w:rsidP="002B3ED3">
      <w:pPr>
        <w:pStyle w:val="Textoindependiente"/>
        <w:spacing w:line="360" w:lineRule="auto"/>
        <w:rPr>
          <w:rFonts w:ascii="MinionPro-Regular" w:hAnsi="MinionPro-Regular"/>
          <w:sz w:val="24"/>
          <w:szCs w:val="24"/>
          <w:lang w:val="es-ES_tradnl"/>
        </w:rPr>
      </w:pPr>
      <w:r w:rsidRPr="00F23441">
        <w:rPr>
          <w:rFonts w:ascii="MinionPro-Regular" w:hAnsi="MinionPro-Regular"/>
          <w:sz w:val="24"/>
          <w:szCs w:val="24"/>
          <w:lang w:val="es-ES_tradnl"/>
        </w:rPr>
        <w:t>Observatorio de las ocupaciones del Servicio P</w:t>
      </w:r>
      <w:r w:rsidR="00E2336B">
        <w:rPr>
          <w:rFonts w:ascii="MinionPro-Regular" w:hAnsi="MinionPro-Regular"/>
          <w:sz w:val="24"/>
          <w:szCs w:val="24"/>
          <w:lang w:val="es-ES_tradnl"/>
        </w:rPr>
        <w:t xml:space="preserve">úblico de Empleo Estatal (2012): </w:t>
      </w:r>
      <w:r w:rsidRPr="00F23441">
        <w:rPr>
          <w:rFonts w:ascii="MinionPro-Regular" w:hAnsi="MinionPro-Regular"/>
          <w:i/>
          <w:sz w:val="24"/>
          <w:szCs w:val="24"/>
          <w:lang w:val="es-ES_tradnl"/>
        </w:rPr>
        <w:t>Informe del Mercado de Trabajo de las personas con discapacidad. Datos 2011</w:t>
      </w:r>
      <w:r w:rsidR="00E2336B">
        <w:rPr>
          <w:rFonts w:ascii="MinionPro-Regular" w:hAnsi="MinionPro-Regular"/>
          <w:sz w:val="24"/>
          <w:szCs w:val="24"/>
          <w:lang w:val="es-ES_tradnl"/>
        </w:rPr>
        <w:t>, Madrid: Ministerio de Empleo y Seguridad Social.</w:t>
      </w:r>
    </w:p>
    <w:p w:rsidR="00E2336B" w:rsidRDefault="00E2336B" w:rsidP="002B3ED3">
      <w:pPr>
        <w:pStyle w:val="Textoindependiente"/>
        <w:spacing w:line="360" w:lineRule="auto"/>
        <w:rPr>
          <w:rFonts w:ascii="MinionPro-Regular" w:hAnsi="MinionPro-Regular"/>
          <w:sz w:val="24"/>
          <w:szCs w:val="24"/>
          <w:lang w:val="es-ES_tradnl"/>
        </w:rPr>
      </w:pPr>
      <w:r>
        <w:rPr>
          <w:rFonts w:ascii="MinionPro-Regular" w:hAnsi="MinionPro-Regular"/>
          <w:sz w:val="24"/>
          <w:szCs w:val="24"/>
          <w:lang w:val="es-ES_tradnl"/>
        </w:rPr>
        <w:t xml:space="preserve">Observatorio estatal de la discapacidad (2010): </w:t>
      </w:r>
      <w:r w:rsidRPr="009A2909">
        <w:rPr>
          <w:rFonts w:ascii="MinionPro-Regular" w:hAnsi="MinionPro-Regular"/>
          <w:i/>
          <w:sz w:val="24"/>
          <w:szCs w:val="24"/>
          <w:lang w:val="es-ES_tradnl"/>
        </w:rPr>
        <w:t>Informe Olivenza. El empleo de las personas con discapacidad: retos y oportunidades</w:t>
      </w:r>
      <w:r>
        <w:rPr>
          <w:rFonts w:ascii="MinionPro-Regular" w:hAnsi="MinionPro-Regular"/>
          <w:sz w:val="24"/>
          <w:szCs w:val="24"/>
          <w:lang w:val="es-ES_tradnl"/>
        </w:rPr>
        <w:t>, Badajoz: Observatorio estatal de la discapacidad, 246-270.</w:t>
      </w:r>
    </w:p>
    <w:p w:rsidR="00E2336B" w:rsidRDefault="00E2336B" w:rsidP="0007541A">
      <w:pPr>
        <w:pStyle w:val="Textoindependiente"/>
        <w:numPr>
          <w:ilvl w:val="0"/>
          <w:numId w:val="17"/>
        </w:numPr>
        <w:spacing w:line="360" w:lineRule="auto"/>
        <w:rPr>
          <w:rFonts w:ascii="MinionPro-Regular" w:hAnsi="MinionPro-Regular"/>
          <w:sz w:val="24"/>
          <w:szCs w:val="24"/>
          <w:lang w:val="es-ES_tradnl"/>
        </w:rPr>
      </w:pPr>
      <w:r>
        <w:rPr>
          <w:rFonts w:ascii="MinionPro-Regular" w:hAnsi="MinionPro-Regular"/>
          <w:sz w:val="24"/>
          <w:szCs w:val="24"/>
          <w:lang w:val="es-ES_tradnl"/>
        </w:rPr>
        <w:t xml:space="preserve">(2010a): </w:t>
      </w:r>
      <w:r w:rsidRPr="00E15FFE">
        <w:rPr>
          <w:rFonts w:ascii="MinionPro-Regular" w:hAnsi="MinionPro-Regular"/>
          <w:i/>
          <w:sz w:val="24"/>
          <w:szCs w:val="24"/>
          <w:lang w:val="es-ES_tradnl"/>
        </w:rPr>
        <w:t>Selección de indicadores sobre la situación de las personas con discapacidad en España</w:t>
      </w:r>
      <w:r>
        <w:rPr>
          <w:rFonts w:ascii="MinionPro-Regular" w:hAnsi="MinionPro-Regular"/>
          <w:sz w:val="24"/>
          <w:szCs w:val="24"/>
          <w:lang w:val="es-ES_tradnl"/>
        </w:rPr>
        <w:t>, Badajoz: Observatorio estatal de la discapacidad. (Capítulo 6, Accesibilidad)</w:t>
      </w:r>
    </w:p>
    <w:p w:rsidR="00E2336B" w:rsidRDefault="00E2336B" w:rsidP="002B3ED3">
      <w:pPr>
        <w:pStyle w:val="Textoindependiente"/>
        <w:spacing w:line="360" w:lineRule="auto"/>
        <w:rPr>
          <w:rFonts w:ascii="MinionPro-Regular" w:hAnsi="MinionPro-Regular"/>
          <w:sz w:val="24"/>
          <w:szCs w:val="24"/>
          <w:lang w:val="es-ES_tradnl"/>
        </w:rPr>
      </w:pPr>
      <w:r w:rsidRPr="002B3ED3">
        <w:rPr>
          <w:rFonts w:ascii="MinionPro-Regular" w:hAnsi="MinionPro-Regular"/>
          <w:sz w:val="24"/>
          <w:szCs w:val="24"/>
          <w:lang w:val="es-ES_tradnl"/>
        </w:rPr>
        <w:t xml:space="preserve">OECD (2007) Social Expenditure Database. </w:t>
      </w:r>
      <w:r w:rsidRPr="00E04E57">
        <w:rPr>
          <w:rFonts w:ascii="MinionPro-Regular" w:hAnsi="MinionPro-Regular"/>
          <w:sz w:val="24"/>
          <w:szCs w:val="24"/>
          <w:lang w:val="es-ES_tradnl"/>
        </w:rPr>
        <w:t>Información obtenida a</w:t>
      </w:r>
      <w:r>
        <w:rPr>
          <w:rFonts w:ascii="MinionPro-Regular" w:hAnsi="MinionPro-Regular"/>
          <w:sz w:val="24"/>
          <w:szCs w:val="24"/>
          <w:lang w:val="es-ES_tradnl"/>
        </w:rPr>
        <w:t xml:space="preserve"> través de la página web, apartado Social Expenditure.</w:t>
      </w:r>
    </w:p>
    <w:p w:rsidR="00E2336B" w:rsidRPr="002B3ED3" w:rsidRDefault="00E2336B" w:rsidP="0007541A">
      <w:pPr>
        <w:pStyle w:val="Textoindependiente"/>
        <w:numPr>
          <w:ilvl w:val="0"/>
          <w:numId w:val="16"/>
        </w:numPr>
        <w:spacing w:line="360" w:lineRule="auto"/>
        <w:rPr>
          <w:rFonts w:ascii="MinionPro-Regular" w:hAnsi="MinionPro-Regular"/>
          <w:sz w:val="24"/>
          <w:szCs w:val="24"/>
          <w:lang w:val="en-US"/>
        </w:rPr>
      </w:pPr>
      <w:r w:rsidRPr="002B3ED3">
        <w:rPr>
          <w:rFonts w:ascii="MinionPro-Regular" w:hAnsi="MinionPro-Regular"/>
          <w:sz w:val="24"/>
          <w:szCs w:val="24"/>
          <w:lang w:val="es-ES_tradnl"/>
        </w:rPr>
        <w:lastRenderedPageBreak/>
        <w:t xml:space="preserve"> </w:t>
      </w:r>
      <w:r>
        <w:rPr>
          <w:rFonts w:ascii="MinionPro-Regular" w:hAnsi="MinionPro-Regular"/>
          <w:sz w:val="24"/>
          <w:szCs w:val="24"/>
          <w:lang w:val="en-US"/>
        </w:rPr>
        <w:t xml:space="preserve">(2009): </w:t>
      </w:r>
      <w:r w:rsidRPr="00E04E57">
        <w:rPr>
          <w:rFonts w:ascii="MinionPro-Regular" w:hAnsi="MinionPro-Regular"/>
          <w:i/>
          <w:sz w:val="24"/>
          <w:szCs w:val="24"/>
          <w:lang w:val="en-US"/>
        </w:rPr>
        <w:t>Sickness, Disability and Work.</w:t>
      </w:r>
      <w:r>
        <w:rPr>
          <w:rFonts w:ascii="MinionPro-Regular" w:hAnsi="MinionPro-Regular"/>
          <w:sz w:val="24"/>
          <w:szCs w:val="24"/>
          <w:lang w:val="en-US"/>
        </w:rPr>
        <w:t xml:space="preserve"> </w:t>
      </w:r>
      <w:r w:rsidRPr="00E04E57">
        <w:rPr>
          <w:rFonts w:ascii="MinionPro-Regular" w:hAnsi="MinionPro-Regular"/>
          <w:i/>
          <w:sz w:val="24"/>
          <w:szCs w:val="24"/>
          <w:lang w:val="en-US"/>
        </w:rPr>
        <w:t>Keeping on track in the economic downturn</w:t>
      </w:r>
      <w:r>
        <w:rPr>
          <w:rFonts w:ascii="MinionPro-Regular" w:hAnsi="MinionPro-Regular"/>
          <w:sz w:val="24"/>
          <w:szCs w:val="24"/>
          <w:lang w:val="en-US"/>
        </w:rPr>
        <w:t>, Estocolmo: OECD, Directorate for Employment, Labour and Social Affairs.</w:t>
      </w:r>
    </w:p>
    <w:p w:rsidR="00E2336B" w:rsidRPr="002B3ED3" w:rsidRDefault="00E2336B" w:rsidP="0007541A">
      <w:pPr>
        <w:pStyle w:val="Textoindependiente"/>
        <w:numPr>
          <w:ilvl w:val="0"/>
          <w:numId w:val="16"/>
        </w:numPr>
        <w:spacing w:line="360" w:lineRule="auto"/>
        <w:rPr>
          <w:rFonts w:ascii="MinionPro-Regular" w:hAnsi="MinionPro-Regular"/>
          <w:sz w:val="24"/>
          <w:szCs w:val="24"/>
          <w:lang w:val="en-US"/>
        </w:rPr>
      </w:pPr>
      <w:r>
        <w:rPr>
          <w:rFonts w:ascii="MinionPro-Regular" w:hAnsi="MinionPro-Regular"/>
          <w:sz w:val="24"/>
          <w:szCs w:val="24"/>
          <w:lang w:val="en-US"/>
        </w:rPr>
        <w:t xml:space="preserve">(2010):  </w:t>
      </w:r>
      <w:r w:rsidRPr="00E04E57">
        <w:rPr>
          <w:rFonts w:ascii="MinionPro-Regular" w:hAnsi="MinionPro-Regular"/>
          <w:i/>
          <w:sz w:val="24"/>
          <w:szCs w:val="24"/>
          <w:lang w:val="en-US"/>
        </w:rPr>
        <w:t>Sickness, Disability and Work: Breaking the barriers.</w:t>
      </w:r>
      <w:r>
        <w:rPr>
          <w:rFonts w:ascii="MinionPro-Regular" w:hAnsi="MinionPro-Regular"/>
          <w:sz w:val="24"/>
          <w:szCs w:val="24"/>
          <w:lang w:val="en-US"/>
        </w:rPr>
        <w:t xml:space="preserve"> </w:t>
      </w:r>
      <w:r w:rsidRPr="0081432A">
        <w:rPr>
          <w:rFonts w:ascii="MinionPro-Regular" w:hAnsi="MinionPro-Regular"/>
          <w:i/>
          <w:iCs/>
          <w:sz w:val="24"/>
          <w:szCs w:val="24"/>
          <w:lang w:val="en-US"/>
        </w:rPr>
        <w:t>A Synthesis of Findings across OECD Countries.</w:t>
      </w:r>
    </w:p>
    <w:p w:rsidR="00E2336B" w:rsidRDefault="00E2336B" w:rsidP="002B3ED3">
      <w:pPr>
        <w:pStyle w:val="Textoindependiente"/>
        <w:spacing w:line="360" w:lineRule="auto"/>
        <w:rPr>
          <w:rFonts w:ascii="MinionPro-Regular" w:hAnsi="MinionPro-Regular"/>
          <w:sz w:val="24"/>
          <w:szCs w:val="24"/>
          <w:lang w:val="es-ES_tradnl"/>
        </w:rPr>
      </w:pPr>
      <w:r>
        <w:rPr>
          <w:rFonts w:ascii="MinionPro-Regular" w:hAnsi="MinionPro-Regular"/>
          <w:sz w:val="24"/>
          <w:szCs w:val="24"/>
          <w:lang w:val="es-ES_tradnl"/>
        </w:rPr>
        <w:t xml:space="preserve">Organización Mundial De La Salud, Banco Mundial (2011): </w:t>
      </w:r>
      <w:r>
        <w:rPr>
          <w:rFonts w:ascii="MinionPro-Regular" w:hAnsi="MinionPro-Regular"/>
          <w:i/>
          <w:sz w:val="24"/>
          <w:szCs w:val="24"/>
          <w:lang w:val="es-ES_tradnl"/>
        </w:rPr>
        <w:t>Informe mundial sobre la discapacidad,</w:t>
      </w:r>
      <w:r>
        <w:rPr>
          <w:rFonts w:ascii="MinionPro-Regular" w:hAnsi="MinionPro-Regular"/>
          <w:sz w:val="24"/>
          <w:szCs w:val="24"/>
          <w:lang w:val="es-ES_tradnl"/>
        </w:rPr>
        <w:t xml:space="preserve"> Ginebra: Organización Mundial de la Salud.</w:t>
      </w:r>
    </w:p>
    <w:p w:rsidR="00E2336B" w:rsidRDefault="00E2336B" w:rsidP="002B3ED3">
      <w:pPr>
        <w:pStyle w:val="Textoindependiente"/>
        <w:spacing w:line="360" w:lineRule="auto"/>
        <w:rPr>
          <w:rFonts w:ascii="MinionPro-Regular" w:hAnsi="MinionPro-Regular"/>
          <w:sz w:val="24"/>
          <w:szCs w:val="24"/>
          <w:lang w:val="es-ES_tradnl"/>
        </w:rPr>
      </w:pPr>
      <w:r>
        <w:rPr>
          <w:rFonts w:ascii="MinionPro-Regular" w:hAnsi="MinionPro-Regular"/>
          <w:sz w:val="24"/>
          <w:szCs w:val="24"/>
          <w:lang w:val="es-ES_tradnl"/>
        </w:rPr>
        <w:t xml:space="preserve">Organización Naciones Unidas (2006): </w:t>
      </w:r>
      <w:r w:rsidRPr="00951F0E">
        <w:rPr>
          <w:rFonts w:ascii="MinionPro-Regular" w:hAnsi="MinionPro-Regular"/>
          <w:i/>
          <w:sz w:val="24"/>
          <w:szCs w:val="24"/>
          <w:lang w:val="es-ES_tradnl"/>
        </w:rPr>
        <w:t>Convención sobre los derechos de las personas con discapacidad</w:t>
      </w:r>
      <w:r>
        <w:rPr>
          <w:rFonts w:ascii="MinionPro-Regular" w:hAnsi="MinionPro-Regular"/>
          <w:i/>
          <w:sz w:val="24"/>
          <w:szCs w:val="24"/>
          <w:lang w:val="es-ES_tradnl"/>
        </w:rPr>
        <w:t>,</w:t>
      </w:r>
      <w:r w:rsidRPr="00951F0E">
        <w:rPr>
          <w:rFonts w:ascii="MinionPro-Regular" w:hAnsi="MinionPro-Regular"/>
          <w:sz w:val="24"/>
          <w:szCs w:val="24"/>
          <w:lang w:val="es-ES_tradnl"/>
        </w:rPr>
        <w:t xml:space="preserve"> Nueva York</w:t>
      </w:r>
      <w:r w:rsidRPr="00E04E57">
        <w:rPr>
          <w:rFonts w:ascii="MinionPro-Regular" w:hAnsi="MinionPro-Regular"/>
          <w:sz w:val="24"/>
          <w:szCs w:val="24"/>
          <w:lang w:val="es-ES_tradnl"/>
        </w:rPr>
        <w:t>: Naciones Unidas.</w:t>
      </w:r>
    </w:p>
    <w:p w:rsidR="00E2336B" w:rsidRPr="00C90940" w:rsidRDefault="00E2336B" w:rsidP="002B3ED3">
      <w:pPr>
        <w:pStyle w:val="Textoindependiente"/>
        <w:spacing w:line="360" w:lineRule="auto"/>
        <w:rPr>
          <w:rFonts w:ascii="MinionPro-Regular" w:hAnsi="MinionPro-Regular"/>
          <w:sz w:val="24"/>
          <w:szCs w:val="24"/>
          <w:lang w:val="es-ES_tradnl"/>
        </w:rPr>
      </w:pPr>
      <w:r w:rsidRPr="003E6D14">
        <w:rPr>
          <w:rFonts w:ascii="MinionPro-Regular" w:hAnsi="MinionPro-Regular"/>
          <w:sz w:val="24"/>
          <w:szCs w:val="24"/>
          <w:lang w:val="es-ES_tradnl"/>
        </w:rPr>
        <w:t>Pallisera, M., Vilá M., Valls</w:t>
      </w:r>
      <w:r>
        <w:rPr>
          <w:rFonts w:ascii="MinionPro-Regular" w:hAnsi="MinionPro-Regular"/>
          <w:sz w:val="24"/>
          <w:szCs w:val="24"/>
          <w:lang w:val="es-ES_tradnl"/>
        </w:rPr>
        <w:t xml:space="preserve">, J.M., Rius, M., Fullana, J., Jiménez, F., Cardona, M. y Lobato, J. (2003): La integración laboral de personas con discapacidad en la empresa ordinaria española: aproximación a través de una investigación. </w:t>
      </w:r>
      <w:r w:rsidRPr="00E53C47">
        <w:rPr>
          <w:rFonts w:ascii="MinionPro-Regular" w:hAnsi="MinionPro-Regular"/>
          <w:i/>
          <w:sz w:val="24"/>
          <w:szCs w:val="24"/>
          <w:lang w:val="es-ES_tradnl"/>
        </w:rPr>
        <w:t>Revista Siglo Cero, Revista Española sobre Discapacidad Intelectual</w:t>
      </w:r>
      <w:r>
        <w:rPr>
          <w:rFonts w:ascii="MinionPro-Regular" w:hAnsi="MinionPro-Regular"/>
          <w:i/>
          <w:sz w:val="24"/>
          <w:szCs w:val="24"/>
          <w:lang w:val="es-ES_tradnl"/>
        </w:rPr>
        <w:t>.</w:t>
      </w:r>
      <w:r>
        <w:rPr>
          <w:rFonts w:ascii="MinionPro-Regular" w:hAnsi="MinionPro-Regular"/>
          <w:sz w:val="24"/>
          <w:szCs w:val="24"/>
          <w:lang w:val="es-ES_tradnl"/>
        </w:rPr>
        <w:t xml:space="preserve"> Vol.34 Núm.208 5-18.</w:t>
      </w:r>
    </w:p>
    <w:p w:rsidR="00E2336B" w:rsidRPr="00762C73" w:rsidRDefault="00E2336B" w:rsidP="002B3ED3">
      <w:pPr>
        <w:pStyle w:val="Textoindependiente"/>
        <w:spacing w:line="360" w:lineRule="auto"/>
        <w:rPr>
          <w:rFonts w:ascii="MinionPro-Regular" w:hAnsi="MinionPro-Regular"/>
          <w:sz w:val="24"/>
          <w:szCs w:val="24"/>
          <w:lang w:val="es-ES_tradnl"/>
        </w:rPr>
      </w:pPr>
      <w:r w:rsidRPr="00762C73">
        <w:rPr>
          <w:rFonts w:ascii="MinionPro-Regular" w:hAnsi="MinionPro-Regular"/>
          <w:sz w:val="24"/>
          <w:szCs w:val="24"/>
          <w:lang w:val="es-ES_tradnl"/>
        </w:rPr>
        <w:t>Pereda C., de Prada M.</w:t>
      </w:r>
      <w:r>
        <w:rPr>
          <w:rFonts w:ascii="MinionPro-Regular" w:hAnsi="MinionPro-Regular"/>
          <w:sz w:val="24"/>
          <w:szCs w:val="24"/>
          <w:lang w:val="es-ES_tradnl"/>
        </w:rPr>
        <w:t xml:space="preserve">A. y Actis W. (2012): </w:t>
      </w:r>
      <w:r w:rsidRPr="00762C73">
        <w:rPr>
          <w:rFonts w:ascii="MinionPro-Regular" w:hAnsi="MinionPro-Regular"/>
          <w:i/>
          <w:sz w:val="24"/>
          <w:szCs w:val="24"/>
          <w:lang w:val="es-ES_tradnl"/>
        </w:rPr>
        <w:t>Discapacidades e inclusión social</w:t>
      </w:r>
      <w:r>
        <w:rPr>
          <w:rFonts w:ascii="MinionPro-Regular" w:hAnsi="MinionPro-Regular"/>
          <w:sz w:val="24"/>
          <w:szCs w:val="24"/>
          <w:lang w:val="es-ES_tradnl"/>
        </w:rPr>
        <w:t>, Barcelona, Colección Estudios Sociales Núm.33 Obra Social La Caixa.</w:t>
      </w:r>
    </w:p>
    <w:p w:rsidR="00E2336B" w:rsidRDefault="00E2336B" w:rsidP="002B3ED3">
      <w:pPr>
        <w:pStyle w:val="Textoindependiente"/>
        <w:spacing w:line="360" w:lineRule="auto"/>
        <w:rPr>
          <w:rFonts w:ascii="MinionPro-Regular" w:hAnsi="MinionPro-Regular"/>
          <w:sz w:val="24"/>
          <w:szCs w:val="24"/>
          <w:lang w:val="en-US"/>
        </w:rPr>
      </w:pPr>
      <w:r w:rsidRPr="00E036AA">
        <w:rPr>
          <w:rFonts w:ascii="MinionPro-Regular" w:hAnsi="MinionPro-Regular"/>
          <w:sz w:val="24"/>
          <w:szCs w:val="24"/>
          <w:lang w:val="en-US"/>
        </w:rPr>
        <w:t xml:space="preserve">Priestley, M., Roulstone, A. (2009): </w:t>
      </w:r>
      <w:r w:rsidRPr="00E036AA">
        <w:rPr>
          <w:rFonts w:ascii="MinionPro-Regular" w:hAnsi="MinionPro-Regular"/>
          <w:i/>
          <w:sz w:val="24"/>
          <w:szCs w:val="24"/>
          <w:lang w:val="en-US"/>
        </w:rPr>
        <w:t>Targeting and mainstreaming disability in the 2008-2010 National Reform Programmes for Growth and Jobs</w:t>
      </w:r>
      <w:r>
        <w:rPr>
          <w:rFonts w:ascii="MinionPro-Regular" w:hAnsi="MinionPro-Regular"/>
          <w:sz w:val="24"/>
          <w:szCs w:val="24"/>
          <w:lang w:val="en-US"/>
        </w:rPr>
        <w:t>, Academic Network of European Disability experts (ANED).</w:t>
      </w:r>
    </w:p>
    <w:p w:rsidR="00E2336B" w:rsidRPr="00E036AA" w:rsidRDefault="00E2336B" w:rsidP="002B3ED3">
      <w:pPr>
        <w:pStyle w:val="Textoindependiente"/>
        <w:spacing w:line="360" w:lineRule="auto"/>
        <w:rPr>
          <w:rFonts w:ascii="MinionPro-Regular" w:hAnsi="MinionPro-Regular"/>
          <w:sz w:val="24"/>
          <w:szCs w:val="24"/>
          <w:lang w:val="en-US"/>
        </w:rPr>
      </w:pPr>
      <w:r>
        <w:rPr>
          <w:rFonts w:ascii="MinionPro-Regular" w:hAnsi="MinionPro-Regular"/>
          <w:sz w:val="24"/>
          <w:szCs w:val="24"/>
          <w:lang w:val="en-US"/>
        </w:rPr>
        <w:t xml:space="preserve">P&amp;W Praxis und Wissernschaft Projekt Gesellschaft mbH (coord.): </w:t>
      </w:r>
      <w:r w:rsidRPr="000607C5">
        <w:rPr>
          <w:rFonts w:ascii="MinionPro-Regular" w:hAnsi="MinionPro-Regular"/>
          <w:i/>
          <w:sz w:val="24"/>
          <w:szCs w:val="24"/>
          <w:lang w:val="en-US"/>
        </w:rPr>
        <w:t>Report on good practices in the employment of people with disabilities</w:t>
      </w:r>
      <w:r>
        <w:rPr>
          <w:rFonts w:ascii="MinionPro-Regular" w:hAnsi="MinionPro-Regular"/>
          <w:sz w:val="24"/>
          <w:szCs w:val="24"/>
          <w:lang w:val="en-US"/>
        </w:rPr>
        <w:t>, PwD employ.</w:t>
      </w:r>
    </w:p>
    <w:p w:rsidR="00E2336B" w:rsidRDefault="00E2336B" w:rsidP="002B3ED3">
      <w:pPr>
        <w:pStyle w:val="Textoindependiente"/>
        <w:spacing w:line="360" w:lineRule="auto"/>
        <w:rPr>
          <w:rFonts w:ascii="MinionPro-Regular" w:hAnsi="MinionPro-Regular"/>
          <w:sz w:val="24"/>
          <w:szCs w:val="24"/>
          <w:lang w:val="es-ES_tradnl"/>
        </w:rPr>
      </w:pPr>
      <w:r>
        <w:rPr>
          <w:rFonts w:ascii="MinionPro-Regular" w:hAnsi="MinionPro-Regular"/>
          <w:sz w:val="24"/>
          <w:szCs w:val="24"/>
          <w:lang w:val="es-ES_tradnl"/>
        </w:rPr>
        <w:t xml:space="preserve">Rodriguez Cabrero, G. (2009): </w:t>
      </w:r>
      <w:r w:rsidRPr="00E036AA">
        <w:rPr>
          <w:rFonts w:ascii="MinionPro-Regular" w:hAnsi="MinionPro-Regular"/>
          <w:i/>
          <w:sz w:val="24"/>
          <w:szCs w:val="24"/>
          <w:lang w:val="es-ES_tradnl"/>
        </w:rPr>
        <w:t>Evaluación de las políticas de empleo para personas con discapacidad y formulación y coste económico de nuevas propuestas de integración laboral</w:t>
      </w:r>
      <w:r>
        <w:rPr>
          <w:rFonts w:ascii="MinionPro-Regular" w:hAnsi="MinionPro-Regular"/>
          <w:sz w:val="24"/>
          <w:szCs w:val="24"/>
          <w:lang w:val="es-ES_tradnl"/>
        </w:rPr>
        <w:t xml:space="preserve">, Madrid: Colección Telefónica Accesible número 9. </w:t>
      </w:r>
    </w:p>
    <w:p w:rsidR="00E2336B" w:rsidRDefault="00F23441" w:rsidP="002B3ED3">
      <w:pPr>
        <w:pStyle w:val="Textoindependiente"/>
        <w:spacing w:line="360" w:lineRule="auto"/>
        <w:rPr>
          <w:rFonts w:ascii="MinionPro-Regular" w:hAnsi="MinionPro-Regular"/>
          <w:sz w:val="24"/>
          <w:szCs w:val="24"/>
          <w:lang w:val="en-US"/>
        </w:rPr>
      </w:pPr>
      <w:r w:rsidRPr="00F23441">
        <w:rPr>
          <w:rFonts w:ascii="MinionPro-Regular" w:hAnsi="MinionPro-Regular"/>
          <w:sz w:val="24"/>
          <w:szCs w:val="24"/>
          <w:lang w:val="en-US"/>
        </w:rPr>
        <w:lastRenderedPageBreak/>
        <w:t xml:space="preserve">Research and Policy Development on Part V of Disability Act 2005 </w:t>
      </w:r>
      <w:r w:rsidR="00E2336B" w:rsidRPr="00CA6ECB">
        <w:rPr>
          <w:rFonts w:ascii="MinionPro-Regular" w:hAnsi="MinionPro-Regular"/>
          <w:sz w:val="24"/>
          <w:szCs w:val="24"/>
          <w:lang w:val="en-US"/>
        </w:rPr>
        <w:t>–</w:t>
      </w:r>
      <w:r w:rsidRPr="00F23441">
        <w:rPr>
          <w:rFonts w:ascii="MinionPro-Regular" w:hAnsi="MinionPro-Regular"/>
          <w:sz w:val="24"/>
          <w:szCs w:val="24"/>
          <w:lang w:val="en-US"/>
        </w:rPr>
        <w:t xml:space="preserve"> </w:t>
      </w:r>
      <w:r w:rsidRPr="00F23441">
        <w:rPr>
          <w:rFonts w:ascii="MinionPro-Regular" w:hAnsi="MinionPro-Regular"/>
          <w:i/>
          <w:sz w:val="24"/>
          <w:szCs w:val="24"/>
          <w:lang w:val="en-US"/>
        </w:rPr>
        <w:t>Statutory targets on employment of people with disabilities in the public sector</w:t>
      </w:r>
      <w:r w:rsidR="00E2336B">
        <w:rPr>
          <w:rFonts w:ascii="MinionPro-Regular" w:hAnsi="MinionPro-Regular"/>
          <w:sz w:val="24"/>
          <w:szCs w:val="24"/>
          <w:lang w:val="en-US"/>
        </w:rPr>
        <w:t xml:space="preserve"> (2007), </w:t>
      </w:r>
      <w:r w:rsidRPr="00F23441">
        <w:rPr>
          <w:rFonts w:ascii="MinionPro-Regular" w:hAnsi="MinionPro-Regular"/>
          <w:sz w:val="24"/>
          <w:szCs w:val="24"/>
          <w:lang w:val="en-US"/>
        </w:rPr>
        <w:t xml:space="preserve">Ireland </w:t>
      </w:r>
      <w:r w:rsidR="00E2336B" w:rsidRPr="00CA6ECB">
        <w:rPr>
          <w:rFonts w:ascii="MinionPro-Regular" w:hAnsi="MinionPro-Regular"/>
          <w:sz w:val="24"/>
          <w:szCs w:val="24"/>
          <w:lang w:val="en-US"/>
        </w:rPr>
        <w:t>–</w:t>
      </w:r>
      <w:r w:rsidRPr="00F23441">
        <w:rPr>
          <w:rFonts w:ascii="MinionPro-Regular" w:hAnsi="MinionPro-Regular"/>
          <w:sz w:val="24"/>
          <w:szCs w:val="24"/>
          <w:lang w:val="en-US"/>
        </w:rPr>
        <w:t xml:space="preserve"> </w:t>
      </w:r>
      <w:r w:rsidR="00E2336B">
        <w:rPr>
          <w:rFonts w:ascii="MinionPro-Regular" w:hAnsi="MinionPro-Regular"/>
          <w:sz w:val="24"/>
          <w:szCs w:val="24"/>
          <w:lang w:val="en-US"/>
        </w:rPr>
        <w:t>National Disability Authority</w:t>
      </w:r>
      <w:r w:rsidRPr="00F23441">
        <w:rPr>
          <w:rFonts w:ascii="MinionPro-Regular" w:hAnsi="MinionPro-Regular"/>
          <w:sz w:val="24"/>
          <w:szCs w:val="24"/>
          <w:lang w:val="en-US"/>
        </w:rPr>
        <w:t>.</w:t>
      </w:r>
    </w:p>
    <w:p w:rsidR="00E2336B" w:rsidRPr="00827152" w:rsidRDefault="00E2336B" w:rsidP="002B3ED3">
      <w:pPr>
        <w:pStyle w:val="Textoindependiente"/>
        <w:spacing w:line="360" w:lineRule="auto"/>
        <w:rPr>
          <w:rFonts w:ascii="MinionPro-Regular" w:hAnsi="MinionPro-Regular"/>
          <w:sz w:val="24"/>
          <w:szCs w:val="24"/>
          <w:lang w:val="en-US"/>
        </w:rPr>
      </w:pPr>
      <w:r w:rsidRPr="00827152">
        <w:rPr>
          <w:rFonts w:ascii="MinionPro-Regular" w:hAnsi="MinionPro-Regular"/>
          <w:sz w:val="24"/>
          <w:szCs w:val="24"/>
          <w:lang w:val="en-US"/>
        </w:rPr>
        <w:t>Roulstone, A., Prideaux, S., y P</w:t>
      </w:r>
      <w:r>
        <w:rPr>
          <w:rFonts w:ascii="MinionPro-Regular" w:hAnsi="MinionPro-Regular"/>
          <w:sz w:val="24"/>
          <w:szCs w:val="24"/>
          <w:lang w:val="en-US"/>
        </w:rPr>
        <w:t xml:space="preserve">riestley M. (xxxx): </w:t>
      </w:r>
      <w:r w:rsidRPr="00827152">
        <w:rPr>
          <w:rFonts w:ascii="MinionPro-Regular" w:hAnsi="MinionPro-Regular"/>
          <w:i/>
          <w:sz w:val="24"/>
          <w:szCs w:val="24"/>
          <w:lang w:val="en-US"/>
        </w:rPr>
        <w:t>Report on the employment of disabled people in European countries, United Kingdom</w:t>
      </w:r>
      <w:r>
        <w:rPr>
          <w:rFonts w:ascii="MinionPro-Regular" w:hAnsi="MinionPro-Regular"/>
          <w:sz w:val="24"/>
          <w:szCs w:val="24"/>
          <w:lang w:val="en-US"/>
        </w:rPr>
        <w:t>: Academic Network of European Disability experts (ANED).</w:t>
      </w:r>
    </w:p>
    <w:p w:rsidR="00E23F12" w:rsidRDefault="00E23F12" w:rsidP="00424E91">
      <w:pPr>
        <w:pStyle w:val="Textoindependiente"/>
        <w:spacing w:line="360" w:lineRule="auto"/>
        <w:rPr>
          <w:rFonts w:ascii="MinionPro-Regular" w:hAnsi="MinionPro-Regular"/>
          <w:sz w:val="24"/>
          <w:szCs w:val="24"/>
          <w:lang w:val="es-ES_tradnl"/>
        </w:rPr>
      </w:pPr>
      <w:r>
        <w:rPr>
          <w:rFonts w:ascii="MinionPro-Regular" w:hAnsi="MinionPro-Regular"/>
          <w:sz w:val="24"/>
          <w:szCs w:val="24"/>
          <w:lang w:val="es-ES_tradnl"/>
        </w:rPr>
        <w:t xml:space="preserve">Servicio Público de Empleo Estatal: </w:t>
      </w:r>
      <w:r w:rsidR="00E86451" w:rsidRPr="00E86451">
        <w:rPr>
          <w:rFonts w:ascii="MinionPro-Regular" w:hAnsi="MinionPro-Regular"/>
          <w:i/>
          <w:sz w:val="24"/>
          <w:szCs w:val="24"/>
          <w:lang w:val="es-ES_tradnl"/>
        </w:rPr>
        <w:t>Informe de mercado de trabajo estatal</w:t>
      </w:r>
      <w:r>
        <w:rPr>
          <w:rFonts w:ascii="MinionPro-Regular" w:hAnsi="MinionPro-Regular"/>
          <w:sz w:val="24"/>
          <w:szCs w:val="24"/>
          <w:lang w:val="es-ES_tradnl"/>
        </w:rPr>
        <w:t>.</w:t>
      </w:r>
    </w:p>
    <w:p w:rsidR="00E2336B" w:rsidRDefault="00E2336B" w:rsidP="00424E91">
      <w:pPr>
        <w:pStyle w:val="Textoindependiente"/>
        <w:spacing w:line="360" w:lineRule="auto"/>
        <w:rPr>
          <w:rFonts w:ascii="MinionPro-Regular" w:hAnsi="MinionPro-Regular"/>
          <w:sz w:val="24"/>
          <w:szCs w:val="24"/>
          <w:lang w:val="es-ES_tradnl"/>
        </w:rPr>
      </w:pPr>
      <w:r w:rsidRPr="003E6D14">
        <w:rPr>
          <w:rFonts w:ascii="MinionPro-Regular" w:hAnsi="MinionPro-Regular"/>
          <w:sz w:val="24"/>
          <w:szCs w:val="24"/>
          <w:lang w:val="es-ES_tradnl"/>
        </w:rPr>
        <w:t>Sánchez-Cervera Senra, J.M  y Sánchez-Cervera Valdés J.</w:t>
      </w:r>
      <w:r>
        <w:rPr>
          <w:rFonts w:ascii="MinionPro-Regular" w:hAnsi="MinionPro-Regular"/>
          <w:sz w:val="24"/>
          <w:szCs w:val="24"/>
          <w:lang w:val="es-ES_tradnl"/>
        </w:rPr>
        <w:t xml:space="preserve">M: </w:t>
      </w:r>
      <w:r w:rsidRPr="003E6D14">
        <w:rPr>
          <w:rFonts w:ascii="MinionPro-Regular" w:hAnsi="MinionPro-Regular"/>
          <w:i/>
          <w:sz w:val="24"/>
          <w:szCs w:val="24"/>
          <w:lang w:val="es-ES_tradnl"/>
        </w:rPr>
        <w:t>Los enclaves laborales</w:t>
      </w:r>
      <w:r>
        <w:rPr>
          <w:rFonts w:ascii="MinionPro-Regular" w:hAnsi="MinionPro-Regular"/>
          <w:sz w:val="24"/>
          <w:szCs w:val="24"/>
          <w:lang w:val="es-ES_tradnl"/>
        </w:rPr>
        <w:t>, Equalbur.</w:t>
      </w:r>
    </w:p>
    <w:p w:rsidR="00E2336B" w:rsidRPr="003E6D14" w:rsidRDefault="00E2336B" w:rsidP="0007541A">
      <w:pPr>
        <w:pStyle w:val="Textoindependiente"/>
        <w:numPr>
          <w:ilvl w:val="0"/>
          <w:numId w:val="16"/>
        </w:numPr>
        <w:spacing w:line="360" w:lineRule="auto"/>
        <w:rPr>
          <w:rFonts w:ascii="MinionPro-Regular" w:hAnsi="MinionPro-Regular"/>
          <w:sz w:val="24"/>
          <w:szCs w:val="24"/>
          <w:lang w:val="es-ES_tradnl"/>
        </w:rPr>
      </w:pPr>
      <w:r>
        <w:rPr>
          <w:rFonts w:ascii="MinionPro-Regular" w:hAnsi="MinionPro-Regular"/>
          <w:sz w:val="24"/>
          <w:szCs w:val="24"/>
          <w:lang w:val="es-ES_tradnl"/>
        </w:rPr>
        <w:t xml:space="preserve">(2004): Los enclaves laborales: </w:t>
      </w:r>
      <w:r w:rsidRPr="00E53C47">
        <w:rPr>
          <w:rFonts w:ascii="MinionPro-Regular" w:hAnsi="MinionPro-Regular"/>
          <w:i/>
          <w:sz w:val="24"/>
          <w:szCs w:val="24"/>
          <w:lang w:val="es-ES_tradnl"/>
        </w:rPr>
        <w:t>Revista Siglo Cero, Revista Española sobre Discapacidad Intelectual</w:t>
      </w:r>
      <w:r>
        <w:rPr>
          <w:rFonts w:ascii="MinionPro-Regular" w:hAnsi="MinionPro-Regular"/>
          <w:i/>
          <w:sz w:val="24"/>
          <w:szCs w:val="24"/>
          <w:lang w:val="es-ES_tradnl"/>
        </w:rPr>
        <w:t>.</w:t>
      </w:r>
      <w:r>
        <w:rPr>
          <w:rFonts w:ascii="MinionPro-Regular" w:hAnsi="MinionPro-Regular"/>
          <w:sz w:val="24"/>
          <w:szCs w:val="24"/>
          <w:lang w:val="es-ES_tradnl"/>
        </w:rPr>
        <w:t>Vol.36 Núm. 214 30-40.</w:t>
      </w:r>
    </w:p>
    <w:p w:rsidR="00E2336B" w:rsidRPr="00530DCA" w:rsidRDefault="00E2336B" w:rsidP="00424E91">
      <w:pPr>
        <w:pStyle w:val="Textoindependiente"/>
        <w:spacing w:line="360" w:lineRule="auto"/>
        <w:rPr>
          <w:rFonts w:ascii="MinionPro-Regular" w:hAnsi="MinionPro-Regular"/>
          <w:sz w:val="24"/>
          <w:szCs w:val="24"/>
          <w:lang w:val="en-US"/>
        </w:rPr>
      </w:pPr>
      <w:r w:rsidRPr="00530DCA">
        <w:rPr>
          <w:rFonts w:ascii="MinionPro-Regular" w:hAnsi="MinionPro-Regular"/>
          <w:sz w:val="24"/>
          <w:szCs w:val="24"/>
          <w:lang w:val="en-US"/>
        </w:rPr>
        <w:t xml:space="preserve">Sayce, L., (2011): </w:t>
      </w:r>
      <w:r w:rsidRPr="00530DCA">
        <w:rPr>
          <w:rFonts w:ascii="MinionPro-Regular" w:hAnsi="MinionPro-Regular"/>
          <w:i/>
          <w:sz w:val="24"/>
          <w:szCs w:val="24"/>
          <w:lang w:val="en-US"/>
        </w:rPr>
        <w:t>Getting in, staying in and getting on. Disability employment support fit for the future</w:t>
      </w:r>
      <w:r>
        <w:rPr>
          <w:rFonts w:ascii="MinionPro-Regular" w:hAnsi="MinionPro-Regular"/>
          <w:sz w:val="24"/>
          <w:szCs w:val="24"/>
          <w:lang w:val="en-US"/>
        </w:rPr>
        <w:t>, United Kingdom, Department for Work and Pensions.</w:t>
      </w:r>
    </w:p>
    <w:p w:rsidR="00E2336B" w:rsidRPr="000123AA" w:rsidRDefault="00E2336B" w:rsidP="00424E91">
      <w:pPr>
        <w:pStyle w:val="Textoindependiente"/>
        <w:spacing w:line="360" w:lineRule="auto"/>
        <w:rPr>
          <w:rFonts w:ascii="MinionPro-Regular" w:hAnsi="MinionPro-Regular"/>
          <w:sz w:val="24"/>
          <w:szCs w:val="24"/>
          <w:lang w:val="en-US"/>
        </w:rPr>
      </w:pPr>
      <w:r w:rsidRPr="00F223B8">
        <w:rPr>
          <w:rFonts w:ascii="MinionPro-Regular" w:hAnsi="MinionPro-Regular"/>
          <w:sz w:val="24"/>
          <w:szCs w:val="24"/>
          <w:lang w:val="en-US"/>
        </w:rPr>
        <w:t>Social Enterprise London (</w:t>
      </w:r>
      <w:r>
        <w:rPr>
          <w:rFonts w:ascii="MinionPro-Regular" w:hAnsi="MinionPro-Regular"/>
          <w:sz w:val="24"/>
          <w:szCs w:val="24"/>
          <w:lang w:val="en-US"/>
        </w:rPr>
        <w:t>2002</w:t>
      </w:r>
      <w:r w:rsidRPr="00F223B8">
        <w:rPr>
          <w:rFonts w:ascii="MinionPro-Regular" w:hAnsi="MinionPro-Regular"/>
          <w:sz w:val="24"/>
          <w:szCs w:val="24"/>
          <w:lang w:val="en-US"/>
        </w:rPr>
        <w:t>): Social co</w:t>
      </w:r>
      <w:r>
        <w:rPr>
          <w:rFonts w:ascii="MinionPro-Regular" w:hAnsi="MinionPro-Regular"/>
          <w:sz w:val="24"/>
          <w:szCs w:val="24"/>
          <w:lang w:val="en-US"/>
        </w:rPr>
        <w:t xml:space="preserve">-operatives in Italy: Lessons for the UK, London, </w:t>
      </w:r>
      <w:r w:rsidRPr="00F223B8">
        <w:rPr>
          <w:rFonts w:ascii="MinionPro-Regular" w:hAnsi="MinionPro-Regular"/>
          <w:sz w:val="24"/>
          <w:szCs w:val="24"/>
          <w:lang w:val="en-US"/>
        </w:rPr>
        <w:t>Social Enterprise London</w:t>
      </w:r>
      <w:r>
        <w:rPr>
          <w:rFonts w:ascii="MinionPro-Regular" w:hAnsi="MinionPro-Regular"/>
          <w:sz w:val="24"/>
          <w:szCs w:val="24"/>
          <w:lang w:val="en-US"/>
        </w:rPr>
        <w:t>.</w:t>
      </w:r>
    </w:p>
    <w:p w:rsidR="00E2336B" w:rsidRPr="003D6D26" w:rsidRDefault="00E2336B" w:rsidP="00424E91">
      <w:pPr>
        <w:pStyle w:val="Textoindependiente"/>
        <w:spacing w:line="360" w:lineRule="auto"/>
        <w:rPr>
          <w:rFonts w:ascii="MinionPro-Regular" w:hAnsi="MinionPro-Regular"/>
          <w:sz w:val="24"/>
          <w:szCs w:val="24"/>
          <w:lang w:val="en-US"/>
        </w:rPr>
      </w:pPr>
      <w:r>
        <w:rPr>
          <w:rFonts w:ascii="MinionPro-Regular" w:hAnsi="MinionPro-Regular"/>
          <w:sz w:val="24"/>
          <w:szCs w:val="24"/>
          <w:lang w:val="en-US"/>
        </w:rPr>
        <w:t xml:space="preserve">McDermid, L., Durie, S., McLean, J., y Woodhouse,A. (2008): </w:t>
      </w:r>
      <w:r w:rsidR="00F23441" w:rsidRPr="00F23441">
        <w:rPr>
          <w:rFonts w:ascii="MinionPro-Regular" w:hAnsi="MinionPro-Regular"/>
          <w:i/>
          <w:sz w:val="24"/>
          <w:szCs w:val="24"/>
          <w:lang w:val="en-US"/>
        </w:rPr>
        <w:t>Making an impact: exploring how to measure the mental health impacts of working in a social Firm</w:t>
      </w:r>
      <w:r>
        <w:rPr>
          <w:rFonts w:ascii="MinionPro-Regular" w:hAnsi="MinionPro-Regular"/>
          <w:sz w:val="24"/>
          <w:szCs w:val="24"/>
          <w:lang w:val="en-US"/>
        </w:rPr>
        <w:t xml:space="preserve">, Scotland: Social Firms Scotland, </w:t>
      </w:r>
      <w:r w:rsidRPr="003D6D26">
        <w:rPr>
          <w:rFonts w:ascii="MinionPro-Regular" w:hAnsi="MinionPro-Regular"/>
          <w:sz w:val="24"/>
          <w:szCs w:val="24"/>
          <w:lang w:val="en-US"/>
        </w:rPr>
        <w:t>S</w:t>
      </w:r>
      <w:r>
        <w:rPr>
          <w:rFonts w:ascii="MinionPro-Regular" w:hAnsi="MinionPro-Regular"/>
          <w:sz w:val="24"/>
          <w:szCs w:val="24"/>
          <w:lang w:val="en-US"/>
        </w:rPr>
        <w:t>cottish</w:t>
      </w:r>
      <w:r w:rsidRPr="003D6D26">
        <w:rPr>
          <w:rFonts w:ascii="MinionPro-Regular" w:hAnsi="MinionPro-Regular"/>
          <w:sz w:val="24"/>
          <w:szCs w:val="24"/>
          <w:lang w:val="en-US"/>
        </w:rPr>
        <w:t xml:space="preserve"> Development Centre for Mental H</w:t>
      </w:r>
      <w:r>
        <w:rPr>
          <w:rFonts w:ascii="MinionPro-Regular" w:hAnsi="MinionPro-Regular"/>
          <w:sz w:val="24"/>
          <w:szCs w:val="24"/>
          <w:lang w:val="en-US"/>
        </w:rPr>
        <w:t>ealth.</w:t>
      </w:r>
    </w:p>
    <w:p w:rsidR="00E2336B" w:rsidRDefault="00E2336B" w:rsidP="00424E91">
      <w:pPr>
        <w:pStyle w:val="Textoindependiente"/>
        <w:spacing w:line="360" w:lineRule="auto"/>
        <w:rPr>
          <w:rFonts w:ascii="MinionPro-Regular" w:hAnsi="MinionPro-Regular"/>
          <w:sz w:val="24"/>
          <w:szCs w:val="24"/>
          <w:lang w:val="es-ES_tradnl"/>
        </w:rPr>
      </w:pPr>
      <w:r>
        <w:rPr>
          <w:rFonts w:ascii="MinionPro-Regular" w:hAnsi="MinionPro-Regular"/>
          <w:sz w:val="24"/>
          <w:szCs w:val="24"/>
          <w:lang w:val="es-ES_tradnl"/>
        </w:rPr>
        <w:t xml:space="preserve">Sotelo, H.(2002): La normativa en materia de empleo privado de las personas con discapacidad. Apuntes sobre la situación en la Unión Europea. </w:t>
      </w:r>
      <w:r w:rsidRPr="00C80AB9">
        <w:rPr>
          <w:rFonts w:ascii="MinionPro-Regular" w:hAnsi="MinionPro-Regular"/>
          <w:i/>
          <w:sz w:val="24"/>
          <w:szCs w:val="24"/>
          <w:lang w:val="es-ES_tradnl"/>
        </w:rPr>
        <w:t>Revistas especializadas del Boletín del Real Patronato sobre Discapacidad</w:t>
      </w:r>
      <w:r>
        <w:rPr>
          <w:rFonts w:ascii="MinionPro-Regular" w:hAnsi="MinionPro-Regular"/>
          <w:i/>
          <w:sz w:val="24"/>
          <w:szCs w:val="24"/>
          <w:lang w:val="es-ES_tradnl"/>
        </w:rPr>
        <w:t>,</w:t>
      </w:r>
      <w:r>
        <w:rPr>
          <w:rFonts w:ascii="MinionPro-Regular" w:hAnsi="MinionPro-Regular"/>
          <w:sz w:val="24"/>
          <w:szCs w:val="24"/>
          <w:lang w:val="es-ES_tradnl"/>
        </w:rPr>
        <w:t xml:space="preserve"> Núm.53 p.31</w:t>
      </w:r>
    </w:p>
    <w:p w:rsidR="00E2336B" w:rsidRDefault="00E2336B" w:rsidP="00424E91">
      <w:pPr>
        <w:pStyle w:val="Textoindependiente"/>
        <w:spacing w:line="360" w:lineRule="auto"/>
        <w:rPr>
          <w:rFonts w:ascii="MinionPro-Regular" w:hAnsi="MinionPro-Regular"/>
          <w:sz w:val="24"/>
          <w:szCs w:val="24"/>
          <w:lang w:val="es-ES_tradnl"/>
        </w:rPr>
      </w:pPr>
      <w:r>
        <w:rPr>
          <w:rFonts w:ascii="MinionPro-Regular" w:hAnsi="MinionPro-Regular"/>
          <w:sz w:val="24"/>
          <w:szCs w:val="24"/>
          <w:lang w:val="es-ES_tradnl"/>
        </w:rPr>
        <w:t xml:space="preserve">Tuset del Pino, P.: </w:t>
      </w:r>
      <w:r w:rsidRPr="00E53C47">
        <w:rPr>
          <w:rFonts w:ascii="MinionPro-Regular" w:hAnsi="MinionPro-Regular"/>
          <w:i/>
          <w:sz w:val="24"/>
          <w:szCs w:val="24"/>
          <w:lang w:val="es-ES_tradnl"/>
        </w:rPr>
        <w:t>El centro especial de empleo. Naturaleza y clases. Constitución y Registro. Objeto. Gestión y financiación</w:t>
      </w:r>
      <w:r>
        <w:rPr>
          <w:rFonts w:ascii="MinionPro-Regular" w:hAnsi="MinionPro-Regular"/>
          <w:sz w:val="24"/>
          <w:szCs w:val="24"/>
          <w:lang w:val="es-ES_tradnl"/>
        </w:rPr>
        <w:t>: Barcelona, Despacho Jurídico Jover.</w:t>
      </w:r>
    </w:p>
    <w:p w:rsidR="00E2336B" w:rsidRDefault="00E2336B" w:rsidP="0007541A">
      <w:pPr>
        <w:pStyle w:val="Textoindependiente"/>
        <w:numPr>
          <w:ilvl w:val="0"/>
          <w:numId w:val="15"/>
        </w:numPr>
        <w:spacing w:line="360" w:lineRule="auto"/>
        <w:rPr>
          <w:rFonts w:ascii="MinionPro-Regular" w:hAnsi="MinionPro-Regular"/>
          <w:sz w:val="24"/>
          <w:szCs w:val="24"/>
          <w:lang w:val="es-ES_tradnl"/>
        </w:rPr>
      </w:pPr>
      <w:r w:rsidRPr="00E53C47">
        <w:rPr>
          <w:rFonts w:ascii="MinionPro-Regular" w:hAnsi="MinionPro-Regular"/>
          <w:i/>
          <w:sz w:val="24"/>
          <w:szCs w:val="24"/>
          <w:lang w:val="es-ES_tradnl"/>
        </w:rPr>
        <w:lastRenderedPageBreak/>
        <w:t>La obligación de reserva de empleo a favor de la contratación de trabajadores minusválidos y la aplicación de medidas alternativas de carácter excepcional.</w:t>
      </w:r>
      <w:r>
        <w:rPr>
          <w:rFonts w:ascii="MinionPro-Regular" w:hAnsi="MinionPro-Regular"/>
          <w:sz w:val="24"/>
          <w:szCs w:val="24"/>
          <w:lang w:val="es-ES_tradnl"/>
        </w:rPr>
        <w:t xml:space="preserve"> Barcelona: Despacho Jurídico Jover.</w:t>
      </w:r>
    </w:p>
    <w:p w:rsidR="00E2336B" w:rsidRDefault="00E2336B" w:rsidP="0007541A">
      <w:pPr>
        <w:pStyle w:val="Textoindependiente"/>
        <w:numPr>
          <w:ilvl w:val="0"/>
          <w:numId w:val="15"/>
        </w:numPr>
        <w:spacing w:line="360" w:lineRule="auto"/>
        <w:rPr>
          <w:rFonts w:ascii="MinionPro-Regular" w:hAnsi="MinionPro-Regular"/>
          <w:sz w:val="24"/>
          <w:szCs w:val="24"/>
          <w:lang w:val="es-ES_tradnl"/>
        </w:rPr>
      </w:pPr>
      <w:r w:rsidRPr="00E53C47">
        <w:rPr>
          <w:rFonts w:ascii="MinionPro-Regular" w:hAnsi="MinionPro-Regular"/>
          <w:i/>
          <w:sz w:val="24"/>
          <w:szCs w:val="24"/>
          <w:lang w:val="es-ES_tradnl"/>
        </w:rPr>
        <w:t>Las medidas en materia de igualdad de trato y no discriminación en el trabajo. Comentario de la Ley 62/2003, de 30 de diciembre.</w:t>
      </w:r>
      <w:r>
        <w:rPr>
          <w:rFonts w:ascii="MinionPro-Regular" w:hAnsi="MinionPro-Regular"/>
          <w:sz w:val="24"/>
          <w:szCs w:val="24"/>
          <w:lang w:val="es-ES_tradnl"/>
        </w:rPr>
        <w:t xml:space="preserve"> Barcelona: Despacho Jurídico Jover.</w:t>
      </w:r>
    </w:p>
    <w:p w:rsidR="00E2336B" w:rsidRPr="00E43EDC" w:rsidRDefault="00E2336B" w:rsidP="00424E91">
      <w:pPr>
        <w:pStyle w:val="Textoindependiente"/>
        <w:spacing w:line="360" w:lineRule="auto"/>
        <w:rPr>
          <w:rFonts w:ascii="MinionPro-Regular" w:hAnsi="MinionPro-Regular"/>
          <w:sz w:val="24"/>
          <w:szCs w:val="24"/>
          <w:lang w:val="en-US"/>
        </w:rPr>
      </w:pPr>
      <w:r w:rsidRPr="00E43EDC">
        <w:rPr>
          <w:rFonts w:ascii="MinionPro-Regular" w:hAnsi="MinionPro-Regular"/>
          <w:sz w:val="24"/>
          <w:szCs w:val="24"/>
          <w:lang w:val="en-US"/>
        </w:rPr>
        <w:t>Thornton, P., y Lunt, Neil (1997): Employme</w:t>
      </w:r>
      <w:r>
        <w:rPr>
          <w:rFonts w:ascii="MinionPro-Regular" w:hAnsi="MinionPro-Regular"/>
          <w:sz w:val="24"/>
          <w:szCs w:val="24"/>
          <w:lang w:val="en-US"/>
        </w:rPr>
        <w:t xml:space="preserve">nt Policies for Disabled People in Eighteen Countries: A Review, </w:t>
      </w:r>
      <w:r w:rsidRPr="00E43EDC">
        <w:rPr>
          <w:rFonts w:ascii="MinionPro-Regular" w:hAnsi="MinionPro-Regular"/>
          <w:i/>
          <w:sz w:val="24"/>
          <w:szCs w:val="24"/>
          <w:lang w:val="en-US"/>
        </w:rPr>
        <w:t>Gladnet Collection</w:t>
      </w:r>
      <w:r>
        <w:rPr>
          <w:rFonts w:ascii="MinionPro-Regular" w:hAnsi="MinionPro-Regular"/>
          <w:sz w:val="24"/>
          <w:szCs w:val="24"/>
          <w:lang w:val="en-US"/>
        </w:rPr>
        <w:t>. United Kingdom, Social Policy Research Unit, University of York.</w:t>
      </w:r>
    </w:p>
    <w:p w:rsidR="00E2336B" w:rsidRDefault="00E2336B" w:rsidP="00424E91">
      <w:pPr>
        <w:pStyle w:val="Textoindependiente"/>
        <w:spacing w:line="360" w:lineRule="auto"/>
        <w:rPr>
          <w:rFonts w:ascii="MinionPro-Regular" w:hAnsi="MinionPro-Regular"/>
          <w:sz w:val="24"/>
          <w:szCs w:val="24"/>
          <w:lang w:val="en-US"/>
        </w:rPr>
      </w:pPr>
      <w:r w:rsidRPr="00E036AA">
        <w:rPr>
          <w:rFonts w:ascii="MinionPro-Regular" w:hAnsi="MinionPro-Regular"/>
          <w:sz w:val="24"/>
          <w:szCs w:val="24"/>
          <w:lang w:val="en-US"/>
        </w:rPr>
        <w:t>Waldschmidt, A., Lingnau, K. y Mein</w:t>
      </w:r>
      <w:r>
        <w:rPr>
          <w:rFonts w:ascii="MinionPro-Regular" w:hAnsi="MinionPro-Regular"/>
          <w:sz w:val="24"/>
          <w:szCs w:val="24"/>
          <w:lang w:val="en-US"/>
        </w:rPr>
        <w:t xml:space="preserve">ert, S. (2009): </w:t>
      </w:r>
      <w:r w:rsidRPr="00E036AA">
        <w:rPr>
          <w:rFonts w:ascii="MinionPro-Regular" w:hAnsi="MinionPro-Regular"/>
          <w:i/>
          <w:sz w:val="24"/>
          <w:szCs w:val="24"/>
          <w:lang w:val="en-US"/>
        </w:rPr>
        <w:t>Report on the employment of disabled people in European countries, Germany</w:t>
      </w:r>
      <w:r>
        <w:rPr>
          <w:rFonts w:ascii="MinionPro-Regular" w:hAnsi="MinionPro-Regular"/>
          <w:sz w:val="24"/>
          <w:szCs w:val="24"/>
          <w:lang w:val="en-US"/>
        </w:rPr>
        <w:t>. Academic Network of European Disability experts (ANED).</w:t>
      </w:r>
    </w:p>
    <w:p w:rsidR="00E2336B" w:rsidRDefault="00E2336B" w:rsidP="00424E91">
      <w:pPr>
        <w:pStyle w:val="Textoindependiente"/>
        <w:spacing w:line="360" w:lineRule="auto"/>
        <w:rPr>
          <w:rFonts w:ascii="MinionPro-Regular" w:hAnsi="MinionPro-Regular"/>
          <w:sz w:val="24"/>
          <w:szCs w:val="24"/>
          <w:lang w:val="en-US"/>
        </w:rPr>
      </w:pPr>
      <w:r>
        <w:rPr>
          <w:rFonts w:ascii="MinionPro-Regular" w:hAnsi="MinionPro-Regular"/>
          <w:sz w:val="24"/>
          <w:szCs w:val="24"/>
          <w:lang w:val="en-US"/>
        </w:rPr>
        <w:t xml:space="preserve">Visier, L.(1998): Sheltered employment for persons with disabilities. </w:t>
      </w:r>
      <w:r w:rsidRPr="00F223B8">
        <w:rPr>
          <w:rFonts w:ascii="MinionPro-Regular" w:hAnsi="MinionPro-Regular"/>
          <w:i/>
          <w:sz w:val="24"/>
          <w:szCs w:val="24"/>
          <w:lang w:val="en-US"/>
        </w:rPr>
        <w:t>International Labour Review</w:t>
      </w:r>
      <w:r>
        <w:rPr>
          <w:rFonts w:ascii="MinionPro-Regular" w:hAnsi="MinionPro-Regular"/>
          <w:sz w:val="24"/>
          <w:szCs w:val="24"/>
          <w:lang w:val="en-US"/>
        </w:rPr>
        <w:t>. Vol.137 No. 3.</w:t>
      </w:r>
    </w:p>
    <w:p w:rsidR="00E2336B" w:rsidRDefault="00E2336B" w:rsidP="00424E91">
      <w:pPr>
        <w:pStyle w:val="Textoindependiente"/>
        <w:spacing w:line="360" w:lineRule="auto"/>
        <w:rPr>
          <w:rFonts w:ascii="MinionPro-Regular" w:hAnsi="MinionPro-Regular"/>
          <w:sz w:val="24"/>
          <w:szCs w:val="24"/>
          <w:lang w:val="en-US"/>
        </w:rPr>
      </w:pPr>
      <w:r>
        <w:rPr>
          <w:rFonts w:ascii="MinionPro-Regular" w:hAnsi="MinionPro-Regular"/>
          <w:sz w:val="24"/>
          <w:szCs w:val="24"/>
          <w:lang w:val="en-US"/>
        </w:rPr>
        <w:t xml:space="preserve">Waldschmidt, A., y Prassel, K. (2011), </w:t>
      </w:r>
      <w:r w:rsidRPr="00C80AB9">
        <w:rPr>
          <w:rFonts w:ascii="MinionPro-Regular" w:hAnsi="MinionPro-Regular"/>
          <w:i/>
          <w:sz w:val="24"/>
          <w:szCs w:val="24"/>
          <w:lang w:val="en-US"/>
        </w:rPr>
        <w:t>Germany-ANED Country profile</w:t>
      </w:r>
      <w:r>
        <w:rPr>
          <w:rFonts w:ascii="MinionPro-Regular" w:hAnsi="MinionPro-Regular"/>
          <w:sz w:val="24"/>
          <w:szCs w:val="24"/>
          <w:lang w:val="en-US"/>
        </w:rPr>
        <w:t>, Academic Network of European Disability experts (ANED).</w:t>
      </w:r>
    </w:p>
    <w:p w:rsidR="00E2336B" w:rsidRDefault="00E2336B" w:rsidP="00424E91">
      <w:pPr>
        <w:pStyle w:val="Textoindependiente"/>
        <w:spacing w:line="360" w:lineRule="auto"/>
        <w:rPr>
          <w:rFonts w:ascii="MinionPro-Regular" w:hAnsi="MinionPro-Regular"/>
          <w:sz w:val="24"/>
          <w:szCs w:val="24"/>
          <w:lang w:val="en-US"/>
        </w:rPr>
      </w:pPr>
      <w:r>
        <w:rPr>
          <w:rFonts w:ascii="MinionPro-Regular" w:hAnsi="MinionPro-Regular"/>
          <w:sz w:val="24"/>
          <w:szCs w:val="24"/>
          <w:lang w:val="en-US"/>
        </w:rPr>
        <w:t xml:space="preserve">Ward, T., Grammemos S., y Huber M. (2007): Study of compilation of disability statistical data from the administrative registers of the member states, </w:t>
      </w:r>
      <w:r w:rsidRPr="00530DCA">
        <w:rPr>
          <w:rFonts w:ascii="MinionPro-Regular" w:hAnsi="MinionPro-Regular"/>
          <w:bCs/>
          <w:sz w:val="24"/>
          <w:szCs w:val="24"/>
          <w:lang w:val="en-US"/>
        </w:rPr>
        <w:t>A</w:t>
      </w:r>
      <w:r>
        <w:rPr>
          <w:rFonts w:ascii="MinionPro-Regular" w:hAnsi="MinionPro-Regular"/>
          <w:bCs/>
          <w:sz w:val="24"/>
          <w:szCs w:val="24"/>
          <w:lang w:val="en-US"/>
        </w:rPr>
        <w:t>pplica</w:t>
      </w:r>
      <w:r w:rsidRPr="00530DCA">
        <w:rPr>
          <w:rFonts w:ascii="MinionPro-Regular" w:hAnsi="MinionPro-Regular"/>
          <w:bCs/>
          <w:sz w:val="24"/>
          <w:szCs w:val="24"/>
          <w:lang w:val="en-US"/>
        </w:rPr>
        <w:t xml:space="preserve"> &amp; C</w:t>
      </w:r>
      <w:r>
        <w:rPr>
          <w:rFonts w:ascii="MinionPro-Regular" w:hAnsi="MinionPro-Regular"/>
          <w:bCs/>
          <w:sz w:val="24"/>
          <w:szCs w:val="24"/>
          <w:lang w:val="en-US"/>
        </w:rPr>
        <w:t>esep</w:t>
      </w:r>
      <w:r w:rsidRPr="00530DCA">
        <w:rPr>
          <w:rFonts w:ascii="MinionPro-Regular" w:hAnsi="MinionPro-Regular"/>
          <w:bCs/>
          <w:sz w:val="24"/>
          <w:szCs w:val="24"/>
          <w:lang w:val="en-US"/>
        </w:rPr>
        <w:t xml:space="preserve"> &amp; E</w:t>
      </w:r>
      <w:r>
        <w:rPr>
          <w:rFonts w:ascii="MinionPro-Regular" w:hAnsi="MinionPro-Regular"/>
          <w:bCs/>
          <w:sz w:val="24"/>
          <w:szCs w:val="24"/>
          <w:lang w:val="en-US"/>
        </w:rPr>
        <w:t>uropean</w:t>
      </w:r>
      <w:r w:rsidRPr="00530DCA">
        <w:rPr>
          <w:rFonts w:ascii="MinionPro-Regular" w:hAnsi="MinionPro-Regular"/>
          <w:bCs/>
          <w:sz w:val="24"/>
          <w:szCs w:val="24"/>
          <w:lang w:val="en-US"/>
        </w:rPr>
        <w:t xml:space="preserve"> C</w:t>
      </w:r>
      <w:r>
        <w:rPr>
          <w:rFonts w:ascii="MinionPro-Regular" w:hAnsi="MinionPro-Regular"/>
          <w:bCs/>
          <w:sz w:val="24"/>
          <w:szCs w:val="24"/>
          <w:lang w:val="en-US"/>
        </w:rPr>
        <w:t>entre.</w:t>
      </w:r>
    </w:p>
    <w:p w:rsidR="00E2336B" w:rsidRDefault="00E2336B" w:rsidP="0007541A">
      <w:pPr>
        <w:pStyle w:val="Ttulo2"/>
        <w:numPr>
          <w:ilvl w:val="1"/>
          <w:numId w:val="3"/>
        </w:numPr>
        <w:ind w:left="0"/>
        <w:rPr>
          <w:lang w:val="es-ES_tradnl"/>
        </w:rPr>
      </w:pPr>
      <w:bookmarkStart w:id="601" w:name="_Toc352773623"/>
      <w:r w:rsidRPr="000123AA">
        <w:rPr>
          <w:lang w:val="es-ES_tradnl"/>
        </w:rPr>
        <w:t>Normativa</w:t>
      </w:r>
      <w:bookmarkEnd w:id="601"/>
    </w:p>
    <w:p w:rsidR="00E2336B" w:rsidRDefault="00E2336B" w:rsidP="00424E91">
      <w:pPr>
        <w:pStyle w:val="Textoindependiente"/>
        <w:spacing w:line="360" w:lineRule="auto"/>
        <w:rPr>
          <w:rFonts w:ascii="MinionPro-Regular" w:hAnsi="MinionPro-Regular"/>
          <w:sz w:val="24"/>
          <w:szCs w:val="24"/>
          <w:lang w:val="es-ES_tradnl"/>
        </w:rPr>
      </w:pPr>
      <w:r>
        <w:rPr>
          <w:rFonts w:ascii="MinionPro-Regular" w:hAnsi="MinionPro-Regular"/>
          <w:sz w:val="24"/>
          <w:szCs w:val="24"/>
          <w:lang w:val="es-ES_tradnl"/>
        </w:rPr>
        <w:t>Constitución Española, de 27 de diciembre de 1978</w:t>
      </w:r>
    </w:p>
    <w:p w:rsidR="00E2336B" w:rsidRDefault="00E2336B" w:rsidP="00424E91">
      <w:pPr>
        <w:pStyle w:val="Textoindependiente"/>
        <w:spacing w:line="360" w:lineRule="auto"/>
        <w:rPr>
          <w:rFonts w:ascii="MinionPro-Regular" w:hAnsi="MinionPro-Regular"/>
          <w:sz w:val="24"/>
          <w:szCs w:val="24"/>
          <w:lang w:val="es-ES_tradnl"/>
        </w:rPr>
      </w:pPr>
      <w:r>
        <w:rPr>
          <w:rFonts w:ascii="MinionPro-Regular" w:hAnsi="MinionPro-Regular"/>
          <w:sz w:val="24"/>
          <w:szCs w:val="24"/>
          <w:lang w:val="es-ES_tradnl"/>
        </w:rPr>
        <w:t>Ley 13/1982, de 7 de abril, de integración social de minusválidos.</w:t>
      </w:r>
    </w:p>
    <w:p w:rsidR="00E2336B" w:rsidRDefault="00E2336B" w:rsidP="00424E91">
      <w:pPr>
        <w:pStyle w:val="Textoindependiente"/>
        <w:spacing w:line="360" w:lineRule="auto"/>
        <w:rPr>
          <w:rFonts w:ascii="MinionPro-Regular" w:hAnsi="MinionPro-Regular"/>
          <w:sz w:val="24"/>
          <w:szCs w:val="24"/>
          <w:lang w:val="es-ES_tradnl"/>
        </w:rPr>
      </w:pPr>
      <w:r>
        <w:rPr>
          <w:rFonts w:ascii="MinionPro-Regular" w:hAnsi="MinionPro-Regular"/>
          <w:sz w:val="24"/>
          <w:szCs w:val="24"/>
          <w:lang w:val="es-ES_tradnl"/>
        </w:rPr>
        <w:lastRenderedPageBreak/>
        <w:t>Orden de 16 de marzo de 1983, en la que se establecen las condiciones que han de reunir  las empresas protegidas, los centros especiales de empleo y los centros especiales de iniciación productiva para obtener su calificación e inscripción en el Registro correspondiente del Fondo Nacional de Protección al Trabajo y para ratificar la situación registral de las empresas protegidas y centros especiales de empleo ya inscritos.</w:t>
      </w:r>
    </w:p>
    <w:p w:rsidR="00E2336B" w:rsidRDefault="00E2336B" w:rsidP="007317B2">
      <w:pPr>
        <w:pStyle w:val="Textoindependiente"/>
        <w:spacing w:line="360" w:lineRule="auto"/>
        <w:rPr>
          <w:rFonts w:ascii="MinionPro-Regular" w:hAnsi="MinionPro-Regular"/>
          <w:sz w:val="24"/>
          <w:szCs w:val="24"/>
          <w:lang w:val="es-ES_tradnl"/>
        </w:rPr>
      </w:pPr>
      <w:r>
        <w:rPr>
          <w:rFonts w:ascii="MinionPro-Regular" w:hAnsi="MinionPro-Regular"/>
          <w:sz w:val="24"/>
          <w:szCs w:val="24"/>
          <w:lang w:val="es-ES_tradnl"/>
        </w:rPr>
        <w:t>Real Decreto 1368/1985, de 17 de julio, por el que se regula la relación laboral de carácter especial de los minusválidos que trabajen en centros especializados de empleo.</w:t>
      </w:r>
    </w:p>
    <w:p w:rsidR="00E2336B" w:rsidRDefault="00E2336B" w:rsidP="00424E91">
      <w:pPr>
        <w:pStyle w:val="Textoindependiente"/>
        <w:spacing w:line="360" w:lineRule="auto"/>
        <w:rPr>
          <w:rFonts w:ascii="MinionPro-Regular" w:hAnsi="MinionPro-Regular"/>
          <w:sz w:val="24"/>
          <w:szCs w:val="24"/>
          <w:lang w:val="es-ES_tradnl"/>
        </w:rPr>
      </w:pPr>
      <w:r>
        <w:rPr>
          <w:rFonts w:ascii="MinionPro-Regular" w:hAnsi="MinionPro-Regular"/>
          <w:sz w:val="24"/>
          <w:szCs w:val="24"/>
          <w:lang w:val="es-ES_tradnl"/>
        </w:rPr>
        <w:t>Real Decreto 2273/1985, de 4 de diciembre, por el que se regulan los centros especiales de empleo de minusválidos.</w:t>
      </w:r>
    </w:p>
    <w:p w:rsidR="00E2336B" w:rsidRDefault="00E2336B">
      <w:pPr>
        <w:pStyle w:val="Textoindependiente"/>
        <w:tabs>
          <w:tab w:val="left" w:pos="0"/>
        </w:tabs>
        <w:spacing w:line="360" w:lineRule="auto"/>
        <w:rPr>
          <w:rFonts w:ascii="MinionPro-Regular" w:hAnsi="MinionPro-Regular"/>
          <w:sz w:val="24"/>
          <w:szCs w:val="24"/>
          <w:lang w:val="es-ES_tradnl"/>
        </w:rPr>
      </w:pPr>
      <w:r w:rsidRPr="005611E0">
        <w:rPr>
          <w:rFonts w:ascii="MinionPro-Regular" w:hAnsi="MinionPro-Regular"/>
          <w:sz w:val="24"/>
          <w:szCs w:val="24"/>
          <w:lang w:val="es-ES_tradnl"/>
        </w:rPr>
        <w:t>Ley 9/1987, de 12 de junio, de Órganos de Representación, Determinación de las Condiciones de Trabajo y Participación del Personal al Servicio de las Administraciones Públicas.</w:t>
      </w:r>
    </w:p>
    <w:p w:rsidR="00E2336B" w:rsidRDefault="00E2336B" w:rsidP="00424E91">
      <w:pPr>
        <w:pStyle w:val="Textoindependiente"/>
        <w:spacing w:line="360" w:lineRule="auto"/>
        <w:rPr>
          <w:rFonts w:ascii="MinionPro-Regular" w:hAnsi="MinionPro-Regular"/>
          <w:sz w:val="24"/>
          <w:szCs w:val="24"/>
          <w:lang w:val="es-ES_tradnl"/>
        </w:rPr>
      </w:pPr>
      <w:r w:rsidRPr="007317B2">
        <w:rPr>
          <w:rFonts w:ascii="MinionPro-Regular" w:hAnsi="MinionPro-Regular"/>
          <w:sz w:val="24"/>
          <w:szCs w:val="24"/>
          <w:lang w:val="es-ES_tradnl"/>
        </w:rPr>
        <w:t>Real D</w:t>
      </w:r>
      <w:r>
        <w:rPr>
          <w:rFonts w:ascii="MinionPro-Regular" w:hAnsi="MinionPro-Regular"/>
          <w:sz w:val="24"/>
          <w:szCs w:val="24"/>
          <w:lang w:val="es-ES_tradnl"/>
        </w:rPr>
        <w:t>ecreto 357/1991, de 15 de marzo</w:t>
      </w:r>
      <w:r w:rsidRPr="007317B2">
        <w:rPr>
          <w:rFonts w:ascii="MinionPro-Regular" w:hAnsi="MinionPro-Regular"/>
          <w:sz w:val="24"/>
          <w:szCs w:val="24"/>
          <w:lang w:val="es-ES_tradnl"/>
        </w:rPr>
        <w:t>, por el que se desarrolla en materia de pensiones no contributivas, la ley 26/1990, de 20 de diciembre, por la que se</w:t>
      </w:r>
      <w:r>
        <w:rPr>
          <w:rFonts w:ascii="MinionPro-Regular" w:hAnsi="MinionPro-Regular"/>
          <w:sz w:val="24"/>
          <w:szCs w:val="24"/>
          <w:lang w:val="es-ES_tradnl"/>
        </w:rPr>
        <w:t xml:space="preserve"> </w:t>
      </w:r>
      <w:r w:rsidRPr="007317B2">
        <w:rPr>
          <w:rFonts w:ascii="MinionPro-Regular" w:hAnsi="MinionPro-Regular"/>
          <w:sz w:val="24"/>
          <w:szCs w:val="24"/>
          <w:lang w:val="es-ES_tradnl"/>
        </w:rPr>
        <w:t>establecen en la Seguridad Social prestaciones no contributivas (B.O.E. nº 69,</w:t>
      </w:r>
      <w:r>
        <w:rPr>
          <w:rFonts w:ascii="MinionPro-Regular" w:hAnsi="MinionPro-Regular"/>
          <w:sz w:val="24"/>
          <w:szCs w:val="24"/>
          <w:lang w:val="es-ES_tradnl"/>
        </w:rPr>
        <w:t xml:space="preserve"> </w:t>
      </w:r>
      <w:r w:rsidRPr="007317B2">
        <w:rPr>
          <w:rFonts w:ascii="MinionPro-Regular" w:hAnsi="MinionPro-Regular"/>
          <w:sz w:val="24"/>
          <w:szCs w:val="24"/>
          <w:lang w:val="es-ES_tradnl"/>
        </w:rPr>
        <w:t>de 21.3.91).</w:t>
      </w:r>
    </w:p>
    <w:p w:rsidR="00E2336B" w:rsidRDefault="00E2336B" w:rsidP="00424E91">
      <w:pPr>
        <w:pStyle w:val="Textoindependiente"/>
        <w:spacing w:line="360" w:lineRule="auto"/>
        <w:rPr>
          <w:rFonts w:ascii="MinionPro-Regular" w:hAnsi="MinionPro-Regular"/>
          <w:sz w:val="24"/>
          <w:szCs w:val="24"/>
          <w:lang w:val="es-ES_tradnl"/>
        </w:rPr>
      </w:pPr>
      <w:r>
        <w:rPr>
          <w:rFonts w:ascii="MinionPro-Regular" w:hAnsi="MinionPro-Regular"/>
          <w:sz w:val="24"/>
          <w:szCs w:val="24"/>
          <w:lang w:val="es-ES_tradnl"/>
        </w:rPr>
        <w:t>Real Decreto-legislativo 1/1994, de 20 de junio, por el que se aprueba el Texto Refundido de la Ley General de la Seguridad Social, Madrid (1994).</w:t>
      </w:r>
    </w:p>
    <w:p w:rsidR="00E2336B" w:rsidRDefault="00E2336B" w:rsidP="00424E91">
      <w:pPr>
        <w:pStyle w:val="Textoindependiente"/>
        <w:spacing w:line="360" w:lineRule="auto"/>
        <w:rPr>
          <w:rFonts w:ascii="MinionPro-Regular" w:hAnsi="MinionPro-Regular"/>
          <w:sz w:val="24"/>
          <w:szCs w:val="24"/>
          <w:lang w:val="es-ES_tradnl"/>
        </w:rPr>
      </w:pPr>
      <w:r w:rsidRPr="00784C7C">
        <w:rPr>
          <w:rFonts w:ascii="MinionPro-Regular" w:hAnsi="MinionPro-Regular"/>
          <w:sz w:val="24"/>
          <w:szCs w:val="24"/>
          <w:lang w:val="es-ES_tradnl"/>
        </w:rPr>
        <w:t xml:space="preserve">Orden del Ministerio de Trabajo y Asuntos Sociales, de 16 de octubre de 1998, </w:t>
      </w:r>
      <w:r>
        <w:rPr>
          <w:rFonts w:ascii="MinionPro-Regular" w:hAnsi="MinionPro-Regular"/>
          <w:sz w:val="24"/>
          <w:szCs w:val="24"/>
          <w:lang w:val="es-ES_tradnl"/>
        </w:rPr>
        <w:t>que establece las bases reguladoras para la concesión de las ayudas y subvenciones públicas destinadas al fomento de su integración laboral de los minusválidos en centros especiales de empleo y trabajo autónomo.</w:t>
      </w:r>
      <w:r w:rsidRPr="007317B2">
        <w:rPr>
          <w:rFonts w:ascii="MinionPro-Regular" w:hAnsi="MinionPro-Regular"/>
          <w:sz w:val="24"/>
          <w:szCs w:val="24"/>
          <w:lang w:val="es-ES_tradnl"/>
        </w:rPr>
        <w:t xml:space="preserve"> </w:t>
      </w:r>
    </w:p>
    <w:p w:rsidR="00E2336B" w:rsidRDefault="00E2336B" w:rsidP="00424E91">
      <w:pPr>
        <w:pStyle w:val="Textoindependiente"/>
        <w:spacing w:line="360" w:lineRule="auto"/>
        <w:rPr>
          <w:rFonts w:ascii="MinionPro-Regular" w:hAnsi="MinionPro-Regular"/>
          <w:sz w:val="24"/>
          <w:szCs w:val="24"/>
          <w:lang w:val="es-ES_tradnl"/>
        </w:rPr>
      </w:pPr>
      <w:r>
        <w:rPr>
          <w:rFonts w:ascii="MinionPro-Regular" w:hAnsi="MinionPro-Regular"/>
          <w:sz w:val="24"/>
          <w:szCs w:val="24"/>
          <w:lang w:val="es-ES_tradnl"/>
        </w:rPr>
        <w:t>Real Decreto 427/1999, de 12 de marzo, que modifica el Real Decreto 1368/1985, de 17 de julio de 1985.</w:t>
      </w:r>
    </w:p>
    <w:p w:rsidR="00E2336B" w:rsidRDefault="00E2336B" w:rsidP="007317B2">
      <w:pPr>
        <w:pStyle w:val="Textoindependiente"/>
        <w:spacing w:line="360" w:lineRule="auto"/>
        <w:rPr>
          <w:rFonts w:ascii="MinionPro-Regular" w:hAnsi="MinionPro-Regular"/>
          <w:sz w:val="24"/>
          <w:szCs w:val="24"/>
          <w:lang w:val="es-ES_tradnl"/>
        </w:rPr>
      </w:pPr>
      <w:r>
        <w:rPr>
          <w:rFonts w:ascii="MinionPro-Regular" w:hAnsi="MinionPro-Regular"/>
          <w:sz w:val="24"/>
          <w:szCs w:val="24"/>
          <w:lang w:val="es-ES_tradnl"/>
        </w:rPr>
        <w:lastRenderedPageBreak/>
        <w:t>Real Decreto 27/2000, de 14 de enero, por el que se establecen medidas alternativas de carácter excepcional al cumplimiento de la cuota de reserva del 2 por 100 a favor de trabajadores discapacitados en empresas de 50 o más trabajadores, Madrid (2000).</w:t>
      </w:r>
    </w:p>
    <w:p w:rsidR="00E2336B" w:rsidRDefault="00E2336B" w:rsidP="00424E91">
      <w:pPr>
        <w:pStyle w:val="Textoindependiente"/>
        <w:spacing w:line="360" w:lineRule="auto"/>
        <w:rPr>
          <w:rFonts w:ascii="MinionPro-Regular" w:hAnsi="MinionPro-Regular"/>
          <w:sz w:val="24"/>
          <w:szCs w:val="24"/>
          <w:lang w:val="es-ES_tradnl"/>
        </w:rPr>
      </w:pPr>
      <w:r>
        <w:rPr>
          <w:rFonts w:ascii="MinionPro-Regular" w:hAnsi="MinionPro-Regular"/>
          <w:sz w:val="24"/>
          <w:szCs w:val="24"/>
          <w:lang w:val="es-ES_tradnl"/>
        </w:rPr>
        <w:t xml:space="preserve">Orden del 24 de julio de 2000, por la que se regula el procedimiento administrativo referente a las medidas alternativas de carácter excepcional al cumplimiento de la cuota de reserva del 2 por 100 a favor de trabajadores discapacitados en empresas de 50 o más trabajadores reguladas por el Real Decreto 27/2000, de 14 de enero (2000). </w:t>
      </w:r>
    </w:p>
    <w:p w:rsidR="00E2336B" w:rsidRDefault="00E2336B" w:rsidP="00424E91">
      <w:pPr>
        <w:pStyle w:val="Textoindependiente"/>
        <w:spacing w:line="360" w:lineRule="auto"/>
        <w:rPr>
          <w:rFonts w:ascii="MinionPro-Regular" w:hAnsi="MinionPro-Regular"/>
          <w:sz w:val="24"/>
          <w:szCs w:val="24"/>
          <w:lang w:val="es-ES_tradnl"/>
        </w:rPr>
      </w:pPr>
      <w:r>
        <w:rPr>
          <w:rFonts w:ascii="MinionPro-Regular" w:hAnsi="MinionPro-Regular"/>
          <w:sz w:val="24"/>
          <w:szCs w:val="24"/>
          <w:lang w:val="es-ES_tradnl"/>
        </w:rPr>
        <w:t>Ley 38/2003, de 17 de noviembre, general de subvenciones.</w:t>
      </w:r>
    </w:p>
    <w:p w:rsidR="00E2336B" w:rsidRDefault="00E2336B" w:rsidP="00424E91">
      <w:pPr>
        <w:pStyle w:val="Textoindependiente"/>
        <w:spacing w:line="360" w:lineRule="auto"/>
        <w:rPr>
          <w:rFonts w:ascii="MinionPro-Regular" w:hAnsi="MinionPro-Regular"/>
          <w:sz w:val="24"/>
          <w:szCs w:val="24"/>
          <w:lang w:val="es-ES_tradnl"/>
        </w:rPr>
      </w:pPr>
      <w:r>
        <w:rPr>
          <w:rFonts w:ascii="MinionPro-Regular" w:hAnsi="MinionPro-Regular"/>
          <w:sz w:val="24"/>
          <w:szCs w:val="24"/>
          <w:lang w:val="es-ES_tradnl"/>
        </w:rPr>
        <w:t>Ley 51/2003, de 2 de diciembre, de igualdad de oportunidades, no discriminación y accesibilidad universal de personas con discapacidad (LIONDAI).</w:t>
      </w:r>
    </w:p>
    <w:p w:rsidR="00E2336B" w:rsidRDefault="00E2336B" w:rsidP="00424E91">
      <w:pPr>
        <w:pStyle w:val="Textoindependiente"/>
        <w:spacing w:line="360" w:lineRule="auto"/>
        <w:rPr>
          <w:rFonts w:ascii="MinionPro-Regular" w:hAnsi="MinionPro-Regular"/>
          <w:sz w:val="24"/>
          <w:szCs w:val="24"/>
          <w:lang w:val="es-ES_tradnl"/>
        </w:rPr>
      </w:pPr>
      <w:r>
        <w:rPr>
          <w:rFonts w:ascii="MinionPro-Regular" w:hAnsi="MinionPro-Regular"/>
          <w:sz w:val="24"/>
          <w:szCs w:val="24"/>
          <w:lang w:val="es-ES_tradnl"/>
        </w:rPr>
        <w:t>Ley 53/2003, de 10 de diciembre, sobre empleo público de discapacitados.</w:t>
      </w:r>
    </w:p>
    <w:p w:rsidR="00E2336B" w:rsidRDefault="00E2336B" w:rsidP="00424E91">
      <w:pPr>
        <w:pStyle w:val="Textoindependiente"/>
        <w:spacing w:line="360" w:lineRule="auto"/>
        <w:rPr>
          <w:rFonts w:ascii="MinionPro-Regular" w:hAnsi="MinionPro-Regular"/>
          <w:sz w:val="24"/>
          <w:szCs w:val="24"/>
          <w:lang w:val="es-ES_tradnl"/>
        </w:rPr>
      </w:pPr>
      <w:r>
        <w:rPr>
          <w:rFonts w:ascii="MinionPro-Regular" w:hAnsi="MinionPro-Regular"/>
          <w:sz w:val="24"/>
          <w:szCs w:val="24"/>
          <w:lang w:val="es-ES_tradnl"/>
        </w:rPr>
        <w:t>Ley 62/2003, de 30 de diciembre, de medidas fiscales, administrativas y del orden social.</w:t>
      </w:r>
    </w:p>
    <w:p w:rsidR="00E2336B" w:rsidRDefault="00E2336B" w:rsidP="00424E91">
      <w:pPr>
        <w:pStyle w:val="Textoindependiente"/>
        <w:spacing w:line="360" w:lineRule="auto"/>
        <w:rPr>
          <w:rFonts w:ascii="MinionPro-Regular" w:hAnsi="MinionPro-Regular"/>
          <w:sz w:val="24"/>
          <w:szCs w:val="24"/>
          <w:lang w:val="es-ES_tradnl"/>
        </w:rPr>
      </w:pPr>
      <w:r>
        <w:rPr>
          <w:rFonts w:ascii="MinionPro-Regular" w:hAnsi="MinionPro-Regular"/>
          <w:sz w:val="24"/>
          <w:szCs w:val="24"/>
          <w:lang w:val="es-ES_tradnl"/>
        </w:rPr>
        <w:t>Real Decreto 290/2004, de 20 de febrero, por el que se regulan los enclaves laborales como medida de fomento del empleo de las personas con discapacidad, Madrid (2004).</w:t>
      </w:r>
    </w:p>
    <w:p w:rsidR="00E2336B" w:rsidRDefault="00E2336B" w:rsidP="00424E91">
      <w:pPr>
        <w:pStyle w:val="Textoindependiente"/>
        <w:spacing w:line="360" w:lineRule="auto"/>
        <w:rPr>
          <w:rFonts w:ascii="MinionPro-Regular" w:hAnsi="MinionPro-Regular"/>
          <w:sz w:val="24"/>
          <w:szCs w:val="24"/>
          <w:lang w:val="es-ES_tradnl"/>
        </w:rPr>
      </w:pPr>
      <w:r>
        <w:rPr>
          <w:rFonts w:ascii="MinionPro-Regular" w:hAnsi="MinionPro-Regular"/>
          <w:sz w:val="24"/>
          <w:szCs w:val="24"/>
          <w:lang w:val="es-ES_tradnl"/>
        </w:rPr>
        <w:t xml:space="preserve">Real Decreto-ley 3/2004, de 25 de junio, para la racionalización del salario mínimo interprofesional e incremento de su cuantía, Madrid (2004). </w:t>
      </w:r>
    </w:p>
    <w:p w:rsidR="00E2336B" w:rsidRDefault="00E2336B" w:rsidP="00424E91">
      <w:pPr>
        <w:pStyle w:val="Textoindependiente"/>
        <w:spacing w:line="360" w:lineRule="auto"/>
        <w:rPr>
          <w:rFonts w:ascii="MinionPro-Regular" w:hAnsi="MinionPro-Regular"/>
          <w:sz w:val="24"/>
          <w:szCs w:val="24"/>
          <w:lang w:val="es-ES_tradnl"/>
        </w:rPr>
      </w:pPr>
      <w:r>
        <w:rPr>
          <w:rFonts w:ascii="MinionPro-Regular" w:hAnsi="MinionPro-Regular"/>
          <w:sz w:val="24"/>
          <w:szCs w:val="24"/>
          <w:lang w:val="es-ES_tradnl"/>
        </w:rPr>
        <w:t>Real decreto 364/2005, de 8 de abril, por el que se regula el cumplimiento alternativo con carácter excepcional de la cuota de reserva a favor de los trabajadores con discapacidad, Madrid (2005).</w:t>
      </w:r>
    </w:p>
    <w:p w:rsidR="00E2336B" w:rsidRDefault="00E2336B" w:rsidP="00424E91">
      <w:pPr>
        <w:pStyle w:val="Textoindependiente"/>
        <w:spacing w:line="360" w:lineRule="auto"/>
        <w:rPr>
          <w:rFonts w:ascii="MinionPro-Regular" w:hAnsi="MinionPro-Regular"/>
          <w:sz w:val="24"/>
          <w:szCs w:val="24"/>
          <w:lang w:val="es-ES_tradnl"/>
        </w:rPr>
      </w:pPr>
      <w:r>
        <w:rPr>
          <w:rFonts w:ascii="MinionPro-Regular" w:hAnsi="MinionPro-Regular"/>
          <w:sz w:val="24"/>
          <w:szCs w:val="24"/>
          <w:lang w:val="es-ES_tradnl"/>
        </w:rPr>
        <w:t>Ley 8/2005, de 6 de junio, para compatibilizar las pensiones de invalidez en su modalidad no contributiva con el trabajo remunerado.</w:t>
      </w:r>
    </w:p>
    <w:p w:rsidR="00E2336B" w:rsidRDefault="00E2336B" w:rsidP="00424E91">
      <w:pPr>
        <w:pStyle w:val="Textoindependiente"/>
        <w:spacing w:line="360" w:lineRule="auto"/>
        <w:rPr>
          <w:rFonts w:ascii="MinionPro-Regular" w:hAnsi="MinionPro-Regular"/>
          <w:sz w:val="24"/>
          <w:szCs w:val="24"/>
          <w:lang w:val="es-ES_tradnl"/>
        </w:rPr>
      </w:pPr>
      <w:r>
        <w:rPr>
          <w:rFonts w:ascii="MinionPro-Regular" w:hAnsi="MinionPro-Regular"/>
          <w:sz w:val="24"/>
          <w:szCs w:val="24"/>
          <w:lang w:val="es-ES_tradnl"/>
        </w:rPr>
        <w:lastRenderedPageBreak/>
        <w:t>Real Decreto 469/2006, de 21 de abril, por el que se regulan las unidades de apoyo a la actividad profesional en el marco de los servicios de ajuste personal y social de los centros especiales de empleo.</w:t>
      </w:r>
    </w:p>
    <w:p w:rsidR="00E2336B" w:rsidRDefault="00E2336B" w:rsidP="00424E91">
      <w:pPr>
        <w:pStyle w:val="Textoindependiente"/>
        <w:spacing w:line="360" w:lineRule="auto"/>
        <w:rPr>
          <w:rFonts w:ascii="MinionPro-Regular" w:hAnsi="MinionPro-Regular"/>
          <w:sz w:val="24"/>
          <w:szCs w:val="24"/>
          <w:lang w:val="es-ES_tradnl"/>
        </w:rPr>
      </w:pPr>
      <w:r>
        <w:rPr>
          <w:rFonts w:ascii="MinionPro-Regular" w:hAnsi="MinionPro-Regular"/>
          <w:sz w:val="24"/>
          <w:szCs w:val="24"/>
          <w:lang w:val="es-ES_tradnl"/>
        </w:rPr>
        <w:t>Real Decreto 887/2006, de 21 de julio, por el que se aprueba el Reglamento de la Ley General de Subvenciones.</w:t>
      </w:r>
    </w:p>
    <w:p w:rsidR="00E2336B" w:rsidRDefault="00E2336B" w:rsidP="00424E91">
      <w:pPr>
        <w:pStyle w:val="Textoindependiente"/>
        <w:spacing w:line="360" w:lineRule="auto"/>
        <w:rPr>
          <w:rFonts w:ascii="MinionPro-Regular" w:hAnsi="MinionPro-Regular"/>
          <w:sz w:val="24"/>
          <w:szCs w:val="24"/>
          <w:lang w:val="es-ES_tradnl"/>
        </w:rPr>
      </w:pPr>
      <w:r>
        <w:rPr>
          <w:rFonts w:ascii="MinionPro-Regular" w:hAnsi="MinionPro-Regular"/>
          <w:sz w:val="24"/>
          <w:szCs w:val="24"/>
          <w:lang w:val="es-ES_tradnl"/>
        </w:rPr>
        <w:t>Ley 39/2006, de 14 de diciembre, de promoción de la autonomía personal y atención a las personas en situación de dependencia.</w:t>
      </w:r>
    </w:p>
    <w:p w:rsidR="00E2336B" w:rsidRDefault="00E2336B" w:rsidP="00424E91">
      <w:pPr>
        <w:pStyle w:val="Textoindependiente"/>
        <w:spacing w:line="360" w:lineRule="auto"/>
        <w:rPr>
          <w:rFonts w:ascii="MinionPro-Regular" w:hAnsi="MinionPro-Regular"/>
          <w:sz w:val="24"/>
          <w:szCs w:val="24"/>
          <w:lang w:val="es-ES_tradnl"/>
        </w:rPr>
      </w:pPr>
      <w:r>
        <w:rPr>
          <w:rFonts w:ascii="MinionPro-Regular" w:hAnsi="MinionPro-Regular"/>
          <w:sz w:val="24"/>
          <w:szCs w:val="24"/>
          <w:lang w:val="es-ES_tradnl"/>
        </w:rPr>
        <w:t>Ley 43/2006, de 29 de diciembre, de mejora del crecimiento y del empleo.</w:t>
      </w:r>
    </w:p>
    <w:p w:rsidR="00E2336B" w:rsidRDefault="00E2336B" w:rsidP="00424E91">
      <w:pPr>
        <w:pStyle w:val="Textoindependiente"/>
        <w:spacing w:line="360" w:lineRule="auto"/>
        <w:rPr>
          <w:rFonts w:ascii="MinionPro-Regular" w:hAnsi="MinionPro-Regular"/>
          <w:sz w:val="24"/>
          <w:szCs w:val="24"/>
          <w:lang w:val="es-ES_tradnl"/>
        </w:rPr>
      </w:pPr>
      <w:r>
        <w:rPr>
          <w:rFonts w:ascii="MinionPro-Regular" w:hAnsi="MinionPro-Regular"/>
          <w:sz w:val="24"/>
          <w:szCs w:val="24"/>
          <w:lang w:val="es-ES_tradnl"/>
        </w:rPr>
        <w:t>Real Decreto 870/2007, de 2 de julio, por el que se regula el programa de empleo con apoyo como medida de fomento de empleo de personas con discapacidad en el mercado ordinario de trabajo.</w:t>
      </w:r>
    </w:p>
    <w:p w:rsidR="00E2336B" w:rsidRDefault="00E2336B" w:rsidP="00424E91">
      <w:pPr>
        <w:pStyle w:val="Textoindependiente"/>
        <w:spacing w:line="360" w:lineRule="auto"/>
        <w:rPr>
          <w:rFonts w:ascii="MinionPro-Regular" w:hAnsi="MinionPro-Regular"/>
          <w:sz w:val="24"/>
          <w:szCs w:val="24"/>
          <w:lang w:val="es-ES_tradnl"/>
        </w:rPr>
      </w:pPr>
      <w:r w:rsidRPr="005611E0">
        <w:rPr>
          <w:rFonts w:ascii="MinionPro-Regular" w:hAnsi="MinionPro-Regular"/>
          <w:sz w:val="24"/>
          <w:szCs w:val="24"/>
          <w:lang w:val="es-ES_tradnl"/>
        </w:rPr>
        <w:t>Ley 27/2007, de 23 de octubre, por la que se reconocen las lenguas de signos españolas y se regulan los medios de apoyo a la comunicación oral de las personas sordas, con discapacidad auditiva y sordociegas</w:t>
      </w:r>
    </w:p>
    <w:p w:rsidR="00E2336B" w:rsidRDefault="00E2336B" w:rsidP="00424E91">
      <w:pPr>
        <w:pStyle w:val="Textoindependiente"/>
        <w:spacing w:line="360" w:lineRule="auto"/>
        <w:rPr>
          <w:rFonts w:ascii="MinionPro-Regular" w:hAnsi="MinionPro-Regular"/>
          <w:sz w:val="24"/>
          <w:szCs w:val="24"/>
          <w:lang w:val="es-ES_tradnl"/>
        </w:rPr>
      </w:pPr>
      <w:r>
        <w:rPr>
          <w:rFonts w:ascii="MinionPro-Regular" w:hAnsi="MinionPro-Regular"/>
          <w:sz w:val="24"/>
          <w:szCs w:val="24"/>
          <w:lang w:val="es-ES_tradnl"/>
        </w:rPr>
        <w:t>Orden APU/3416/2007, de 14 de noviembre, por la que se establecen las bases comunes que regirán los procesos selectivos para el ingreso en Cuerpos de la Administración General del Estado.</w:t>
      </w:r>
    </w:p>
    <w:p w:rsidR="00E2336B" w:rsidRDefault="00E2336B">
      <w:pPr>
        <w:pStyle w:val="Textoindependiente"/>
        <w:tabs>
          <w:tab w:val="left" w:pos="0"/>
        </w:tabs>
        <w:spacing w:line="360" w:lineRule="auto"/>
        <w:rPr>
          <w:rFonts w:ascii="MinionPro-Regular" w:hAnsi="MinionPro-Regular"/>
          <w:sz w:val="24"/>
          <w:szCs w:val="24"/>
          <w:lang w:val="es-ES_tradnl"/>
        </w:rPr>
      </w:pPr>
      <w:r w:rsidRPr="005611E0">
        <w:rPr>
          <w:rFonts w:ascii="MinionPro-Regular" w:hAnsi="MinionPro-Regular"/>
          <w:sz w:val="24"/>
          <w:szCs w:val="24"/>
          <w:lang w:val="es-ES_tradnl"/>
        </w:rPr>
        <w:t>Ley 49/2007, de 26 de diciembre, por la que se establece el régimen de infracciones y sanciones en materia de igualdad de oportunidades, no discriminación y accesibilidad universal de las personas con discapacidad.</w:t>
      </w:r>
    </w:p>
    <w:p w:rsidR="00E2336B" w:rsidRDefault="00E2336B" w:rsidP="00424E91">
      <w:pPr>
        <w:pStyle w:val="Textoindependiente"/>
        <w:spacing w:line="360" w:lineRule="auto"/>
        <w:rPr>
          <w:rFonts w:ascii="MinionPro-Regular" w:hAnsi="MinionPro-Regular"/>
          <w:sz w:val="24"/>
          <w:szCs w:val="24"/>
          <w:lang w:val="es-ES_tradnl"/>
        </w:rPr>
      </w:pPr>
      <w:r>
        <w:rPr>
          <w:rFonts w:ascii="MinionPro-Regular" w:hAnsi="MinionPro-Regular"/>
          <w:sz w:val="24"/>
          <w:szCs w:val="24"/>
          <w:lang w:val="es-ES_tradnl"/>
        </w:rPr>
        <w:t>Ley 27/2009, de 30 de diciembre, de medidas urgentes para el mantenimiento y el fomento del empleo y la protección de las personas desempleadas.</w:t>
      </w:r>
    </w:p>
    <w:p w:rsidR="00E2336B" w:rsidRDefault="00E2336B" w:rsidP="00424E91">
      <w:pPr>
        <w:pStyle w:val="Textoindependiente"/>
        <w:spacing w:line="360" w:lineRule="auto"/>
        <w:rPr>
          <w:rFonts w:ascii="MinionPro-Regular" w:hAnsi="MinionPro-Regular"/>
          <w:sz w:val="24"/>
          <w:szCs w:val="24"/>
          <w:lang w:val="es-ES_tradnl"/>
        </w:rPr>
      </w:pPr>
      <w:r>
        <w:rPr>
          <w:rFonts w:ascii="MinionPro-Regular" w:hAnsi="MinionPro-Regular"/>
          <w:sz w:val="24"/>
          <w:szCs w:val="24"/>
          <w:lang w:val="es-ES_tradnl"/>
        </w:rPr>
        <w:t>Ley 39/2010, de 22 de diciembre, de Presupuestos Generales del Estado para el año 2011.</w:t>
      </w:r>
    </w:p>
    <w:p w:rsidR="00E2336B" w:rsidRDefault="00E2336B">
      <w:pPr>
        <w:pStyle w:val="Textoindependiente"/>
        <w:spacing w:line="360" w:lineRule="auto"/>
        <w:rPr>
          <w:rFonts w:ascii="MinionPro-Regular" w:hAnsi="MinionPro-Regular"/>
          <w:sz w:val="24"/>
          <w:szCs w:val="24"/>
          <w:lang w:val="es-ES_tradnl"/>
        </w:rPr>
      </w:pPr>
      <w:r>
        <w:rPr>
          <w:rFonts w:ascii="MinionPro-Regular" w:hAnsi="MinionPro-Regular"/>
          <w:sz w:val="24"/>
          <w:szCs w:val="24"/>
          <w:lang w:val="es-ES_tradnl"/>
        </w:rPr>
        <w:lastRenderedPageBreak/>
        <w:t>Ley 5/2011, de 29 de marzo, de economía social.</w:t>
      </w:r>
    </w:p>
    <w:p w:rsidR="00F61DE8" w:rsidRDefault="00E2336B">
      <w:pPr>
        <w:pStyle w:val="Textoindependiente"/>
        <w:spacing w:line="360" w:lineRule="auto"/>
        <w:rPr>
          <w:sz w:val="32"/>
        </w:rPr>
      </w:pPr>
      <w:r>
        <w:rPr>
          <w:rFonts w:ascii="MinionPro-Regular" w:hAnsi="MinionPro-Regular"/>
          <w:sz w:val="24"/>
          <w:szCs w:val="24"/>
          <w:lang w:val="es-ES_tradnl"/>
        </w:rPr>
        <w:t>Real Decreto Legislativo 3/2011, de 14 de noviembre, por el que se aprueba el texto refundido de la Ley de Contratos del Sector Públ</w:t>
      </w:r>
      <w:r w:rsidR="00D04B7D">
        <w:br w:type="page"/>
      </w:r>
    </w:p>
    <w:p w:rsidR="00E2336B" w:rsidRPr="00EA0C09" w:rsidRDefault="00E2336B" w:rsidP="0007541A">
      <w:pPr>
        <w:pStyle w:val="Ttulo1"/>
        <w:numPr>
          <w:ilvl w:val="0"/>
          <w:numId w:val="3"/>
        </w:numPr>
        <w:rPr>
          <w:rFonts w:ascii="MinionPro-Regular" w:hAnsi="MinionPro-Regular"/>
          <w:lang w:val="es-ES_tradnl"/>
        </w:rPr>
      </w:pPr>
      <w:bookmarkStart w:id="602" w:name="_Toc352773624"/>
      <w:r w:rsidRPr="00EA0C09">
        <w:rPr>
          <w:rFonts w:ascii="MinionPro-Regular" w:hAnsi="MinionPro-Regular"/>
          <w:lang w:val="es-ES_tradnl"/>
        </w:rPr>
        <w:lastRenderedPageBreak/>
        <w:t>Anexos</w:t>
      </w:r>
      <w:bookmarkEnd w:id="602"/>
    </w:p>
    <w:p w:rsidR="00D04B7D" w:rsidRDefault="00D04B7D" w:rsidP="0007541A">
      <w:pPr>
        <w:pStyle w:val="Ttulo2"/>
        <w:numPr>
          <w:ilvl w:val="1"/>
          <w:numId w:val="3"/>
        </w:numPr>
        <w:ind w:left="0"/>
        <w:rPr>
          <w:rFonts w:ascii="MinionPro-Regular" w:hAnsi="MinionPro-Regular"/>
          <w:lang w:val="es-ES_tradnl"/>
        </w:rPr>
      </w:pPr>
      <w:bookmarkStart w:id="603" w:name="_Toc352773625"/>
      <w:r>
        <w:rPr>
          <w:rFonts w:ascii="MinionPro-Regular" w:hAnsi="MinionPro-Regular"/>
          <w:lang w:val="es-ES_tradnl"/>
        </w:rPr>
        <w:t>Agradecimientos a las personas que han participado del estudio</w:t>
      </w:r>
      <w:bookmarkEnd w:id="603"/>
    </w:p>
    <w:p w:rsidR="002835FD" w:rsidRDefault="00D04B7D" w:rsidP="00D04B7D">
      <w:pPr>
        <w:pStyle w:val="Textoindependiente"/>
        <w:rPr>
          <w:lang w:val="es-ES_tradnl"/>
        </w:rPr>
      </w:pPr>
      <w:r>
        <w:rPr>
          <w:lang w:val="es-ES_tradnl"/>
        </w:rPr>
        <w:t xml:space="preserve">A continuación se incluyen </w:t>
      </w:r>
      <w:r w:rsidR="002835FD">
        <w:rPr>
          <w:lang w:val="es-ES_tradnl"/>
        </w:rPr>
        <w:t xml:space="preserve">en orden alfabético los nombres de las personas que han compartido su opinión </w:t>
      </w:r>
      <w:r w:rsidR="00B8748D">
        <w:rPr>
          <w:lang w:val="es-ES_tradnl"/>
        </w:rPr>
        <w:t xml:space="preserve">acerca del presente, pasado y futuro de los centros especiales de empleo </w:t>
      </w:r>
      <w:r w:rsidR="002835FD">
        <w:rPr>
          <w:lang w:val="es-ES_tradnl"/>
        </w:rPr>
        <w:t>en las distintas fases de elaboración del informe</w:t>
      </w:r>
      <w:r>
        <w:rPr>
          <w:lang w:val="es-ES_tradnl"/>
        </w:rPr>
        <w:t xml:space="preserve">. </w:t>
      </w:r>
    </w:p>
    <w:p w:rsidR="00D04B7D" w:rsidRDefault="00D04B7D" w:rsidP="00D04B7D">
      <w:pPr>
        <w:pStyle w:val="Textoindependiente"/>
        <w:rPr>
          <w:lang w:val="es-ES_tradnl"/>
        </w:rPr>
      </w:pPr>
      <w:r>
        <w:rPr>
          <w:lang w:val="es-ES_tradnl"/>
        </w:rPr>
        <w:t xml:space="preserve">Por supuesto, </w:t>
      </w:r>
      <w:r w:rsidR="002835FD">
        <w:rPr>
          <w:lang w:val="es-ES_tradnl"/>
        </w:rPr>
        <w:t>este informe es responsabilidad de sus autores y en ningún caso debe entenderse que refleja la opinión las personas que, de una u otra forma, han colaborado en su elaboración.</w:t>
      </w:r>
      <w:r>
        <w:rPr>
          <w:lang w:val="es-ES_tradnl"/>
        </w:rPr>
        <w:t xml:space="preserve"> </w:t>
      </w:r>
    </w:p>
    <w:p w:rsidR="00D04B7D" w:rsidRPr="00911EDF" w:rsidRDefault="00D04B7D" w:rsidP="00D04B7D">
      <w:pPr>
        <w:pStyle w:val="Textoindependiente"/>
        <w:rPr>
          <w:lang w:val="es-ES_tradnl"/>
        </w:rPr>
      </w:pPr>
    </w:p>
    <w:p w:rsidR="00D04B7D" w:rsidRPr="00D04B7D" w:rsidRDefault="00D04B7D" w:rsidP="00D04B7D">
      <w:pPr>
        <w:pStyle w:val="Textonotapie"/>
        <w:rPr>
          <w:rFonts w:ascii="MinonPro-Regular" w:hAnsi="MinonPro-Regular"/>
          <w:sz w:val="24"/>
          <w:szCs w:val="24"/>
          <w:lang w:val="es-ES_tradnl"/>
        </w:rPr>
      </w:pPr>
      <w:r w:rsidRPr="00D04B7D">
        <w:rPr>
          <w:rFonts w:ascii="MinonPro-Regular" w:hAnsi="MinonPro-Regular"/>
          <w:sz w:val="24"/>
          <w:szCs w:val="24"/>
          <w:lang w:val="es-ES_tradnl"/>
        </w:rPr>
        <w:t>Aguilar, Mercedes (Junta de Andalucía)</w:t>
      </w:r>
    </w:p>
    <w:p w:rsidR="00D04B7D" w:rsidRPr="00D04B7D" w:rsidRDefault="00D04B7D" w:rsidP="00D04B7D">
      <w:pPr>
        <w:pStyle w:val="Textonotapie"/>
        <w:rPr>
          <w:rFonts w:ascii="MinonPro-Regular" w:hAnsi="MinonPro-Regular"/>
          <w:sz w:val="24"/>
          <w:szCs w:val="24"/>
          <w:lang w:val="es-ES_tradnl"/>
        </w:rPr>
      </w:pPr>
      <w:r w:rsidRPr="00D04B7D">
        <w:rPr>
          <w:rFonts w:ascii="MinonPro-Regular" w:hAnsi="MinonPro-Regular"/>
          <w:sz w:val="24"/>
          <w:szCs w:val="24"/>
          <w:lang w:val="es-ES_tradnl"/>
        </w:rPr>
        <w:t>Alcanda, Blanca (CEE Technosite)</w:t>
      </w:r>
    </w:p>
    <w:p w:rsidR="00D04B7D" w:rsidRPr="00D04B7D" w:rsidRDefault="00D04B7D" w:rsidP="00D04B7D">
      <w:pPr>
        <w:rPr>
          <w:rFonts w:ascii="MinonPro-Regular" w:hAnsi="MinonPro-Regular"/>
          <w:sz w:val="24"/>
          <w:szCs w:val="24"/>
          <w:lang w:val="es-ES_tradnl"/>
        </w:rPr>
      </w:pPr>
      <w:r w:rsidRPr="00D04B7D">
        <w:rPr>
          <w:rFonts w:ascii="MinonPro-Regular" w:hAnsi="MinonPro-Regular"/>
          <w:sz w:val="24"/>
          <w:szCs w:val="24"/>
          <w:lang w:val="es-ES_tradnl"/>
        </w:rPr>
        <w:t>Alonso, Luis (CERMI)</w:t>
      </w:r>
    </w:p>
    <w:p w:rsidR="00D04B7D" w:rsidRPr="00D04B7D" w:rsidRDefault="00D04B7D" w:rsidP="00D04B7D">
      <w:pPr>
        <w:rPr>
          <w:rFonts w:ascii="MinonPro-Regular" w:hAnsi="MinonPro-Regular"/>
          <w:sz w:val="24"/>
          <w:szCs w:val="24"/>
          <w:lang w:val="es-ES_tradnl"/>
        </w:rPr>
      </w:pPr>
      <w:r w:rsidRPr="00D04B7D">
        <w:rPr>
          <w:rFonts w:ascii="MinonPro-Regular" w:hAnsi="MinonPro-Regular"/>
          <w:sz w:val="24"/>
          <w:szCs w:val="24"/>
          <w:lang w:val="es-ES_tradnl"/>
        </w:rPr>
        <w:t>Álvarez, Francisco (FAISEM)</w:t>
      </w:r>
    </w:p>
    <w:p w:rsidR="00D04B7D" w:rsidRPr="00D04B7D" w:rsidRDefault="00D04B7D" w:rsidP="00D04B7D">
      <w:pPr>
        <w:rPr>
          <w:rFonts w:ascii="MinonPro-Regular" w:hAnsi="MinonPro-Regular"/>
          <w:sz w:val="24"/>
          <w:szCs w:val="24"/>
          <w:lang w:val="es-ES_tradnl"/>
        </w:rPr>
      </w:pPr>
      <w:r w:rsidRPr="00D04B7D">
        <w:rPr>
          <w:rFonts w:ascii="MinonPro-Regular" w:hAnsi="MinonPro-Regular"/>
          <w:sz w:val="24"/>
          <w:szCs w:val="24"/>
          <w:lang w:val="es-ES_tradnl"/>
        </w:rPr>
        <w:t>Álvarez Enciso, Pablo (Acciona)</w:t>
      </w:r>
    </w:p>
    <w:p w:rsidR="00D04B7D" w:rsidRPr="00D04B7D" w:rsidRDefault="00D04B7D" w:rsidP="00D04B7D">
      <w:pPr>
        <w:rPr>
          <w:rFonts w:ascii="MinonPro-Regular" w:hAnsi="MinonPro-Regular"/>
          <w:sz w:val="24"/>
          <w:szCs w:val="24"/>
          <w:lang w:val="es-ES_tradnl"/>
        </w:rPr>
      </w:pPr>
      <w:r w:rsidRPr="00D04B7D">
        <w:rPr>
          <w:rFonts w:ascii="MinonPro-Regular" w:hAnsi="MinonPro-Regular"/>
          <w:sz w:val="24"/>
          <w:szCs w:val="24"/>
          <w:lang w:val="es-ES_tradnl"/>
        </w:rPr>
        <w:t>Álvarez-Ossorio, Diego Javier (Integra)</w:t>
      </w:r>
    </w:p>
    <w:p w:rsidR="00D04B7D" w:rsidRPr="005F45FF" w:rsidRDefault="00D04B7D" w:rsidP="00D04B7D">
      <w:pPr>
        <w:rPr>
          <w:rFonts w:ascii="MinonPro-Regular" w:hAnsi="MinonPro-Regular"/>
          <w:sz w:val="24"/>
          <w:szCs w:val="24"/>
          <w:lang w:val="fr-FR"/>
        </w:rPr>
      </w:pPr>
      <w:r w:rsidRPr="005F45FF">
        <w:rPr>
          <w:rFonts w:ascii="MinonPro-Regular" w:hAnsi="MinonPro-Regular"/>
          <w:sz w:val="24"/>
          <w:szCs w:val="24"/>
          <w:lang w:val="fr-FR"/>
        </w:rPr>
        <w:t>Arlanzón, José Luis (CEE Arans-Bur Hazte Oir)</w:t>
      </w:r>
    </w:p>
    <w:p w:rsidR="00D04B7D" w:rsidRPr="00D04B7D" w:rsidRDefault="00D04B7D" w:rsidP="00D04B7D">
      <w:pPr>
        <w:rPr>
          <w:rFonts w:ascii="MinonPro-Regular" w:hAnsi="MinonPro-Regular"/>
          <w:sz w:val="24"/>
          <w:szCs w:val="24"/>
          <w:lang w:val="es-ES_tradnl"/>
        </w:rPr>
      </w:pPr>
      <w:r w:rsidRPr="00D04B7D">
        <w:rPr>
          <w:rFonts w:ascii="MinonPro-Regular" w:hAnsi="MinonPro-Regular"/>
          <w:sz w:val="24"/>
          <w:szCs w:val="24"/>
          <w:lang w:val="es-ES_tradnl"/>
        </w:rPr>
        <w:t>Baños, Juan (CEE Gesser S.L)</w:t>
      </w:r>
    </w:p>
    <w:p w:rsidR="00D04B7D" w:rsidRPr="00D04B7D" w:rsidRDefault="00D04B7D" w:rsidP="00D04B7D">
      <w:pPr>
        <w:rPr>
          <w:rFonts w:ascii="MinonPro-Regular" w:hAnsi="MinonPro-Regular"/>
          <w:sz w:val="24"/>
          <w:szCs w:val="24"/>
          <w:lang w:val="es-ES_tradnl"/>
        </w:rPr>
      </w:pPr>
      <w:r w:rsidRPr="00D04B7D">
        <w:rPr>
          <w:rFonts w:ascii="MinonPro-Regular" w:hAnsi="MinonPro-Regular"/>
          <w:sz w:val="24"/>
          <w:szCs w:val="24"/>
          <w:lang w:val="es-ES_tradnl"/>
        </w:rPr>
        <w:t>Basterra, Andoni (CCOO)</w:t>
      </w:r>
    </w:p>
    <w:p w:rsidR="00D04B7D" w:rsidRPr="00D04B7D" w:rsidRDefault="00D04B7D" w:rsidP="00D04B7D">
      <w:pPr>
        <w:rPr>
          <w:rFonts w:ascii="MinonPro-Regular" w:hAnsi="MinonPro-Regular"/>
          <w:sz w:val="24"/>
          <w:szCs w:val="24"/>
          <w:lang w:val="es-ES_tradnl"/>
        </w:rPr>
      </w:pPr>
      <w:r w:rsidRPr="00D04B7D">
        <w:rPr>
          <w:rFonts w:ascii="MinonPro-Regular" w:hAnsi="MinonPro-Regular"/>
          <w:sz w:val="24"/>
          <w:szCs w:val="24"/>
          <w:lang w:val="es-ES_tradnl"/>
        </w:rPr>
        <w:t>Bengoetxea, Aitor (Universidad del País Vasco)</w:t>
      </w:r>
    </w:p>
    <w:p w:rsidR="00D04B7D" w:rsidRPr="00D04B7D" w:rsidRDefault="00D04B7D" w:rsidP="00D04B7D">
      <w:pPr>
        <w:rPr>
          <w:rFonts w:ascii="MinonPro-Regular" w:hAnsi="MinonPro-Regular"/>
          <w:sz w:val="24"/>
          <w:szCs w:val="24"/>
        </w:rPr>
      </w:pPr>
      <w:r w:rsidRPr="00D04B7D">
        <w:rPr>
          <w:rFonts w:ascii="MinonPro-Regular" w:hAnsi="MinonPro-Regular"/>
          <w:sz w:val="24"/>
          <w:szCs w:val="24"/>
          <w:lang w:val="es-ES_tradnl"/>
        </w:rPr>
        <w:t>Bercedo, Gregorio (Fundación Manantial)</w:t>
      </w:r>
    </w:p>
    <w:p w:rsidR="00D04B7D" w:rsidRPr="00D04B7D" w:rsidRDefault="00D04B7D" w:rsidP="00D04B7D">
      <w:pPr>
        <w:rPr>
          <w:rFonts w:ascii="MinonPro-Regular" w:hAnsi="MinonPro-Regular"/>
          <w:sz w:val="24"/>
          <w:szCs w:val="24"/>
        </w:rPr>
      </w:pPr>
      <w:r w:rsidRPr="00D04B7D">
        <w:rPr>
          <w:rFonts w:ascii="MinonPro-Regular" w:hAnsi="MinonPro-Regular"/>
          <w:sz w:val="24"/>
          <w:szCs w:val="24"/>
          <w:lang w:val="es-ES_tradnl"/>
        </w:rPr>
        <w:t>Buesa, Pedro (Grupo Alentis)</w:t>
      </w:r>
    </w:p>
    <w:p w:rsidR="00D04B7D" w:rsidRPr="00D04B7D" w:rsidRDefault="00D04B7D" w:rsidP="00D04B7D">
      <w:pPr>
        <w:rPr>
          <w:rFonts w:ascii="MinonPro-Regular" w:hAnsi="MinonPro-Regular"/>
          <w:sz w:val="24"/>
          <w:szCs w:val="24"/>
          <w:lang w:val="es-ES_tradnl"/>
        </w:rPr>
      </w:pPr>
      <w:r w:rsidRPr="00D04B7D">
        <w:rPr>
          <w:rFonts w:ascii="MinonPro-Regular" w:hAnsi="MinonPro-Regular"/>
          <w:sz w:val="24"/>
          <w:szCs w:val="24"/>
          <w:lang w:val="es-ES_tradnl"/>
        </w:rPr>
        <w:t>Canals, Montserrat (Grupo Flisa)</w:t>
      </w:r>
    </w:p>
    <w:p w:rsidR="00D04B7D" w:rsidRPr="00D04B7D" w:rsidRDefault="00D04B7D" w:rsidP="00D04B7D">
      <w:pPr>
        <w:rPr>
          <w:rFonts w:ascii="MinonPro-Regular" w:hAnsi="MinonPro-Regular"/>
          <w:sz w:val="24"/>
          <w:szCs w:val="24"/>
          <w:lang w:val="es-ES_tradnl"/>
        </w:rPr>
      </w:pPr>
      <w:r w:rsidRPr="00D04B7D">
        <w:rPr>
          <w:rFonts w:ascii="MinonPro-Regular" w:hAnsi="MinonPro-Regular"/>
          <w:sz w:val="24"/>
          <w:szCs w:val="24"/>
          <w:lang w:val="es-ES_tradnl"/>
        </w:rPr>
        <w:t>Cañizares, Santiago (FEPAMIC)</w:t>
      </w:r>
    </w:p>
    <w:p w:rsidR="00D04B7D" w:rsidRPr="00D04B7D" w:rsidRDefault="00D04B7D" w:rsidP="00D04B7D">
      <w:pPr>
        <w:rPr>
          <w:rFonts w:ascii="MinonPro-Regular" w:hAnsi="MinonPro-Regular"/>
          <w:sz w:val="24"/>
          <w:szCs w:val="24"/>
          <w:lang w:val="es-ES_tradnl"/>
        </w:rPr>
      </w:pPr>
      <w:r w:rsidRPr="00D04B7D">
        <w:rPr>
          <w:rFonts w:ascii="MinonPro-Regular" w:hAnsi="MinonPro-Regular"/>
          <w:sz w:val="24"/>
          <w:szCs w:val="24"/>
          <w:lang w:val="es-ES_tradnl"/>
        </w:rPr>
        <w:t>Carmona, Salvador (CEE Grupo Flisa)</w:t>
      </w:r>
    </w:p>
    <w:p w:rsidR="00D04B7D" w:rsidRPr="00D04B7D" w:rsidRDefault="00D04B7D" w:rsidP="00D04B7D">
      <w:pPr>
        <w:rPr>
          <w:rFonts w:ascii="MinonPro-Regular" w:hAnsi="MinonPro-Regular"/>
          <w:sz w:val="24"/>
          <w:szCs w:val="24"/>
          <w:lang w:val="es-ES_tradnl"/>
        </w:rPr>
      </w:pPr>
      <w:r w:rsidRPr="00D04B7D">
        <w:rPr>
          <w:rFonts w:ascii="MinonPro-Regular" w:hAnsi="MinonPro-Regular"/>
          <w:sz w:val="24"/>
          <w:szCs w:val="24"/>
          <w:lang w:val="es-ES_tradnl"/>
        </w:rPr>
        <w:t>Cohí, Anna (CEE Fundación DAU)</w:t>
      </w:r>
    </w:p>
    <w:p w:rsidR="00D04B7D" w:rsidRPr="00D04B7D" w:rsidRDefault="00D04B7D" w:rsidP="00D04B7D">
      <w:pPr>
        <w:rPr>
          <w:rFonts w:ascii="MinonPro-Regular" w:hAnsi="MinonPro-Regular"/>
          <w:sz w:val="24"/>
          <w:szCs w:val="24"/>
          <w:lang w:val="es-ES_tradnl"/>
        </w:rPr>
      </w:pPr>
      <w:r w:rsidRPr="00D04B7D">
        <w:rPr>
          <w:rFonts w:ascii="MinonPro-Regular" w:hAnsi="MinonPro-Regular"/>
          <w:sz w:val="24"/>
          <w:szCs w:val="24"/>
          <w:lang w:val="es-ES_tradnl"/>
        </w:rPr>
        <w:t>Cruz Villalón, Jesús (Universidad de Sevilla)</w:t>
      </w:r>
    </w:p>
    <w:p w:rsidR="00D04B7D" w:rsidRPr="00D04B7D" w:rsidRDefault="00D04B7D" w:rsidP="00D04B7D">
      <w:pPr>
        <w:rPr>
          <w:rFonts w:ascii="MinonPro-Regular" w:hAnsi="MinonPro-Regular"/>
          <w:sz w:val="24"/>
          <w:szCs w:val="24"/>
        </w:rPr>
      </w:pPr>
      <w:r w:rsidRPr="00D04B7D">
        <w:rPr>
          <w:rFonts w:ascii="MinonPro-Regular" w:hAnsi="MinonPro-Regular"/>
          <w:sz w:val="24"/>
          <w:szCs w:val="24"/>
          <w:lang w:val="es-ES_tradnl"/>
        </w:rPr>
        <w:t>Cuevas, Cristóbal (Grupo Flisa)</w:t>
      </w:r>
    </w:p>
    <w:p w:rsidR="00D04B7D" w:rsidRPr="00D04B7D" w:rsidRDefault="00D04B7D" w:rsidP="00D04B7D">
      <w:pPr>
        <w:rPr>
          <w:rFonts w:ascii="MinonPro-Regular" w:hAnsi="MinonPro-Regular"/>
          <w:sz w:val="24"/>
          <w:szCs w:val="24"/>
          <w:lang w:val="es-ES_tradnl"/>
        </w:rPr>
      </w:pPr>
      <w:r w:rsidRPr="00D04B7D">
        <w:rPr>
          <w:rFonts w:ascii="MinonPro-Regular" w:hAnsi="MinonPro-Regular"/>
          <w:sz w:val="24"/>
          <w:szCs w:val="24"/>
          <w:lang w:val="es-ES_tradnl"/>
        </w:rPr>
        <w:t>De la Fuente, Lola (Esclatec)</w:t>
      </w:r>
    </w:p>
    <w:p w:rsidR="00D04B7D" w:rsidRPr="00D04B7D" w:rsidRDefault="00D04B7D" w:rsidP="00D04B7D">
      <w:pPr>
        <w:rPr>
          <w:rFonts w:ascii="MinonPro-Regular" w:hAnsi="MinonPro-Regular"/>
          <w:sz w:val="24"/>
          <w:szCs w:val="24"/>
        </w:rPr>
      </w:pPr>
      <w:r w:rsidRPr="00D04B7D">
        <w:rPr>
          <w:rFonts w:ascii="MinonPro-Regular" w:hAnsi="MinonPro-Regular"/>
          <w:sz w:val="24"/>
          <w:szCs w:val="24"/>
          <w:lang w:val="es-ES_tradnl"/>
        </w:rPr>
        <w:t>Del Río Noriega, Francisco (Área Salud Mental Cádiz)</w:t>
      </w:r>
    </w:p>
    <w:p w:rsidR="00D04B7D" w:rsidRPr="00D04B7D" w:rsidRDefault="00D04B7D" w:rsidP="00D04B7D">
      <w:pPr>
        <w:rPr>
          <w:rFonts w:ascii="MinonPro-Regular" w:hAnsi="MinonPro-Regular"/>
          <w:sz w:val="24"/>
          <w:szCs w:val="24"/>
        </w:rPr>
      </w:pPr>
      <w:r w:rsidRPr="00D04B7D">
        <w:rPr>
          <w:rFonts w:ascii="MinonPro-Regular" w:hAnsi="MinonPro-Regular"/>
          <w:sz w:val="24"/>
          <w:szCs w:val="24"/>
          <w:lang w:val="es-ES_tradnl"/>
        </w:rPr>
        <w:t>Durá, Francesc (DINCAT)</w:t>
      </w:r>
    </w:p>
    <w:p w:rsidR="00D04B7D" w:rsidRPr="00D04B7D" w:rsidRDefault="00D04B7D" w:rsidP="00D04B7D">
      <w:pPr>
        <w:pStyle w:val="Textonotapie"/>
        <w:rPr>
          <w:rFonts w:ascii="MinonPro-Regular" w:hAnsi="MinonPro-Regular"/>
          <w:sz w:val="24"/>
          <w:szCs w:val="24"/>
          <w:lang w:val="es-ES_tradnl"/>
        </w:rPr>
      </w:pPr>
      <w:r w:rsidRPr="00D04B7D">
        <w:rPr>
          <w:rFonts w:ascii="MinonPro-Regular" w:hAnsi="MinonPro-Regular"/>
          <w:sz w:val="24"/>
          <w:szCs w:val="24"/>
          <w:lang w:val="es-ES_tradnl"/>
        </w:rPr>
        <w:t>Fernández del Viso, Alicia (Indra)</w:t>
      </w:r>
    </w:p>
    <w:p w:rsidR="00D04B7D" w:rsidRPr="00D04B7D" w:rsidRDefault="00D04B7D" w:rsidP="00D04B7D">
      <w:pPr>
        <w:rPr>
          <w:rFonts w:ascii="MinonPro-Regular" w:hAnsi="MinonPro-Regular"/>
          <w:sz w:val="24"/>
          <w:szCs w:val="24"/>
        </w:rPr>
      </w:pPr>
      <w:r w:rsidRPr="00D04B7D">
        <w:rPr>
          <w:rFonts w:ascii="MinonPro-Regular" w:hAnsi="MinonPro-Regular"/>
          <w:sz w:val="24"/>
          <w:szCs w:val="24"/>
        </w:rPr>
        <w:t>Franco, Txema (CEE Lantegi Batuak)</w:t>
      </w:r>
    </w:p>
    <w:p w:rsidR="00D04B7D" w:rsidRPr="00D04B7D" w:rsidRDefault="00D04B7D" w:rsidP="00D04B7D">
      <w:pPr>
        <w:rPr>
          <w:rFonts w:ascii="MinonPro-Regular" w:hAnsi="MinonPro-Regular"/>
          <w:sz w:val="24"/>
          <w:szCs w:val="24"/>
        </w:rPr>
      </w:pPr>
      <w:r w:rsidRPr="00D04B7D">
        <w:rPr>
          <w:rFonts w:ascii="MinonPro-Regular" w:hAnsi="MinonPro-Regular"/>
          <w:sz w:val="24"/>
          <w:szCs w:val="24"/>
        </w:rPr>
        <w:t>García, Nuria (AFEM)</w:t>
      </w:r>
    </w:p>
    <w:p w:rsidR="00D04B7D" w:rsidRPr="00D04B7D" w:rsidRDefault="00D04B7D" w:rsidP="00D04B7D">
      <w:pPr>
        <w:rPr>
          <w:rFonts w:ascii="MinonPro-Regular" w:hAnsi="MinonPro-Regular"/>
          <w:sz w:val="24"/>
          <w:szCs w:val="24"/>
          <w:lang w:val="es-ES_tradnl"/>
        </w:rPr>
      </w:pPr>
      <w:r w:rsidRPr="00D04B7D">
        <w:rPr>
          <w:rFonts w:ascii="MinonPro-Regular" w:hAnsi="MinonPro-Regular"/>
          <w:sz w:val="24"/>
          <w:szCs w:val="24"/>
          <w:lang w:val="es-ES_tradnl"/>
        </w:rPr>
        <w:t>García Jiménez, Nieves (UGT Andalucía)</w:t>
      </w:r>
    </w:p>
    <w:p w:rsidR="00D04B7D" w:rsidRPr="00D04B7D" w:rsidRDefault="00D04B7D" w:rsidP="00D04B7D">
      <w:pPr>
        <w:pStyle w:val="Textonotapie"/>
        <w:rPr>
          <w:rFonts w:ascii="MinonPro-Regular" w:hAnsi="MinonPro-Regular"/>
          <w:sz w:val="24"/>
          <w:szCs w:val="24"/>
          <w:lang w:val="es-ES_tradnl"/>
        </w:rPr>
      </w:pPr>
      <w:r w:rsidRPr="00D04B7D">
        <w:rPr>
          <w:rFonts w:ascii="MinonPro-Regular" w:hAnsi="MinonPro-Regular"/>
          <w:sz w:val="24"/>
          <w:szCs w:val="24"/>
          <w:lang w:val="es-ES_tradnl"/>
        </w:rPr>
        <w:t>García Olmo, Juan (COCEMFE)</w:t>
      </w:r>
    </w:p>
    <w:p w:rsidR="00D04B7D" w:rsidRPr="00D04B7D" w:rsidRDefault="00D04B7D" w:rsidP="00D04B7D">
      <w:pPr>
        <w:rPr>
          <w:rFonts w:ascii="MinonPro-Regular" w:hAnsi="MinonPro-Regular"/>
          <w:sz w:val="24"/>
          <w:szCs w:val="24"/>
          <w:lang w:val="es-ES_tradnl"/>
        </w:rPr>
      </w:pPr>
      <w:r w:rsidRPr="00D04B7D">
        <w:rPr>
          <w:rFonts w:ascii="MinonPro-Regular" w:hAnsi="MinonPro-Regular"/>
          <w:sz w:val="24"/>
          <w:szCs w:val="24"/>
          <w:lang w:val="es-ES_tradnl"/>
        </w:rPr>
        <w:t>Gil, Rubén (Grupo Siro)</w:t>
      </w:r>
    </w:p>
    <w:p w:rsidR="00D04B7D" w:rsidRPr="00D04B7D" w:rsidRDefault="00D04B7D" w:rsidP="00D04B7D">
      <w:pPr>
        <w:rPr>
          <w:rFonts w:ascii="MinonPro-Regular" w:hAnsi="MinonPro-Regular"/>
          <w:sz w:val="24"/>
          <w:szCs w:val="24"/>
        </w:rPr>
      </w:pPr>
      <w:r w:rsidRPr="00D04B7D">
        <w:rPr>
          <w:rFonts w:ascii="MinonPro-Regular" w:hAnsi="MinonPro-Regular"/>
          <w:sz w:val="24"/>
          <w:szCs w:val="24"/>
        </w:rPr>
        <w:t>Gómez, Pablo (Fundación Intras)</w:t>
      </w:r>
    </w:p>
    <w:p w:rsidR="00D04B7D" w:rsidRPr="00D04B7D" w:rsidRDefault="00D04B7D" w:rsidP="00D04B7D">
      <w:pPr>
        <w:rPr>
          <w:rFonts w:ascii="MinonPro-Regular" w:hAnsi="MinonPro-Regular"/>
          <w:sz w:val="24"/>
          <w:szCs w:val="24"/>
          <w:lang w:val="es-ES_tradnl"/>
        </w:rPr>
      </w:pPr>
      <w:r w:rsidRPr="00D04B7D">
        <w:rPr>
          <w:rFonts w:ascii="MinonPro-Regular" w:hAnsi="MinonPro-Regular"/>
          <w:sz w:val="24"/>
          <w:szCs w:val="24"/>
          <w:lang w:val="es-ES_tradnl"/>
        </w:rPr>
        <w:t>González Hipólito, Cristina (DKV Integralia)</w:t>
      </w:r>
    </w:p>
    <w:p w:rsidR="00D04B7D" w:rsidRPr="00D04B7D" w:rsidRDefault="00D04B7D" w:rsidP="00D04B7D">
      <w:pPr>
        <w:pStyle w:val="Textonotapie"/>
        <w:rPr>
          <w:rFonts w:ascii="MinonPro-Regular" w:hAnsi="MinonPro-Regular"/>
          <w:sz w:val="24"/>
          <w:szCs w:val="24"/>
          <w:lang w:val="es-ES_tradnl"/>
        </w:rPr>
      </w:pPr>
      <w:r w:rsidRPr="00D04B7D">
        <w:rPr>
          <w:rFonts w:ascii="MinonPro-Regular" w:hAnsi="MinonPro-Regular"/>
          <w:sz w:val="24"/>
          <w:szCs w:val="24"/>
          <w:lang w:val="es-ES_tradnl"/>
        </w:rPr>
        <w:t>Gutiérrez, Estrella (CCOO)</w:t>
      </w:r>
    </w:p>
    <w:p w:rsidR="00D04B7D" w:rsidRPr="00D04B7D" w:rsidRDefault="00D04B7D" w:rsidP="00D04B7D">
      <w:pPr>
        <w:pStyle w:val="Textonotapie"/>
        <w:rPr>
          <w:rFonts w:ascii="MinonPro-Regular" w:hAnsi="MinonPro-Regular"/>
          <w:sz w:val="24"/>
          <w:szCs w:val="24"/>
          <w:lang w:val="es-ES_tradnl"/>
        </w:rPr>
      </w:pPr>
      <w:r w:rsidRPr="00D04B7D">
        <w:rPr>
          <w:rFonts w:ascii="MinonPro-Regular" w:hAnsi="MinonPro-Regular"/>
          <w:sz w:val="24"/>
          <w:szCs w:val="24"/>
          <w:lang w:val="es-ES_tradnl"/>
        </w:rPr>
        <w:t>Henarejos, José Luis (CEPES)</w:t>
      </w:r>
    </w:p>
    <w:p w:rsidR="00D04B7D" w:rsidRPr="00D04B7D" w:rsidRDefault="00D04B7D" w:rsidP="00D04B7D">
      <w:pPr>
        <w:rPr>
          <w:rFonts w:ascii="MinonPro-Regular" w:hAnsi="MinonPro-Regular"/>
          <w:sz w:val="24"/>
          <w:szCs w:val="24"/>
        </w:rPr>
      </w:pPr>
      <w:r w:rsidRPr="00D04B7D">
        <w:rPr>
          <w:rFonts w:ascii="MinonPro-Regular" w:hAnsi="MinonPro-Regular"/>
          <w:sz w:val="24"/>
          <w:szCs w:val="24"/>
          <w:lang w:val="es-ES_tradnl"/>
        </w:rPr>
        <w:t>Iriarte, Íñigo (Federación Vasca de asociaciones a favor de las personas con discapacidad intelectual)</w:t>
      </w:r>
    </w:p>
    <w:p w:rsidR="00D04B7D" w:rsidRDefault="00D04B7D" w:rsidP="00D04B7D">
      <w:pPr>
        <w:pStyle w:val="Textonotapie"/>
        <w:rPr>
          <w:rFonts w:ascii="MinonPro-Regular" w:hAnsi="MinonPro-Regular"/>
          <w:sz w:val="24"/>
          <w:szCs w:val="24"/>
          <w:lang w:val="es-ES_tradnl"/>
        </w:rPr>
      </w:pPr>
      <w:r w:rsidRPr="00D04B7D">
        <w:rPr>
          <w:rFonts w:ascii="MinonPro-Regular" w:hAnsi="MinonPro-Regular"/>
          <w:sz w:val="24"/>
          <w:szCs w:val="24"/>
          <w:lang w:val="es-ES_tradnl"/>
        </w:rPr>
        <w:lastRenderedPageBreak/>
        <w:t>Jiménez</w:t>
      </w:r>
      <w:r w:rsidRPr="00911EDF">
        <w:rPr>
          <w:rFonts w:ascii="MinonPro-Regular" w:hAnsi="MinonPro-Regular"/>
          <w:sz w:val="24"/>
          <w:szCs w:val="24"/>
          <w:lang w:val="es-ES_tradnl"/>
        </w:rPr>
        <w:t xml:space="preserve"> Lara</w:t>
      </w:r>
      <w:r>
        <w:rPr>
          <w:rFonts w:ascii="MinonPro-Regular" w:hAnsi="MinonPro-Regular"/>
          <w:sz w:val="24"/>
          <w:szCs w:val="24"/>
          <w:lang w:val="es-ES_tradnl"/>
        </w:rPr>
        <w:t xml:space="preserve">, </w:t>
      </w:r>
      <w:r w:rsidRPr="00911EDF">
        <w:rPr>
          <w:rFonts w:ascii="MinonPro-Regular" w:hAnsi="MinonPro-Regular"/>
          <w:sz w:val="24"/>
          <w:szCs w:val="24"/>
          <w:lang w:val="es-ES_tradnl"/>
        </w:rPr>
        <w:t>Antonio</w:t>
      </w:r>
      <w:r>
        <w:rPr>
          <w:rFonts w:ascii="MinonPro-Regular" w:hAnsi="MinonPro-Regular"/>
          <w:sz w:val="24"/>
          <w:szCs w:val="24"/>
          <w:lang w:val="es-ES_tradnl"/>
        </w:rPr>
        <w:t xml:space="preserve"> (sociólogo)</w:t>
      </w:r>
    </w:p>
    <w:p w:rsidR="00D04B7D" w:rsidRDefault="00D04B7D" w:rsidP="00D04B7D">
      <w:pPr>
        <w:rPr>
          <w:rFonts w:ascii="MinonPro-Regular" w:hAnsi="MinonPro-Regular"/>
          <w:sz w:val="24"/>
          <w:szCs w:val="24"/>
        </w:rPr>
      </w:pPr>
      <w:r w:rsidRPr="003D5DD7">
        <w:rPr>
          <w:rFonts w:ascii="MinonPro-Regular" w:hAnsi="MinonPro-Regular"/>
          <w:sz w:val="24"/>
          <w:szCs w:val="24"/>
        </w:rPr>
        <w:t>Lahera, Jesús (Universidad Complutense de Madrid)</w:t>
      </w:r>
    </w:p>
    <w:p w:rsidR="00D04B7D" w:rsidRDefault="00D04B7D" w:rsidP="00D04B7D">
      <w:pPr>
        <w:rPr>
          <w:rFonts w:ascii="MinonPro-Regular" w:hAnsi="MinonPro-Regular"/>
          <w:sz w:val="24"/>
          <w:szCs w:val="24"/>
          <w:lang w:val="es-ES_tradnl"/>
        </w:rPr>
      </w:pPr>
      <w:r>
        <w:rPr>
          <w:rFonts w:ascii="MinonPro-Regular" w:hAnsi="MinonPro-Regular"/>
          <w:sz w:val="24"/>
          <w:szCs w:val="24"/>
        </w:rPr>
        <w:t xml:space="preserve">Laloma </w:t>
      </w:r>
      <w:r w:rsidRPr="00911EDF">
        <w:rPr>
          <w:rFonts w:ascii="MinonPro-Regular" w:hAnsi="MinonPro-Regular"/>
          <w:sz w:val="24"/>
          <w:szCs w:val="24"/>
        </w:rPr>
        <w:t>García,</w:t>
      </w:r>
      <w:r>
        <w:rPr>
          <w:rFonts w:ascii="MinonPro-Regular" w:hAnsi="MinonPro-Regular"/>
          <w:sz w:val="24"/>
          <w:szCs w:val="24"/>
        </w:rPr>
        <w:t xml:space="preserve"> Miguel </w:t>
      </w:r>
      <w:r w:rsidRPr="00911EDF">
        <w:rPr>
          <w:rFonts w:ascii="MinonPro-Regular" w:hAnsi="MinonPro-Regular"/>
          <w:sz w:val="24"/>
          <w:szCs w:val="24"/>
          <w:lang w:val="es-ES_tradnl"/>
        </w:rPr>
        <w:t>(Fundación SERES y Empresa Responsable)</w:t>
      </w:r>
    </w:p>
    <w:p w:rsidR="00D04B7D" w:rsidRDefault="00D04B7D" w:rsidP="00D04B7D">
      <w:pPr>
        <w:rPr>
          <w:rFonts w:ascii="MinonPro-Regular" w:hAnsi="MinonPro-Regular"/>
          <w:sz w:val="24"/>
          <w:szCs w:val="24"/>
          <w:lang w:val="es-ES_tradnl"/>
        </w:rPr>
      </w:pPr>
      <w:r w:rsidRPr="00911EDF">
        <w:rPr>
          <w:rFonts w:ascii="MinonPro-Regular" w:hAnsi="MinonPro-Regular"/>
          <w:sz w:val="24"/>
          <w:szCs w:val="24"/>
          <w:lang w:val="es-ES_tradnl"/>
        </w:rPr>
        <w:t>Llorens</w:t>
      </w:r>
      <w:r>
        <w:rPr>
          <w:rFonts w:ascii="MinonPro-Regular" w:hAnsi="MinonPro-Regular"/>
          <w:sz w:val="24"/>
          <w:szCs w:val="24"/>
          <w:lang w:val="es-ES_tradnl"/>
        </w:rPr>
        <w:t xml:space="preserve">, </w:t>
      </w:r>
      <w:r w:rsidRPr="00911EDF">
        <w:rPr>
          <w:rFonts w:ascii="MinonPro-Regular" w:hAnsi="MinonPro-Regular"/>
          <w:sz w:val="24"/>
          <w:szCs w:val="24"/>
          <w:lang w:val="es-ES_tradnl"/>
        </w:rPr>
        <w:t>Isabel</w:t>
      </w:r>
      <w:r>
        <w:rPr>
          <w:rFonts w:ascii="MinonPro-Regular" w:hAnsi="MinonPro-Regular"/>
          <w:sz w:val="24"/>
          <w:szCs w:val="24"/>
          <w:lang w:val="es-ES_tradnl"/>
        </w:rPr>
        <w:t xml:space="preserve"> </w:t>
      </w:r>
      <w:r w:rsidRPr="00911EDF">
        <w:rPr>
          <w:rFonts w:ascii="MinonPro-Regular" w:hAnsi="MinonPro-Regular"/>
          <w:sz w:val="24"/>
          <w:szCs w:val="24"/>
          <w:lang w:val="es-ES_tradnl"/>
        </w:rPr>
        <w:t>(Fundación Dau)</w:t>
      </w:r>
    </w:p>
    <w:p w:rsidR="00D04B7D" w:rsidRDefault="00D04B7D" w:rsidP="00D04B7D">
      <w:pPr>
        <w:rPr>
          <w:rFonts w:ascii="MinonPro-Regular" w:hAnsi="MinonPro-Regular"/>
          <w:sz w:val="24"/>
          <w:szCs w:val="24"/>
        </w:rPr>
      </w:pPr>
      <w:r w:rsidRPr="00911EDF">
        <w:rPr>
          <w:rFonts w:ascii="MinonPro-Regular" w:hAnsi="MinonPro-Regular"/>
          <w:sz w:val="24"/>
          <w:szCs w:val="24"/>
          <w:lang w:val="es-ES_tradnl"/>
        </w:rPr>
        <w:t>López Aguado</w:t>
      </w:r>
      <w:r>
        <w:rPr>
          <w:rFonts w:ascii="MinonPro-Regular" w:hAnsi="MinonPro-Regular"/>
          <w:sz w:val="24"/>
          <w:szCs w:val="24"/>
          <w:lang w:val="es-ES_tradnl"/>
        </w:rPr>
        <w:t xml:space="preserve">, </w:t>
      </w:r>
      <w:r w:rsidRPr="00911EDF">
        <w:rPr>
          <w:rFonts w:ascii="MinonPro-Regular" w:hAnsi="MinonPro-Regular"/>
          <w:sz w:val="24"/>
          <w:szCs w:val="24"/>
          <w:lang w:val="es-ES_tradnl"/>
        </w:rPr>
        <w:t>Francisco</w:t>
      </w:r>
      <w:r>
        <w:rPr>
          <w:rFonts w:ascii="MinonPro-Regular" w:hAnsi="MinonPro-Regular"/>
          <w:sz w:val="24"/>
          <w:szCs w:val="24"/>
          <w:lang w:val="es-ES_tradnl"/>
        </w:rPr>
        <w:t xml:space="preserve"> </w:t>
      </w:r>
      <w:r w:rsidRPr="00911EDF">
        <w:rPr>
          <w:rFonts w:ascii="MinonPro-Regular" w:hAnsi="MinonPro-Regular"/>
          <w:sz w:val="24"/>
          <w:szCs w:val="24"/>
          <w:lang w:val="es-ES_tradnl"/>
        </w:rPr>
        <w:t>(FSC-INSERTA)</w:t>
      </w:r>
    </w:p>
    <w:p w:rsidR="00D04B7D" w:rsidRPr="00881B3C" w:rsidRDefault="00D04B7D" w:rsidP="00D04B7D">
      <w:pPr>
        <w:pStyle w:val="Textonotapie"/>
        <w:rPr>
          <w:rFonts w:ascii="MinonPro-Regular" w:hAnsi="MinonPro-Regular"/>
          <w:sz w:val="24"/>
          <w:szCs w:val="24"/>
          <w:lang w:val="es-ES_tradnl"/>
        </w:rPr>
      </w:pPr>
      <w:r w:rsidRPr="00911EDF">
        <w:rPr>
          <w:rFonts w:ascii="MinonPro-Regular" w:hAnsi="MinonPro-Regular"/>
          <w:sz w:val="24"/>
          <w:szCs w:val="24"/>
          <w:lang w:val="es-ES_tradnl"/>
        </w:rPr>
        <w:t>López Sala</w:t>
      </w:r>
      <w:r>
        <w:rPr>
          <w:rFonts w:ascii="MinonPro-Regular" w:hAnsi="MinonPro-Regular"/>
          <w:sz w:val="24"/>
          <w:szCs w:val="24"/>
          <w:lang w:val="es-ES_tradnl"/>
        </w:rPr>
        <w:t xml:space="preserve">, </w:t>
      </w:r>
      <w:r w:rsidRPr="00911EDF">
        <w:rPr>
          <w:rFonts w:ascii="MinonPro-Regular" w:hAnsi="MinonPro-Regular"/>
          <w:sz w:val="24"/>
          <w:szCs w:val="24"/>
          <w:lang w:val="es-ES_tradnl"/>
        </w:rPr>
        <w:t>Maria Antonia (Generalitat de Catalunya)</w:t>
      </w:r>
    </w:p>
    <w:p w:rsidR="00D04B7D" w:rsidRDefault="00D04B7D" w:rsidP="00D04B7D">
      <w:pPr>
        <w:rPr>
          <w:rFonts w:ascii="MinonPro-Regular" w:hAnsi="MinonPro-Regular"/>
          <w:sz w:val="24"/>
          <w:szCs w:val="24"/>
        </w:rPr>
      </w:pPr>
      <w:r>
        <w:rPr>
          <w:rFonts w:ascii="MinonPro-Regular" w:hAnsi="MinonPro-Regular" w:hint="eastAsia"/>
          <w:sz w:val="24"/>
          <w:szCs w:val="24"/>
        </w:rPr>
        <w:t>Martín</w:t>
      </w:r>
      <w:r>
        <w:rPr>
          <w:rFonts w:ascii="MinonPro-Regular" w:hAnsi="MinonPro-Regular"/>
          <w:sz w:val="24"/>
          <w:szCs w:val="24"/>
        </w:rPr>
        <w:t>, Maria del Mar (ACECA)</w:t>
      </w:r>
    </w:p>
    <w:p w:rsidR="00D04B7D" w:rsidRPr="00D04B7D" w:rsidRDefault="00D04B7D" w:rsidP="00D04B7D">
      <w:pPr>
        <w:pStyle w:val="Textonotapie"/>
        <w:rPr>
          <w:rFonts w:ascii="MinonPro-Regular" w:hAnsi="MinonPro-Regular"/>
          <w:sz w:val="24"/>
          <w:szCs w:val="24"/>
          <w:lang w:val="es-ES_tradnl"/>
        </w:rPr>
      </w:pPr>
      <w:r w:rsidRPr="00D04B7D">
        <w:rPr>
          <w:rFonts w:ascii="MinonPro-Regular" w:hAnsi="MinonPro-Regular"/>
          <w:sz w:val="24"/>
          <w:szCs w:val="24"/>
          <w:lang w:val="es-ES_tradnl"/>
        </w:rPr>
        <w:t>Martín Checa, Elena (SPEE)</w:t>
      </w:r>
    </w:p>
    <w:p w:rsidR="00D04B7D" w:rsidRPr="00D04B7D" w:rsidRDefault="00D04B7D" w:rsidP="00D04B7D">
      <w:pPr>
        <w:pStyle w:val="Textonotapie"/>
        <w:rPr>
          <w:rFonts w:ascii="MinonPro-Regular" w:hAnsi="MinonPro-Regular"/>
          <w:sz w:val="24"/>
          <w:szCs w:val="24"/>
          <w:lang w:val="es-ES_tradnl"/>
        </w:rPr>
      </w:pPr>
      <w:r w:rsidRPr="00D04B7D">
        <w:rPr>
          <w:rFonts w:ascii="MinonPro-Regular" w:hAnsi="MinonPro-Regular"/>
          <w:sz w:val="24"/>
          <w:szCs w:val="24"/>
          <w:lang w:val="es-ES_tradnl"/>
        </w:rPr>
        <w:t>Martín Martín, Marta (NH Hoteles)</w:t>
      </w:r>
    </w:p>
    <w:p w:rsidR="00D04B7D" w:rsidRPr="00D04B7D" w:rsidRDefault="00D04B7D" w:rsidP="00D04B7D">
      <w:pPr>
        <w:rPr>
          <w:rFonts w:ascii="MinonPro-Regular" w:hAnsi="MinonPro-Regular"/>
          <w:sz w:val="24"/>
          <w:szCs w:val="24"/>
          <w:lang w:val="es-ES_tradnl"/>
        </w:rPr>
      </w:pPr>
      <w:r w:rsidRPr="00D04B7D">
        <w:rPr>
          <w:rFonts w:ascii="MinonPro-Regular" w:hAnsi="MinonPro-Regular"/>
          <w:sz w:val="24"/>
          <w:szCs w:val="24"/>
          <w:lang w:val="es-ES_tradnl"/>
        </w:rPr>
        <w:t>Martínez, Julio (MITON)</w:t>
      </w:r>
    </w:p>
    <w:p w:rsidR="00D04B7D" w:rsidRPr="00D04B7D" w:rsidRDefault="00D04B7D" w:rsidP="00D04B7D">
      <w:pPr>
        <w:rPr>
          <w:rFonts w:ascii="MinonPro-Regular" w:hAnsi="MinonPro-Regular"/>
          <w:sz w:val="24"/>
          <w:szCs w:val="24"/>
          <w:lang w:val="es-ES_tradnl"/>
        </w:rPr>
      </w:pPr>
      <w:r w:rsidRPr="00D04B7D">
        <w:rPr>
          <w:rFonts w:ascii="MinonPro-Regular" w:hAnsi="MinonPro-Regular"/>
          <w:sz w:val="24"/>
          <w:szCs w:val="24"/>
          <w:lang w:val="es-ES_tradnl"/>
        </w:rPr>
        <w:t>Meissner, Joachim (Fundación Eragintza)</w:t>
      </w:r>
    </w:p>
    <w:p w:rsidR="00D04B7D" w:rsidRPr="00D04B7D" w:rsidRDefault="00D04B7D" w:rsidP="00D04B7D">
      <w:pPr>
        <w:pStyle w:val="Textonotapie"/>
        <w:rPr>
          <w:rFonts w:ascii="MinonPro-Regular" w:hAnsi="MinonPro-Regular"/>
          <w:sz w:val="24"/>
          <w:szCs w:val="24"/>
          <w:lang w:val="es-ES_tradnl"/>
        </w:rPr>
      </w:pPr>
      <w:r w:rsidRPr="00D04B7D">
        <w:rPr>
          <w:rFonts w:ascii="MinonPro-Regular" w:hAnsi="MinonPro-Regular"/>
          <w:sz w:val="24"/>
          <w:szCs w:val="24"/>
          <w:lang w:val="es-ES_tradnl"/>
        </w:rPr>
        <w:t>Mendoza, David (Abogado consultor discapacidad)</w:t>
      </w:r>
    </w:p>
    <w:p w:rsidR="00D04B7D" w:rsidRPr="00D04B7D" w:rsidRDefault="00D04B7D" w:rsidP="00D04B7D">
      <w:pPr>
        <w:rPr>
          <w:rFonts w:ascii="MinonPro-Regular" w:hAnsi="MinonPro-Regular"/>
          <w:sz w:val="24"/>
          <w:szCs w:val="24"/>
          <w:lang w:val="es-ES_tradnl"/>
        </w:rPr>
      </w:pPr>
      <w:r w:rsidRPr="00D04B7D">
        <w:rPr>
          <w:rFonts w:ascii="MinonPro-Regular" w:hAnsi="MinonPro-Regular"/>
          <w:sz w:val="24"/>
          <w:szCs w:val="24"/>
          <w:lang w:val="es-ES_tradnl"/>
        </w:rPr>
        <w:t>Mora, Vicente (Ministerio de Trabajo e Inmigración)</w:t>
      </w:r>
    </w:p>
    <w:p w:rsidR="00D04B7D" w:rsidRPr="00D04B7D" w:rsidRDefault="00D04B7D" w:rsidP="00D04B7D">
      <w:pPr>
        <w:rPr>
          <w:rFonts w:ascii="MinonPro-Regular" w:hAnsi="MinonPro-Regular"/>
          <w:sz w:val="24"/>
          <w:szCs w:val="24"/>
        </w:rPr>
      </w:pPr>
      <w:r w:rsidRPr="00D04B7D">
        <w:rPr>
          <w:rFonts w:ascii="MinonPro-Regular" w:hAnsi="MinonPro-Regular"/>
          <w:sz w:val="24"/>
          <w:szCs w:val="24"/>
        </w:rPr>
        <w:t>Moratalla, Pablo (EHLABE)</w:t>
      </w:r>
    </w:p>
    <w:p w:rsidR="00D04B7D" w:rsidRPr="00D04B7D" w:rsidRDefault="00D04B7D" w:rsidP="00D04B7D">
      <w:pPr>
        <w:rPr>
          <w:rFonts w:ascii="MinonPro-Regular" w:hAnsi="MinonPro-Regular"/>
          <w:sz w:val="24"/>
          <w:szCs w:val="24"/>
          <w:lang w:val="es-ES_tradnl"/>
        </w:rPr>
      </w:pPr>
      <w:r w:rsidRPr="00D04B7D">
        <w:rPr>
          <w:rFonts w:ascii="MinonPro-Regular" w:hAnsi="MinonPro-Regular"/>
          <w:sz w:val="24"/>
          <w:szCs w:val="24"/>
          <w:lang w:val="es-ES_tradnl"/>
        </w:rPr>
        <w:t>Moreno, Daniel (CCOO)</w:t>
      </w:r>
    </w:p>
    <w:p w:rsidR="00D04B7D" w:rsidRPr="00D04B7D" w:rsidRDefault="00D04B7D" w:rsidP="00D04B7D">
      <w:pPr>
        <w:rPr>
          <w:rFonts w:ascii="MinonPro-Regular" w:hAnsi="MinonPro-Regular"/>
          <w:sz w:val="24"/>
          <w:szCs w:val="24"/>
          <w:lang w:val="es-ES_tradnl"/>
        </w:rPr>
      </w:pPr>
      <w:r w:rsidRPr="00D04B7D">
        <w:rPr>
          <w:rFonts w:ascii="MinonPro-Regular" w:hAnsi="MinonPro-Regular"/>
          <w:sz w:val="24"/>
          <w:szCs w:val="24"/>
          <w:lang w:val="es-ES_tradnl"/>
        </w:rPr>
        <w:t>Ordóñez, Jesús Mª (Lanbide)</w:t>
      </w:r>
    </w:p>
    <w:p w:rsidR="00D04B7D" w:rsidRPr="00D04B7D" w:rsidRDefault="00D04B7D" w:rsidP="00D04B7D">
      <w:pPr>
        <w:rPr>
          <w:rFonts w:ascii="MinonPro-Regular" w:hAnsi="MinonPro-Regular"/>
          <w:sz w:val="24"/>
          <w:szCs w:val="24"/>
        </w:rPr>
      </w:pPr>
      <w:r w:rsidRPr="00D04B7D">
        <w:rPr>
          <w:rFonts w:ascii="MinonPro-Regular" w:hAnsi="MinonPro-Regular"/>
          <w:sz w:val="24"/>
          <w:szCs w:val="24"/>
        </w:rPr>
        <w:t>Pérez Cayuela, Elena (FUNDOSA)</w:t>
      </w:r>
    </w:p>
    <w:p w:rsidR="00D04B7D" w:rsidRPr="00D04B7D" w:rsidRDefault="00D04B7D" w:rsidP="00D04B7D">
      <w:pPr>
        <w:pStyle w:val="Textonotapie"/>
        <w:rPr>
          <w:rFonts w:ascii="MinonPro-Regular" w:hAnsi="MinonPro-Regular"/>
          <w:sz w:val="24"/>
          <w:szCs w:val="24"/>
          <w:lang w:val="es-ES_tradnl"/>
        </w:rPr>
      </w:pPr>
      <w:r w:rsidRPr="00D04B7D">
        <w:rPr>
          <w:rFonts w:ascii="MinonPro-Regular" w:hAnsi="MinonPro-Regular"/>
          <w:sz w:val="24"/>
          <w:szCs w:val="24"/>
          <w:lang w:val="es-ES_tradnl"/>
        </w:rPr>
        <w:t>Pérez Plano, José (Tasubinsa)</w:t>
      </w:r>
    </w:p>
    <w:p w:rsidR="00D04B7D" w:rsidRPr="00D04B7D" w:rsidRDefault="00D04B7D" w:rsidP="00D04B7D">
      <w:pPr>
        <w:pStyle w:val="Textonotapie"/>
        <w:rPr>
          <w:rFonts w:ascii="MinonPro-Regular" w:hAnsi="MinonPro-Regular"/>
          <w:sz w:val="24"/>
          <w:szCs w:val="24"/>
          <w:lang w:val="es-ES_tradnl"/>
        </w:rPr>
      </w:pPr>
      <w:r w:rsidRPr="00D04B7D">
        <w:rPr>
          <w:rFonts w:ascii="MinonPro-Regular" w:hAnsi="MinonPro-Regular"/>
          <w:sz w:val="24"/>
          <w:szCs w:val="24"/>
          <w:lang w:val="es-ES_tradnl"/>
        </w:rPr>
        <w:t>Pujol, Mª José (ICARIA)</w:t>
      </w:r>
    </w:p>
    <w:p w:rsidR="00D04B7D" w:rsidRPr="00D04B7D" w:rsidRDefault="00D04B7D" w:rsidP="00D04B7D">
      <w:pPr>
        <w:pStyle w:val="Textonotapie"/>
        <w:rPr>
          <w:rFonts w:ascii="MinonPro-Regular" w:hAnsi="MinonPro-Regular"/>
          <w:sz w:val="24"/>
          <w:szCs w:val="24"/>
          <w:lang w:val="es-ES_tradnl"/>
        </w:rPr>
      </w:pPr>
      <w:r w:rsidRPr="00D04B7D">
        <w:rPr>
          <w:rFonts w:ascii="MinonPro-Regular" w:hAnsi="MinonPro-Regular"/>
          <w:sz w:val="24"/>
          <w:szCs w:val="24"/>
          <w:lang w:val="es-ES_tradnl"/>
        </w:rPr>
        <w:t>Regalado, Teresa (Comunidad de Madrid)</w:t>
      </w:r>
    </w:p>
    <w:p w:rsidR="00D04B7D" w:rsidRPr="00D04B7D" w:rsidRDefault="00D04B7D" w:rsidP="00D04B7D">
      <w:pPr>
        <w:rPr>
          <w:rFonts w:ascii="MinonPro-Regular" w:hAnsi="MinonPro-Regular"/>
          <w:sz w:val="24"/>
          <w:szCs w:val="24"/>
        </w:rPr>
      </w:pPr>
      <w:r w:rsidRPr="00D04B7D">
        <w:rPr>
          <w:rFonts w:ascii="MinonPro-Regular" w:hAnsi="MinonPro-Regular"/>
          <w:sz w:val="24"/>
          <w:szCs w:val="24"/>
        </w:rPr>
        <w:t>Riera, Albert (CEE La Fageda)</w:t>
      </w:r>
    </w:p>
    <w:p w:rsidR="00D04B7D" w:rsidRPr="00D04B7D" w:rsidRDefault="00D04B7D" w:rsidP="00D04B7D">
      <w:pPr>
        <w:rPr>
          <w:rFonts w:ascii="MinonPro-Regular" w:hAnsi="MinonPro-Regular"/>
          <w:sz w:val="24"/>
          <w:szCs w:val="24"/>
        </w:rPr>
      </w:pPr>
      <w:r w:rsidRPr="00D04B7D">
        <w:rPr>
          <w:rFonts w:ascii="MinonPro-Regular" w:hAnsi="MinonPro-Regular"/>
          <w:sz w:val="24"/>
          <w:szCs w:val="24"/>
        </w:rPr>
        <w:t>Rodríguez, Ignacio (COGAMI, CEE Trameve)</w:t>
      </w:r>
    </w:p>
    <w:p w:rsidR="00D04B7D" w:rsidRPr="00D04B7D" w:rsidRDefault="00D04B7D" w:rsidP="00D04B7D">
      <w:pPr>
        <w:pStyle w:val="Textonotapie"/>
        <w:rPr>
          <w:rFonts w:ascii="MinonPro-Regular" w:hAnsi="MinonPro-Regular"/>
          <w:sz w:val="24"/>
          <w:szCs w:val="24"/>
          <w:lang w:val="es-ES_tradnl"/>
        </w:rPr>
      </w:pPr>
      <w:r w:rsidRPr="00D04B7D">
        <w:rPr>
          <w:rFonts w:ascii="MinonPro-Regular" w:hAnsi="MinonPro-Regular"/>
          <w:sz w:val="24"/>
          <w:szCs w:val="24"/>
          <w:lang w:val="es-ES_tradnl"/>
        </w:rPr>
        <w:t>Rodríguez, María Isabel (FEAFES)</w:t>
      </w:r>
    </w:p>
    <w:p w:rsidR="00D04B7D" w:rsidRPr="00D04B7D" w:rsidRDefault="00D04B7D" w:rsidP="00D04B7D">
      <w:pPr>
        <w:rPr>
          <w:rFonts w:ascii="MinonPro-Regular" w:hAnsi="MinonPro-Regular"/>
          <w:sz w:val="24"/>
          <w:szCs w:val="24"/>
        </w:rPr>
      </w:pPr>
      <w:r w:rsidRPr="00D04B7D">
        <w:rPr>
          <w:rFonts w:ascii="MinonPro-Regular" w:hAnsi="MinonPro-Regular"/>
          <w:sz w:val="24"/>
          <w:szCs w:val="24"/>
        </w:rPr>
        <w:t>Rodríguez Cabrero, Gregorio (Universidad de Alcalá de Henares)</w:t>
      </w:r>
    </w:p>
    <w:p w:rsidR="00D04B7D" w:rsidRDefault="00D04B7D" w:rsidP="00D04B7D">
      <w:pPr>
        <w:pStyle w:val="Textonotapie"/>
        <w:rPr>
          <w:rFonts w:ascii="MinonPro-Regular" w:hAnsi="MinonPro-Regular"/>
          <w:sz w:val="24"/>
          <w:szCs w:val="24"/>
          <w:lang w:val="es-ES_tradnl"/>
        </w:rPr>
      </w:pPr>
      <w:r w:rsidRPr="00D04B7D">
        <w:rPr>
          <w:rFonts w:ascii="MinonPro-Regular" w:hAnsi="MinonPro-Regular"/>
          <w:sz w:val="24"/>
          <w:szCs w:val="24"/>
          <w:lang w:val="es-ES_tradnl"/>
        </w:rPr>
        <w:t>Rojas Arca, Gorka (Observatorio Vasco</w:t>
      </w:r>
      <w:r w:rsidRPr="00911EDF">
        <w:rPr>
          <w:rFonts w:ascii="MinonPro-Regular" w:hAnsi="MinonPro-Regular"/>
          <w:sz w:val="24"/>
          <w:szCs w:val="24"/>
          <w:lang w:val="es-ES_tradnl"/>
        </w:rPr>
        <w:t xml:space="preserve"> de Economía Social)</w:t>
      </w:r>
    </w:p>
    <w:p w:rsidR="00D04B7D" w:rsidRDefault="00D04B7D" w:rsidP="00D04B7D">
      <w:pPr>
        <w:pStyle w:val="Textonotapie"/>
        <w:rPr>
          <w:rFonts w:ascii="MinonPro-Regular" w:hAnsi="MinonPro-Regular"/>
          <w:sz w:val="24"/>
          <w:szCs w:val="24"/>
          <w:lang w:val="es-ES_tradnl"/>
        </w:rPr>
      </w:pPr>
      <w:r w:rsidRPr="00911EDF">
        <w:rPr>
          <w:rFonts w:ascii="MinonPro-Regular" w:hAnsi="MinonPro-Regular"/>
          <w:sz w:val="24"/>
          <w:szCs w:val="24"/>
          <w:lang w:val="es-ES_tradnl"/>
        </w:rPr>
        <w:t>Ruano</w:t>
      </w:r>
      <w:r>
        <w:rPr>
          <w:rFonts w:ascii="MinonPro-Regular" w:hAnsi="MinonPro-Regular"/>
          <w:sz w:val="24"/>
          <w:szCs w:val="24"/>
          <w:lang w:val="es-ES_tradnl"/>
        </w:rPr>
        <w:t xml:space="preserve">, </w:t>
      </w:r>
      <w:r w:rsidRPr="00911EDF">
        <w:rPr>
          <w:rFonts w:ascii="MinonPro-Regular" w:hAnsi="MinonPro-Regular"/>
          <w:sz w:val="24"/>
          <w:szCs w:val="24"/>
          <w:lang w:val="es-ES_tradnl"/>
        </w:rPr>
        <w:t>Rafael</w:t>
      </w:r>
      <w:r>
        <w:rPr>
          <w:rFonts w:ascii="MinonPro-Regular" w:hAnsi="MinonPro-Regular"/>
          <w:sz w:val="24"/>
          <w:szCs w:val="24"/>
          <w:lang w:val="es-ES_tradnl"/>
        </w:rPr>
        <w:t xml:space="preserve"> </w:t>
      </w:r>
      <w:r w:rsidRPr="00911EDF">
        <w:rPr>
          <w:rFonts w:ascii="MinonPro-Regular" w:hAnsi="MinonPro-Regular"/>
          <w:sz w:val="24"/>
          <w:szCs w:val="24"/>
          <w:lang w:val="es-ES_tradnl"/>
        </w:rPr>
        <w:t>(FECETC)</w:t>
      </w:r>
    </w:p>
    <w:p w:rsidR="00D04B7D" w:rsidRDefault="00D04B7D" w:rsidP="00D04B7D">
      <w:pPr>
        <w:pStyle w:val="Textonotapie"/>
        <w:rPr>
          <w:rFonts w:ascii="MinonPro-Regular" w:hAnsi="MinonPro-Regular"/>
          <w:sz w:val="24"/>
          <w:szCs w:val="24"/>
          <w:lang w:val="es-ES_tradnl"/>
        </w:rPr>
      </w:pPr>
      <w:r>
        <w:rPr>
          <w:rFonts w:ascii="MinonPro-Regular" w:hAnsi="MinonPro-Regular"/>
          <w:sz w:val="24"/>
          <w:szCs w:val="24"/>
          <w:lang w:val="es-ES_tradnl"/>
        </w:rPr>
        <w:t xml:space="preserve">Sánchez, Mar </w:t>
      </w:r>
      <w:r w:rsidRPr="00911EDF">
        <w:rPr>
          <w:rFonts w:ascii="MinonPro-Regular" w:hAnsi="MinonPro-Regular"/>
          <w:sz w:val="24"/>
          <w:szCs w:val="24"/>
          <w:lang w:val="es-ES_tradnl"/>
        </w:rPr>
        <w:t>(Grupo Fundosa)</w:t>
      </w:r>
    </w:p>
    <w:p w:rsidR="00D04B7D" w:rsidRDefault="00D04B7D" w:rsidP="00D04B7D">
      <w:pPr>
        <w:pStyle w:val="Textonotapie"/>
        <w:rPr>
          <w:rFonts w:ascii="MinonPro-Regular" w:hAnsi="MinonPro-Regular"/>
          <w:sz w:val="24"/>
          <w:szCs w:val="24"/>
          <w:lang w:val="es-ES_tradnl"/>
        </w:rPr>
      </w:pPr>
      <w:r w:rsidRPr="00911EDF">
        <w:rPr>
          <w:rFonts w:ascii="MinonPro-Regular" w:hAnsi="MinonPro-Regular"/>
          <w:sz w:val="24"/>
          <w:szCs w:val="24"/>
          <w:lang w:val="es-ES_tradnl"/>
        </w:rPr>
        <w:t>Sánchez Meynial</w:t>
      </w:r>
      <w:r>
        <w:rPr>
          <w:rFonts w:ascii="MinonPro-Regular" w:hAnsi="MinonPro-Regular"/>
          <w:sz w:val="24"/>
          <w:szCs w:val="24"/>
          <w:lang w:val="es-ES_tradnl"/>
        </w:rPr>
        <w:t xml:space="preserve">, </w:t>
      </w:r>
      <w:r w:rsidRPr="00911EDF">
        <w:rPr>
          <w:rFonts w:ascii="MinonPro-Regular" w:hAnsi="MinonPro-Regular"/>
          <w:sz w:val="24"/>
          <w:szCs w:val="24"/>
          <w:lang w:val="es-ES_tradnl"/>
        </w:rPr>
        <w:t>Alberto</w:t>
      </w:r>
      <w:r>
        <w:rPr>
          <w:rFonts w:ascii="MinonPro-Regular" w:hAnsi="MinonPro-Regular"/>
          <w:sz w:val="24"/>
          <w:szCs w:val="24"/>
          <w:lang w:val="es-ES_tradnl"/>
        </w:rPr>
        <w:t xml:space="preserve"> </w:t>
      </w:r>
      <w:r w:rsidRPr="00911EDF">
        <w:rPr>
          <w:rFonts w:ascii="MinonPro-Regular" w:hAnsi="MinonPro-Regular"/>
          <w:sz w:val="24"/>
          <w:szCs w:val="24"/>
          <w:lang w:val="es-ES_tradnl"/>
        </w:rPr>
        <w:t>(Ibermática)</w:t>
      </w:r>
    </w:p>
    <w:p w:rsidR="00D04B7D" w:rsidRDefault="00D04B7D" w:rsidP="00D04B7D">
      <w:pPr>
        <w:rPr>
          <w:rFonts w:ascii="MinonPro-Regular" w:hAnsi="MinonPro-Regular"/>
          <w:sz w:val="24"/>
          <w:szCs w:val="24"/>
        </w:rPr>
      </w:pPr>
      <w:r>
        <w:rPr>
          <w:rFonts w:ascii="MinonPro-Regular" w:hAnsi="MinonPro-Regular"/>
          <w:sz w:val="24"/>
          <w:szCs w:val="24"/>
        </w:rPr>
        <w:t xml:space="preserve">Sáez Cruz, </w:t>
      </w:r>
      <w:r w:rsidRPr="00911EDF">
        <w:rPr>
          <w:rFonts w:ascii="MinonPro-Regular" w:hAnsi="MinonPro-Regular"/>
          <w:sz w:val="24"/>
          <w:szCs w:val="24"/>
        </w:rPr>
        <w:t>Pedro</w:t>
      </w:r>
      <w:r>
        <w:rPr>
          <w:rFonts w:ascii="MinonPro-Regular" w:hAnsi="MinonPro-Regular"/>
          <w:sz w:val="24"/>
          <w:szCs w:val="24"/>
        </w:rPr>
        <w:t xml:space="preserve"> (AMIAB)</w:t>
      </w:r>
    </w:p>
    <w:p w:rsidR="00D04B7D" w:rsidRDefault="00D04B7D" w:rsidP="00D04B7D">
      <w:pPr>
        <w:pStyle w:val="Textonotapie"/>
        <w:rPr>
          <w:rFonts w:ascii="MinonPro-Regular" w:hAnsi="MinonPro-Regular"/>
          <w:sz w:val="24"/>
          <w:szCs w:val="24"/>
          <w:lang w:val="es-ES_tradnl"/>
        </w:rPr>
      </w:pPr>
      <w:r w:rsidRPr="00911EDF">
        <w:rPr>
          <w:rFonts w:ascii="MinonPro-Regular" w:hAnsi="MinonPro-Regular"/>
          <w:sz w:val="24"/>
          <w:szCs w:val="24"/>
          <w:lang w:val="es-ES_tradnl"/>
        </w:rPr>
        <w:t>Sanz</w:t>
      </w:r>
      <w:r>
        <w:rPr>
          <w:rFonts w:ascii="MinonPro-Regular" w:hAnsi="MinonPro-Regular"/>
          <w:sz w:val="24"/>
          <w:szCs w:val="24"/>
          <w:lang w:val="es-ES_tradnl"/>
        </w:rPr>
        <w:t xml:space="preserve">, </w:t>
      </w:r>
      <w:r w:rsidRPr="00911EDF">
        <w:rPr>
          <w:rFonts w:ascii="MinonPro-Regular" w:hAnsi="MinonPro-Regular"/>
          <w:sz w:val="24"/>
          <w:szCs w:val="24"/>
          <w:lang w:val="es-ES_tradnl"/>
        </w:rPr>
        <w:t>José Félix</w:t>
      </w:r>
      <w:r>
        <w:rPr>
          <w:rFonts w:ascii="MinonPro-Regular" w:hAnsi="MinonPro-Regular"/>
          <w:sz w:val="24"/>
          <w:szCs w:val="24"/>
          <w:lang w:val="es-ES_tradnl"/>
        </w:rPr>
        <w:t xml:space="preserve"> </w:t>
      </w:r>
      <w:r w:rsidRPr="00911EDF">
        <w:rPr>
          <w:rFonts w:ascii="MinonPro-Regular" w:hAnsi="MinonPro-Regular"/>
          <w:sz w:val="24"/>
          <w:szCs w:val="24"/>
          <w:lang w:val="es-ES_tradnl"/>
        </w:rPr>
        <w:t>(Fundación Polibea)</w:t>
      </w:r>
    </w:p>
    <w:p w:rsidR="00D04B7D" w:rsidRDefault="00D04B7D" w:rsidP="00D04B7D">
      <w:pPr>
        <w:rPr>
          <w:rFonts w:ascii="MinonPro-Regular" w:hAnsi="MinonPro-Regular"/>
          <w:sz w:val="24"/>
          <w:szCs w:val="24"/>
          <w:lang w:val="es-ES_tradnl"/>
        </w:rPr>
      </w:pPr>
      <w:r w:rsidRPr="00911EDF">
        <w:rPr>
          <w:rFonts w:ascii="MinonPro-Regular" w:hAnsi="MinonPro-Regular"/>
          <w:sz w:val="24"/>
          <w:szCs w:val="24"/>
          <w:lang w:val="es-ES_tradnl"/>
        </w:rPr>
        <w:t>Sestafe</w:t>
      </w:r>
      <w:r>
        <w:rPr>
          <w:rFonts w:ascii="MinonPro-Regular" w:hAnsi="MinonPro-Regular"/>
          <w:sz w:val="24"/>
          <w:szCs w:val="24"/>
          <w:lang w:val="es-ES_tradnl"/>
        </w:rPr>
        <w:t xml:space="preserve">, </w:t>
      </w:r>
      <w:r w:rsidRPr="00911EDF">
        <w:rPr>
          <w:rFonts w:ascii="MinonPro-Regular" w:hAnsi="MinonPro-Regular"/>
          <w:sz w:val="24"/>
          <w:szCs w:val="24"/>
          <w:lang w:val="es-ES_tradnl"/>
        </w:rPr>
        <w:t>Patxi</w:t>
      </w:r>
      <w:r>
        <w:rPr>
          <w:rFonts w:ascii="MinonPro-Regular" w:hAnsi="MinonPro-Regular"/>
          <w:sz w:val="24"/>
          <w:szCs w:val="24"/>
          <w:lang w:val="es-ES_tradnl"/>
        </w:rPr>
        <w:t xml:space="preserve"> </w:t>
      </w:r>
      <w:r w:rsidRPr="00911EDF">
        <w:rPr>
          <w:rFonts w:ascii="MinonPro-Regular" w:hAnsi="MinonPro-Regular"/>
          <w:sz w:val="24"/>
          <w:szCs w:val="24"/>
          <w:lang w:val="es-ES_tradnl"/>
        </w:rPr>
        <w:t>(ASPACE)</w:t>
      </w:r>
    </w:p>
    <w:p w:rsidR="00D04B7D" w:rsidRDefault="00D04B7D" w:rsidP="00D04B7D">
      <w:pPr>
        <w:rPr>
          <w:rFonts w:ascii="MinonPro-Regular" w:hAnsi="MinonPro-Regular"/>
          <w:sz w:val="24"/>
          <w:szCs w:val="24"/>
        </w:rPr>
      </w:pPr>
      <w:r>
        <w:rPr>
          <w:rFonts w:ascii="MinonPro-Regular" w:hAnsi="MinonPro-Regular"/>
          <w:sz w:val="24"/>
          <w:szCs w:val="24"/>
        </w:rPr>
        <w:t>Solanellas,  Josep María (FECETC)</w:t>
      </w:r>
    </w:p>
    <w:p w:rsidR="00D04B7D" w:rsidRDefault="00D04B7D" w:rsidP="00D04B7D">
      <w:pPr>
        <w:pStyle w:val="Textonotapie"/>
        <w:rPr>
          <w:rFonts w:ascii="MinonPro-Regular" w:hAnsi="MinonPro-Regular"/>
          <w:sz w:val="24"/>
          <w:szCs w:val="24"/>
          <w:lang w:val="es-ES_tradnl"/>
        </w:rPr>
      </w:pPr>
      <w:r w:rsidRPr="00911EDF">
        <w:rPr>
          <w:rFonts w:ascii="MinonPro-Regular" w:hAnsi="MinonPro-Regular"/>
          <w:sz w:val="24"/>
          <w:szCs w:val="24"/>
          <w:lang w:val="es-ES_tradnl"/>
        </w:rPr>
        <w:t>Staatsmann</w:t>
      </w:r>
      <w:r>
        <w:rPr>
          <w:rFonts w:ascii="MinonPro-Regular" w:hAnsi="MinonPro-Regular"/>
          <w:sz w:val="24"/>
          <w:szCs w:val="24"/>
          <w:lang w:val="es-ES_tradnl"/>
        </w:rPr>
        <w:t xml:space="preserve">, </w:t>
      </w:r>
      <w:r w:rsidRPr="00911EDF">
        <w:rPr>
          <w:rFonts w:ascii="MinonPro-Regular" w:hAnsi="MinonPro-Regular"/>
          <w:sz w:val="24"/>
          <w:szCs w:val="24"/>
          <w:lang w:val="es-ES_tradnl"/>
        </w:rPr>
        <w:t>Luisa</w:t>
      </w:r>
      <w:r>
        <w:rPr>
          <w:rFonts w:ascii="MinonPro-Regular" w:hAnsi="MinonPro-Regular"/>
          <w:sz w:val="24"/>
          <w:szCs w:val="24"/>
          <w:lang w:val="es-ES_tradnl"/>
        </w:rPr>
        <w:t xml:space="preserve"> (</w:t>
      </w:r>
      <w:r w:rsidRPr="00911EDF">
        <w:rPr>
          <w:rFonts w:ascii="MinonPro-Regular" w:hAnsi="MinonPro-Regular"/>
          <w:sz w:val="24"/>
          <w:szCs w:val="24"/>
          <w:lang w:val="es-ES_tradnl"/>
        </w:rPr>
        <w:t>CCOO</w:t>
      </w:r>
      <w:r>
        <w:rPr>
          <w:rFonts w:ascii="MinonPro-Regular" w:hAnsi="MinonPro-Regular"/>
          <w:sz w:val="24"/>
          <w:szCs w:val="24"/>
          <w:lang w:val="es-ES_tradnl"/>
        </w:rPr>
        <w:t>)</w:t>
      </w:r>
    </w:p>
    <w:p w:rsidR="00D04B7D" w:rsidRDefault="00D04B7D" w:rsidP="00D04B7D">
      <w:pPr>
        <w:pStyle w:val="Textonotapie"/>
        <w:rPr>
          <w:rFonts w:ascii="MinonPro-Regular" w:hAnsi="MinonPro-Regular"/>
          <w:sz w:val="24"/>
          <w:szCs w:val="24"/>
          <w:lang w:val="es-ES_tradnl"/>
        </w:rPr>
      </w:pPr>
      <w:r w:rsidRPr="00911EDF">
        <w:rPr>
          <w:rFonts w:ascii="MinonPro-Regular" w:hAnsi="MinonPro-Regular"/>
          <w:sz w:val="24"/>
          <w:szCs w:val="24"/>
          <w:lang w:val="es-ES_tradnl"/>
        </w:rPr>
        <w:t>Tacons</w:t>
      </w:r>
      <w:r>
        <w:rPr>
          <w:rFonts w:ascii="MinonPro-Regular" w:hAnsi="MinonPro-Regular"/>
          <w:sz w:val="24"/>
          <w:szCs w:val="24"/>
          <w:lang w:val="es-ES_tradnl"/>
        </w:rPr>
        <w:t xml:space="preserve">, </w:t>
      </w:r>
      <w:r w:rsidRPr="00911EDF">
        <w:rPr>
          <w:rFonts w:ascii="MinonPro-Regular" w:hAnsi="MinonPro-Regular"/>
          <w:sz w:val="24"/>
          <w:szCs w:val="24"/>
          <w:lang w:val="es-ES_tradnl"/>
        </w:rPr>
        <w:t>Leandro</w:t>
      </w:r>
      <w:r>
        <w:rPr>
          <w:rFonts w:ascii="MinonPro-Regular" w:hAnsi="MinonPro-Regular"/>
          <w:sz w:val="24"/>
          <w:szCs w:val="24"/>
          <w:lang w:val="es-ES_tradnl"/>
        </w:rPr>
        <w:t xml:space="preserve"> </w:t>
      </w:r>
      <w:r w:rsidRPr="00911EDF">
        <w:rPr>
          <w:rFonts w:ascii="MinonPro-Regular" w:hAnsi="MinonPro-Regular"/>
          <w:sz w:val="24"/>
          <w:szCs w:val="24"/>
          <w:lang w:val="es-ES_tradnl"/>
        </w:rPr>
        <w:t>(AMMFEINA)</w:t>
      </w:r>
    </w:p>
    <w:p w:rsidR="00D04B7D" w:rsidRDefault="00D04B7D" w:rsidP="00D04B7D">
      <w:pPr>
        <w:rPr>
          <w:rFonts w:ascii="MinonPro-Regular" w:hAnsi="MinonPro-Regular"/>
          <w:sz w:val="24"/>
          <w:szCs w:val="24"/>
        </w:rPr>
      </w:pPr>
      <w:r w:rsidRPr="00911EDF">
        <w:rPr>
          <w:rFonts w:ascii="MinonPro-Regular" w:hAnsi="MinonPro-Regular"/>
          <w:sz w:val="24"/>
          <w:szCs w:val="24"/>
        </w:rPr>
        <w:t>Urríes, Francisco de Borja</w:t>
      </w:r>
      <w:r>
        <w:rPr>
          <w:rFonts w:ascii="MinonPro-Regular" w:hAnsi="MinonPro-Regular"/>
          <w:sz w:val="24"/>
          <w:szCs w:val="24"/>
        </w:rPr>
        <w:t xml:space="preserve"> (Universidad de Salamanca. INICO)</w:t>
      </w:r>
    </w:p>
    <w:p w:rsidR="00B8748D" w:rsidRDefault="00D04B7D" w:rsidP="00D04B7D">
      <w:pPr>
        <w:rPr>
          <w:rFonts w:ascii="MinonPro-Regular" w:hAnsi="MinonPro-Regular"/>
          <w:sz w:val="24"/>
          <w:szCs w:val="24"/>
        </w:rPr>
      </w:pPr>
      <w:r w:rsidRPr="00911EDF">
        <w:rPr>
          <w:rFonts w:ascii="MinonPro-Regular" w:hAnsi="MinonPro-Regular"/>
          <w:sz w:val="24"/>
          <w:szCs w:val="24"/>
        </w:rPr>
        <w:t>V</w:t>
      </w:r>
      <w:r>
        <w:rPr>
          <w:rFonts w:ascii="MinonPro-Regular" w:hAnsi="MinonPro-Regular"/>
          <w:sz w:val="24"/>
          <w:szCs w:val="24"/>
        </w:rPr>
        <w:t>erdugo Alonso, Miguel Ángel (Universidad de Salamanca. INICO)</w:t>
      </w:r>
    </w:p>
    <w:p w:rsidR="00B8748D" w:rsidRDefault="00B8748D" w:rsidP="00D04B7D">
      <w:pPr>
        <w:rPr>
          <w:rFonts w:ascii="MinonPro-Regular" w:hAnsi="MinonPro-Regular"/>
          <w:sz w:val="24"/>
          <w:szCs w:val="24"/>
        </w:rPr>
      </w:pPr>
    </w:p>
    <w:p w:rsidR="00B8748D" w:rsidRPr="00D04B7D" w:rsidRDefault="00B8748D" w:rsidP="00D04B7D">
      <w:pPr>
        <w:rPr>
          <w:rFonts w:ascii="MinonPro-Regular" w:hAnsi="MinonPro-Regular"/>
          <w:sz w:val="24"/>
          <w:szCs w:val="24"/>
        </w:rPr>
      </w:pPr>
      <w:r>
        <w:rPr>
          <w:rFonts w:ascii="MinonPro-Regular" w:hAnsi="MinonPro-Regular"/>
          <w:sz w:val="24"/>
          <w:szCs w:val="24"/>
        </w:rPr>
        <w:t xml:space="preserve">Queremos asimismo agradecer sus aportaciones a las 91 personas empleadas de centros especiales de empleo que accedieron a ser entrevistados durante la elaboración de este informe. </w:t>
      </w:r>
    </w:p>
    <w:p w:rsidR="00F61DE8" w:rsidRDefault="00F61DE8">
      <w:pPr>
        <w:rPr>
          <w:lang w:val="es-ES_tradnl"/>
        </w:rPr>
      </w:pPr>
    </w:p>
    <w:p w:rsidR="00F61DE8" w:rsidRDefault="00F61DE8">
      <w:pPr>
        <w:pStyle w:val="Textoindependiente"/>
        <w:rPr>
          <w:lang w:val="es-ES_tradnl"/>
        </w:rPr>
      </w:pPr>
    </w:p>
    <w:p w:rsidR="00F61DE8" w:rsidRDefault="00F61DE8">
      <w:pPr>
        <w:pStyle w:val="Textoindependiente"/>
        <w:rPr>
          <w:lang w:val="es-ES_tradnl"/>
        </w:rPr>
      </w:pPr>
    </w:p>
    <w:p w:rsidR="00E2336B" w:rsidRPr="00EA0C09" w:rsidRDefault="00E2336B" w:rsidP="0007541A">
      <w:pPr>
        <w:pStyle w:val="Ttulo2"/>
        <w:numPr>
          <w:ilvl w:val="1"/>
          <w:numId w:val="3"/>
        </w:numPr>
        <w:ind w:left="0"/>
        <w:rPr>
          <w:rFonts w:ascii="MinionPro-Regular" w:hAnsi="MinionPro-Regular"/>
          <w:lang w:val="es-ES_tradnl"/>
        </w:rPr>
      </w:pPr>
      <w:bookmarkStart w:id="604" w:name="_Toc352773626"/>
      <w:r w:rsidRPr="00EA0C09">
        <w:rPr>
          <w:rFonts w:ascii="MinionPro-Regular" w:hAnsi="MinionPro-Regular"/>
          <w:lang w:val="es-ES_tradnl"/>
        </w:rPr>
        <w:lastRenderedPageBreak/>
        <w:t>Anexo I: Entrevistas a expertos del sector</w:t>
      </w:r>
      <w:bookmarkEnd w:id="604"/>
    </w:p>
    <w:p w:rsidR="00E2336B" w:rsidRPr="00EA0C09" w:rsidRDefault="00E2336B" w:rsidP="00133660">
      <w:pPr>
        <w:pStyle w:val="Textoindependiente"/>
        <w:rPr>
          <w:rFonts w:ascii="MinionPro-Regular" w:hAnsi="MinionPro-Regular"/>
          <w:lang w:val="es-ES_tradnl"/>
        </w:rPr>
      </w:pPr>
    </w:p>
    <w:p w:rsidR="00E2336B" w:rsidRDefault="00E2336B" w:rsidP="00133660">
      <w:pPr>
        <w:pStyle w:val="Textoindependiente"/>
        <w:rPr>
          <w:rFonts w:ascii="MinionPro-Regular" w:hAnsi="MinionPro-Regular"/>
          <w:sz w:val="24"/>
          <w:lang w:val="es-ES_tradnl"/>
        </w:rPr>
      </w:pPr>
      <w:r w:rsidRPr="00EA0C09">
        <w:rPr>
          <w:rFonts w:ascii="MinionPro-Regular" w:hAnsi="MinionPro-Regular"/>
          <w:sz w:val="24"/>
          <w:lang w:val="es-ES_tradnl"/>
        </w:rPr>
        <w:t>Temas propuestos en las entrevistas</w:t>
      </w:r>
      <w:r w:rsidRPr="00EA0C09">
        <w:rPr>
          <w:rStyle w:val="Refdenotaalpie"/>
          <w:rFonts w:ascii="MinionPro-Regular" w:hAnsi="MinionPro-Regular"/>
          <w:sz w:val="24"/>
          <w:lang w:val="es-ES_tradnl"/>
        </w:rPr>
        <w:footnoteReference w:id="70"/>
      </w:r>
      <w:r w:rsidRPr="00EA0C09">
        <w:rPr>
          <w:rFonts w:ascii="MinionPro-Regular" w:hAnsi="MinionPro-Regular"/>
          <w:sz w:val="24"/>
          <w:lang w:val="es-ES_tradnl"/>
        </w:rPr>
        <w:t>:</w:t>
      </w:r>
    </w:p>
    <w:p w:rsidR="00E2336B" w:rsidRPr="00EA0C09" w:rsidRDefault="00E2336B" w:rsidP="00133660">
      <w:pPr>
        <w:pStyle w:val="Textoindependiente"/>
        <w:rPr>
          <w:rFonts w:ascii="MinionPro-Regular" w:hAnsi="MinionPro-Regular"/>
          <w:sz w:val="24"/>
          <w:lang w:val="es-ES_tradnl"/>
        </w:rPr>
      </w:pPr>
    </w:p>
    <w:p w:rsidR="00E2336B" w:rsidRPr="00EA0C09" w:rsidRDefault="00E2336B" w:rsidP="0007541A">
      <w:pPr>
        <w:pStyle w:val="Textoindependiente"/>
        <w:numPr>
          <w:ilvl w:val="0"/>
          <w:numId w:val="19"/>
        </w:numPr>
        <w:rPr>
          <w:rFonts w:ascii="MinionPro-Regular" w:hAnsi="MinionPro-Regular"/>
          <w:sz w:val="24"/>
          <w:lang w:val="es-ES_tradnl"/>
        </w:rPr>
      </w:pPr>
      <w:r w:rsidRPr="00EA0C09">
        <w:rPr>
          <w:rFonts w:ascii="MinionPro-Regular" w:hAnsi="MinionPro-Regular"/>
          <w:sz w:val="24"/>
          <w:lang w:val="es-ES_tradnl"/>
        </w:rPr>
        <w:t>Obsolescencia del modelo</w:t>
      </w:r>
    </w:p>
    <w:p w:rsidR="00E2336B" w:rsidRPr="00EA0C09" w:rsidRDefault="00E2336B" w:rsidP="0007541A">
      <w:pPr>
        <w:pStyle w:val="Textoindependiente"/>
        <w:numPr>
          <w:ilvl w:val="0"/>
          <w:numId w:val="19"/>
        </w:numPr>
        <w:rPr>
          <w:rFonts w:ascii="MinionPro-Regular" w:hAnsi="MinionPro-Regular"/>
          <w:sz w:val="24"/>
          <w:lang w:val="es-ES_tradnl"/>
        </w:rPr>
      </w:pPr>
      <w:r w:rsidRPr="00EA0C09">
        <w:rPr>
          <w:rFonts w:ascii="MinionPro-Regular" w:hAnsi="MinionPro-Regular"/>
          <w:sz w:val="24"/>
          <w:lang w:val="es-ES_tradnl"/>
        </w:rPr>
        <w:t>Formación de las personas con discapacidad</w:t>
      </w:r>
    </w:p>
    <w:p w:rsidR="00E2336B" w:rsidRPr="00EA0C09" w:rsidRDefault="00E2336B" w:rsidP="0007541A">
      <w:pPr>
        <w:pStyle w:val="Textoindependiente"/>
        <w:numPr>
          <w:ilvl w:val="0"/>
          <w:numId w:val="19"/>
        </w:numPr>
        <w:rPr>
          <w:rFonts w:ascii="MinionPro-Regular" w:hAnsi="MinionPro-Regular"/>
          <w:sz w:val="24"/>
          <w:lang w:val="es-ES_tradnl"/>
        </w:rPr>
      </w:pPr>
      <w:r w:rsidRPr="00EA0C09">
        <w:rPr>
          <w:rFonts w:ascii="MinionPro-Regular" w:hAnsi="MinionPro-Regular"/>
          <w:sz w:val="24"/>
          <w:lang w:val="es-ES_tradnl"/>
        </w:rPr>
        <w:t>Dependencia de la financiación pública</w:t>
      </w:r>
    </w:p>
    <w:p w:rsidR="00E2336B" w:rsidRPr="00EA0C09" w:rsidRDefault="00E2336B" w:rsidP="0007541A">
      <w:pPr>
        <w:pStyle w:val="Textoindependiente"/>
        <w:numPr>
          <w:ilvl w:val="0"/>
          <w:numId w:val="19"/>
        </w:numPr>
        <w:rPr>
          <w:rFonts w:ascii="MinionPro-Regular" w:hAnsi="MinionPro-Regular"/>
          <w:sz w:val="24"/>
          <w:lang w:val="es-ES_tradnl"/>
        </w:rPr>
      </w:pPr>
      <w:r w:rsidRPr="00EA0C09">
        <w:rPr>
          <w:rFonts w:ascii="MinionPro-Regular" w:hAnsi="MinionPro-Regular"/>
          <w:sz w:val="24"/>
          <w:lang w:val="es-ES_tradnl"/>
        </w:rPr>
        <w:t>Comunicar para poner en valor</w:t>
      </w:r>
    </w:p>
    <w:p w:rsidR="00E2336B" w:rsidRPr="00EA0C09" w:rsidRDefault="00E2336B" w:rsidP="0007541A">
      <w:pPr>
        <w:pStyle w:val="Textoindependiente"/>
        <w:numPr>
          <w:ilvl w:val="0"/>
          <w:numId w:val="19"/>
        </w:numPr>
        <w:rPr>
          <w:rFonts w:ascii="MinionPro-Regular" w:hAnsi="MinionPro-Regular"/>
          <w:sz w:val="24"/>
          <w:lang w:val="es-ES_tradnl"/>
        </w:rPr>
      </w:pPr>
      <w:r w:rsidRPr="00EA0C09">
        <w:rPr>
          <w:rFonts w:ascii="MinionPro-Regular" w:hAnsi="MinionPro-Regular"/>
          <w:sz w:val="24"/>
          <w:lang w:val="es-ES_tradnl"/>
        </w:rPr>
        <w:t>Sectores objetivo-Clientes</w:t>
      </w:r>
    </w:p>
    <w:p w:rsidR="00E2336B" w:rsidRPr="00EA0C09" w:rsidRDefault="00E2336B" w:rsidP="0007541A">
      <w:pPr>
        <w:pStyle w:val="Textoindependiente"/>
        <w:numPr>
          <w:ilvl w:val="0"/>
          <w:numId w:val="19"/>
        </w:numPr>
        <w:rPr>
          <w:rFonts w:ascii="MinionPro-Regular" w:hAnsi="MinionPro-Regular"/>
          <w:sz w:val="24"/>
          <w:lang w:val="es-ES_tradnl"/>
        </w:rPr>
      </w:pPr>
      <w:r w:rsidRPr="00EA0C09">
        <w:rPr>
          <w:rFonts w:ascii="MinionPro-Regular" w:hAnsi="MinionPro-Regular"/>
          <w:sz w:val="24"/>
          <w:lang w:val="es-ES_tradnl"/>
        </w:rPr>
        <w:t>Integración de las personas con discapacidad en el empleo ordinario</w:t>
      </w:r>
    </w:p>
    <w:p w:rsidR="00E2336B" w:rsidRPr="00EA0C09" w:rsidRDefault="00E2336B" w:rsidP="0007541A">
      <w:pPr>
        <w:pStyle w:val="Textoindependiente"/>
        <w:numPr>
          <w:ilvl w:val="0"/>
          <w:numId w:val="19"/>
        </w:numPr>
        <w:rPr>
          <w:rFonts w:ascii="MinionPro-Regular" w:hAnsi="MinionPro-Regular"/>
          <w:sz w:val="24"/>
          <w:lang w:val="es-ES_tradnl"/>
        </w:rPr>
      </w:pPr>
      <w:r w:rsidRPr="00EA0C09">
        <w:rPr>
          <w:rFonts w:ascii="MinionPro-Regular" w:hAnsi="MinionPro-Regular"/>
          <w:sz w:val="24"/>
          <w:lang w:val="es-ES_tradnl"/>
        </w:rPr>
        <w:t>Tasa de desempleo entre las personas con discapacidad</w:t>
      </w:r>
    </w:p>
    <w:p w:rsidR="00E2336B" w:rsidRPr="00EA0C09" w:rsidRDefault="00E2336B" w:rsidP="0007541A">
      <w:pPr>
        <w:pStyle w:val="Textoindependiente"/>
        <w:numPr>
          <w:ilvl w:val="0"/>
          <w:numId w:val="19"/>
        </w:numPr>
        <w:rPr>
          <w:rFonts w:ascii="MinionPro-Regular" w:hAnsi="MinionPro-Regular"/>
          <w:sz w:val="24"/>
          <w:lang w:val="es-ES_tradnl"/>
        </w:rPr>
      </w:pPr>
      <w:r w:rsidRPr="00EA0C09">
        <w:rPr>
          <w:rFonts w:ascii="MinionPro-Regular" w:hAnsi="MinionPro-Regular"/>
          <w:sz w:val="24"/>
          <w:lang w:val="es-ES_tradnl"/>
        </w:rPr>
        <w:t>Beneficio como premisa vs iniciativa social</w:t>
      </w:r>
    </w:p>
    <w:p w:rsidR="00E2336B" w:rsidRPr="00EA0C09" w:rsidRDefault="00E2336B" w:rsidP="0007541A">
      <w:pPr>
        <w:pStyle w:val="Textoindependiente"/>
        <w:numPr>
          <w:ilvl w:val="0"/>
          <w:numId w:val="19"/>
        </w:numPr>
        <w:rPr>
          <w:rFonts w:ascii="MinionPro-Regular" w:hAnsi="MinionPro-Regular"/>
          <w:sz w:val="24"/>
          <w:lang w:val="es-ES_tradnl"/>
        </w:rPr>
      </w:pPr>
      <w:r w:rsidRPr="00EA0C09">
        <w:rPr>
          <w:rFonts w:ascii="MinionPro-Regular" w:hAnsi="MinionPro-Regular"/>
          <w:sz w:val="24"/>
          <w:lang w:val="es-ES_tradnl"/>
        </w:rPr>
        <w:t>Gestión del capital humano</w:t>
      </w:r>
    </w:p>
    <w:p w:rsidR="00E2336B" w:rsidRPr="00EA0C09" w:rsidRDefault="00E2336B" w:rsidP="0007541A">
      <w:pPr>
        <w:pStyle w:val="Textoindependiente"/>
        <w:numPr>
          <w:ilvl w:val="0"/>
          <w:numId w:val="19"/>
        </w:numPr>
        <w:rPr>
          <w:rFonts w:ascii="MinionPro-Regular" w:hAnsi="MinionPro-Regular"/>
          <w:sz w:val="24"/>
          <w:lang w:val="es-ES_tradnl"/>
        </w:rPr>
      </w:pPr>
      <w:r w:rsidRPr="00EA0C09">
        <w:rPr>
          <w:rFonts w:ascii="MinionPro-Regular" w:hAnsi="MinionPro-Regular"/>
          <w:sz w:val="24"/>
          <w:lang w:val="es-ES_tradnl"/>
        </w:rPr>
        <w:t>Solidaridad de la familia y sociedad en su conjunto</w:t>
      </w:r>
    </w:p>
    <w:p w:rsidR="00E2336B" w:rsidRPr="00EA0C09" w:rsidRDefault="00E2336B" w:rsidP="0007541A">
      <w:pPr>
        <w:pStyle w:val="Textoindependiente"/>
        <w:numPr>
          <w:ilvl w:val="0"/>
          <w:numId w:val="19"/>
        </w:numPr>
        <w:rPr>
          <w:rFonts w:ascii="MinionPro-Regular" w:hAnsi="MinionPro-Regular"/>
          <w:sz w:val="24"/>
          <w:lang w:val="es-ES_tradnl"/>
        </w:rPr>
      </w:pPr>
      <w:r w:rsidRPr="00EA0C09">
        <w:rPr>
          <w:rFonts w:ascii="MinionPro-Regular" w:hAnsi="MinionPro-Regular"/>
          <w:sz w:val="24"/>
          <w:lang w:val="es-ES_tradnl"/>
        </w:rPr>
        <w:t>Red asociativa</w:t>
      </w:r>
    </w:p>
    <w:p w:rsidR="00E2336B" w:rsidRPr="00EA0C09" w:rsidRDefault="00E2336B" w:rsidP="0007541A">
      <w:pPr>
        <w:pStyle w:val="Textoindependiente"/>
        <w:numPr>
          <w:ilvl w:val="0"/>
          <w:numId w:val="19"/>
        </w:numPr>
        <w:rPr>
          <w:rFonts w:ascii="MinionPro-Regular" w:hAnsi="MinionPro-Regular"/>
          <w:sz w:val="24"/>
          <w:lang w:val="es-ES_tradnl"/>
        </w:rPr>
      </w:pPr>
      <w:r w:rsidRPr="00EA0C09">
        <w:rPr>
          <w:rFonts w:ascii="MinionPro-Regular" w:hAnsi="MinionPro-Regular"/>
          <w:sz w:val="24"/>
          <w:lang w:val="es-ES_tradnl"/>
        </w:rPr>
        <w:t>Centros especiales de empleo fraudulentos</w:t>
      </w:r>
    </w:p>
    <w:p w:rsidR="00E2336B" w:rsidRPr="00EA0C09" w:rsidRDefault="00E2336B" w:rsidP="0007541A">
      <w:pPr>
        <w:pStyle w:val="Textoindependiente"/>
        <w:numPr>
          <w:ilvl w:val="0"/>
          <w:numId w:val="19"/>
        </w:numPr>
        <w:rPr>
          <w:rFonts w:ascii="MinionPro-Regular" w:hAnsi="MinionPro-Regular"/>
          <w:sz w:val="24"/>
          <w:lang w:val="es-ES_tradnl"/>
        </w:rPr>
      </w:pPr>
      <w:r w:rsidRPr="00EA0C09">
        <w:rPr>
          <w:rFonts w:ascii="MinionPro-Regular" w:hAnsi="MinionPro-Regular"/>
          <w:sz w:val="24"/>
          <w:lang w:val="es-ES_tradnl"/>
        </w:rPr>
        <w:t>Crisis económica</w:t>
      </w:r>
    </w:p>
    <w:p w:rsidR="00E2336B" w:rsidRPr="00EA0C09" w:rsidRDefault="00E2336B" w:rsidP="0007541A">
      <w:pPr>
        <w:pStyle w:val="Textoindependiente"/>
        <w:numPr>
          <w:ilvl w:val="0"/>
          <w:numId w:val="19"/>
        </w:numPr>
        <w:rPr>
          <w:rFonts w:ascii="MinionPro-Regular" w:hAnsi="MinionPro-Regular"/>
          <w:sz w:val="24"/>
          <w:lang w:val="es-ES_tradnl"/>
        </w:rPr>
      </w:pPr>
      <w:r w:rsidRPr="00EA0C09">
        <w:rPr>
          <w:rFonts w:ascii="MinionPro-Regular" w:hAnsi="MinionPro-Regular"/>
          <w:sz w:val="24"/>
          <w:lang w:val="es-ES_tradnl"/>
        </w:rPr>
        <w:t>I+D+i como motor de la sostenibilidad</w:t>
      </w:r>
    </w:p>
    <w:p w:rsidR="00E2336B" w:rsidRPr="00EA0C09" w:rsidRDefault="00E2336B" w:rsidP="0007541A">
      <w:pPr>
        <w:pStyle w:val="Textoindependiente"/>
        <w:numPr>
          <w:ilvl w:val="0"/>
          <w:numId w:val="19"/>
        </w:numPr>
        <w:rPr>
          <w:rFonts w:ascii="MinionPro-Regular" w:hAnsi="MinionPro-Regular"/>
          <w:sz w:val="24"/>
          <w:lang w:val="es-ES_tradnl"/>
        </w:rPr>
      </w:pPr>
      <w:r w:rsidRPr="00EA0C09">
        <w:rPr>
          <w:rFonts w:ascii="MinionPro-Regular" w:hAnsi="MinionPro-Regular"/>
          <w:sz w:val="24"/>
          <w:lang w:val="es-ES_tradnl"/>
        </w:rPr>
        <w:t>Reserva de mercado: Contratación pública/Medidas alternativas</w:t>
      </w:r>
    </w:p>
    <w:p w:rsidR="00E2336B" w:rsidRDefault="00E2336B">
      <w:pPr>
        <w:rPr>
          <w:rFonts w:ascii="MinionPro-Regular" w:hAnsi="MinionPro-Regular"/>
          <w:sz w:val="24"/>
          <w:szCs w:val="24"/>
          <w:lang w:val="es-ES_tradnl"/>
        </w:rPr>
      </w:pPr>
      <w:r>
        <w:rPr>
          <w:rFonts w:ascii="MinionPro-Regular" w:hAnsi="MinionPro-Regular"/>
          <w:sz w:val="24"/>
          <w:szCs w:val="24"/>
          <w:lang w:val="es-ES_tradnl"/>
        </w:rPr>
        <w:br w:type="page"/>
      </w:r>
    </w:p>
    <w:p w:rsidR="00E2336B" w:rsidRDefault="00E2336B" w:rsidP="0007541A">
      <w:pPr>
        <w:pStyle w:val="Ttulo2"/>
        <w:numPr>
          <w:ilvl w:val="1"/>
          <w:numId w:val="3"/>
        </w:numPr>
        <w:ind w:left="0"/>
        <w:rPr>
          <w:rFonts w:ascii="MinionPro-Regular" w:hAnsi="MinionPro-Regular"/>
          <w:lang w:val="es-ES_tradnl"/>
        </w:rPr>
      </w:pPr>
      <w:bookmarkStart w:id="605" w:name="_Toc352773627"/>
      <w:r w:rsidRPr="00EA0C09">
        <w:rPr>
          <w:rFonts w:ascii="MinionPro-Regular" w:hAnsi="MinionPro-Regular"/>
          <w:lang w:val="es-ES_tradnl"/>
        </w:rPr>
        <w:lastRenderedPageBreak/>
        <w:t>Anexo I</w:t>
      </w:r>
      <w:r>
        <w:rPr>
          <w:rFonts w:ascii="MinionPro-Regular" w:hAnsi="MinionPro-Regular"/>
          <w:lang w:val="es-ES_tradnl"/>
        </w:rPr>
        <w:t>I</w:t>
      </w:r>
      <w:r w:rsidRPr="00EA0C09">
        <w:rPr>
          <w:rFonts w:ascii="MinionPro-Regular" w:hAnsi="MinionPro-Regular"/>
          <w:lang w:val="es-ES_tradnl"/>
        </w:rPr>
        <w:t xml:space="preserve">: </w:t>
      </w:r>
      <w:r>
        <w:rPr>
          <w:rFonts w:ascii="MinionPro-Regular" w:hAnsi="MinionPro-Regular"/>
          <w:lang w:val="es-ES_tradnl"/>
        </w:rPr>
        <w:t>Visitas a Centros Especiales de Empleo</w:t>
      </w:r>
      <w:bookmarkEnd w:id="605"/>
    </w:p>
    <w:p w:rsidR="00E2336B" w:rsidRDefault="00E2336B" w:rsidP="00E237EB">
      <w:pPr>
        <w:pStyle w:val="Textoindependiente"/>
        <w:rPr>
          <w:lang w:val="es-ES_tradnl"/>
        </w:rPr>
      </w:pPr>
    </w:p>
    <w:p w:rsidR="00E2336B" w:rsidRPr="00E2336B" w:rsidRDefault="00F23441" w:rsidP="00E237EB">
      <w:pPr>
        <w:pStyle w:val="Textoindependiente"/>
        <w:rPr>
          <w:rFonts w:ascii="MinionPro-Regular" w:hAnsi="MinionPro-Regular"/>
          <w:sz w:val="24"/>
          <w:lang w:val="es-ES_tradnl"/>
        </w:rPr>
      </w:pPr>
      <w:r w:rsidRPr="00F23441">
        <w:rPr>
          <w:rFonts w:ascii="MinionPro-Regular" w:hAnsi="MinionPro-Regular"/>
          <w:sz w:val="24"/>
          <w:lang w:val="es-ES_tradnl"/>
        </w:rPr>
        <w:t>Contenido de encuesta dirigida a los empleados con discapacidad de los centros especiales de empleo visitados</w:t>
      </w:r>
      <w:r w:rsidR="00E2336B" w:rsidRPr="00CA6ECB">
        <w:rPr>
          <w:rStyle w:val="Refdenotaalpie"/>
          <w:rFonts w:ascii="MinionPro-Regular" w:hAnsi="MinionPro-Regular"/>
          <w:sz w:val="24"/>
          <w:lang w:val="es-ES_tradnl"/>
        </w:rPr>
        <w:footnoteReference w:id="71"/>
      </w:r>
      <w:r w:rsidRPr="00F23441">
        <w:rPr>
          <w:rFonts w:ascii="MinionPro-Regular" w:hAnsi="MinionPro-Regular"/>
          <w:sz w:val="24"/>
          <w:lang w:val="es-ES_tradnl"/>
        </w:rPr>
        <w:t>:</w:t>
      </w:r>
    </w:p>
    <w:p w:rsidR="00E2336B" w:rsidRDefault="00E2336B" w:rsidP="00E237EB">
      <w:pPr>
        <w:pStyle w:val="Textoindependiente"/>
        <w:rPr>
          <w:lang w:val="es-ES_tradnl"/>
        </w:rPr>
      </w:pPr>
    </w:p>
    <w:tbl>
      <w:tblPr>
        <w:tblW w:w="7676" w:type="dxa"/>
        <w:tblInd w:w="108" w:type="dxa"/>
        <w:tblLook w:val="00A0"/>
      </w:tblPr>
      <w:tblGrid>
        <w:gridCol w:w="350"/>
        <w:gridCol w:w="704"/>
        <w:gridCol w:w="6622"/>
      </w:tblGrid>
      <w:tr w:rsidR="00E2336B" w:rsidRPr="005F5A73" w:rsidTr="0092566C">
        <w:trPr>
          <w:trHeight w:val="300"/>
        </w:trPr>
        <w:tc>
          <w:tcPr>
            <w:tcW w:w="7676" w:type="dxa"/>
            <w:gridSpan w:val="3"/>
            <w:tcBorders>
              <w:top w:val="single" w:sz="4" w:space="0" w:color="auto"/>
              <w:left w:val="single" w:sz="4" w:space="0" w:color="auto"/>
              <w:bottom w:val="nil"/>
              <w:right w:val="single" w:sz="4" w:space="0" w:color="auto"/>
            </w:tcBorders>
            <w:shd w:val="clear" w:color="000000" w:fill="BFBFBF"/>
            <w:noWrap/>
            <w:vAlign w:val="bottom"/>
          </w:tcPr>
          <w:p w:rsidR="00E2336B" w:rsidRPr="005F5A73" w:rsidRDefault="00E2336B" w:rsidP="00E237EB">
            <w:pPr>
              <w:rPr>
                <w:rFonts w:ascii="MinionPro-Regular" w:hAnsi="MinionPro-Regular" w:cs="Calibri"/>
                <w:b/>
                <w:bCs/>
                <w:color w:val="000000"/>
                <w:sz w:val="20"/>
                <w:lang w:val="en-US"/>
              </w:rPr>
            </w:pPr>
            <w:r w:rsidRPr="005F5A73">
              <w:rPr>
                <w:rFonts w:ascii="MinionPro-Regular" w:hAnsi="MinionPro-Regular" w:cs="Calibri"/>
                <w:b/>
                <w:bCs/>
                <w:color w:val="000000"/>
                <w:sz w:val="20"/>
                <w:lang w:val="en-US"/>
              </w:rPr>
              <w:t>1. DATOS GENERALES</w:t>
            </w:r>
          </w:p>
        </w:tc>
      </w:tr>
      <w:tr w:rsidR="00E2336B" w:rsidRPr="005F5A73" w:rsidTr="0092566C">
        <w:trPr>
          <w:trHeight w:val="180"/>
        </w:trPr>
        <w:tc>
          <w:tcPr>
            <w:tcW w:w="350" w:type="dxa"/>
            <w:tcBorders>
              <w:top w:val="nil"/>
              <w:left w:val="single" w:sz="4" w:space="0" w:color="auto"/>
              <w:bottom w:val="nil"/>
              <w:right w:val="nil"/>
            </w:tcBorders>
            <w:shd w:val="clear" w:color="000000" w:fill="BFBFBF"/>
            <w:noWrap/>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c>
          <w:tcPr>
            <w:tcW w:w="704" w:type="dxa"/>
            <w:tcBorders>
              <w:top w:val="nil"/>
              <w:left w:val="nil"/>
              <w:bottom w:val="nil"/>
              <w:right w:val="nil"/>
            </w:tcBorders>
            <w:shd w:val="clear" w:color="000000" w:fill="BFBFBF"/>
            <w:noWrap/>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c>
          <w:tcPr>
            <w:tcW w:w="6622" w:type="dxa"/>
            <w:tcBorders>
              <w:top w:val="nil"/>
              <w:left w:val="nil"/>
              <w:bottom w:val="nil"/>
              <w:right w:val="single" w:sz="4" w:space="0" w:color="auto"/>
            </w:tcBorders>
            <w:shd w:val="clear" w:color="000000" w:fill="BFBFBF"/>
            <w:noWrap/>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r>
      <w:tr w:rsidR="00E2336B" w:rsidRPr="005F5A73" w:rsidTr="0092566C">
        <w:trPr>
          <w:trHeight w:val="300"/>
        </w:trPr>
        <w:tc>
          <w:tcPr>
            <w:tcW w:w="350" w:type="dxa"/>
            <w:tcBorders>
              <w:top w:val="nil"/>
              <w:left w:val="single" w:sz="4" w:space="0" w:color="auto"/>
              <w:bottom w:val="nil"/>
              <w:right w:val="nil"/>
            </w:tcBorders>
            <w:shd w:val="clear" w:color="000000" w:fill="BFBFBF"/>
            <w:noWrap/>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c>
          <w:tcPr>
            <w:tcW w:w="7326" w:type="dxa"/>
            <w:gridSpan w:val="2"/>
            <w:tcBorders>
              <w:top w:val="nil"/>
              <w:left w:val="nil"/>
              <w:bottom w:val="nil"/>
              <w:right w:val="single" w:sz="4" w:space="0" w:color="auto"/>
            </w:tcBorders>
            <w:shd w:val="clear" w:color="000000" w:fill="BFBFBF"/>
            <w:noWrap/>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1.1. Nombre:</w:t>
            </w:r>
          </w:p>
        </w:tc>
      </w:tr>
      <w:tr w:rsidR="00E2336B" w:rsidRPr="005F5A73" w:rsidTr="0092566C">
        <w:trPr>
          <w:trHeight w:val="300"/>
        </w:trPr>
        <w:tc>
          <w:tcPr>
            <w:tcW w:w="350" w:type="dxa"/>
            <w:tcBorders>
              <w:top w:val="nil"/>
              <w:left w:val="single" w:sz="4" w:space="0" w:color="auto"/>
              <w:bottom w:val="nil"/>
              <w:right w:val="nil"/>
            </w:tcBorders>
            <w:shd w:val="clear" w:color="000000" w:fill="BFBFBF"/>
            <w:noWrap/>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c>
          <w:tcPr>
            <w:tcW w:w="7326" w:type="dxa"/>
            <w:gridSpan w:val="2"/>
            <w:tcBorders>
              <w:top w:val="nil"/>
              <w:left w:val="nil"/>
              <w:bottom w:val="nil"/>
              <w:right w:val="single" w:sz="4" w:space="0" w:color="auto"/>
            </w:tcBorders>
            <w:shd w:val="clear" w:color="000000" w:fill="BFBFBF"/>
            <w:noWrap/>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 xml:space="preserve">1.2. Puesto: </w:t>
            </w:r>
          </w:p>
        </w:tc>
      </w:tr>
      <w:tr w:rsidR="00E2336B" w:rsidRPr="005F5A73" w:rsidTr="0092566C">
        <w:trPr>
          <w:trHeight w:val="300"/>
        </w:trPr>
        <w:tc>
          <w:tcPr>
            <w:tcW w:w="350" w:type="dxa"/>
            <w:tcBorders>
              <w:top w:val="nil"/>
              <w:left w:val="single" w:sz="4" w:space="0" w:color="auto"/>
              <w:bottom w:val="nil"/>
              <w:right w:val="nil"/>
            </w:tcBorders>
            <w:shd w:val="clear" w:color="000000" w:fill="BFBFBF"/>
            <w:noWrap/>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c>
          <w:tcPr>
            <w:tcW w:w="7326" w:type="dxa"/>
            <w:gridSpan w:val="2"/>
            <w:tcBorders>
              <w:top w:val="nil"/>
              <w:left w:val="nil"/>
              <w:bottom w:val="nil"/>
              <w:right w:val="single" w:sz="4" w:space="0" w:color="auto"/>
            </w:tcBorders>
            <w:shd w:val="clear" w:color="000000" w:fill="BFBFBF"/>
            <w:noWrap/>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1.3. Edad:</w:t>
            </w:r>
          </w:p>
        </w:tc>
      </w:tr>
      <w:tr w:rsidR="00E2336B" w:rsidRPr="005F5A73" w:rsidTr="0092566C">
        <w:trPr>
          <w:trHeight w:val="180"/>
        </w:trPr>
        <w:tc>
          <w:tcPr>
            <w:tcW w:w="350" w:type="dxa"/>
            <w:tcBorders>
              <w:top w:val="nil"/>
              <w:left w:val="single" w:sz="4" w:space="0" w:color="auto"/>
              <w:bottom w:val="nil"/>
              <w:right w:val="nil"/>
            </w:tcBorders>
            <w:shd w:val="clear" w:color="000000" w:fill="BFBFBF"/>
            <w:noWrap/>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c>
          <w:tcPr>
            <w:tcW w:w="704" w:type="dxa"/>
            <w:tcBorders>
              <w:top w:val="nil"/>
              <w:left w:val="nil"/>
              <w:bottom w:val="nil"/>
              <w:right w:val="nil"/>
            </w:tcBorders>
            <w:shd w:val="clear" w:color="000000" w:fill="BFBFBF"/>
            <w:noWrap/>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c>
          <w:tcPr>
            <w:tcW w:w="6622" w:type="dxa"/>
            <w:tcBorders>
              <w:top w:val="nil"/>
              <w:left w:val="nil"/>
              <w:bottom w:val="nil"/>
              <w:right w:val="single" w:sz="4" w:space="0" w:color="auto"/>
            </w:tcBorders>
            <w:shd w:val="clear" w:color="000000" w:fill="BFBFBF"/>
            <w:noWrap/>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r>
      <w:tr w:rsidR="00E2336B" w:rsidRPr="005F5A73" w:rsidTr="0092566C">
        <w:trPr>
          <w:trHeight w:val="300"/>
        </w:trPr>
        <w:tc>
          <w:tcPr>
            <w:tcW w:w="350" w:type="dxa"/>
            <w:tcBorders>
              <w:top w:val="nil"/>
              <w:left w:val="single" w:sz="4" w:space="0" w:color="auto"/>
              <w:bottom w:val="nil"/>
              <w:right w:val="nil"/>
            </w:tcBorders>
            <w:shd w:val="clear" w:color="000000" w:fill="BFBFBF"/>
            <w:noWrap/>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c>
          <w:tcPr>
            <w:tcW w:w="7326" w:type="dxa"/>
            <w:gridSpan w:val="2"/>
            <w:tcBorders>
              <w:top w:val="nil"/>
              <w:left w:val="nil"/>
              <w:bottom w:val="nil"/>
              <w:right w:val="single" w:sz="4" w:space="0" w:color="auto"/>
            </w:tcBorders>
            <w:shd w:val="clear" w:color="000000" w:fill="BFBFBF"/>
            <w:noWrap/>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1.4. Género:</w:t>
            </w:r>
          </w:p>
        </w:tc>
      </w:tr>
      <w:tr w:rsidR="00E2336B" w:rsidRPr="005F5A73" w:rsidTr="0092566C">
        <w:trPr>
          <w:trHeight w:val="300"/>
        </w:trPr>
        <w:tc>
          <w:tcPr>
            <w:tcW w:w="350" w:type="dxa"/>
            <w:tcBorders>
              <w:top w:val="nil"/>
              <w:left w:val="single" w:sz="4" w:space="0" w:color="auto"/>
              <w:bottom w:val="nil"/>
              <w:right w:val="nil"/>
            </w:tcBorders>
            <w:shd w:val="clear" w:color="000000" w:fill="BFBFBF"/>
            <w:noWrap/>
            <w:vAlign w:val="bottom"/>
          </w:tcPr>
          <w:p w:rsidR="00E2336B" w:rsidRPr="005F5A73" w:rsidRDefault="00E2336B" w:rsidP="00E237EB">
            <w:pPr>
              <w:jc w:val="cente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c>
          <w:tcPr>
            <w:tcW w:w="704"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c>
          <w:tcPr>
            <w:tcW w:w="6622" w:type="dxa"/>
            <w:tcBorders>
              <w:top w:val="single" w:sz="4" w:space="0" w:color="auto"/>
              <w:left w:val="nil"/>
              <w:bottom w:val="single" w:sz="4" w:space="0" w:color="auto"/>
              <w:right w:val="single" w:sz="4" w:space="0" w:color="auto"/>
            </w:tcBorders>
            <w:shd w:val="clear" w:color="000000" w:fill="D8D8D8"/>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 xml:space="preserve">A) Femenino </w:t>
            </w:r>
          </w:p>
        </w:tc>
      </w:tr>
      <w:tr w:rsidR="00E2336B" w:rsidRPr="005F5A73" w:rsidTr="0092566C">
        <w:trPr>
          <w:trHeight w:val="300"/>
        </w:trPr>
        <w:tc>
          <w:tcPr>
            <w:tcW w:w="350" w:type="dxa"/>
            <w:tcBorders>
              <w:top w:val="nil"/>
              <w:left w:val="single" w:sz="4" w:space="0" w:color="auto"/>
              <w:bottom w:val="nil"/>
              <w:right w:val="nil"/>
            </w:tcBorders>
            <w:shd w:val="clear" w:color="000000" w:fill="BFBFBF"/>
            <w:noWrap/>
            <w:vAlign w:val="bottom"/>
          </w:tcPr>
          <w:p w:rsidR="00E2336B" w:rsidRPr="005F5A73" w:rsidRDefault="00E2336B" w:rsidP="00E237EB">
            <w:pPr>
              <w:jc w:val="cente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c>
          <w:tcPr>
            <w:tcW w:w="704" w:type="dxa"/>
            <w:tcBorders>
              <w:top w:val="nil"/>
              <w:left w:val="single" w:sz="4" w:space="0" w:color="auto"/>
              <w:bottom w:val="single" w:sz="4" w:space="0" w:color="auto"/>
              <w:right w:val="single" w:sz="4" w:space="0" w:color="auto"/>
            </w:tcBorders>
            <w:shd w:val="clear" w:color="000000" w:fill="FFFFFF"/>
            <w:noWrap/>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c>
          <w:tcPr>
            <w:tcW w:w="6622" w:type="dxa"/>
            <w:tcBorders>
              <w:top w:val="nil"/>
              <w:left w:val="nil"/>
              <w:bottom w:val="single" w:sz="4" w:space="0" w:color="auto"/>
              <w:right w:val="single" w:sz="4" w:space="0" w:color="auto"/>
            </w:tcBorders>
            <w:shd w:val="clear" w:color="000000" w:fill="D8D8D8"/>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B) Masculino</w:t>
            </w:r>
          </w:p>
        </w:tc>
      </w:tr>
      <w:tr w:rsidR="00E2336B" w:rsidRPr="005F5A73" w:rsidTr="0092566C">
        <w:trPr>
          <w:trHeight w:val="180"/>
        </w:trPr>
        <w:tc>
          <w:tcPr>
            <w:tcW w:w="350" w:type="dxa"/>
            <w:tcBorders>
              <w:top w:val="nil"/>
              <w:left w:val="single" w:sz="4" w:space="0" w:color="auto"/>
              <w:bottom w:val="nil"/>
              <w:right w:val="nil"/>
            </w:tcBorders>
            <w:shd w:val="clear" w:color="000000" w:fill="BFBFBF"/>
            <w:noWrap/>
            <w:vAlign w:val="bottom"/>
          </w:tcPr>
          <w:p w:rsidR="00E2336B" w:rsidRPr="005F5A73" w:rsidRDefault="00E2336B" w:rsidP="00E237EB">
            <w:pPr>
              <w:jc w:val="cente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c>
          <w:tcPr>
            <w:tcW w:w="704" w:type="dxa"/>
            <w:tcBorders>
              <w:top w:val="nil"/>
              <w:left w:val="nil"/>
              <w:bottom w:val="nil"/>
              <w:right w:val="nil"/>
            </w:tcBorders>
            <w:shd w:val="clear" w:color="000000" w:fill="BFBFBF"/>
            <w:noWrap/>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c>
          <w:tcPr>
            <w:tcW w:w="6622" w:type="dxa"/>
            <w:tcBorders>
              <w:top w:val="nil"/>
              <w:left w:val="nil"/>
              <w:bottom w:val="nil"/>
              <w:right w:val="single" w:sz="4" w:space="0" w:color="auto"/>
            </w:tcBorders>
            <w:shd w:val="clear" w:color="000000" w:fill="BFBFBF"/>
            <w:noWrap/>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r>
      <w:tr w:rsidR="00E2336B" w:rsidRPr="005F5A73" w:rsidTr="0092566C">
        <w:trPr>
          <w:trHeight w:val="300"/>
        </w:trPr>
        <w:tc>
          <w:tcPr>
            <w:tcW w:w="350" w:type="dxa"/>
            <w:tcBorders>
              <w:top w:val="nil"/>
              <w:left w:val="single" w:sz="4" w:space="0" w:color="auto"/>
              <w:bottom w:val="nil"/>
              <w:right w:val="nil"/>
            </w:tcBorders>
            <w:shd w:val="clear" w:color="000000" w:fill="BFBFBF"/>
            <w:noWrap/>
            <w:vAlign w:val="bottom"/>
          </w:tcPr>
          <w:p w:rsidR="00E2336B" w:rsidRPr="005F5A73" w:rsidRDefault="00E2336B" w:rsidP="00E237EB">
            <w:pPr>
              <w:jc w:val="cente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c>
          <w:tcPr>
            <w:tcW w:w="7326" w:type="dxa"/>
            <w:gridSpan w:val="2"/>
            <w:tcBorders>
              <w:top w:val="nil"/>
              <w:left w:val="nil"/>
              <w:bottom w:val="single" w:sz="4" w:space="0" w:color="auto"/>
              <w:right w:val="single" w:sz="4" w:space="0" w:color="auto"/>
            </w:tcBorders>
            <w:shd w:val="clear" w:color="000000" w:fill="BFBFBF"/>
            <w:noWrap/>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1.5. Tipo de discapacidad</w:t>
            </w:r>
          </w:p>
        </w:tc>
      </w:tr>
      <w:tr w:rsidR="00E2336B" w:rsidRPr="005F5A73" w:rsidTr="0092566C">
        <w:trPr>
          <w:trHeight w:val="300"/>
        </w:trPr>
        <w:tc>
          <w:tcPr>
            <w:tcW w:w="350" w:type="dxa"/>
            <w:tcBorders>
              <w:top w:val="nil"/>
              <w:left w:val="single" w:sz="4" w:space="0" w:color="auto"/>
              <w:bottom w:val="nil"/>
              <w:right w:val="nil"/>
            </w:tcBorders>
            <w:shd w:val="clear" w:color="000000" w:fill="BFBFBF"/>
            <w:noWrap/>
            <w:vAlign w:val="bottom"/>
          </w:tcPr>
          <w:p w:rsidR="00E2336B" w:rsidRPr="005F5A73" w:rsidRDefault="00E2336B" w:rsidP="00E237EB">
            <w:pPr>
              <w:jc w:val="cente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c>
          <w:tcPr>
            <w:tcW w:w="704" w:type="dxa"/>
            <w:tcBorders>
              <w:top w:val="nil"/>
              <w:left w:val="single" w:sz="4" w:space="0" w:color="auto"/>
              <w:bottom w:val="single" w:sz="4" w:space="0" w:color="auto"/>
              <w:right w:val="single" w:sz="4" w:space="0" w:color="auto"/>
            </w:tcBorders>
            <w:shd w:val="clear" w:color="000000" w:fill="FFFFFF"/>
            <w:noWrap/>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c>
          <w:tcPr>
            <w:tcW w:w="6622" w:type="dxa"/>
            <w:tcBorders>
              <w:top w:val="nil"/>
              <w:left w:val="nil"/>
              <w:bottom w:val="single" w:sz="4" w:space="0" w:color="auto"/>
              <w:right w:val="single" w:sz="4" w:space="0" w:color="auto"/>
            </w:tcBorders>
            <w:shd w:val="clear" w:color="000000" w:fill="D8D8D8"/>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A) Parálisis cerebral</w:t>
            </w:r>
          </w:p>
        </w:tc>
      </w:tr>
      <w:tr w:rsidR="00E2336B" w:rsidRPr="005F5A73" w:rsidTr="0092566C">
        <w:trPr>
          <w:trHeight w:val="300"/>
        </w:trPr>
        <w:tc>
          <w:tcPr>
            <w:tcW w:w="350" w:type="dxa"/>
            <w:tcBorders>
              <w:top w:val="nil"/>
              <w:left w:val="single" w:sz="4" w:space="0" w:color="auto"/>
              <w:bottom w:val="nil"/>
              <w:right w:val="nil"/>
            </w:tcBorders>
            <w:shd w:val="clear" w:color="000000" w:fill="BFBFBF"/>
            <w:noWrap/>
            <w:vAlign w:val="bottom"/>
          </w:tcPr>
          <w:p w:rsidR="00E2336B" w:rsidRPr="005F5A73" w:rsidRDefault="00E2336B" w:rsidP="00E237EB">
            <w:pPr>
              <w:jc w:val="cente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c>
          <w:tcPr>
            <w:tcW w:w="704" w:type="dxa"/>
            <w:tcBorders>
              <w:top w:val="nil"/>
              <w:left w:val="single" w:sz="4" w:space="0" w:color="auto"/>
              <w:bottom w:val="single" w:sz="4" w:space="0" w:color="auto"/>
              <w:right w:val="single" w:sz="4" w:space="0" w:color="auto"/>
            </w:tcBorders>
            <w:shd w:val="clear" w:color="000000" w:fill="FFFFFF"/>
            <w:noWrap/>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c>
          <w:tcPr>
            <w:tcW w:w="6622" w:type="dxa"/>
            <w:tcBorders>
              <w:top w:val="nil"/>
              <w:left w:val="nil"/>
              <w:bottom w:val="single" w:sz="4" w:space="0" w:color="auto"/>
              <w:right w:val="single" w:sz="4" w:space="0" w:color="auto"/>
            </w:tcBorders>
            <w:shd w:val="clear" w:color="000000" w:fill="D8D8D8"/>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B) Enfermedad mental</w:t>
            </w:r>
          </w:p>
        </w:tc>
      </w:tr>
      <w:tr w:rsidR="00E2336B" w:rsidRPr="005F5A73" w:rsidTr="0092566C">
        <w:trPr>
          <w:trHeight w:val="300"/>
        </w:trPr>
        <w:tc>
          <w:tcPr>
            <w:tcW w:w="350" w:type="dxa"/>
            <w:tcBorders>
              <w:top w:val="nil"/>
              <w:left w:val="single" w:sz="4" w:space="0" w:color="auto"/>
              <w:bottom w:val="nil"/>
              <w:right w:val="nil"/>
            </w:tcBorders>
            <w:shd w:val="clear" w:color="000000" w:fill="BFBFBF"/>
            <w:noWrap/>
            <w:vAlign w:val="bottom"/>
          </w:tcPr>
          <w:p w:rsidR="00E2336B" w:rsidRPr="005F5A73" w:rsidRDefault="00E2336B" w:rsidP="00E237EB">
            <w:pPr>
              <w:jc w:val="cente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c>
          <w:tcPr>
            <w:tcW w:w="704" w:type="dxa"/>
            <w:tcBorders>
              <w:top w:val="nil"/>
              <w:left w:val="single" w:sz="4" w:space="0" w:color="auto"/>
              <w:bottom w:val="single" w:sz="4" w:space="0" w:color="auto"/>
              <w:right w:val="single" w:sz="4" w:space="0" w:color="auto"/>
            </w:tcBorders>
            <w:shd w:val="clear" w:color="000000" w:fill="FFFFFF"/>
            <w:noWrap/>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c>
          <w:tcPr>
            <w:tcW w:w="6622" w:type="dxa"/>
            <w:tcBorders>
              <w:top w:val="nil"/>
              <w:left w:val="nil"/>
              <w:bottom w:val="single" w:sz="4" w:space="0" w:color="auto"/>
              <w:right w:val="single" w:sz="4" w:space="0" w:color="auto"/>
            </w:tcBorders>
            <w:shd w:val="clear" w:color="000000" w:fill="D8D8D8"/>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C) Discapacidad intelectual</w:t>
            </w:r>
          </w:p>
        </w:tc>
      </w:tr>
      <w:tr w:rsidR="00E2336B" w:rsidRPr="005F5A73" w:rsidTr="0092566C">
        <w:trPr>
          <w:trHeight w:val="300"/>
        </w:trPr>
        <w:tc>
          <w:tcPr>
            <w:tcW w:w="350" w:type="dxa"/>
            <w:tcBorders>
              <w:top w:val="nil"/>
              <w:left w:val="single" w:sz="4" w:space="0" w:color="auto"/>
              <w:bottom w:val="nil"/>
              <w:right w:val="nil"/>
            </w:tcBorders>
            <w:shd w:val="clear" w:color="000000" w:fill="BFBFBF"/>
            <w:noWrap/>
            <w:vAlign w:val="bottom"/>
          </w:tcPr>
          <w:p w:rsidR="00E2336B" w:rsidRPr="005F5A73" w:rsidRDefault="00E2336B" w:rsidP="00E237EB">
            <w:pPr>
              <w:jc w:val="cente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c>
          <w:tcPr>
            <w:tcW w:w="704" w:type="dxa"/>
            <w:tcBorders>
              <w:top w:val="nil"/>
              <w:left w:val="single" w:sz="4" w:space="0" w:color="auto"/>
              <w:bottom w:val="single" w:sz="4" w:space="0" w:color="auto"/>
              <w:right w:val="single" w:sz="4" w:space="0" w:color="auto"/>
            </w:tcBorders>
            <w:shd w:val="clear" w:color="000000" w:fill="FFFFFF"/>
            <w:noWrap/>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c>
          <w:tcPr>
            <w:tcW w:w="6622" w:type="dxa"/>
            <w:tcBorders>
              <w:top w:val="nil"/>
              <w:left w:val="nil"/>
              <w:bottom w:val="single" w:sz="4" w:space="0" w:color="auto"/>
              <w:right w:val="single" w:sz="4" w:space="0" w:color="auto"/>
            </w:tcBorders>
            <w:shd w:val="clear" w:color="000000" w:fill="D8D8D8"/>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D) Discapacidad física</w:t>
            </w:r>
          </w:p>
        </w:tc>
      </w:tr>
      <w:tr w:rsidR="00E2336B" w:rsidRPr="005F5A73" w:rsidTr="0092566C">
        <w:trPr>
          <w:trHeight w:val="300"/>
        </w:trPr>
        <w:tc>
          <w:tcPr>
            <w:tcW w:w="350" w:type="dxa"/>
            <w:tcBorders>
              <w:top w:val="nil"/>
              <w:left w:val="single" w:sz="4" w:space="0" w:color="auto"/>
              <w:bottom w:val="nil"/>
              <w:right w:val="nil"/>
            </w:tcBorders>
            <w:shd w:val="clear" w:color="000000" w:fill="BFBFBF"/>
            <w:noWrap/>
            <w:vAlign w:val="bottom"/>
          </w:tcPr>
          <w:p w:rsidR="00E2336B" w:rsidRPr="005F5A73" w:rsidRDefault="00E2336B" w:rsidP="00E237EB">
            <w:pPr>
              <w:jc w:val="cente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c>
          <w:tcPr>
            <w:tcW w:w="704" w:type="dxa"/>
            <w:tcBorders>
              <w:top w:val="nil"/>
              <w:left w:val="single" w:sz="4" w:space="0" w:color="auto"/>
              <w:bottom w:val="single" w:sz="4" w:space="0" w:color="auto"/>
              <w:right w:val="single" w:sz="4" w:space="0" w:color="auto"/>
            </w:tcBorders>
            <w:shd w:val="clear" w:color="000000" w:fill="FFFFFF"/>
            <w:noWrap/>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c>
          <w:tcPr>
            <w:tcW w:w="6622" w:type="dxa"/>
            <w:tcBorders>
              <w:top w:val="nil"/>
              <w:left w:val="nil"/>
              <w:bottom w:val="single" w:sz="4" w:space="0" w:color="auto"/>
              <w:right w:val="single" w:sz="4" w:space="0" w:color="auto"/>
            </w:tcBorders>
            <w:shd w:val="clear" w:color="000000" w:fill="D8D8D8"/>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E) Discapacidad visual</w:t>
            </w:r>
          </w:p>
        </w:tc>
      </w:tr>
      <w:tr w:rsidR="00E2336B" w:rsidRPr="005F5A73" w:rsidTr="0092566C">
        <w:trPr>
          <w:trHeight w:val="300"/>
        </w:trPr>
        <w:tc>
          <w:tcPr>
            <w:tcW w:w="350" w:type="dxa"/>
            <w:tcBorders>
              <w:top w:val="nil"/>
              <w:left w:val="single" w:sz="4" w:space="0" w:color="auto"/>
              <w:bottom w:val="nil"/>
              <w:right w:val="nil"/>
            </w:tcBorders>
            <w:shd w:val="clear" w:color="000000" w:fill="BFBFBF"/>
            <w:noWrap/>
            <w:vAlign w:val="bottom"/>
          </w:tcPr>
          <w:p w:rsidR="00E2336B" w:rsidRPr="005F5A73" w:rsidRDefault="00E2336B" w:rsidP="00E237EB">
            <w:pPr>
              <w:jc w:val="cente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c>
          <w:tcPr>
            <w:tcW w:w="704" w:type="dxa"/>
            <w:tcBorders>
              <w:top w:val="nil"/>
              <w:left w:val="single" w:sz="4" w:space="0" w:color="auto"/>
              <w:bottom w:val="single" w:sz="4" w:space="0" w:color="auto"/>
              <w:right w:val="single" w:sz="4" w:space="0" w:color="auto"/>
            </w:tcBorders>
            <w:shd w:val="clear" w:color="000000" w:fill="FFFFFF"/>
            <w:noWrap/>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c>
          <w:tcPr>
            <w:tcW w:w="6622" w:type="dxa"/>
            <w:tcBorders>
              <w:top w:val="nil"/>
              <w:left w:val="nil"/>
              <w:bottom w:val="single" w:sz="4" w:space="0" w:color="auto"/>
              <w:right w:val="single" w:sz="4" w:space="0" w:color="auto"/>
            </w:tcBorders>
            <w:shd w:val="clear" w:color="000000" w:fill="D8D8D8"/>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F) Discapacidad auditiva</w:t>
            </w:r>
          </w:p>
        </w:tc>
      </w:tr>
      <w:tr w:rsidR="00E2336B" w:rsidRPr="005F5A73" w:rsidTr="0092566C">
        <w:trPr>
          <w:trHeight w:val="300"/>
        </w:trPr>
        <w:tc>
          <w:tcPr>
            <w:tcW w:w="350" w:type="dxa"/>
            <w:tcBorders>
              <w:top w:val="nil"/>
              <w:left w:val="single" w:sz="4" w:space="0" w:color="auto"/>
              <w:bottom w:val="nil"/>
              <w:right w:val="nil"/>
            </w:tcBorders>
            <w:shd w:val="clear" w:color="000000" w:fill="BFBFBF"/>
            <w:noWrap/>
            <w:vAlign w:val="bottom"/>
          </w:tcPr>
          <w:p w:rsidR="00E2336B" w:rsidRPr="005F5A73" w:rsidRDefault="00E2336B" w:rsidP="00E237EB">
            <w:pPr>
              <w:jc w:val="cente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c>
          <w:tcPr>
            <w:tcW w:w="704" w:type="dxa"/>
            <w:tcBorders>
              <w:top w:val="nil"/>
              <w:left w:val="single" w:sz="4" w:space="0" w:color="auto"/>
              <w:bottom w:val="single" w:sz="4" w:space="0" w:color="auto"/>
              <w:right w:val="single" w:sz="4" w:space="0" w:color="auto"/>
            </w:tcBorders>
            <w:shd w:val="clear" w:color="000000" w:fill="FFFFFF"/>
            <w:noWrap/>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c>
          <w:tcPr>
            <w:tcW w:w="6622" w:type="dxa"/>
            <w:tcBorders>
              <w:top w:val="nil"/>
              <w:left w:val="nil"/>
              <w:bottom w:val="single" w:sz="4" w:space="0" w:color="auto"/>
              <w:right w:val="single" w:sz="4" w:space="0" w:color="auto"/>
            </w:tcBorders>
            <w:shd w:val="clear" w:color="000000" w:fill="D8D8D8"/>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 xml:space="preserve">G) Otros (indíque cuáles): </w:t>
            </w:r>
          </w:p>
        </w:tc>
      </w:tr>
      <w:tr w:rsidR="00E2336B" w:rsidRPr="005F5A73" w:rsidTr="0092566C">
        <w:trPr>
          <w:trHeight w:val="180"/>
        </w:trPr>
        <w:tc>
          <w:tcPr>
            <w:tcW w:w="350" w:type="dxa"/>
            <w:tcBorders>
              <w:top w:val="nil"/>
              <w:left w:val="single" w:sz="4" w:space="0" w:color="auto"/>
              <w:bottom w:val="nil"/>
              <w:right w:val="nil"/>
            </w:tcBorders>
            <w:shd w:val="clear" w:color="000000" w:fill="BFBFBF"/>
            <w:noWrap/>
            <w:vAlign w:val="bottom"/>
          </w:tcPr>
          <w:p w:rsidR="00E2336B" w:rsidRPr="005F5A73" w:rsidRDefault="00E2336B" w:rsidP="00E237EB">
            <w:pPr>
              <w:jc w:val="cente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c>
          <w:tcPr>
            <w:tcW w:w="704" w:type="dxa"/>
            <w:tcBorders>
              <w:top w:val="nil"/>
              <w:left w:val="nil"/>
              <w:bottom w:val="nil"/>
              <w:right w:val="nil"/>
            </w:tcBorders>
            <w:shd w:val="clear" w:color="000000" w:fill="BFBFBF"/>
            <w:noWrap/>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c>
          <w:tcPr>
            <w:tcW w:w="6622" w:type="dxa"/>
            <w:tcBorders>
              <w:top w:val="nil"/>
              <w:left w:val="nil"/>
              <w:bottom w:val="nil"/>
              <w:right w:val="single" w:sz="4" w:space="0" w:color="auto"/>
            </w:tcBorders>
            <w:shd w:val="clear" w:color="000000" w:fill="BFBFBF"/>
            <w:noWrap/>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r>
      <w:tr w:rsidR="00E2336B" w:rsidRPr="005F5A73" w:rsidTr="0092566C">
        <w:trPr>
          <w:trHeight w:val="660"/>
        </w:trPr>
        <w:tc>
          <w:tcPr>
            <w:tcW w:w="350" w:type="dxa"/>
            <w:tcBorders>
              <w:top w:val="single" w:sz="4" w:space="0" w:color="auto"/>
              <w:left w:val="single" w:sz="4" w:space="0" w:color="auto"/>
              <w:bottom w:val="single" w:sz="4" w:space="0" w:color="auto"/>
              <w:right w:val="single" w:sz="4" w:space="0" w:color="auto"/>
            </w:tcBorders>
            <w:shd w:val="clear" w:color="000000" w:fill="A5A5A5"/>
            <w:noWrap/>
            <w:vAlign w:val="center"/>
          </w:tcPr>
          <w:p w:rsidR="00E2336B" w:rsidRPr="005F5A73" w:rsidRDefault="00E2336B" w:rsidP="00E237EB">
            <w:pPr>
              <w:jc w:val="center"/>
              <w:rPr>
                <w:rFonts w:ascii="MinionPro-Regular" w:hAnsi="MinionPro-Regular" w:cs="Calibri"/>
                <w:color w:val="000000"/>
                <w:sz w:val="20"/>
                <w:lang w:val="en-US"/>
              </w:rPr>
            </w:pPr>
            <w:r w:rsidRPr="005F5A73">
              <w:rPr>
                <w:rFonts w:ascii="MinionPro-Regular" w:hAnsi="MinionPro-Regular" w:cs="Calibri"/>
                <w:color w:val="000000"/>
                <w:sz w:val="20"/>
                <w:lang w:val="en-US"/>
              </w:rPr>
              <w:t>I</w:t>
            </w:r>
          </w:p>
        </w:tc>
        <w:tc>
          <w:tcPr>
            <w:tcW w:w="7326" w:type="dxa"/>
            <w:gridSpan w:val="2"/>
            <w:tcBorders>
              <w:top w:val="nil"/>
              <w:left w:val="nil"/>
              <w:bottom w:val="single" w:sz="4" w:space="0" w:color="auto"/>
              <w:right w:val="single" w:sz="4" w:space="0" w:color="auto"/>
            </w:tcBorders>
            <w:shd w:val="clear" w:color="000000" w:fill="BFBFBF"/>
            <w:vAlign w:val="center"/>
          </w:tcPr>
          <w:p w:rsidR="00E2336B" w:rsidRPr="005F5A73" w:rsidRDefault="00E2336B" w:rsidP="00E237EB">
            <w:pPr>
              <w:rPr>
                <w:rFonts w:ascii="MinionPro-Regular" w:hAnsi="MinionPro-Regular" w:cs="Calibri"/>
                <w:color w:val="000000"/>
                <w:sz w:val="20"/>
                <w:lang w:val="es-ES_tradnl"/>
              </w:rPr>
            </w:pPr>
            <w:r>
              <w:rPr>
                <w:rFonts w:ascii="MinionPro-Regular" w:hAnsi="MinionPro-Regular" w:cs="Calibri"/>
                <w:color w:val="000000"/>
                <w:sz w:val="20"/>
                <w:lang w:val="es-ES_tradnl"/>
              </w:rPr>
              <w:t>1.6. ¿Cuá</w:t>
            </w:r>
            <w:r w:rsidRPr="005F5A73">
              <w:rPr>
                <w:rFonts w:ascii="MinionPro-Regular" w:hAnsi="MinionPro-Regular" w:cs="Calibri"/>
                <w:color w:val="000000"/>
                <w:sz w:val="20"/>
                <w:lang w:val="es-ES_tradnl"/>
              </w:rPr>
              <w:t>nto tiempo llevas trabajando en total (incluyendo todos tus trabajos anteriores)?</w:t>
            </w:r>
          </w:p>
        </w:tc>
      </w:tr>
      <w:tr w:rsidR="00E2336B" w:rsidRPr="005F5A73" w:rsidTr="0092566C">
        <w:trPr>
          <w:trHeight w:val="300"/>
        </w:trPr>
        <w:tc>
          <w:tcPr>
            <w:tcW w:w="350" w:type="dxa"/>
            <w:tcBorders>
              <w:top w:val="nil"/>
              <w:left w:val="single" w:sz="4" w:space="0" w:color="auto"/>
              <w:bottom w:val="nil"/>
              <w:right w:val="nil"/>
            </w:tcBorders>
            <w:shd w:val="clear" w:color="000000" w:fill="BFBFBF"/>
            <w:noWrap/>
            <w:vAlign w:val="bottom"/>
          </w:tcPr>
          <w:p w:rsidR="00E2336B" w:rsidRPr="005F5A73" w:rsidRDefault="00E2336B" w:rsidP="00E237EB">
            <w:pPr>
              <w:jc w:val="center"/>
              <w:rPr>
                <w:rFonts w:ascii="MinionPro-Regular" w:hAnsi="MinionPro-Regular" w:cs="Calibri"/>
                <w:color w:val="000000"/>
                <w:sz w:val="20"/>
                <w:lang w:val="es-ES_tradnl"/>
              </w:rPr>
            </w:pPr>
            <w:r w:rsidRPr="005F5A73">
              <w:rPr>
                <w:rFonts w:ascii="MinionPro-Regular" w:hAnsi="MinionPro-Regular" w:cs="Calibri"/>
                <w:color w:val="000000"/>
                <w:sz w:val="20"/>
                <w:lang w:val="es-ES_tradnl"/>
              </w:rPr>
              <w:t> </w:t>
            </w:r>
          </w:p>
        </w:tc>
        <w:tc>
          <w:tcPr>
            <w:tcW w:w="704" w:type="dxa"/>
            <w:tcBorders>
              <w:top w:val="nil"/>
              <w:left w:val="single" w:sz="4" w:space="0" w:color="auto"/>
              <w:bottom w:val="single" w:sz="4" w:space="0" w:color="auto"/>
              <w:right w:val="single" w:sz="4" w:space="0" w:color="auto"/>
            </w:tcBorders>
            <w:shd w:val="clear" w:color="000000" w:fill="FFFFFF"/>
            <w:noWrap/>
            <w:vAlign w:val="bottom"/>
          </w:tcPr>
          <w:p w:rsidR="00E2336B" w:rsidRPr="005F5A73" w:rsidRDefault="00E2336B" w:rsidP="00E237EB">
            <w:pPr>
              <w:rPr>
                <w:rFonts w:ascii="MinionPro-Regular" w:hAnsi="MinionPro-Regular" w:cs="Calibri"/>
                <w:color w:val="000000"/>
                <w:sz w:val="20"/>
                <w:lang w:val="es-ES_tradnl"/>
              </w:rPr>
            </w:pPr>
          </w:p>
        </w:tc>
        <w:tc>
          <w:tcPr>
            <w:tcW w:w="6622" w:type="dxa"/>
            <w:tcBorders>
              <w:top w:val="nil"/>
              <w:left w:val="nil"/>
              <w:bottom w:val="single" w:sz="4" w:space="0" w:color="auto"/>
              <w:right w:val="single" w:sz="4" w:space="0" w:color="auto"/>
            </w:tcBorders>
            <w:shd w:val="clear" w:color="000000" w:fill="D8D8D8"/>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A) Menos de 2 años</w:t>
            </w:r>
          </w:p>
        </w:tc>
      </w:tr>
      <w:tr w:rsidR="00E2336B" w:rsidRPr="005F5A73" w:rsidTr="0092566C">
        <w:trPr>
          <w:trHeight w:val="300"/>
        </w:trPr>
        <w:tc>
          <w:tcPr>
            <w:tcW w:w="350" w:type="dxa"/>
            <w:tcBorders>
              <w:top w:val="nil"/>
              <w:left w:val="single" w:sz="4" w:space="0" w:color="auto"/>
              <w:bottom w:val="nil"/>
              <w:right w:val="nil"/>
            </w:tcBorders>
            <w:shd w:val="clear" w:color="000000" w:fill="BFBFBF"/>
            <w:noWrap/>
            <w:vAlign w:val="bottom"/>
          </w:tcPr>
          <w:p w:rsidR="00E2336B" w:rsidRPr="005F5A73" w:rsidRDefault="00E2336B" w:rsidP="00E237EB">
            <w:pPr>
              <w:jc w:val="cente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c>
          <w:tcPr>
            <w:tcW w:w="704" w:type="dxa"/>
            <w:tcBorders>
              <w:top w:val="nil"/>
              <w:left w:val="single" w:sz="4" w:space="0" w:color="auto"/>
              <w:bottom w:val="single" w:sz="4" w:space="0" w:color="auto"/>
              <w:right w:val="single" w:sz="4" w:space="0" w:color="auto"/>
            </w:tcBorders>
            <w:shd w:val="clear" w:color="000000" w:fill="FFFFFF"/>
            <w:noWrap/>
            <w:vAlign w:val="bottom"/>
          </w:tcPr>
          <w:p w:rsidR="00E2336B" w:rsidRPr="005F5A73" w:rsidRDefault="00E2336B" w:rsidP="00E237EB">
            <w:pPr>
              <w:rPr>
                <w:rFonts w:ascii="MinionPro-Regular" w:hAnsi="MinionPro-Regular" w:cs="Calibri"/>
                <w:color w:val="000000"/>
                <w:sz w:val="20"/>
                <w:lang w:val="en-US"/>
              </w:rPr>
            </w:pPr>
          </w:p>
        </w:tc>
        <w:tc>
          <w:tcPr>
            <w:tcW w:w="6622" w:type="dxa"/>
            <w:tcBorders>
              <w:top w:val="nil"/>
              <w:left w:val="nil"/>
              <w:bottom w:val="single" w:sz="4" w:space="0" w:color="auto"/>
              <w:right w:val="single" w:sz="4" w:space="0" w:color="auto"/>
            </w:tcBorders>
            <w:shd w:val="clear" w:color="000000" w:fill="D8D8D8"/>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B) Entre 2 y 5 años</w:t>
            </w:r>
          </w:p>
        </w:tc>
      </w:tr>
      <w:tr w:rsidR="00E2336B" w:rsidRPr="005F5A73" w:rsidTr="0092566C">
        <w:trPr>
          <w:trHeight w:val="300"/>
        </w:trPr>
        <w:tc>
          <w:tcPr>
            <w:tcW w:w="350" w:type="dxa"/>
            <w:tcBorders>
              <w:top w:val="nil"/>
              <w:left w:val="single" w:sz="4" w:space="0" w:color="auto"/>
              <w:bottom w:val="nil"/>
              <w:right w:val="nil"/>
            </w:tcBorders>
            <w:shd w:val="clear" w:color="000000" w:fill="BFBFBF"/>
            <w:noWrap/>
            <w:vAlign w:val="bottom"/>
          </w:tcPr>
          <w:p w:rsidR="00E2336B" w:rsidRPr="005F5A73" w:rsidRDefault="00E2336B" w:rsidP="00E237EB">
            <w:pPr>
              <w:jc w:val="cente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c>
          <w:tcPr>
            <w:tcW w:w="704" w:type="dxa"/>
            <w:tcBorders>
              <w:top w:val="nil"/>
              <w:left w:val="single" w:sz="4" w:space="0" w:color="auto"/>
              <w:bottom w:val="single" w:sz="4" w:space="0" w:color="auto"/>
              <w:right w:val="single" w:sz="4" w:space="0" w:color="auto"/>
            </w:tcBorders>
            <w:shd w:val="clear" w:color="000000" w:fill="FFFFFF"/>
            <w:noWrap/>
            <w:vAlign w:val="bottom"/>
          </w:tcPr>
          <w:p w:rsidR="00E2336B" w:rsidRPr="005F5A73" w:rsidRDefault="00E2336B" w:rsidP="00E237EB">
            <w:pPr>
              <w:rPr>
                <w:rFonts w:ascii="MinionPro-Regular" w:hAnsi="MinionPro-Regular" w:cs="Calibri"/>
                <w:color w:val="000000"/>
                <w:sz w:val="20"/>
                <w:lang w:val="en-US"/>
              </w:rPr>
            </w:pPr>
          </w:p>
        </w:tc>
        <w:tc>
          <w:tcPr>
            <w:tcW w:w="6622" w:type="dxa"/>
            <w:tcBorders>
              <w:top w:val="nil"/>
              <w:left w:val="nil"/>
              <w:bottom w:val="single" w:sz="4" w:space="0" w:color="auto"/>
              <w:right w:val="single" w:sz="4" w:space="0" w:color="auto"/>
            </w:tcBorders>
            <w:shd w:val="clear" w:color="000000" w:fill="D8D8D8"/>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C) Entre 5 y 10 años</w:t>
            </w:r>
          </w:p>
        </w:tc>
      </w:tr>
      <w:tr w:rsidR="00E2336B" w:rsidRPr="005F5A73" w:rsidTr="0092566C">
        <w:trPr>
          <w:trHeight w:val="300"/>
        </w:trPr>
        <w:tc>
          <w:tcPr>
            <w:tcW w:w="350" w:type="dxa"/>
            <w:tcBorders>
              <w:top w:val="nil"/>
              <w:left w:val="single" w:sz="4" w:space="0" w:color="auto"/>
              <w:bottom w:val="nil"/>
              <w:right w:val="nil"/>
            </w:tcBorders>
            <w:shd w:val="clear" w:color="000000" w:fill="BFBFBF"/>
            <w:noWrap/>
            <w:vAlign w:val="bottom"/>
          </w:tcPr>
          <w:p w:rsidR="00E2336B" w:rsidRPr="005F5A73" w:rsidRDefault="00E2336B" w:rsidP="00E237EB">
            <w:pPr>
              <w:jc w:val="cente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c>
          <w:tcPr>
            <w:tcW w:w="704" w:type="dxa"/>
            <w:tcBorders>
              <w:top w:val="nil"/>
              <w:left w:val="single" w:sz="4" w:space="0" w:color="auto"/>
              <w:bottom w:val="single" w:sz="4" w:space="0" w:color="auto"/>
              <w:right w:val="single" w:sz="4" w:space="0" w:color="auto"/>
            </w:tcBorders>
            <w:shd w:val="clear" w:color="000000" w:fill="FFFFFF"/>
            <w:noWrap/>
            <w:vAlign w:val="bottom"/>
          </w:tcPr>
          <w:p w:rsidR="00E2336B" w:rsidRPr="005F5A73" w:rsidRDefault="00E2336B" w:rsidP="00E237EB">
            <w:pPr>
              <w:rPr>
                <w:rFonts w:ascii="MinionPro-Regular" w:hAnsi="MinionPro-Regular" w:cs="Calibri"/>
                <w:color w:val="000000"/>
                <w:sz w:val="20"/>
                <w:lang w:val="en-US"/>
              </w:rPr>
            </w:pPr>
          </w:p>
        </w:tc>
        <w:tc>
          <w:tcPr>
            <w:tcW w:w="6622" w:type="dxa"/>
            <w:tcBorders>
              <w:top w:val="nil"/>
              <w:left w:val="nil"/>
              <w:bottom w:val="single" w:sz="4" w:space="0" w:color="auto"/>
              <w:right w:val="single" w:sz="4" w:space="0" w:color="auto"/>
            </w:tcBorders>
            <w:shd w:val="clear" w:color="000000" w:fill="D8D8D8"/>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D) Más de 10 años</w:t>
            </w:r>
          </w:p>
        </w:tc>
      </w:tr>
      <w:tr w:rsidR="00E2336B" w:rsidRPr="005F5A73" w:rsidTr="0092566C">
        <w:trPr>
          <w:trHeight w:val="300"/>
        </w:trPr>
        <w:tc>
          <w:tcPr>
            <w:tcW w:w="350" w:type="dxa"/>
            <w:tcBorders>
              <w:top w:val="nil"/>
              <w:left w:val="single" w:sz="4" w:space="0" w:color="auto"/>
              <w:bottom w:val="nil"/>
              <w:right w:val="nil"/>
            </w:tcBorders>
            <w:shd w:val="clear" w:color="000000" w:fill="BFBFBF"/>
            <w:noWrap/>
            <w:vAlign w:val="bottom"/>
          </w:tcPr>
          <w:p w:rsidR="00E2336B" w:rsidRPr="005F5A73" w:rsidRDefault="00E2336B" w:rsidP="00E237EB">
            <w:pPr>
              <w:jc w:val="cente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c>
          <w:tcPr>
            <w:tcW w:w="704" w:type="dxa"/>
            <w:tcBorders>
              <w:top w:val="nil"/>
              <w:left w:val="single" w:sz="4" w:space="0" w:color="auto"/>
              <w:bottom w:val="single" w:sz="4" w:space="0" w:color="auto"/>
              <w:right w:val="single" w:sz="4" w:space="0" w:color="auto"/>
            </w:tcBorders>
            <w:shd w:val="clear" w:color="000000" w:fill="FFFFFF"/>
            <w:noWrap/>
            <w:vAlign w:val="bottom"/>
          </w:tcPr>
          <w:p w:rsidR="00E2336B" w:rsidRPr="005F5A73" w:rsidRDefault="00E2336B" w:rsidP="00E237EB">
            <w:pPr>
              <w:rPr>
                <w:rFonts w:ascii="MinionPro-Regular" w:hAnsi="MinionPro-Regular" w:cs="Calibri"/>
                <w:color w:val="000000"/>
                <w:sz w:val="20"/>
                <w:lang w:val="en-US"/>
              </w:rPr>
            </w:pPr>
          </w:p>
        </w:tc>
        <w:tc>
          <w:tcPr>
            <w:tcW w:w="6622" w:type="dxa"/>
            <w:tcBorders>
              <w:top w:val="nil"/>
              <w:left w:val="nil"/>
              <w:bottom w:val="single" w:sz="4" w:space="0" w:color="auto"/>
              <w:right w:val="single" w:sz="4" w:space="0" w:color="auto"/>
            </w:tcBorders>
            <w:shd w:val="clear" w:color="000000" w:fill="D8D8D8"/>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 xml:space="preserve">E) Otros (indíque cuáles): </w:t>
            </w:r>
          </w:p>
        </w:tc>
      </w:tr>
      <w:tr w:rsidR="00E2336B" w:rsidRPr="005F5A73" w:rsidTr="0092566C">
        <w:trPr>
          <w:trHeight w:val="180"/>
        </w:trPr>
        <w:tc>
          <w:tcPr>
            <w:tcW w:w="350" w:type="dxa"/>
            <w:tcBorders>
              <w:top w:val="nil"/>
              <w:left w:val="single" w:sz="4" w:space="0" w:color="auto"/>
              <w:bottom w:val="nil"/>
              <w:right w:val="nil"/>
            </w:tcBorders>
            <w:shd w:val="clear" w:color="000000" w:fill="BFBFBF"/>
            <w:noWrap/>
            <w:vAlign w:val="bottom"/>
          </w:tcPr>
          <w:p w:rsidR="00E2336B" w:rsidRPr="005F5A73" w:rsidRDefault="00E2336B" w:rsidP="00E237EB">
            <w:pPr>
              <w:jc w:val="cente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c>
          <w:tcPr>
            <w:tcW w:w="704" w:type="dxa"/>
            <w:tcBorders>
              <w:top w:val="nil"/>
              <w:left w:val="nil"/>
              <w:bottom w:val="nil"/>
              <w:right w:val="nil"/>
            </w:tcBorders>
            <w:shd w:val="clear" w:color="000000" w:fill="BFBFBF"/>
            <w:noWrap/>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c>
          <w:tcPr>
            <w:tcW w:w="6622" w:type="dxa"/>
            <w:tcBorders>
              <w:top w:val="nil"/>
              <w:left w:val="nil"/>
              <w:bottom w:val="nil"/>
              <w:right w:val="single" w:sz="4" w:space="0" w:color="auto"/>
            </w:tcBorders>
            <w:shd w:val="clear" w:color="000000" w:fill="BFBFBF"/>
            <w:noWrap/>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r>
      <w:tr w:rsidR="00E2336B" w:rsidRPr="005F5A73" w:rsidTr="0092566C">
        <w:trPr>
          <w:trHeight w:val="300"/>
        </w:trPr>
        <w:tc>
          <w:tcPr>
            <w:tcW w:w="350" w:type="dxa"/>
            <w:tcBorders>
              <w:top w:val="single" w:sz="4" w:space="0" w:color="auto"/>
              <w:left w:val="single" w:sz="4" w:space="0" w:color="auto"/>
              <w:bottom w:val="single" w:sz="4" w:space="0" w:color="auto"/>
              <w:right w:val="single" w:sz="4" w:space="0" w:color="auto"/>
            </w:tcBorders>
            <w:shd w:val="clear" w:color="000000" w:fill="A5A5A5"/>
            <w:noWrap/>
            <w:vAlign w:val="bottom"/>
          </w:tcPr>
          <w:p w:rsidR="00E2336B" w:rsidRPr="005F5A73" w:rsidRDefault="00E2336B" w:rsidP="00E237EB">
            <w:pPr>
              <w:jc w:val="center"/>
              <w:rPr>
                <w:rFonts w:ascii="MinionPro-Regular" w:hAnsi="MinionPro-Regular" w:cs="Calibri"/>
                <w:color w:val="000000"/>
                <w:sz w:val="20"/>
                <w:lang w:val="en-US"/>
              </w:rPr>
            </w:pPr>
            <w:r w:rsidRPr="005F5A73">
              <w:rPr>
                <w:rFonts w:ascii="MinionPro-Regular" w:hAnsi="MinionPro-Regular" w:cs="Calibri"/>
                <w:color w:val="000000"/>
                <w:sz w:val="20"/>
                <w:lang w:val="en-US"/>
              </w:rPr>
              <w:t>I</w:t>
            </w:r>
          </w:p>
        </w:tc>
        <w:tc>
          <w:tcPr>
            <w:tcW w:w="7326" w:type="dxa"/>
            <w:gridSpan w:val="2"/>
            <w:tcBorders>
              <w:top w:val="nil"/>
              <w:left w:val="nil"/>
              <w:bottom w:val="single" w:sz="4" w:space="0" w:color="auto"/>
              <w:right w:val="single" w:sz="4" w:space="0" w:color="auto"/>
            </w:tcBorders>
            <w:shd w:val="clear" w:color="000000" w:fill="BFBFBF"/>
            <w:noWrap/>
            <w:vAlign w:val="bottom"/>
          </w:tcPr>
          <w:p w:rsidR="00E2336B" w:rsidRPr="005F5A73" w:rsidRDefault="00E2336B" w:rsidP="00E237EB">
            <w:pPr>
              <w:rPr>
                <w:rFonts w:ascii="MinionPro-Regular" w:hAnsi="MinionPro-Regular" w:cs="Calibri"/>
                <w:color w:val="000000"/>
                <w:sz w:val="20"/>
                <w:lang w:val="es-ES_tradnl"/>
              </w:rPr>
            </w:pPr>
            <w:r w:rsidRPr="005F5A73">
              <w:rPr>
                <w:rFonts w:ascii="MinionPro-Regular" w:hAnsi="MinionPro-Regular" w:cs="Calibri"/>
                <w:color w:val="000000"/>
                <w:sz w:val="20"/>
                <w:lang w:val="es-ES_tradnl"/>
              </w:rPr>
              <w:t>1.7. ¿Cuánto llevas trabajando en este CEE?</w:t>
            </w:r>
          </w:p>
        </w:tc>
      </w:tr>
      <w:tr w:rsidR="00E2336B" w:rsidRPr="005F5A73" w:rsidTr="0092566C">
        <w:trPr>
          <w:trHeight w:val="300"/>
        </w:trPr>
        <w:tc>
          <w:tcPr>
            <w:tcW w:w="350" w:type="dxa"/>
            <w:tcBorders>
              <w:top w:val="nil"/>
              <w:left w:val="single" w:sz="4" w:space="0" w:color="auto"/>
              <w:bottom w:val="nil"/>
              <w:right w:val="nil"/>
            </w:tcBorders>
            <w:shd w:val="clear" w:color="000000" w:fill="BFBFBF"/>
            <w:noWrap/>
            <w:vAlign w:val="bottom"/>
          </w:tcPr>
          <w:p w:rsidR="00E2336B" w:rsidRPr="005F5A73" w:rsidRDefault="00E2336B" w:rsidP="00E237EB">
            <w:pPr>
              <w:jc w:val="center"/>
              <w:rPr>
                <w:rFonts w:ascii="MinionPro-Regular" w:hAnsi="MinionPro-Regular" w:cs="Calibri"/>
                <w:color w:val="000000"/>
                <w:sz w:val="20"/>
                <w:lang w:val="es-ES_tradnl"/>
              </w:rPr>
            </w:pPr>
            <w:r w:rsidRPr="005F5A73">
              <w:rPr>
                <w:rFonts w:ascii="MinionPro-Regular" w:hAnsi="MinionPro-Regular" w:cs="Calibri"/>
                <w:color w:val="000000"/>
                <w:sz w:val="20"/>
                <w:lang w:val="es-ES_tradnl"/>
              </w:rPr>
              <w:t> </w:t>
            </w:r>
          </w:p>
        </w:tc>
        <w:tc>
          <w:tcPr>
            <w:tcW w:w="704" w:type="dxa"/>
            <w:tcBorders>
              <w:top w:val="nil"/>
              <w:left w:val="single" w:sz="4" w:space="0" w:color="auto"/>
              <w:bottom w:val="single" w:sz="4" w:space="0" w:color="auto"/>
              <w:right w:val="single" w:sz="4" w:space="0" w:color="auto"/>
            </w:tcBorders>
            <w:shd w:val="clear" w:color="000000" w:fill="FFFFFF"/>
            <w:noWrap/>
            <w:vAlign w:val="bottom"/>
          </w:tcPr>
          <w:p w:rsidR="00E2336B" w:rsidRPr="005F5A73" w:rsidRDefault="00E2336B" w:rsidP="00E237EB">
            <w:pPr>
              <w:rPr>
                <w:rFonts w:ascii="MinionPro-Regular" w:hAnsi="MinionPro-Regular" w:cs="Calibri"/>
                <w:color w:val="000000"/>
                <w:sz w:val="20"/>
                <w:lang w:val="es-ES_tradnl"/>
              </w:rPr>
            </w:pPr>
          </w:p>
        </w:tc>
        <w:tc>
          <w:tcPr>
            <w:tcW w:w="6622" w:type="dxa"/>
            <w:tcBorders>
              <w:top w:val="nil"/>
              <w:left w:val="nil"/>
              <w:bottom w:val="single" w:sz="4" w:space="0" w:color="auto"/>
              <w:right w:val="single" w:sz="4" w:space="0" w:color="auto"/>
            </w:tcBorders>
            <w:shd w:val="clear" w:color="000000" w:fill="D8D8D8"/>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A) Menos de 2 años</w:t>
            </w:r>
          </w:p>
        </w:tc>
      </w:tr>
      <w:tr w:rsidR="00E2336B" w:rsidRPr="005F5A73" w:rsidTr="0092566C">
        <w:trPr>
          <w:trHeight w:val="300"/>
        </w:trPr>
        <w:tc>
          <w:tcPr>
            <w:tcW w:w="350" w:type="dxa"/>
            <w:tcBorders>
              <w:top w:val="nil"/>
              <w:left w:val="single" w:sz="4" w:space="0" w:color="auto"/>
              <w:bottom w:val="nil"/>
              <w:right w:val="nil"/>
            </w:tcBorders>
            <w:shd w:val="clear" w:color="000000" w:fill="BFBFBF"/>
            <w:noWrap/>
            <w:vAlign w:val="bottom"/>
          </w:tcPr>
          <w:p w:rsidR="00E2336B" w:rsidRPr="005F5A73" w:rsidRDefault="00E2336B" w:rsidP="00E237EB">
            <w:pPr>
              <w:jc w:val="cente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c>
          <w:tcPr>
            <w:tcW w:w="704" w:type="dxa"/>
            <w:tcBorders>
              <w:top w:val="nil"/>
              <w:left w:val="single" w:sz="4" w:space="0" w:color="auto"/>
              <w:bottom w:val="single" w:sz="4" w:space="0" w:color="auto"/>
              <w:right w:val="single" w:sz="4" w:space="0" w:color="auto"/>
            </w:tcBorders>
            <w:shd w:val="clear" w:color="000000" w:fill="FFFFFF"/>
            <w:noWrap/>
            <w:vAlign w:val="bottom"/>
          </w:tcPr>
          <w:p w:rsidR="00E2336B" w:rsidRPr="005F5A73" w:rsidRDefault="00E2336B" w:rsidP="00E237EB">
            <w:pPr>
              <w:rPr>
                <w:rFonts w:ascii="MinionPro-Regular" w:hAnsi="MinionPro-Regular" w:cs="Calibri"/>
                <w:color w:val="000000"/>
                <w:sz w:val="20"/>
                <w:lang w:val="en-US"/>
              </w:rPr>
            </w:pPr>
          </w:p>
        </w:tc>
        <w:tc>
          <w:tcPr>
            <w:tcW w:w="6622" w:type="dxa"/>
            <w:tcBorders>
              <w:top w:val="nil"/>
              <w:left w:val="nil"/>
              <w:bottom w:val="single" w:sz="4" w:space="0" w:color="auto"/>
              <w:right w:val="single" w:sz="4" w:space="0" w:color="auto"/>
            </w:tcBorders>
            <w:shd w:val="clear" w:color="000000" w:fill="D8D8D8"/>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B) Entre 2 y 5 años</w:t>
            </w:r>
          </w:p>
        </w:tc>
      </w:tr>
      <w:tr w:rsidR="00E2336B" w:rsidRPr="005F5A73" w:rsidTr="0092566C">
        <w:trPr>
          <w:trHeight w:val="300"/>
        </w:trPr>
        <w:tc>
          <w:tcPr>
            <w:tcW w:w="350" w:type="dxa"/>
            <w:tcBorders>
              <w:top w:val="nil"/>
              <w:left w:val="single" w:sz="4" w:space="0" w:color="auto"/>
              <w:bottom w:val="nil"/>
              <w:right w:val="nil"/>
            </w:tcBorders>
            <w:shd w:val="clear" w:color="000000" w:fill="BFBFBF"/>
            <w:noWrap/>
            <w:vAlign w:val="bottom"/>
          </w:tcPr>
          <w:p w:rsidR="00E2336B" w:rsidRPr="005F5A73" w:rsidRDefault="00E2336B" w:rsidP="00E237EB">
            <w:pPr>
              <w:jc w:val="cente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c>
          <w:tcPr>
            <w:tcW w:w="704" w:type="dxa"/>
            <w:tcBorders>
              <w:top w:val="nil"/>
              <w:left w:val="single" w:sz="4" w:space="0" w:color="auto"/>
              <w:bottom w:val="single" w:sz="4" w:space="0" w:color="auto"/>
              <w:right w:val="single" w:sz="4" w:space="0" w:color="auto"/>
            </w:tcBorders>
            <w:shd w:val="clear" w:color="000000" w:fill="FFFFFF"/>
            <w:noWrap/>
            <w:vAlign w:val="bottom"/>
          </w:tcPr>
          <w:p w:rsidR="00E2336B" w:rsidRPr="005F5A73" w:rsidRDefault="00E2336B" w:rsidP="00E237EB">
            <w:pPr>
              <w:rPr>
                <w:rFonts w:ascii="MinionPro-Regular" w:hAnsi="MinionPro-Regular" w:cs="Calibri"/>
                <w:color w:val="000000"/>
                <w:sz w:val="20"/>
                <w:lang w:val="en-US"/>
              </w:rPr>
            </w:pPr>
          </w:p>
        </w:tc>
        <w:tc>
          <w:tcPr>
            <w:tcW w:w="6622" w:type="dxa"/>
            <w:tcBorders>
              <w:top w:val="nil"/>
              <w:left w:val="nil"/>
              <w:bottom w:val="single" w:sz="4" w:space="0" w:color="auto"/>
              <w:right w:val="single" w:sz="4" w:space="0" w:color="auto"/>
            </w:tcBorders>
            <w:shd w:val="clear" w:color="000000" w:fill="D8D8D8"/>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C) Entre 5 y 10 años</w:t>
            </w:r>
          </w:p>
        </w:tc>
      </w:tr>
      <w:tr w:rsidR="00E2336B" w:rsidRPr="005F5A73" w:rsidTr="0092566C">
        <w:trPr>
          <w:trHeight w:val="300"/>
        </w:trPr>
        <w:tc>
          <w:tcPr>
            <w:tcW w:w="350" w:type="dxa"/>
            <w:tcBorders>
              <w:top w:val="nil"/>
              <w:left w:val="single" w:sz="4" w:space="0" w:color="auto"/>
              <w:bottom w:val="nil"/>
              <w:right w:val="nil"/>
            </w:tcBorders>
            <w:shd w:val="clear" w:color="000000" w:fill="BFBFBF"/>
            <w:noWrap/>
            <w:vAlign w:val="bottom"/>
          </w:tcPr>
          <w:p w:rsidR="00E2336B" w:rsidRPr="005F5A73" w:rsidRDefault="00E2336B" w:rsidP="00E237EB">
            <w:pPr>
              <w:jc w:val="center"/>
              <w:rPr>
                <w:rFonts w:ascii="MinionPro-Regular" w:hAnsi="MinionPro-Regular" w:cs="Calibri"/>
                <w:color w:val="000000"/>
                <w:sz w:val="20"/>
                <w:lang w:val="en-US"/>
              </w:rPr>
            </w:pPr>
            <w:r w:rsidRPr="005F5A73">
              <w:rPr>
                <w:rFonts w:ascii="MinionPro-Regular" w:hAnsi="MinionPro-Regular" w:cs="Calibri"/>
                <w:color w:val="000000"/>
                <w:sz w:val="20"/>
                <w:lang w:val="en-US"/>
              </w:rPr>
              <w:lastRenderedPageBreak/>
              <w:t> </w:t>
            </w:r>
          </w:p>
        </w:tc>
        <w:tc>
          <w:tcPr>
            <w:tcW w:w="704" w:type="dxa"/>
            <w:tcBorders>
              <w:top w:val="nil"/>
              <w:left w:val="single" w:sz="4" w:space="0" w:color="auto"/>
              <w:bottom w:val="single" w:sz="4" w:space="0" w:color="auto"/>
              <w:right w:val="single" w:sz="4" w:space="0" w:color="auto"/>
            </w:tcBorders>
            <w:shd w:val="clear" w:color="000000" w:fill="FFFFFF"/>
            <w:noWrap/>
            <w:vAlign w:val="bottom"/>
          </w:tcPr>
          <w:p w:rsidR="00E2336B" w:rsidRPr="005F5A73" w:rsidRDefault="00E2336B" w:rsidP="00E237EB">
            <w:pPr>
              <w:rPr>
                <w:rFonts w:ascii="MinionPro-Regular" w:hAnsi="MinionPro-Regular" w:cs="Calibri"/>
                <w:color w:val="000000"/>
                <w:sz w:val="20"/>
                <w:lang w:val="en-US"/>
              </w:rPr>
            </w:pPr>
          </w:p>
        </w:tc>
        <w:tc>
          <w:tcPr>
            <w:tcW w:w="6622" w:type="dxa"/>
            <w:tcBorders>
              <w:top w:val="nil"/>
              <w:left w:val="nil"/>
              <w:bottom w:val="single" w:sz="4" w:space="0" w:color="auto"/>
              <w:right w:val="single" w:sz="4" w:space="0" w:color="auto"/>
            </w:tcBorders>
            <w:shd w:val="clear" w:color="000000" w:fill="D8D8D8"/>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D) Más de 10 años</w:t>
            </w:r>
          </w:p>
        </w:tc>
      </w:tr>
      <w:tr w:rsidR="00E2336B" w:rsidRPr="005F5A73" w:rsidTr="0092566C">
        <w:trPr>
          <w:trHeight w:val="300"/>
        </w:trPr>
        <w:tc>
          <w:tcPr>
            <w:tcW w:w="350" w:type="dxa"/>
            <w:tcBorders>
              <w:top w:val="nil"/>
              <w:left w:val="single" w:sz="4" w:space="0" w:color="auto"/>
              <w:bottom w:val="nil"/>
              <w:right w:val="nil"/>
            </w:tcBorders>
            <w:shd w:val="clear" w:color="000000" w:fill="BFBFBF"/>
            <w:noWrap/>
            <w:vAlign w:val="bottom"/>
          </w:tcPr>
          <w:p w:rsidR="00E2336B" w:rsidRPr="005F5A73" w:rsidRDefault="00E2336B" w:rsidP="00E237EB">
            <w:pPr>
              <w:jc w:val="cente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c>
          <w:tcPr>
            <w:tcW w:w="704" w:type="dxa"/>
            <w:tcBorders>
              <w:top w:val="nil"/>
              <w:left w:val="single" w:sz="4" w:space="0" w:color="auto"/>
              <w:bottom w:val="single" w:sz="4" w:space="0" w:color="auto"/>
              <w:right w:val="single" w:sz="4" w:space="0" w:color="auto"/>
            </w:tcBorders>
            <w:shd w:val="clear" w:color="000000" w:fill="FFFFFF"/>
            <w:noWrap/>
            <w:vAlign w:val="bottom"/>
          </w:tcPr>
          <w:p w:rsidR="00E2336B" w:rsidRPr="005F5A73" w:rsidRDefault="00E2336B" w:rsidP="00E237EB">
            <w:pPr>
              <w:rPr>
                <w:rFonts w:ascii="MinionPro-Regular" w:hAnsi="MinionPro-Regular" w:cs="Calibri"/>
                <w:color w:val="000000"/>
                <w:sz w:val="20"/>
                <w:lang w:val="en-US"/>
              </w:rPr>
            </w:pPr>
          </w:p>
        </w:tc>
        <w:tc>
          <w:tcPr>
            <w:tcW w:w="6622" w:type="dxa"/>
            <w:tcBorders>
              <w:top w:val="nil"/>
              <w:left w:val="nil"/>
              <w:bottom w:val="single" w:sz="4" w:space="0" w:color="auto"/>
              <w:right w:val="single" w:sz="4" w:space="0" w:color="auto"/>
            </w:tcBorders>
            <w:shd w:val="clear" w:color="000000" w:fill="D8D8D8"/>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 xml:space="preserve">E) Otros (indíque cuáles): </w:t>
            </w:r>
          </w:p>
        </w:tc>
      </w:tr>
      <w:tr w:rsidR="00E2336B" w:rsidRPr="005F5A73" w:rsidTr="0092566C">
        <w:trPr>
          <w:trHeight w:val="180"/>
        </w:trPr>
        <w:tc>
          <w:tcPr>
            <w:tcW w:w="350" w:type="dxa"/>
            <w:tcBorders>
              <w:top w:val="nil"/>
              <w:left w:val="single" w:sz="4" w:space="0" w:color="auto"/>
              <w:bottom w:val="nil"/>
              <w:right w:val="nil"/>
            </w:tcBorders>
            <w:shd w:val="clear" w:color="000000" w:fill="BFBFBF"/>
            <w:noWrap/>
            <w:vAlign w:val="bottom"/>
          </w:tcPr>
          <w:p w:rsidR="00E2336B" w:rsidRPr="005F5A73" w:rsidRDefault="00E2336B" w:rsidP="00E237EB">
            <w:pPr>
              <w:jc w:val="cente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c>
          <w:tcPr>
            <w:tcW w:w="704" w:type="dxa"/>
            <w:tcBorders>
              <w:top w:val="nil"/>
              <w:left w:val="nil"/>
              <w:bottom w:val="nil"/>
              <w:right w:val="nil"/>
            </w:tcBorders>
            <w:shd w:val="clear" w:color="000000" w:fill="BFBFBF"/>
            <w:noWrap/>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c>
          <w:tcPr>
            <w:tcW w:w="6622" w:type="dxa"/>
            <w:tcBorders>
              <w:top w:val="nil"/>
              <w:left w:val="nil"/>
              <w:bottom w:val="nil"/>
              <w:right w:val="single" w:sz="4" w:space="0" w:color="auto"/>
            </w:tcBorders>
            <w:shd w:val="clear" w:color="000000" w:fill="BFBFBF"/>
            <w:noWrap/>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r>
      <w:tr w:rsidR="00E2336B" w:rsidRPr="005F5A73" w:rsidTr="0092566C">
        <w:trPr>
          <w:trHeight w:val="300"/>
        </w:trPr>
        <w:tc>
          <w:tcPr>
            <w:tcW w:w="350" w:type="dxa"/>
            <w:tcBorders>
              <w:top w:val="single" w:sz="4" w:space="0" w:color="auto"/>
              <w:left w:val="single" w:sz="4" w:space="0" w:color="auto"/>
              <w:bottom w:val="single" w:sz="4" w:space="0" w:color="auto"/>
              <w:right w:val="single" w:sz="4" w:space="0" w:color="auto"/>
            </w:tcBorders>
            <w:shd w:val="clear" w:color="000000" w:fill="A5A5A5"/>
            <w:noWrap/>
            <w:vAlign w:val="bottom"/>
          </w:tcPr>
          <w:p w:rsidR="00E2336B" w:rsidRPr="005F5A73" w:rsidRDefault="00E2336B" w:rsidP="00E237EB">
            <w:pPr>
              <w:jc w:val="center"/>
              <w:rPr>
                <w:rFonts w:ascii="MinionPro-Regular" w:hAnsi="MinionPro-Regular" w:cs="Calibri"/>
                <w:color w:val="000000"/>
                <w:sz w:val="20"/>
                <w:lang w:val="en-US"/>
              </w:rPr>
            </w:pPr>
            <w:r w:rsidRPr="005F5A73">
              <w:rPr>
                <w:rFonts w:ascii="MinionPro-Regular" w:hAnsi="MinionPro-Regular" w:cs="Calibri"/>
                <w:color w:val="000000"/>
                <w:sz w:val="20"/>
                <w:lang w:val="en-US"/>
              </w:rPr>
              <w:t>F</w:t>
            </w:r>
          </w:p>
        </w:tc>
        <w:tc>
          <w:tcPr>
            <w:tcW w:w="7326" w:type="dxa"/>
            <w:gridSpan w:val="2"/>
            <w:tcBorders>
              <w:top w:val="nil"/>
              <w:left w:val="nil"/>
              <w:bottom w:val="single" w:sz="4" w:space="0" w:color="auto"/>
              <w:right w:val="single" w:sz="4" w:space="0" w:color="auto"/>
            </w:tcBorders>
            <w:shd w:val="clear" w:color="000000" w:fill="BFBFBF"/>
            <w:noWrap/>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1.8. ¿Cómo vas a trabajar?</w:t>
            </w:r>
          </w:p>
        </w:tc>
      </w:tr>
      <w:tr w:rsidR="00E2336B" w:rsidRPr="005F5A73" w:rsidTr="0092566C">
        <w:trPr>
          <w:trHeight w:val="300"/>
        </w:trPr>
        <w:tc>
          <w:tcPr>
            <w:tcW w:w="350" w:type="dxa"/>
            <w:tcBorders>
              <w:top w:val="nil"/>
              <w:left w:val="single" w:sz="4" w:space="0" w:color="auto"/>
              <w:bottom w:val="nil"/>
              <w:right w:val="nil"/>
            </w:tcBorders>
            <w:shd w:val="clear" w:color="000000" w:fill="BFBFBF"/>
            <w:noWrap/>
            <w:vAlign w:val="bottom"/>
          </w:tcPr>
          <w:p w:rsidR="00E2336B" w:rsidRPr="005F5A73" w:rsidRDefault="00E2336B" w:rsidP="00E237EB">
            <w:pPr>
              <w:jc w:val="cente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c>
          <w:tcPr>
            <w:tcW w:w="704" w:type="dxa"/>
            <w:tcBorders>
              <w:top w:val="nil"/>
              <w:left w:val="single" w:sz="4" w:space="0" w:color="auto"/>
              <w:bottom w:val="single" w:sz="4" w:space="0" w:color="auto"/>
              <w:right w:val="single" w:sz="4" w:space="0" w:color="auto"/>
            </w:tcBorders>
            <w:shd w:val="clear" w:color="000000" w:fill="FFFFFF"/>
            <w:noWrap/>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c>
          <w:tcPr>
            <w:tcW w:w="6622" w:type="dxa"/>
            <w:tcBorders>
              <w:top w:val="nil"/>
              <w:left w:val="nil"/>
              <w:bottom w:val="single" w:sz="4" w:space="0" w:color="auto"/>
              <w:right w:val="single" w:sz="4" w:space="0" w:color="auto"/>
            </w:tcBorders>
            <w:shd w:val="clear" w:color="000000" w:fill="D8D8D8"/>
            <w:vAlign w:val="bottom"/>
          </w:tcPr>
          <w:p w:rsidR="00E2336B" w:rsidRPr="005F5A73" w:rsidRDefault="00E2336B" w:rsidP="00E237EB">
            <w:pPr>
              <w:rPr>
                <w:rFonts w:ascii="MinionPro-Regular" w:hAnsi="MinionPro-Regular" w:cs="Calibri"/>
                <w:color w:val="000000"/>
                <w:sz w:val="20"/>
                <w:lang w:val="es-ES_tradnl"/>
              </w:rPr>
            </w:pPr>
            <w:r w:rsidRPr="005F5A73">
              <w:rPr>
                <w:rFonts w:ascii="MinionPro-Regular" w:hAnsi="MinionPro-Regular" w:cs="Calibri"/>
                <w:color w:val="000000"/>
                <w:sz w:val="20"/>
                <w:lang w:val="es-ES_tradnl"/>
              </w:rPr>
              <w:t>A) Utilizas tú sólo algún transporte para ir al trabajo</w:t>
            </w:r>
          </w:p>
        </w:tc>
      </w:tr>
      <w:tr w:rsidR="00E2336B" w:rsidRPr="005F5A73" w:rsidTr="0092566C">
        <w:trPr>
          <w:trHeight w:val="300"/>
        </w:trPr>
        <w:tc>
          <w:tcPr>
            <w:tcW w:w="350" w:type="dxa"/>
            <w:tcBorders>
              <w:top w:val="nil"/>
              <w:left w:val="single" w:sz="4" w:space="0" w:color="auto"/>
              <w:bottom w:val="nil"/>
              <w:right w:val="nil"/>
            </w:tcBorders>
            <w:shd w:val="clear" w:color="000000" w:fill="BFBFBF"/>
            <w:noWrap/>
            <w:vAlign w:val="bottom"/>
          </w:tcPr>
          <w:p w:rsidR="00E2336B" w:rsidRPr="005F5A73" w:rsidRDefault="00E2336B" w:rsidP="00E237EB">
            <w:pPr>
              <w:jc w:val="center"/>
              <w:rPr>
                <w:rFonts w:ascii="MinionPro-Regular" w:hAnsi="MinionPro-Regular" w:cs="Calibri"/>
                <w:color w:val="000000"/>
                <w:sz w:val="20"/>
                <w:lang w:val="es-ES_tradnl"/>
              </w:rPr>
            </w:pPr>
            <w:r w:rsidRPr="005F5A73">
              <w:rPr>
                <w:rFonts w:ascii="MinionPro-Regular" w:hAnsi="MinionPro-Regular" w:cs="Calibri"/>
                <w:color w:val="000000"/>
                <w:sz w:val="20"/>
                <w:lang w:val="es-ES_tradnl"/>
              </w:rPr>
              <w:t> </w:t>
            </w:r>
          </w:p>
        </w:tc>
        <w:tc>
          <w:tcPr>
            <w:tcW w:w="704" w:type="dxa"/>
            <w:tcBorders>
              <w:top w:val="nil"/>
              <w:left w:val="single" w:sz="4" w:space="0" w:color="auto"/>
              <w:bottom w:val="single" w:sz="4" w:space="0" w:color="auto"/>
              <w:right w:val="single" w:sz="4" w:space="0" w:color="auto"/>
            </w:tcBorders>
            <w:shd w:val="clear" w:color="000000" w:fill="FFFFFF"/>
            <w:noWrap/>
            <w:vAlign w:val="bottom"/>
          </w:tcPr>
          <w:p w:rsidR="00E2336B" w:rsidRPr="005F5A73" w:rsidRDefault="00E2336B" w:rsidP="00E237EB">
            <w:pPr>
              <w:rPr>
                <w:rFonts w:ascii="MinionPro-Regular" w:hAnsi="MinionPro-Regular" w:cs="Calibri"/>
                <w:color w:val="000000"/>
                <w:sz w:val="20"/>
                <w:lang w:val="es-ES_tradnl"/>
              </w:rPr>
            </w:pPr>
            <w:r w:rsidRPr="005F5A73">
              <w:rPr>
                <w:rFonts w:ascii="MinionPro-Regular" w:hAnsi="MinionPro-Regular" w:cs="Calibri"/>
                <w:color w:val="000000"/>
                <w:sz w:val="20"/>
                <w:lang w:val="es-ES_tradnl"/>
              </w:rPr>
              <w:t> </w:t>
            </w:r>
          </w:p>
        </w:tc>
        <w:tc>
          <w:tcPr>
            <w:tcW w:w="6622" w:type="dxa"/>
            <w:tcBorders>
              <w:top w:val="nil"/>
              <w:left w:val="nil"/>
              <w:bottom w:val="single" w:sz="4" w:space="0" w:color="auto"/>
              <w:right w:val="single" w:sz="4" w:space="0" w:color="auto"/>
            </w:tcBorders>
            <w:shd w:val="clear" w:color="000000" w:fill="D8D8D8"/>
            <w:vAlign w:val="bottom"/>
          </w:tcPr>
          <w:p w:rsidR="00E2336B" w:rsidRPr="005F5A73" w:rsidRDefault="00E2336B" w:rsidP="00E237EB">
            <w:pPr>
              <w:rPr>
                <w:rFonts w:ascii="MinionPro-Regular" w:hAnsi="MinionPro-Regular" w:cs="Calibri"/>
                <w:color w:val="000000"/>
                <w:sz w:val="20"/>
                <w:lang w:val="es-ES_tradnl"/>
              </w:rPr>
            </w:pPr>
            <w:r w:rsidRPr="005F5A73">
              <w:rPr>
                <w:rFonts w:ascii="MinionPro-Regular" w:hAnsi="MinionPro-Regular" w:cs="Calibri"/>
                <w:color w:val="000000"/>
                <w:sz w:val="20"/>
                <w:lang w:val="es-ES_tradnl"/>
              </w:rPr>
              <w:t>B) Te ayudan a utilizar algún tipo de transporte</w:t>
            </w:r>
          </w:p>
        </w:tc>
      </w:tr>
      <w:tr w:rsidR="00E2336B" w:rsidRPr="005F5A73" w:rsidTr="0092566C">
        <w:trPr>
          <w:trHeight w:val="300"/>
        </w:trPr>
        <w:tc>
          <w:tcPr>
            <w:tcW w:w="350" w:type="dxa"/>
            <w:tcBorders>
              <w:top w:val="nil"/>
              <w:left w:val="single" w:sz="4" w:space="0" w:color="auto"/>
              <w:bottom w:val="nil"/>
              <w:right w:val="nil"/>
            </w:tcBorders>
            <w:shd w:val="clear" w:color="000000" w:fill="BFBFBF"/>
            <w:noWrap/>
            <w:vAlign w:val="bottom"/>
          </w:tcPr>
          <w:p w:rsidR="00E2336B" w:rsidRPr="005F5A73" w:rsidRDefault="00E2336B" w:rsidP="00E237EB">
            <w:pPr>
              <w:jc w:val="center"/>
              <w:rPr>
                <w:rFonts w:ascii="MinionPro-Regular" w:hAnsi="MinionPro-Regular" w:cs="Calibri"/>
                <w:color w:val="000000"/>
                <w:sz w:val="20"/>
                <w:lang w:val="es-ES_tradnl"/>
              </w:rPr>
            </w:pPr>
            <w:r w:rsidRPr="005F5A73">
              <w:rPr>
                <w:rFonts w:ascii="MinionPro-Regular" w:hAnsi="MinionPro-Regular" w:cs="Calibri"/>
                <w:color w:val="000000"/>
                <w:sz w:val="20"/>
                <w:lang w:val="es-ES_tradnl"/>
              </w:rPr>
              <w:t> </w:t>
            </w:r>
          </w:p>
        </w:tc>
        <w:tc>
          <w:tcPr>
            <w:tcW w:w="704" w:type="dxa"/>
            <w:tcBorders>
              <w:top w:val="nil"/>
              <w:left w:val="single" w:sz="4" w:space="0" w:color="auto"/>
              <w:bottom w:val="single" w:sz="4" w:space="0" w:color="auto"/>
              <w:right w:val="single" w:sz="4" w:space="0" w:color="auto"/>
            </w:tcBorders>
            <w:shd w:val="clear" w:color="000000" w:fill="FFFFFF"/>
            <w:noWrap/>
            <w:vAlign w:val="bottom"/>
          </w:tcPr>
          <w:p w:rsidR="00E2336B" w:rsidRPr="005F5A73" w:rsidRDefault="00E2336B" w:rsidP="00E237EB">
            <w:pPr>
              <w:rPr>
                <w:rFonts w:ascii="MinionPro-Regular" w:hAnsi="MinionPro-Regular" w:cs="Calibri"/>
                <w:color w:val="000000"/>
                <w:sz w:val="20"/>
                <w:lang w:val="es-ES_tradnl"/>
              </w:rPr>
            </w:pPr>
            <w:r w:rsidRPr="005F5A73">
              <w:rPr>
                <w:rFonts w:ascii="MinionPro-Regular" w:hAnsi="MinionPro-Regular" w:cs="Calibri"/>
                <w:color w:val="000000"/>
                <w:sz w:val="20"/>
                <w:lang w:val="es-ES_tradnl"/>
              </w:rPr>
              <w:t> </w:t>
            </w:r>
          </w:p>
        </w:tc>
        <w:tc>
          <w:tcPr>
            <w:tcW w:w="6622" w:type="dxa"/>
            <w:tcBorders>
              <w:top w:val="nil"/>
              <w:left w:val="nil"/>
              <w:bottom w:val="single" w:sz="4" w:space="0" w:color="auto"/>
              <w:right w:val="single" w:sz="4" w:space="0" w:color="auto"/>
            </w:tcBorders>
            <w:shd w:val="clear" w:color="000000" w:fill="D8D8D8"/>
            <w:vAlign w:val="bottom"/>
          </w:tcPr>
          <w:p w:rsidR="00E2336B" w:rsidRPr="005F5A73" w:rsidRDefault="00E2336B" w:rsidP="00E237EB">
            <w:pPr>
              <w:rPr>
                <w:rFonts w:ascii="MinionPro-Regular" w:hAnsi="MinionPro-Regular" w:cs="Calibri"/>
                <w:color w:val="000000"/>
                <w:sz w:val="20"/>
                <w:lang w:val="es-ES_tradnl"/>
              </w:rPr>
            </w:pPr>
            <w:r w:rsidRPr="005F5A73">
              <w:rPr>
                <w:rFonts w:ascii="MinionPro-Regular" w:hAnsi="MinionPro-Regular" w:cs="Calibri"/>
                <w:color w:val="000000"/>
                <w:sz w:val="20"/>
                <w:lang w:val="es-ES_tradnl"/>
              </w:rPr>
              <w:t>C) No necesitas transporte para ir al trabajo</w:t>
            </w:r>
          </w:p>
        </w:tc>
      </w:tr>
      <w:tr w:rsidR="00E2336B" w:rsidRPr="005F5A73" w:rsidTr="0092566C">
        <w:trPr>
          <w:trHeight w:val="300"/>
        </w:trPr>
        <w:tc>
          <w:tcPr>
            <w:tcW w:w="350" w:type="dxa"/>
            <w:tcBorders>
              <w:top w:val="nil"/>
              <w:left w:val="single" w:sz="4" w:space="0" w:color="auto"/>
              <w:bottom w:val="nil"/>
              <w:right w:val="nil"/>
            </w:tcBorders>
            <w:shd w:val="clear" w:color="000000" w:fill="BFBFBF"/>
            <w:noWrap/>
            <w:vAlign w:val="bottom"/>
          </w:tcPr>
          <w:p w:rsidR="00E2336B" w:rsidRPr="005F5A73" w:rsidRDefault="00E2336B" w:rsidP="00E237EB">
            <w:pPr>
              <w:jc w:val="center"/>
              <w:rPr>
                <w:rFonts w:ascii="MinionPro-Regular" w:hAnsi="MinionPro-Regular" w:cs="Calibri"/>
                <w:color w:val="000000"/>
                <w:sz w:val="20"/>
                <w:lang w:val="es-ES_tradnl"/>
              </w:rPr>
            </w:pPr>
            <w:r w:rsidRPr="005F5A73">
              <w:rPr>
                <w:rFonts w:ascii="MinionPro-Regular" w:hAnsi="MinionPro-Regular" w:cs="Calibri"/>
                <w:color w:val="000000"/>
                <w:sz w:val="20"/>
                <w:lang w:val="es-ES_tradnl"/>
              </w:rPr>
              <w:t> </w:t>
            </w:r>
          </w:p>
        </w:tc>
        <w:tc>
          <w:tcPr>
            <w:tcW w:w="704" w:type="dxa"/>
            <w:tcBorders>
              <w:top w:val="nil"/>
              <w:left w:val="single" w:sz="4" w:space="0" w:color="auto"/>
              <w:bottom w:val="single" w:sz="4" w:space="0" w:color="auto"/>
              <w:right w:val="single" w:sz="4" w:space="0" w:color="auto"/>
            </w:tcBorders>
            <w:shd w:val="clear" w:color="000000" w:fill="FFFFFF"/>
            <w:noWrap/>
            <w:vAlign w:val="bottom"/>
          </w:tcPr>
          <w:p w:rsidR="00E2336B" w:rsidRPr="005F5A73" w:rsidRDefault="00E2336B" w:rsidP="00E237EB">
            <w:pPr>
              <w:rPr>
                <w:rFonts w:ascii="MinionPro-Regular" w:hAnsi="MinionPro-Regular" w:cs="Calibri"/>
                <w:color w:val="000000"/>
                <w:sz w:val="20"/>
                <w:lang w:val="es-ES_tradnl"/>
              </w:rPr>
            </w:pPr>
            <w:r w:rsidRPr="005F5A73">
              <w:rPr>
                <w:rFonts w:ascii="MinionPro-Regular" w:hAnsi="MinionPro-Regular" w:cs="Calibri"/>
                <w:color w:val="000000"/>
                <w:sz w:val="20"/>
                <w:lang w:val="es-ES_tradnl"/>
              </w:rPr>
              <w:t> </w:t>
            </w:r>
          </w:p>
        </w:tc>
        <w:tc>
          <w:tcPr>
            <w:tcW w:w="6622" w:type="dxa"/>
            <w:tcBorders>
              <w:top w:val="nil"/>
              <w:left w:val="nil"/>
              <w:bottom w:val="single" w:sz="4" w:space="0" w:color="auto"/>
              <w:right w:val="single" w:sz="4" w:space="0" w:color="auto"/>
            </w:tcBorders>
            <w:shd w:val="clear" w:color="000000" w:fill="D8D8D8"/>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D) Teletrabajas</w:t>
            </w:r>
          </w:p>
        </w:tc>
      </w:tr>
      <w:tr w:rsidR="00E2336B" w:rsidRPr="005F5A73" w:rsidTr="0092566C">
        <w:trPr>
          <w:trHeight w:val="300"/>
        </w:trPr>
        <w:tc>
          <w:tcPr>
            <w:tcW w:w="350" w:type="dxa"/>
            <w:tcBorders>
              <w:top w:val="nil"/>
              <w:left w:val="single" w:sz="4" w:space="0" w:color="auto"/>
              <w:bottom w:val="nil"/>
              <w:right w:val="nil"/>
            </w:tcBorders>
            <w:shd w:val="clear" w:color="000000" w:fill="BFBFBF"/>
            <w:noWrap/>
            <w:vAlign w:val="bottom"/>
          </w:tcPr>
          <w:p w:rsidR="00E2336B" w:rsidRPr="005F5A73" w:rsidRDefault="00E2336B" w:rsidP="00E237EB">
            <w:pPr>
              <w:jc w:val="cente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c>
          <w:tcPr>
            <w:tcW w:w="704" w:type="dxa"/>
            <w:tcBorders>
              <w:top w:val="nil"/>
              <w:left w:val="single" w:sz="4" w:space="0" w:color="auto"/>
              <w:bottom w:val="single" w:sz="4" w:space="0" w:color="auto"/>
              <w:right w:val="single" w:sz="4" w:space="0" w:color="auto"/>
            </w:tcBorders>
            <w:shd w:val="clear" w:color="000000" w:fill="FFFFFF"/>
            <w:noWrap/>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c>
          <w:tcPr>
            <w:tcW w:w="6622" w:type="dxa"/>
            <w:tcBorders>
              <w:top w:val="nil"/>
              <w:left w:val="nil"/>
              <w:bottom w:val="single" w:sz="4" w:space="0" w:color="auto"/>
              <w:right w:val="single" w:sz="4" w:space="0" w:color="auto"/>
            </w:tcBorders>
            <w:shd w:val="clear" w:color="000000" w:fill="D8D8D8"/>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 xml:space="preserve">E) Otros (indíque cuáles): </w:t>
            </w:r>
          </w:p>
        </w:tc>
      </w:tr>
      <w:tr w:rsidR="00E2336B" w:rsidRPr="005F5A73" w:rsidTr="0092566C">
        <w:trPr>
          <w:trHeight w:val="180"/>
        </w:trPr>
        <w:tc>
          <w:tcPr>
            <w:tcW w:w="350" w:type="dxa"/>
            <w:tcBorders>
              <w:top w:val="nil"/>
              <w:left w:val="single" w:sz="4" w:space="0" w:color="auto"/>
              <w:bottom w:val="nil"/>
              <w:right w:val="nil"/>
            </w:tcBorders>
            <w:shd w:val="clear" w:color="000000" w:fill="BFBFBF"/>
            <w:noWrap/>
            <w:vAlign w:val="bottom"/>
          </w:tcPr>
          <w:p w:rsidR="00E2336B" w:rsidRPr="005F5A73" w:rsidRDefault="00E2336B" w:rsidP="00E237EB">
            <w:pPr>
              <w:jc w:val="cente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c>
          <w:tcPr>
            <w:tcW w:w="704" w:type="dxa"/>
            <w:tcBorders>
              <w:top w:val="nil"/>
              <w:left w:val="nil"/>
              <w:bottom w:val="nil"/>
              <w:right w:val="nil"/>
            </w:tcBorders>
            <w:shd w:val="clear" w:color="000000" w:fill="BFBFBF"/>
            <w:noWrap/>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c>
          <w:tcPr>
            <w:tcW w:w="6622" w:type="dxa"/>
            <w:tcBorders>
              <w:top w:val="nil"/>
              <w:left w:val="nil"/>
              <w:bottom w:val="nil"/>
              <w:right w:val="single" w:sz="4" w:space="0" w:color="auto"/>
            </w:tcBorders>
            <w:shd w:val="clear" w:color="000000" w:fill="BFBFBF"/>
            <w:noWrap/>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r>
      <w:tr w:rsidR="00E2336B" w:rsidRPr="005F5A73" w:rsidTr="0092566C">
        <w:trPr>
          <w:trHeight w:val="300"/>
        </w:trPr>
        <w:tc>
          <w:tcPr>
            <w:tcW w:w="350" w:type="dxa"/>
            <w:tcBorders>
              <w:top w:val="single" w:sz="4" w:space="0" w:color="auto"/>
              <w:left w:val="single" w:sz="4" w:space="0" w:color="auto"/>
              <w:bottom w:val="single" w:sz="4" w:space="0" w:color="auto"/>
              <w:right w:val="single" w:sz="4" w:space="0" w:color="auto"/>
            </w:tcBorders>
            <w:shd w:val="clear" w:color="000000" w:fill="A5A5A5"/>
            <w:noWrap/>
            <w:vAlign w:val="bottom"/>
          </w:tcPr>
          <w:p w:rsidR="00E2336B" w:rsidRPr="005F5A73" w:rsidRDefault="00E2336B" w:rsidP="00E237EB">
            <w:pPr>
              <w:jc w:val="center"/>
              <w:rPr>
                <w:rFonts w:ascii="MinionPro-Regular" w:hAnsi="MinionPro-Regular" w:cs="Calibri"/>
                <w:color w:val="000000"/>
                <w:sz w:val="20"/>
                <w:lang w:val="en-US"/>
              </w:rPr>
            </w:pPr>
            <w:r w:rsidRPr="005F5A73">
              <w:rPr>
                <w:rFonts w:ascii="MinionPro-Regular" w:hAnsi="MinionPro-Regular" w:cs="Calibri"/>
                <w:color w:val="000000"/>
                <w:sz w:val="20"/>
                <w:lang w:val="en-US"/>
              </w:rPr>
              <w:t>F</w:t>
            </w:r>
          </w:p>
        </w:tc>
        <w:tc>
          <w:tcPr>
            <w:tcW w:w="7326" w:type="dxa"/>
            <w:gridSpan w:val="2"/>
            <w:tcBorders>
              <w:top w:val="nil"/>
              <w:left w:val="nil"/>
              <w:bottom w:val="single" w:sz="4" w:space="0" w:color="auto"/>
              <w:right w:val="single" w:sz="4" w:space="0" w:color="auto"/>
            </w:tcBorders>
            <w:shd w:val="clear" w:color="000000" w:fill="BFBFBF"/>
            <w:noWrap/>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1.9. ¿Con quién vives?</w:t>
            </w:r>
          </w:p>
        </w:tc>
      </w:tr>
      <w:tr w:rsidR="00E2336B" w:rsidRPr="005F5A73" w:rsidTr="0092566C">
        <w:trPr>
          <w:trHeight w:val="300"/>
        </w:trPr>
        <w:tc>
          <w:tcPr>
            <w:tcW w:w="350" w:type="dxa"/>
            <w:tcBorders>
              <w:top w:val="nil"/>
              <w:left w:val="single" w:sz="4" w:space="0" w:color="auto"/>
              <w:bottom w:val="nil"/>
              <w:right w:val="nil"/>
            </w:tcBorders>
            <w:shd w:val="clear" w:color="000000" w:fill="BFBFBF"/>
            <w:noWrap/>
            <w:vAlign w:val="bottom"/>
          </w:tcPr>
          <w:p w:rsidR="00E2336B" w:rsidRPr="005F5A73" w:rsidRDefault="00E2336B" w:rsidP="00E237EB">
            <w:pPr>
              <w:jc w:val="cente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c>
          <w:tcPr>
            <w:tcW w:w="704" w:type="dxa"/>
            <w:tcBorders>
              <w:top w:val="nil"/>
              <w:left w:val="single" w:sz="4" w:space="0" w:color="auto"/>
              <w:bottom w:val="single" w:sz="4" w:space="0" w:color="auto"/>
              <w:right w:val="single" w:sz="4" w:space="0" w:color="auto"/>
            </w:tcBorders>
            <w:shd w:val="clear" w:color="000000" w:fill="FFFFFF"/>
            <w:noWrap/>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c>
          <w:tcPr>
            <w:tcW w:w="6622" w:type="dxa"/>
            <w:tcBorders>
              <w:top w:val="nil"/>
              <w:left w:val="nil"/>
              <w:bottom w:val="single" w:sz="4" w:space="0" w:color="auto"/>
              <w:right w:val="single" w:sz="4" w:space="0" w:color="auto"/>
            </w:tcBorders>
            <w:shd w:val="clear" w:color="000000" w:fill="D8D8D8"/>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A) Con tus padres</w:t>
            </w:r>
          </w:p>
        </w:tc>
      </w:tr>
      <w:tr w:rsidR="00E2336B" w:rsidRPr="005F5A73" w:rsidTr="0092566C">
        <w:trPr>
          <w:trHeight w:val="300"/>
        </w:trPr>
        <w:tc>
          <w:tcPr>
            <w:tcW w:w="350" w:type="dxa"/>
            <w:tcBorders>
              <w:top w:val="nil"/>
              <w:left w:val="single" w:sz="4" w:space="0" w:color="auto"/>
              <w:bottom w:val="nil"/>
              <w:right w:val="nil"/>
            </w:tcBorders>
            <w:shd w:val="clear" w:color="000000" w:fill="BFBFBF"/>
            <w:noWrap/>
            <w:vAlign w:val="bottom"/>
          </w:tcPr>
          <w:p w:rsidR="00E2336B" w:rsidRPr="005F5A73" w:rsidRDefault="00E2336B" w:rsidP="00E237EB">
            <w:pPr>
              <w:jc w:val="cente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c>
          <w:tcPr>
            <w:tcW w:w="704" w:type="dxa"/>
            <w:tcBorders>
              <w:top w:val="nil"/>
              <w:left w:val="single" w:sz="4" w:space="0" w:color="auto"/>
              <w:bottom w:val="single" w:sz="4" w:space="0" w:color="auto"/>
              <w:right w:val="single" w:sz="4" w:space="0" w:color="auto"/>
            </w:tcBorders>
            <w:shd w:val="clear" w:color="000000" w:fill="FFFFFF"/>
            <w:noWrap/>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c>
          <w:tcPr>
            <w:tcW w:w="6622" w:type="dxa"/>
            <w:tcBorders>
              <w:top w:val="nil"/>
              <w:left w:val="nil"/>
              <w:bottom w:val="single" w:sz="4" w:space="0" w:color="auto"/>
              <w:right w:val="single" w:sz="4" w:space="0" w:color="auto"/>
            </w:tcBorders>
            <w:shd w:val="clear" w:color="000000" w:fill="D8D8D8"/>
            <w:vAlign w:val="bottom"/>
          </w:tcPr>
          <w:p w:rsidR="00E2336B" w:rsidRPr="005F5A73" w:rsidRDefault="00E2336B" w:rsidP="00E237EB">
            <w:pPr>
              <w:rPr>
                <w:rFonts w:ascii="MinionPro-Regular" w:hAnsi="MinionPro-Regular" w:cs="Calibri"/>
                <w:color w:val="000000"/>
                <w:sz w:val="20"/>
                <w:lang w:val="es-ES_tradnl"/>
              </w:rPr>
            </w:pPr>
            <w:r w:rsidRPr="005F5A73">
              <w:rPr>
                <w:rFonts w:ascii="MinionPro-Regular" w:hAnsi="MinionPro-Regular" w:cs="Calibri"/>
                <w:color w:val="000000"/>
                <w:sz w:val="20"/>
                <w:lang w:val="es-ES_tradnl"/>
              </w:rPr>
              <w:t>B) En un centro que te presta ayuda</w:t>
            </w:r>
          </w:p>
        </w:tc>
      </w:tr>
      <w:tr w:rsidR="00E2336B" w:rsidRPr="005F5A73" w:rsidTr="0092566C">
        <w:trPr>
          <w:trHeight w:val="300"/>
        </w:trPr>
        <w:tc>
          <w:tcPr>
            <w:tcW w:w="350" w:type="dxa"/>
            <w:tcBorders>
              <w:top w:val="nil"/>
              <w:left w:val="single" w:sz="4" w:space="0" w:color="auto"/>
              <w:bottom w:val="nil"/>
              <w:right w:val="nil"/>
            </w:tcBorders>
            <w:shd w:val="clear" w:color="000000" w:fill="BFBFBF"/>
            <w:noWrap/>
            <w:vAlign w:val="bottom"/>
          </w:tcPr>
          <w:p w:rsidR="00E2336B" w:rsidRPr="005F5A73" w:rsidRDefault="00E2336B" w:rsidP="00E237EB">
            <w:pPr>
              <w:jc w:val="center"/>
              <w:rPr>
                <w:rFonts w:ascii="MinionPro-Regular" w:hAnsi="MinionPro-Regular" w:cs="Calibri"/>
                <w:color w:val="000000"/>
                <w:sz w:val="20"/>
                <w:lang w:val="es-ES_tradnl"/>
              </w:rPr>
            </w:pPr>
            <w:r w:rsidRPr="005F5A73">
              <w:rPr>
                <w:rFonts w:ascii="MinionPro-Regular" w:hAnsi="MinionPro-Regular" w:cs="Calibri"/>
                <w:color w:val="000000"/>
                <w:sz w:val="20"/>
                <w:lang w:val="es-ES_tradnl"/>
              </w:rPr>
              <w:t> </w:t>
            </w:r>
          </w:p>
        </w:tc>
        <w:tc>
          <w:tcPr>
            <w:tcW w:w="704" w:type="dxa"/>
            <w:tcBorders>
              <w:top w:val="nil"/>
              <w:left w:val="single" w:sz="4" w:space="0" w:color="auto"/>
              <w:bottom w:val="single" w:sz="4" w:space="0" w:color="auto"/>
              <w:right w:val="single" w:sz="4" w:space="0" w:color="auto"/>
            </w:tcBorders>
            <w:shd w:val="clear" w:color="000000" w:fill="FFFFFF"/>
            <w:noWrap/>
            <w:vAlign w:val="bottom"/>
          </w:tcPr>
          <w:p w:rsidR="00E2336B" w:rsidRPr="005F5A73" w:rsidRDefault="00E2336B" w:rsidP="00E237EB">
            <w:pPr>
              <w:rPr>
                <w:rFonts w:ascii="MinionPro-Regular" w:hAnsi="MinionPro-Regular" w:cs="Calibri"/>
                <w:color w:val="000000"/>
                <w:sz w:val="20"/>
                <w:lang w:val="es-ES_tradnl"/>
              </w:rPr>
            </w:pPr>
            <w:r w:rsidRPr="005F5A73">
              <w:rPr>
                <w:rFonts w:ascii="MinionPro-Regular" w:hAnsi="MinionPro-Regular" w:cs="Calibri"/>
                <w:color w:val="000000"/>
                <w:sz w:val="20"/>
                <w:lang w:val="es-ES_tradnl"/>
              </w:rPr>
              <w:t> </w:t>
            </w:r>
          </w:p>
        </w:tc>
        <w:tc>
          <w:tcPr>
            <w:tcW w:w="6622" w:type="dxa"/>
            <w:tcBorders>
              <w:top w:val="nil"/>
              <w:left w:val="nil"/>
              <w:bottom w:val="single" w:sz="4" w:space="0" w:color="auto"/>
              <w:right w:val="single" w:sz="4" w:space="0" w:color="auto"/>
            </w:tcBorders>
            <w:shd w:val="clear" w:color="000000" w:fill="D8D8D8"/>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C) Vives solo</w:t>
            </w:r>
          </w:p>
        </w:tc>
      </w:tr>
      <w:tr w:rsidR="00E2336B" w:rsidRPr="005F5A73" w:rsidTr="0092566C">
        <w:trPr>
          <w:trHeight w:val="300"/>
        </w:trPr>
        <w:tc>
          <w:tcPr>
            <w:tcW w:w="350" w:type="dxa"/>
            <w:tcBorders>
              <w:top w:val="nil"/>
              <w:left w:val="single" w:sz="4" w:space="0" w:color="auto"/>
              <w:bottom w:val="nil"/>
              <w:right w:val="nil"/>
            </w:tcBorders>
            <w:shd w:val="clear" w:color="000000" w:fill="BFBFBF"/>
            <w:noWrap/>
            <w:vAlign w:val="bottom"/>
          </w:tcPr>
          <w:p w:rsidR="00E2336B" w:rsidRPr="005F5A73" w:rsidRDefault="00E2336B" w:rsidP="00E237EB">
            <w:pPr>
              <w:jc w:val="cente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c>
          <w:tcPr>
            <w:tcW w:w="704" w:type="dxa"/>
            <w:tcBorders>
              <w:top w:val="nil"/>
              <w:left w:val="single" w:sz="4" w:space="0" w:color="auto"/>
              <w:bottom w:val="single" w:sz="4" w:space="0" w:color="auto"/>
              <w:right w:val="single" w:sz="4" w:space="0" w:color="auto"/>
            </w:tcBorders>
            <w:shd w:val="clear" w:color="000000" w:fill="FFFFFF"/>
            <w:noWrap/>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c>
          <w:tcPr>
            <w:tcW w:w="6622" w:type="dxa"/>
            <w:tcBorders>
              <w:top w:val="nil"/>
              <w:left w:val="nil"/>
              <w:bottom w:val="single" w:sz="4" w:space="0" w:color="auto"/>
              <w:right w:val="single" w:sz="4" w:space="0" w:color="auto"/>
            </w:tcBorders>
            <w:shd w:val="clear" w:color="000000" w:fill="D8D8D8"/>
            <w:vAlign w:val="bottom"/>
          </w:tcPr>
          <w:p w:rsidR="00E2336B" w:rsidRPr="005F5A73" w:rsidRDefault="00E2336B" w:rsidP="00E237EB">
            <w:pPr>
              <w:rPr>
                <w:rFonts w:ascii="MinionPro-Regular" w:hAnsi="MinionPro-Regular" w:cs="Calibri"/>
                <w:color w:val="000000"/>
                <w:sz w:val="20"/>
                <w:lang w:val="es-ES_tradnl"/>
              </w:rPr>
            </w:pPr>
            <w:r w:rsidRPr="005F5A73">
              <w:rPr>
                <w:rFonts w:ascii="MinionPro-Regular" w:hAnsi="MinionPro-Regular" w:cs="Calibri"/>
                <w:color w:val="000000"/>
                <w:sz w:val="20"/>
                <w:lang w:val="es-ES_tradnl"/>
              </w:rPr>
              <w:t>D) Vives con amigos/pareja</w:t>
            </w:r>
          </w:p>
        </w:tc>
      </w:tr>
      <w:tr w:rsidR="00E2336B" w:rsidRPr="005F5A73" w:rsidTr="0092566C">
        <w:trPr>
          <w:trHeight w:val="300"/>
        </w:trPr>
        <w:tc>
          <w:tcPr>
            <w:tcW w:w="350" w:type="dxa"/>
            <w:tcBorders>
              <w:top w:val="nil"/>
              <w:left w:val="single" w:sz="4" w:space="0" w:color="auto"/>
              <w:bottom w:val="nil"/>
              <w:right w:val="nil"/>
            </w:tcBorders>
            <w:shd w:val="clear" w:color="000000" w:fill="BFBFBF"/>
            <w:noWrap/>
            <w:vAlign w:val="bottom"/>
          </w:tcPr>
          <w:p w:rsidR="00E2336B" w:rsidRPr="005F5A73" w:rsidRDefault="00E2336B" w:rsidP="00E237EB">
            <w:pPr>
              <w:jc w:val="center"/>
              <w:rPr>
                <w:rFonts w:ascii="MinionPro-Regular" w:hAnsi="MinionPro-Regular" w:cs="Calibri"/>
                <w:color w:val="000000"/>
                <w:sz w:val="20"/>
                <w:lang w:val="es-ES_tradnl"/>
              </w:rPr>
            </w:pPr>
            <w:r w:rsidRPr="005F5A73">
              <w:rPr>
                <w:rFonts w:ascii="MinionPro-Regular" w:hAnsi="MinionPro-Regular" w:cs="Calibri"/>
                <w:color w:val="000000"/>
                <w:sz w:val="20"/>
                <w:lang w:val="es-ES_tradnl"/>
              </w:rPr>
              <w:t> </w:t>
            </w:r>
          </w:p>
        </w:tc>
        <w:tc>
          <w:tcPr>
            <w:tcW w:w="704" w:type="dxa"/>
            <w:tcBorders>
              <w:top w:val="nil"/>
              <w:left w:val="single" w:sz="4" w:space="0" w:color="auto"/>
              <w:bottom w:val="single" w:sz="4" w:space="0" w:color="auto"/>
              <w:right w:val="single" w:sz="4" w:space="0" w:color="auto"/>
            </w:tcBorders>
            <w:shd w:val="clear" w:color="000000" w:fill="FFFFFF"/>
            <w:noWrap/>
            <w:vAlign w:val="bottom"/>
          </w:tcPr>
          <w:p w:rsidR="00E2336B" w:rsidRPr="005F5A73" w:rsidRDefault="00E2336B" w:rsidP="00E237EB">
            <w:pPr>
              <w:rPr>
                <w:rFonts w:ascii="MinionPro-Regular" w:hAnsi="MinionPro-Regular" w:cs="Calibri"/>
                <w:color w:val="000000"/>
                <w:sz w:val="20"/>
                <w:lang w:val="es-ES_tradnl"/>
              </w:rPr>
            </w:pPr>
            <w:r w:rsidRPr="005F5A73">
              <w:rPr>
                <w:rFonts w:ascii="MinionPro-Regular" w:hAnsi="MinionPro-Regular" w:cs="Calibri"/>
                <w:color w:val="000000"/>
                <w:sz w:val="20"/>
                <w:lang w:val="es-ES_tradnl"/>
              </w:rPr>
              <w:t> </w:t>
            </w:r>
          </w:p>
        </w:tc>
        <w:tc>
          <w:tcPr>
            <w:tcW w:w="6622" w:type="dxa"/>
            <w:tcBorders>
              <w:top w:val="nil"/>
              <w:left w:val="nil"/>
              <w:bottom w:val="single" w:sz="4" w:space="0" w:color="auto"/>
              <w:right w:val="single" w:sz="4" w:space="0" w:color="auto"/>
            </w:tcBorders>
            <w:shd w:val="clear" w:color="000000" w:fill="D8D8D8"/>
            <w:vAlign w:val="bottom"/>
          </w:tcPr>
          <w:p w:rsidR="00E2336B" w:rsidRPr="005F5A73" w:rsidRDefault="00E2336B" w:rsidP="00E237EB">
            <w:pPr>
              <w:rPr>
                <w:rFonts w:ascii="MinionPro-Regular" w:hAnsi="MinionPro-Regular" w:cs="Calibri"/>
                <w:color w:val="000000"/>
                <w:sz w:val="20"/>
                <w:lang w:val="es-ES_tradnl"/>
              </w:rPr>
            </w:pPr>
            <w:r w:rsidRPr="005F5A73">
              <w:rPr>
                <w:rFonts w:ascii="MinionPro-Regular" w:hAnsi="MinionPro-Regular" w:cs="Calibri"/>
                <w:color w:val="000000"/>
                <w:sz w:val="20"/>
                <w:lang w:val="es-ES_tradnl"/>
              </w:rPr>
              <w:t>E) Vives con tus hijos</w:t>
            </w:r>
          </w:p>
        </w:tc>
      </w:tr>
      <w:tr w:rsidR="00E2336B" w:rsidRPr="005F5A73" w:rsidTr="0092566C">
        <w:trPr>
          <w:trHeight w:val="300"/>
        </w:trPr>
        <w:tc>
          <w:tcPr>
            <w:tcW w:w="350" w:type="dxa"/>
            <w:tcBorders>
              <w:top w:val="nil"/>
              <w:left w:val="single" w:sz="4" w:space="0" w:color="auto"/>
              <w:bottom w:val="nil"/>
              <w:right w:val="nil"/>
            </w:tcBorders>
            <w:shd w:val="clear" w:color="000000" w:fill="BFBFBF"/>
            <w:noWrap/>
            <w:vAlign w:val="bottom"/>
          </w:tcPr>
          <w:p w:rsidR="00E2336B" w:rsidRPr="005F5A73" w:rsidRDefault="00E2336B" w:rsidP="00E237EB">
            <w:pPr>
              <w:jc w:val="center"/>
              <w:rPr>
                <w:rFonts w:ascii="MinionPro-Regular" w:hAnsi="MinionPro-Regular" w:cs="Calibri"/>
                <w:color w:val="000000"/>
                <w:sz w:val="20"/>
                <w:lang w:val="es-ES_tradnl"/>
              </w:rPr>
            </w:pPr>
            <w:r w:rsidRPr="005F5A73">
              <w:rPr>
                <w:rFonts w:ascii="MinionPro-Regular" w:hAnsi="MinionPro-Regular" w:cs="Calibri"/>
                <w:color w:val="000000"/>
                <w:sz w:val="20"/>
                <w:lang w:val="es-ES_tradnl"/>
              </w:rPr>
              <w:t> </w:t>
            </w:r>
          </w:p>
        </w:tc>
        <w:tc>
          <w:tcPr>
            <w:tcW w:w="704" w:type="dxa"/>
            <w:tcBorders>
              <w:top w:val="nil"/>
              <w:left w:val="single" w:sz="4" w:space="0" w:color="auto"/>
              <w:bottom w:val="single" w:sz="4" w:space="0" w:color="auto"/>
              <w:right w:val="single" w:sz="4" w:space="0" w:color="auto"/>
            </w:tcBorders>
            <w:shd w:val="clear" w:color="000000" w:fill="FFFFFF"/>
            <w:noWrap/>
            <w:vAlign w:val="bottom"/>
          </w:tcPr>
          <w:p w:rsidR="00E2336B" w:rsidRPr="005F5A73" w:rsidRDefault="00E2336B" w:rsidP="00E237EB">
            <w:pPr>
              <w:rPr>
                <w:rFonts w:ascii="MinionPro-Regular" w:hAnsi="MinionPro-Regular" w:cs="Calibri"/>
                <w:color w:val="000000"/>
                <w:sz w:val="20"/>
                <w:lang w:val="es-ES_tradnl"/>
              </w:rPr>
            </w:pPr>
            <w:r w:rsidRPr="005F5A73">
              <w:rPr>
                <w:rFonts w:ascii="MinionPro-Regular" w:hAnsi="MinionPro-Regular" w:cs="Calibri"/>
                <w:color w:val="000000"/>
                <w:sz w:val="20"/>
                <w:lang w:val="es-ES_tradnl"/>
              </w:rPr>
              <w:t> </w:t>
            </w:r>
          </w:p>
        </w:tc>
        <w:tc>
          <w:tcPr>
            <w:tcW w:w="6622" w:type="dxa"/>
            <w:tcBorders>
              <w:top w:val="nil"/>
              <w:left w:val="nil"/>
              <w:bottom w:val="single" w:sz="4" w:space="0" w:color="auto"/>
              <w:right w:val="single" w:sz="4" w:space="0" w:color="auto"/>
            </w:tcBorders>
            <w:shd w:val="clear" w:color="000000" w:fill="D8D8D8"/>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 xml:space="preserve">F) Otros (indíque cuáles): </w:t>
            </w:r>
          </w:p>
        </w:tc>
      </w:tr>
      <w:tr w:rsidR="00E2336B" w:rsidRPr="005F5A73" w:rsidTr="0092566C">
        <w:trPr>
          <w:trHeight w:val="180"/>
        </w:trPr>
        <w:tc>
          <w:tcPr>
            <w:tcW w:w="350" w:type="dxa"/>
            <w:tcBorders>
              <w:top w:val="nil"/>
              <w:left w:val="single" w:sz="4" w:space="0" w:color="auto"/>
              <w:bottom w:val="nil"/>
              <w:right w:val="nil"/>
            </w:tcBorders>
            <w:shd w:val="clear" w:color="000000" w:fill="BFBFBF"/>
            <w:noWrap/>
            <w:vAlign w:val="bottom"/>
          </w:tcPr>
          <w:p w:rsidR="00E2336B" w:rsidRPr="005F5A73" w:rsidRDefault="00E2336B" w:rsidP="00E237EB">
            <w:pPr>
              <w:jc w:val="cente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c>
          <w:tcPr>
            <w:tcW w:w="704" w:type="dxa"/>
            <w:tcBorders>
              <w:top w:val="nil"/>
              <w:left w:val="nil"/>
              <w:bottom w:val="nil"/>
              <w:right w:val="nil"/>
            </w:tcBorders>
            <w:shd w:val="clear" w:color="000000" w:fill="BFBFBF"/>
            <w:noWrap/>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c>
          <w:tcPr>
            <w:tcW w:w="6622" w:type="dxa"/>
            <w:tcBorders>
              <w:top w:val="nil"/>
              <w:left w:val="nil"/>
              <w:bottom w:val="nil"/>
              <w:right w:val="single" w:sz="4" w:space="0" w:color="auto"/>
            </w:tcBorders>
            <w:shd w:val="clear" w:color="000000" w:fill="BFBFBF"/>
            <w:noWrap/>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r>
      <w:tr w:rsidR="00E2336B" w:rsidRPr="005F5A73" w:rsidTr="0092566C">
        <w:trPr>
          <w:trHeight w:val="300"/>
        </w:trPr>
        <w:tc>
          <w:tcPr>
            <w:tcW w:w="7676" w:type="dxa"/>
            <w:gridSpan w:val="3"/>
            <w:tcBorders>
              <w:top w:val="nil"/>
              <w:left w:val="single" w:sz="4" w:space="0" w:color="auto"/>
              <w:bottom w:val="nil"/>
              <w:right w:val="single" w:sz="4" w:space="0" w:color="auto"/>
            </w:tcBorders>
            <w:shd w:val="clear" w:color="000000" w:fill="BFBFBF"/>
            <w:noWrap/>
            <w:vAlign w:val="bottom"/>
          </w:tcPr>
          <w:p w:rsidR="00E2336B" w:rsidRPr="005F5A73" w:rsidRDefault="00E2336B" w:rsidP="00E237EB">
            <w:pPr>
              <w:rPr>
                <w:rFonts w:ascii="MinionPro-Regular" w:hAnsi="MinionPro-Regular" w:cs="Calibri"/>
                <w:b/>
                <w:bCs/>
                <w:color w:val="000000"/>
                <w:sz w:val="20"/>
                <w:lang w:val="en-US"/>
              </w:rPr>
            </w:pPr>
            <w:r w:rsidRPr="005F5A73">
              <w:rPr>
                <w:rFonts w:ascii="MinionPro-Regular" w:hAnsi="MinionPro-Regular" w:cs="Calibri"/>
                <w:b/>
                <w:bCs/>
                <w:color w:val="000000"/>
                <w:sz w:val="20"/>
                <w:lang w:val="en-US"/>
              </w:rPr>
              <w:t>2. DESARROLLO PROFESIONAL Y PERSONAL</w:t>
            </w:r>
          </w:p>
        </w:tc>
      </w:tr>
      <w:tr w:rsidR="00E2336B" w:rsidRPr="005F5A73" w:rsidTr="0092566C">
        <w:trPr>
          <w:trHeight w:val="180"/>
        </w:trPr>
        <w:tc>
          <w:tcPr>
            <w:tcW w:w="350" w:type="dxa"/>
            <w:tcBorders>
              <w:top w:val="nil"/>
              <w:left w:val="single" w:sz="4" w:space="0" w:color="auto"/>
              <w:bottom w:val="nil"/>
              <w:right w:val="nil"/>
            </w:tcBorders>
            <w:shd w:val="clear" w:color="000000" w:fill="BFBFBF"/>
            <w:noWrap/>
            <w:vAlign w:val="bottom"/>
          </w:tcPr>
          <w:p w:rsidR="00E2336B" w:rsidRPr="005F5A73" w:rsidRDefault="00E2336B" w:rsidP="00E237EB">
            <w:pPr>
              <w:jc w:val="cente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c>
          <w:tcPr>
            <w:tcW w:w="704" w:type="dxa"/>
            <w:tcBorders>
              <w:top w:val="nil"/>
              <w:left w:val="nil"/>
              <w:bottom w:val="nil"/>
              <w:right w:val="nil"/>
            </w:tcBorders>
            <w:shd w:val="clear" w:color="000000" w:fill="BFBFBF"/>
            <w:noWrap/>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c>
          <w:tcPr>
            <w:tcW w:w="6622" w:type="dxa"/>
            <w:tcBorders>
              <w:top w:val="nil"/>
              <w:left w:val="nil"/>
              <w:bottom w:val="nil"/>
              <w:right w:val="single" w:sz="4" w:space="0" w:color="auto"/>
            </w:tcBorders>
            <w:shd w:val="clear" w:color="000000" w:fill="BFBFBF"/>
            <w:noWrap/>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r>
      <w:tr w:rsidR="00E2336B" w:rsidRPr="005F5A73" w:rsidTr="0092566C">
        <w:trPr>
          <w:trHeight w:val="300"/>
        </w:trPr>
        <w:tc>
          <w:tcPr>
            <w:tcW w:w="350" w:type="dxa"/>
            <w:tcBorders>
              <w:top w:val="single" w:sz="4" w:space="0" w:color="auto"/>
              <w:left w:val="single" w:sz="4" w:space="0" w:color="auto"/>
              <w:bottom w:val="single" w:sz="4" w:space="0" w:color="auto"/>
              <w:right w:val="single" w:sz="4" w:space="0" w:color="auto"/>
            </w:tcBorders>
            <w:shd w:val="clear" w:color="000000" w:fill="A5A5A5"/>
            <w:noWrap/>
            <w:vAlign w:val="bottom"/>
          </w:tcPr>
          <w:p w:rsidR="00E2336B" w:rsidRPr="005F5A73" w:rsidRDefault="00E2336B" w:rsidP="00E237EB">
            <w:pPr>
              <w:jc w:val="center"/>
              <w:rPr>
                <w:rFonts w:ascii="MinionPro-Regular" w:hAnsi="MinionPro-Regular" w:cs="Calibri"/>
                <w:color w:val="000000"/>
                <w:sz w:val="20"/>
                <w:lang w:val="en-US"/>
              </w:rPr>
            </w:pPr>
            <w:r w:rsidRPr="005F5A73">
              <w:rPr>
                <w:rFonts w:ascii="MinionPro-Regular" w:hAnsi="MinionPro-Regular" w:cs="Calibri"/>
                <w:color w:val="000000"/>
                <w:sz w:val="20"/>
                <w:lang w:val="en-US"/>
              </w:rPr>
              <w:t>I</w:t>
            </w:r>
          </w:p>
        </w:tc>
        <w:tc>
          <w:tcPr>
            <w:tcW w:w="7326" w:type="dxa"/>
            <w:gridSpan w:val="2"/>
            <w:tcBorders>
              <w:top w:val="nil"/>
              <w:left w:val="nil"/>
              <w:bottom w:val="single" w:sz="4" w:space="0" w:color="auto"/>
              <w:right w:val="single" w:sz="4" w:space="0" w:color="auto"/>
            </w:tcBorders>
            <w:shd w:val="clear" w:color="000000" w:fill="BFBFBF"/>
            <w:noWrap/>
            <w:vAlign w:val="bottom"/>
          </w:tcPr>
          <w:p w:rsidR="00E2336B" w:rsidRPr="005F5A73" w:rsidRDefault="00E2336B" w:rsidP="00E237EB">
            <w:pPr>
              <w:rPr>
                <w:rFonts w:ascii="MinionPro-Regular" w:hAnsi="MinionPro-Regular" w:cs="Calibri"/>
                <w:color w:val="000000"/>
                <w:sz w:val="20"/>
                <w:lang w:val="es-ES_tradnl"/>
              </w:rPr>
            </w:pPr>
            <w:r w:rsidRPr="005F5A73">
              <w:rPr>
                <w:rFonts w:ascii="MinionPro-Regular" w:hAnsi="MinionPro-Regular" w:cs="Calibri"/>
                <w:color w:val="000000"/>
                <w:sz w:val="20"/>
                <w:lang w:val="es-ES_tradnl"/>
              </w:rPr>
              <w:t>2.1. ¿Cómo conseguiste tu actual trabajo?</w:t>
            </w:r>
          </w:p>
        </w:tc>
      </w:tr>
      <w:tr w:rsidR="00E2336B" w:rsidRPr="005F5A73" w:rsidTr="0092566C">
        <w:trPr>
          <w:trHeight w:val="300"/>
        </w:trPr>
        <w:tc>
          <w:tcPr>
            <w:tcW w:w="350" w:type="dxa"/>
            <w:tcBorders>
              <w:top w:val="nil"/>
              <w:left w:val="single" w:sz="4" w:space="0" w:color="auto"/>
              <w:bottom w:val="nil"/>
              <w:right w:val="nil"/>
            </w:tcBorders>
            <w:shd w:val="clear" w:color="000000" w:fill="BFBFBF"/>
            <w:noWrap/>
            <w:vAlign w:val="bottom"/>
          </w:tcPr>
          <w:p w:rsidR="00E2336B" w:rsidRPr="005F5A73" w:rsidRDefault="00E2336B" w:rsidP="00E237EB">
            <w:pPr>
              <w:jc w:val="center"/>
              <w:rPr>
                <w:rFonts w:ascii="MinionPro-Regular" w:hAnsi="MinionPro-Regular" w:cs="Calibri"/>
                <w:color w:val="000000"/>
                <w:sz w:val="20"/>
                <w:lang w:val="es-ES_tradnl"/>
              </w:rPr>
            </w:pPr>
            <w:r w:rsidRPr="005F5A73">
              <w:rPr>
                <w:rFonts w:ascii="MinionPro-Regular" w:hAnsi="MinionPro-Regular" w:cs="Calibri"/>
                <w:color w:val="000000"/>
                <w:sz w:val="20"/>
                <w:lang w:val="es-ES_tradnl"/>
              </w:rPr>
              <w:t> </w:t>
            </w:r>
          </w:p>
        </w:tc>
        <w:tc>
          <w:tcPr>
            <w:tcW w:w="704" w:type="dxa"/>
            <w:tcBorders>
              <w:top w:val="nil"/>
              <w:left w:val="single" w:sz="4" w:space="0" w:color="auto"/>
              <w:bottom w:val="single" w:sz="4" w:space="0" w:color="auto"/>
              <w:right w:val="single" w:sz="4" w:space="0" w:color="auto"/>
            </w:tcBorders>
            <w:shd w:val="clear" w:color="000000" w:fill="FFFFFF"/>
            <w:noWrap/>
            <w:vAlign w:val="bottom"/>
          </w:tcPr>
          <w:p w:rsidR="00E2336B" w:rsidRPr="005F5A73" w:rsidRDefault="00E2336B" w:rsidP="00E237EB">
            <w:pPr>
              <w:rPr>
                <w:rFonts w:ascii="MinionPro-Regular" w:hAnsi="MinionPro-Regular" w:cs="Calibri"/>
                <w:color w:val="000000"/>
                <w:sz w:val="20"/>
                <w:lang w:val="es-ES_tradnl"/>
              </w:rPr>
            </w:pPr>
            <w:r w:rsidRPr="005F5A73">
              <w:rPr>
                <w:rFonts w:ascii="MinionPro-Regular" w:hAnsi="MinionPro-Regular" w:cs="Calibri"/>
                <w:color w:val="000000"/>
                <w:sz w:val="20"/>
                <w:lang w:val="es-ES_tradnl"/>
              </w:rPr>
              <w:t> </w:t>
            </w:r>
          </w:p>
        </w:tc>
        <w:tc>
          <w:tcPr>
            <w:tcW w:w="6622" w:type="dxa"/>
            <w:tcBorders>
              <w:top w:val="nil"/>
              <w:left w:val="nil"/>
              <w:bottom w:val="single" w:sz="4" w:space="0" w:color="auto"/>
              <w:right w:val="single" w:sz="4" w:space="0" w:color="auto"/>
            </w:tcBorders>
            <w:shd w:val="clear" w:color="000000" w:fill="D8D8D8"/>
            <w:vAlign w:val="bottom"/>
          </w:tcPr>
          <w:p w:rsidR="00E2336B" w:rsidRPr="005F5A73" w:rsidRDefault="00E2336B" w:rsidP="00E237EB">
            <w:pPr>
              <w:rPr>
                <w:rFonts w:ascii="MinionPro-Regular" w:hAnsi="MinionPro-Regular" w:cs="Calibri"/>
                <w:color w:val="000000"/>
                <w:sz w:val="20"/>
                <w:lang w:val="es-ES_tradnl"/>
              </w:rPr>
            </w:pPr>
            <w:r w:rsidRPr="005F5A73">
              <w:rPr>
                <w:rFonts w:ascii="MinionPro-Regular" w:hAnsi="MinionPro-Regular" w:cs="Calibri"/>
                <w:color w:val="000000"/>
                <w:sz w:val="20"/>
                <w:lang w:val="es-ES_tradnl"/>
              </w:rPr>
              <w:t>A) Asociación a la que perteneces</w:t>
            </w:r>
          </w:p>
        </w:tc>
      </w:tr>
      <w:tr w:rsidR="00E2336B" w:rsidRPr="005F5A73" w:rsidTr="0092566C">
        <w:trPr>
          <w:trHeight w:val="300"/>
        </w:trPr>
        <w:tc>
          <w:tcPr>
            <w:tcW w:w="350" w:type="dxa"/>
            <w:tcBorders>
              <w:top w:val="nil"/>
              <w:left w:val="single" w:sz="4" w:space="0" w:color="auto"/>
              <w:bottom w:val="nil"/>
              <w:right w:val="nil"/>
            </w:tcBorders>
            <w:shd w:val="clear" w:color="000000" w:fill="BFBFBF"/>
            <w:noWrap/>
            <w:vAlign w:val="bottom"/>
          </w:tcPr>
          <w:p w:rsidR="00E2336B" w:rsidRPr="005F5A73" w:rsidRDefault="00E2336B" w:rsidP="00E237EB">
            <w:pPr>
              <w:jc w:val="center"/>
              <w:rPr>
                <w:rFonts w:ascii="MinionPro-Regular" w:hAnsi="MinionPro-Regular" w:cs="Calibri"/>
                <w:color w:val="000000"/>
                <w:sz w:val="20"/>
                <w:lang w:val="es-ES_tradnl"/>
              </w:rPr>
            </w:pPr>
            <w:r w:rsidRPr="005F5A73">
              <w:rPr>
                <w:rFonts w:ascii="MinionPro-Regular" w:hAnsi="MinionPro-Regular" w:cs="Calibri"/>
                <w:color w:val="000000"/>
                <w:sz w:val="20"/>
                <w:lang w:val="es-ES_tradnl"/>
              </w:rPr>
              <w:t> </w:t>
            </w:r>
          </w:p>
        </w:tc>
        <w:tc>
          <w:tcPr>
            <w:tcW w:w="704" w:type="dxa"/>
            <w:tcBorders>
              <w:top w:val="nil"/>
              <w:left w:val="single" w:sz="4" w:space="0" w:color="auto"/>
              <w:bottom w:val="single" w:sz="4" w:space="0" w:color="auto"/>
              <w:right w:val="single" w:sz="4" w:space="0" w:color="auto"/>
            </w:tcBorders>
            <w:shd w:val="clear" w:color="000000" w:fill="FFFFFF"/>
            <w:noWrap/>
            <w:vAlign w:val="bottom"/>
          </w:tcPr>
          <w:p w:rsidR="00E2336B" w:rsidRPr="005F5A73" w:rsidRDefault="00E2336B" w:rsidP="00E237EB">
            <w:pPr>
              <w:rPr>
                <w:rFonts w:ascii="MinionPro-Regular" w:hAnsi="MinionPro-Regular" w:cs="Calibri"/>
                <w:color w:val="000000"/>
                <w:sz w:val="20"/>
                <w:lang w:val="es-ES_tradnl"/>
              </w:rPr>
            </w:pPr>
            <w:r w:rsidRPr="005F5A73">
              <w:rPr>
                <w:rFonts w:ascii="MinionPro-Regular" w:hAnsi="MinionPro-Regular" w:cs="Calibri"/>
                <w:color w:val="000000"/>
                <w:sz w:val="20"/>
                <w:lang w:val="es-ES_tradnl"/>
              </w:rPr>
              <w:t> </w:t>
            </w:r>
          </w:p>
        </w:tc>
        <w:tc>
          <w:tcPr>
            <w:tcW w:w="6622" w:type="dxa"/>
            <w:tcBorders>
              <w:top w:val="nil"/>
              <w:left w:val="nil"/>
              <w:bottom w:val="single" w:sz="4" w:space="0" w:color="auto"/>
              <w:right w:val="single" w:sz="4" w:space="0" w:color="auto"/>
            </w:tcBorders>
            <w:shd w:val="clear" w:color="000000" w:fill="D8D8D8"/>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B) Amigos o familiares</w:t>
            </w:r>
          </w:p>
        </w:tc>
      </w:tr>
      <w:tr w:rsidR="00E2336B" w:rsidRPr="005F5A73" w:rsidTr="0092566C">
        <w:trPr>
          <w:trHeight w:val="300"/>
        </w:trPr>
        <w:tc>
          <w:tcPr>
            <w:tcW w:w="350" w:type="dxa"/>
            <w:tcBorders>
              <w:top w:val="nil"/>
              <w:left w:val="single" w:sz="4" w:space="0" w:color="auto"/>
              <w:bottom w:val="nil"/>
              <w:right w:val="nil"/>
            </w:tcBorders>
            <w:shd w:val="clear" w:color="000000" w:fill="BFBFBF"/>
            <w:noWrap/>
            <w:vAlign w:val="bottom"/>
          </w:tcPr>
          <w:p w:rsidR="00E2336B" w:rsidRPr="005F5A73" w:rsidRDefault="00E2336B" w:rsidP="00E237EB">
            <w:pPr>
              <w:jc w:val="cente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c>
          <w:tcPr>
            <w:tcW w:w="704" w:type="dxa"/>
            <w:tcBorders>
              <w:top w:val="nil"/>
              <w:left w:val="single" w:sz="4" w:space="0" w:color="auto"/>
              <w:bottom w:val="single" w:sz="4" w:space="0" w:color="auto"/>
              <w:right w:val="single" w:sz="4" w:space="0" w:color="auto"/>
            </w:tcBorders>
            <w:shd w:val="clear" w:color="000000" w:fill="FFFFFF"/>
            <w:noWrap/>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c>
          <w:tcPr>
            <w:tcW w:w="6622" w:type="dxa"/>
            <w:tcBorders>
              <w:top w:val="nil"/>
              <w:left w:val="nil"/>
              <w:bottom w:val="single" w:sz="4" w:space="0" w:color="auto"/>
              <w:right w:val="single" w:sz="4" w:space="0" w:color="auto"/>
            </w:tcBorders>
            <w:shd w:val="clear" w:color="000000" w:fill="D8D8D8"/>
            <w:vAlign w:val="bottom"/>
          </w:tcPr>
          <w:p w:rsidR="00E2336B" w:rsidRPr="005F5A73" w:rsidRDefault="00E2336B" w:rsidP="00E237EB">
            <w:pPr>
              <w:rPr>
                <w:rFonts w:ascii="MinionPro-Regular" w:hAnsi="MinionPro-Regular" w:cs="Calibri"/>
                <w:color w:val="000000"/>
                <w:sz w:val="20"/>
                <w:lang w:val="es-ES_tradnl"/>
              </w:rPr>
            </w:pPr>
            <w:r w:rsidRPr="005F5A73">
              <w:rPr>
                <w:rFonts w:ascii="MinionPro-Regular" w:hAnsi="MinionPro-Regular" w:cs="Calibri"/>
                <w:color w:val="000000"/>
                <w:sz w:val="20"/>
                <w:lang w:val="es-ES_tradnl"/>
              </w:rPr>
              <w:t>C) Servicio público de empleo</w:t>
            </w:r>
          </w:p>
        </w:tc>
      </w:tr>
      <w:tr w:rsidR="00E2336B" w:rsidRPr="005F5A73" w:rsidTr="0092566C">
        <w:trPr>
          <w:trHeight w:val="300"/>
        </w:trPr>
        <w:tc>
          <w:tcPr>
            <w:tcW w:w="350" w:type="dxa"/>
            <w:tcBorders>
              <w:top w:val="nil"/>
              <w:left w:val="single" w:sz="4" w:space="0" w:color="auto"/>
              <w:bottom w:val="nil"/>
              <w:right w:val="nil"/>
            </w:tcBorders>
            <w:shd w:val="clear" w:color="000000" w:fill="BFBFBF"/>
            <w:noWrap/>
            <w:vAlign w:val="bottom"/>
          </w:tcPr>
          <w:p w:rsidR="00E2336B" w:rsidRPr="005F5A73" w:rsidRDefault="00E2336B" w:rsidP="00E237EB">
            <w:pPr>
              <w:jc w:val="center"/>
              <w:rPr>
                <w:rFonts w:ascii="MinionPro-Regular" w:hAnsi="MinionPro-Regular" w:cs="Calibri"/>
                <w:color w:val="000000"/>
                <w:sz w:val="20"/>
                <w:lang w:val="es-ES_tradnl"/>
              </w:rPr>
            </w:pPr>
            <w:r w:rsidRPr="005F5A73">
              <w:rPr>
                <w:rFonts w:ascii="MinionPro-Regular" w:hAnsi="MinionPro-Regular" w:cs="Calibri"/>
                <w:color w:val="000000"/>
                <w:sz w:val="20"/>
                <w:lang w:val="es-ES_tradnl"/>
              </w:rPr>
              <w:t> </w:t>
            </w:r>
          </w:p>
        </w:tc>
        <w:tc>
          <w:tcPr>
            <w:tcW w:w="704" w:type="dxa"/>
            <w:tcBorders>
              <w:top w:val="nil"/>
              <w:left w:val="single" w:sz="4" w:space="0" w:color="auto"/>
              <w:bottom w:val="single" w:sz="4" w:space="0" w:color="auto"/>
              <w:right w:val="single" w:sz="4" w:space="0" w:color="auto"/>
            </w:tcBorders>
            <w:shd w:val="clear" w:color="000000" w:fill="FFFFFF"/>
            <w:noWrap/>
            <w:vAlign w:val="bottom"/>
          </w:tcPr>
          <w:p w:rsidR="00E2336B" w:rsidRPr="005F5A73" w:rsidRDefault="00E2336B" w:rsidP="00E237EB">
            <w:pPr>
              <w:rPr>
                <w:rFonts w:ascii="MinionPro-Regular" w:hAnsi="MinionPro-Regular" w:cs="Calibri"/>
                <w:color w:val="000000"/>
                <w:sz w:val="20"/>
                <w:lang w:val="es-ES_tradnl"/>
              </w:rPr>
            </w:pPr>
            <w:r w:rsidRPr="005F5A73">
              <w:rPr>
                <w:rFonts w:ascii="MinionPro-Regular" w:hAnsi="MinionPro-Regular" w:cs="Calibri"/>
                <w:color w:val="000000"/>
                <w:sz w:val="20"/>
                <w:lang w:val="es-ES_tradnl"/>
              </w:rPr>
              <w:t> </w:t>
            </w:r>
          </w:p>
        </w:tc>
        <w:tc>
          <w:tcPr>
            <w:tcW w:w="6622" w:type="dxa"/>
            <w:tcBorders>
              <w:top w:val="nil"/>
              <w:left w:val="nil"/>
              <w:bottom w:val="single" w:sz="4" w:space="0" w:color="auto"/>
              <w:right w:val="single" w:sz="4" w:space="0" w:color="auto"/>
            </w:tcBorders>
            <w:shd w:val="clear" w:color="000000" w:fill="D8D8D8"/>
            <w:vAlign w:val="bottom"/>
          </w:tcPr>
          <w:p w:rsidR="00E2336B" w:rsidRPr="005F5A73" w:rsidRDefault="00E2336B" w:rsidP="00E237EB">
            <w:pPr>
              <w:rPr>
                <w:rFonts w:ascii="MinionPro-Regular" w:hAnsi="MinionPro-Regular" w:cs="Calibri"/>
                <w:color w:val="000000"/>
                <w:sz w:val="20"/>
                <w:lang w:val="es-ES_tradnl"/>
              </w:rPr>
            </w:pPr>
            <w:r w:rsidRPr="005F5A73">
              <w:rPr>
                <w:rFonts w:ascii="MinionPro-Regular" w:hAnsi="MinionPro-Regular" w:cs="Calibri"/>
                <w:color w:val="000000"/>
                <w:sz w:val="20"/>
                <w:lang w:val="es-ES_tradnl"/>
              </w:rPr>
              <w:t>D) Anuncio de empleo en internet</w:t>
            </w:r>
          </w:p>
        </w:tc>
      </w:tr>
      <w:tr w:rsidR="00E2336B" w:rsidRPr="005F5A73" w:rsidTr="0092566C">
        <w:trPr>
          <w:trHeight w:val="300"/>
        </w:trPr>
        <w:tc>
          <w:tcPr>
            <w:tcW w:w="350" w:type="dxa"/>
            <w:tcBorders>
              <w:top w:val="nil"/>
              <w:left w:val="single" w:sz="4" w:space="0" w:color="auto"/>
              <w:bottom w:val="nil"/>
              <w:right w:val="nil"/>
            </w:tcBorders>
            <w:shd w:val="clear" w:color="000000" w:fill="BFBFBF"/>
            <w:noWrap/>
            <w:vAlign w:val="bottom"/>
          </w:tcPr>
          <w:p w:rsidR="00E2336B" w:rsidRPr="005F5A73" w:rsidRDefault="00E2336B" w:rsidP="00E237EB">
            <w:pPr>
              <w:jc w:val="center"/>
              <w:rPr>
                <w:rFonts w:ascii="MinionPro-Regular" w:hAnsi="MinionPro-Regular" w:cs="Calibri"/>
                <w:color w:val="000000"/>
                <w:sz w:val="20"/>
                <w:lang w:val="es-ES_tradnl"/>
              </w:rPr>
            </w:pPr>
            <w:r w:rsidRPr="005F5A73">
              <w:rPr>
                <w:rFonts w:ascii="MinionPro-Regular" w:hAnsi="MinionPro-Regular" w:cs="Calibri"/>
                <w:color w:val="000000"/>
                <w:sz w:val="20"/>
                <w:lang w:val="es-ES_tradnl"/>
              </w:rPr>
              <w:t> </w:t>
            </w:r>
          </w:p>
        </w:tc>
        <w:tc>
          <w:tcPr>
            <w:tcW w:w="704" w:type="dxa"/>
            <w:tcBorders>
              <w:top w:val="nil"/>
              <w:left w:val="single" w:sz="4" w:space="0" w:color="auto"/>
              <w:bottom w:val="single" w:sz="4" w:space="0" w:color="auto"/>
              <w:right w:val="single" w:sz="4" w:space="0" w:color="auto"/>
            </w:tcBorders>
            <w:shd w:val="clear" w:color="000000" w:fill="FFFFFF"/>
            <w:noWrap/>
            <w:vAlign w:val="bottom"/>
          </w:tcPr>
          <w:p w:rsidR="00E2336B" w:rsidRPr="005F5A73" w:rsidRDefault="00E2336B" w:rsidP="00E237EB">
            <w:pPr>
              <w:rPr>
                <w:rFonts w:ascii="MinionPro-Regular" w:hAnsi="MinionPro-Regular" w:cs="Calibri"/>
                <w:color w:val="000000"/>
                <w:sz w:val="20"/>
                <w:lang w:val="es-ES_tradnl"/>
              </w:rPr>
            </w:pPr>
            <w:r w:rsidRPr="005F5A73">
              <w:rPr>
                <w:rFonts w:ascii="MinionPro-Regular" w:hAnsi="MinionPro-Regular" w:cs="Calibri"/>
                <w:color w:val="000000"/>
                <w:sz w:val="20"/>
                <w:lang w:val="es-ES_tradnl"/>
              </w:rPr>
              <w:t> </w:t>
            </w:r>
          </w:p>
        </w:tc>
        <w:tc>
          <w:tcPr>
            <w:tcW w:w="6622" w:type="dxa"/>
            <w:tcBorders>
              <w:top w:val="nil"/>
              <w:left w:val="nil"/>
              <w:bottom w:val="single" w:sz="4" w:space="0" w:color="auto"/>
              <w:right w:val="single" w:sz="4" w:space="0" w:color="auto"/>
            </w:tcBorders>
            <w:shd w:val="clear" w:color="000000" w:fill="D8D8D8"/>
            <w:vAlign w:val="bottom"/>
          </w:tcPr>
          <w:p w:rsidR="00E2336B" w:rsidRPr="005F5A73" w:rsidRDefault="00E2336B" w:rsidP="00E237EB">
            <w:pPr>
              <w:rPr>
                <w:rFonts w:ascii="MinionPro-Regular" w:hAnsi="MinionPro-Regular" w:cs="Calibri"/>
                <w:color w:val="000000"/>
                <w:sz w:val="20"/>
                <w:lang w:val="es-ES_tradnl"/>
              </w:rPr>
            </w:pPr>
            <w:r w:rsidRPr="005F5A73">
              <w:rPr>
                <w:rFonts w:ascii="MinionPro-Regular" w:hAnsi="MinionPro-Regular" w:cs="Calibri"/>
                <w:color w:val="000000"/>
                <w:sz w:val="20"/>
                <w:lang w:val="es-ES_tradnl"/>
              </w:rPr>
              <w:t>E) Anuncio de empleo en otras vías (periódico, carteles, etc)</w:t>
            </w:r>
          </w:p>
        </w:tc>
      </w:tr>
      <w:tr w:rsidR="00E2336B" w:rsidRPr="005F5A73" w:rsidTr="0092566C">
        <w:trPr>
          <w:trHeight w:val="300"/>
        </w:trPr>
        <w:tc>
          <w:tcPr>
            <w:tcW w:w="350" w:type="dxa"/>
            <w:tcBorders>
              <w:top w:val="nil"/>
              <w:left w:val="single" w:sz="4" w:space="0" w:color="auto"/>
              <w:bottom w:val="nil"/>
              <w:right w:val="nil"/>
            </w:tcBorders>
            <w:shd w:val="clear" w:color="000000" w:fill="BFBFBF"/>
            <w:noWrap/>
            <w:vAlign w:val="bottom"/>
          </w:tcPr>
          <w:p w:rsidR="00E2336B" w:rsidRPr="005F5A73" w:rsidRDefault="00E2336B" w:rsidP="00E237EB">
            <w:pPr>
              <w:jc w:val="center"/>
              <w:rPr>
                <w:rFonts w:ascii="MinionPro-Regular" w:hAnsi="MinionPro-Regular" w:cs="Calibri"/>
                <w:color w:val="000000"/>
                <w:sz w:val="20"/>
                <w:lang w:val="es-ES_tradnl"/>
              </w:rPr>
            </w:pPr>
            <w:r w:rsidRPr="005F5A73">
              <w:rPr>
                <w:rFonts w:ascii="MinionPro-Regular" w:hAnsi="MinionPro-Regular" w:cs="Calibri"/>
                <w:color w:val="000000"/>
                <w:sz w:val="20"/>
                <w:lang w:val="es-ES_tradnl"/>
              </w:rPr>
              <w:t> </w:t>
            </w:r>
          </w:p>
        </w:tc>
        <w:tc>
          <w:tcPr>
            <w:tcW w:w="704" w:type="dxa"/>
            <w:tcBorders>
              <w:top w:val="nil"/>
              <w:left w:val="single" w:sz="4" w:space="0" w:color="auto"/>
              <w:bottom w:val="single" w:sz="4" w:space="0" w:color="auto"/>
              <w:right w:val="single" w:sz="4" w:space="0" w:color="auto"/>
            </w:tcBorders>
            <w:shd w:val="clear" w:color="000000" w:fill="FFFFFF"/>
            <w:noWrap/>
            <w:vAlign w:val="bottom"/>
          </w:tcPr>
          <w:p w:rsidR="00E2336B" w:rsidRPr="005F5A73" w:rsidRDefault="00E2336B" w:rsidP="00E237EB">
            <w:pPr>
              <w:rPr>
                <w:rFonts w:ascii="MinionPro-Regular" w:hAnsi="MinionPro-Regular" w:cs="Calibri"/>
                <w:color w:val="000000"/>
                <w:sz w:val="20"/>
                <w:lang w:val="es-ES_tradnl"/>
              </w:rPr>
            </w:pPr>
            <w:r w:rsidRPr="005F5A73">
              <w:rPr>
                <w:rFonts w:ascii="MinionPro-Regular" w:hAnsi="MinionPro-Regular" w:cs="Calibri"/>
                <w:color w:val="000000"/>
                <w:sz w:val="20"/>
                <w:lang w:val="es-ES_tradnl"/>
              </w:rPr>
              <w:t> </w:t>
            </w:r>
          </w:p>
        </w:tc>
        <w:tc>
          <w:tcPr>
            <w:tcW w:w="6622" w:type="dxa"/>
            <w:tcBorders>
              <w:top w:val="nil"/>
              <w:left w:val="nil"/>
              <w:bottom w:val="single" w:sz="4" w:space="0" w:color="auto"/>
              <w:right w:val="single" w:sz="4" w:space="0" w:color="auto"/>
            </w:tcBorders>
            <w:shd w:val="clear" w:color="000000" w:fill="D8D8D8"/>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 xml:space="preserve">F) Otros (indica cuáles): </w:t>
            </w:r>
          </w:p>
        </w:tc>
      </w:tr>
      <w:tr w:rsidR="00E2336B" w:rsidRPr="005F5A73" w:rsidTr="0092566C">
        <w:trPr>
          <w:trHeight w:val="180"/>
        </w:trPr>
        <w:tc>
          <w:tcPr>
            <w:tcW w:w="350" w:type="dxa"/>
            <w:tcBorders>
              <w:top w:val="nil"/>
              <w:left w:val="single" w:sz="4" w:space="0" w:color="auto"/>
              <w:bottom w:val="nil"/>
              <w:right w:val="nil"/>
            </w:tcBorders>
            <w:shd w:val="clear" w:color="000000" w:fill="BFBFBF"/>
            <w:noWrap/>
            <w:vAlign w:val="bottom"/>
          </w:tcPr>
          <w:p w:rsidR="00E2336B" w:rsidRPr="005F5A73" w:rsidRDefault="00E2336B" w:rsidP="00E237EB">
            <w:pPr>
              <w:jc w:val="cente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c>
          <w:tcPr>
            <w:tcW w:w="704" w:type="dxa"/>
            <w:tcBorders>
              <w:top w:val="nil"/>
              <w:left w:val="nil"/>
              <w:bottom w:val="nil"/>
              <w:right w:val="nil"/>
            </w:tcBorders>
            <w:shd w:val="clear" w:color="000000" w:fill="BFBFBF"/>
            <w:noWrap/>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c>
          <w:tcPr>
            <w:tcW w:w="6622" w:type="dxa"/>
            <w:tcBorders>
              <w:top w:val="nil"/>
              <w:left w:val="nil"/>
              <w:bottom w:val="nil"/>
              <w:right w:val="single" w:sz="4" w:space="0" w:color="auto"/>
            </w:tcBorders>
            <w:shd w:val="clear" w:color="000000" w:fill="BFBFBF"/>
            <w:noWrap/>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r>
      <w:tr w:rsidR="00E2336B" w:rsidRPr="005F5A73" w:rsidTr="0092566C">
        <w:trPr>
          <w:trHeight w:val="300"/>
        </w:trPr>
        <w:tc>
          <w:tcPr>
            <w:tcW w:w="350" w:type="dxa"/>
            <w:tcBorders>
              <w:top w:val="single" w:sz="4" w:space="0" w:color="auto"/>
              <w:left w:val="single" w:sz="4" w:space="0" w:color="auto"/>
              <w:bottom w:val="single" w:sz="4" w:space="0" w:color="auto"/>
              <w:right w:val="single" w:sz="4" w:space="0" w:color="auto"/>
            </w:tcBorders>
            <w:shd w:val="clear" w:color="000000" w:fill="A5A5A5"/>
            <w:noWrap/>
            <w:vAlign w:val="bottom"/>
          </w:tcPr>
          <w:p w:rsidR="00E2336B" w:rsidRPr="005F5A73" w:rsidRDefault="00E2336B" w:rsidP="00E237EB">
            <w:pPr>
              <w:jc w:val="center"/>
              <w:rPr>
                <w:rFonts w:ascii="MinionPro-Regular" w:hAnsi="MinionPro-Regular" w:cs="Calibri"/>
                <w:color w:val="000000"/>
                <w:sz w:val="20"/>
                <w:lang w:val="en-US"/>
              </w:rPr>
            </w:pPr>
            <w:r w:rsidRPr="005F5A73">
              <w:rPr>
                <w:rFonts w:ascii="MinionPro-Regular" w:hAnsi="MinionPro-Regular" w:cs="Calibri"/>
                <w:color w:val="000000"/>
                <w:sz w:val="20"/>
                <w:lang w:val="en-US"/>
              </w:rPr>
              <w:t>I</w:t>
            </w:r>
          </w:p>
        </w:tc>
        <w:tc>
          <w:tcPr>
            <w:tcW w:w="7326" w:type="dxa"/>
            <w:gridSpan w:val="2"/>
            <w:tcBorders>
              <w:top w:val="nil"/>
              <w:left w:val="nil"/>
              <w:bottom w:val="nil"/>
              <w:right w:val="single" w:sz="4" w:space="0" w:color="auto"/>
            </w:tcBorders>
            <w:shd w:val="clear" w:color="000000" w:fill="BFBFBF"/>
            <w:noWrap/>
            <w:vAlign w:val="bottom"/>
          </w:tcPr>
          <w:p w:rsidR="00E2336B" w:rsidRPr="005F5A73" w:rsidRDefault="00E2336B" w:rsidP="00E237EB">
            <w:pPr>
              <w:rPr>
                <w:rFonts w:ascii="MinionPro-Regular" w:hAnsi="MinionPro-Regular" w:cs="Calibri"/>
                <w:color w:val="000000"/>
                <w:sz w:val="20"/>
                <w:lang w:val="es-ES_tradnl"/>
              </w:rPr>
            </w:pPr>
            <w:r w:rsidRPr="005F5A73">
              <w:rPr>
                <w:rFonts w:ascii="MinionPro-Regular" w:hAnsi="MinionPro-Regular" w:cs="Calibri"/>
                <w:color w:val="000000"/>
                <w:sz w:val="20"/>
                <w:lang w:val="es-ES_tradnl"/>
              </w:rPr>
              <w:t>2.2. ¿Es este tu primer trabajo?</w:t>
            </w:r>
          </w:p>
        </w:tc>
      </w:tr>
      <w:tr w:rsidR="00E2336B" w:rsidRPr="005F5A73" w:rsidTr="0092566C">
        <w:trPr>
          <w:trHeight w:val="300"/>
        </w:trPr>
        <w:tc>
          <w:tcPr>
            <w:tcW w:w="350" w:type="dxa"/>
            <w:tcBorders>
              <w:top w:val="nil"/>
              <w:left w:val="single" w:sz="4" w:space="0" w:color="auto"/>
              <w:bottom w:val="nil"/>
              <w:right w:val="nil"/>
            </w:tcBorders>
            <w:shd w:val="clear" w:color="000000" w:fill="BFBFBF"/>
            <w:noWrap/>
            <w:vAlign w:val="bottom"/>
          </w:tcPr>
          <w:p w:rsidR="00E2336B" w:rsidRPr="005F5A73" w:rsidRDefault="00E2336B" w:rsidP="00E237EB">
            <w:pPr>
              <w:jc w:val="center"/>
              <w:rPr>
                <w:rFonts w:ascii="MinionPro-Regular" w:hAnsi="MinionPro-Regular" w:cs="Calibri"/>
                <w:color w:val="000000"/>
                <w:sz w:val="20"/>
                <w:lang w:val="es-ES_tradnl"/>
              </w:rPr>
            </w:pPr>
            <w:r w:rsidRPr="005F5A73">
              <w:rPr>
                <w:rFonts w:ascii="MinionPro-Regular" w:hAnsi="MinionPro-Regular" w:cs="Calibri"/>
                <w:color w:val="000000"/>
                <w:sz w:val="20"/>
                <w:lang w:val="es-ES_tradnl"/>
              </w:rPr>
              <w:t> </w:t>
            </w:r>
          </w:p>
        </w:tc>
        <w:tc>
          <w:tcPr>
            <w:tcW w:w="704"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E2336B" w:rsidRPr="005F5A73" w:rsidRDefault="00E2336B" w:rsidP="00E237EB">
            <w:pPr>
              <w:rPr>
                <w:rFonts w:ascii="MinionPro-Regular" w:hAnsi="MinionPro-Regular" w:cs="Calibri"/>
                <w:color w:val="000000"/>
                <w:sz w:val="20"/>
                <w:lang w:val="es-ES_tradnl"/>
              </w:rPr>
            </w:pPr>
            <w:r w:rsidRPr="005F5A73">
              <w:rPr>
                <w:rFonts w:ascii="MinionPro-Regular" w:hAnsi="MinionPro-Regular" w:cs="Calibri"/>
                <w:color w:val="000000"/>
                <w:sz w:val="20"/>
                <w:lang w:val="es-ES_tradnl"/>
              </w:rPr>
              <w:t> </w:t>
            </w:r>
          </w:p>
        </w:tc>
        <w:tc>
          <w:tcPr>
            <w:tcW w:w="6622" w:type="dxa"/>
            <w:tcBorders>
              <w:top w:val="single" w:sz="4" w:space="0" w:color="auto"/>
              <w:left w:val="nil"/>
              <w:bottom w:val="single" w:sz="4" w:space="0" w:color="auto"/>
              <w:right w:val="single" w:sz="4" w:space="0" w:color="auto"/>
            </w:tcBorders>
            <w:shd w:val="clear" w:color="000000" w:fill="D8D8D8"/>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A) Sí</w:t>
            </w:r>
          </w:p>
        </w:tc>
      </w:tr>
      <w:tr w:rsidR="00E2336B" w:rsidRPr="005F5A73" w:rsidTr="0092566C">
        <w:trPr>
          <w:trHeight w:val="300"/>
        </w:trPr>
        <w:tc>
          <w:tcPr>
            <w:tcW w:w="350" w:type="dxa"/>
            <w:tcBorders>
              <w:top w:val="nil"/>
              <w:left w:val="single" w:sz="4" w:space="0" w:color="auto"/>
              <w:bottom w:val="nil"/>
              <w:right w:val="nil"/>
            </w:tcBorders>
            <w:shd w:val="clear" w:color="000000" w:fill="BFBFBF"/>
            <w:noWrap/>
            <w:vAlign w:val="bottom"/>
          </w:tcPr>
          <w:p w:rsidR="00E2336B" w:rsidRPr="005F5A73" w:rsidRDefault="00E2336B" w:rsidP="00E237EB">
            <w:pPr>
              <w:jc w:val="cente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c>
          <w:tcPr>
            <w:tcW w:w="704" w:type="dxa"/>
            <w:tcBorders>
              <w:top w:val="nil"/>
              <w:left w:val="single" w:sz="4" w:space="0" w:color="auto"/>
              <w:bottom w:val="single" w:sz="4" w:space="0" w:color="auto"/>
              <w:right w:val="single" w:sz="4" w:space="0" w:color="auto"/>
            </w:tcBorders>
            <w:shd w:val="clear" w:color="000000" w:fill="FFFFFF"/>
            <w:noWrap/>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c>
          <w:tcPr>
            <w:tcW w:w="6622" w:type="dxa"/>
            <w:tcBorders>
              <w:top w:val="nil"/>
              <w:left w:val="nil"/>
              <w:bottom w:val="single" w:sz="4" w:space="0" w:color="auto"/>
              <w:right w:val="single" w:sz="4" w:space="0" w:color="auto"/>
            </w:tcBorders>
            <w:shd w:val="clear" w:color="000000" w:fill="D8D8D8"/>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B) No</w:t>
            </w:r>
          </w:p>
        </w:tc>
      </w:tr>
      <w:tr w:rsidR="00E2336B" w:rsidRPr="005F5A73" w:rsidTr="0092566C">
        <w:trPr>
          <w:trHeight w:val="300"/>
        </w:trPr>
        <w:tc>
          <w:tcPr>
            <w:tcW w:w="350" w:type="dxa"/>
            <w:tcBorders>
              <w:top w:val="nil"/>
              <w:left w:val="single" w:sz="4" w:space="0" w:color="auto"/>
              <w:bottom w:val="nil"/>
              <w:right w:val="nil"/>
            </w:tcBorders>
            <w:shd w:val="clear" w:color="000000" w:fill="BFBFBF"/>
            <w:noWrap/>
            <w:vAlign w:val="bottom"/>
          </w:tcPr>
          <w:p w:rsidR="00E2336B" w:rsidRPr="005F5A73" w:rsidRDefault="00E2336B" w:rsidP="00E237EB">
            <w:pPr>
              <w:jc w:val="cente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c>
          <w:tcPr>
            <w:tcW w:w="704" w:type="dxa"/>
            <w:tcBorders>
              <w:top w:val="nil"/>
              <w:left w:val="single" w:sz="4" w:space="0" w:color="auto"/>
              <w:bottom w:val="single" w:sz="4" w:space="0" w:color="auto"/>
              <w:right w:val="single" w:sz="4" w:space="0" w:color="auto"/>
            </w:tcBorders>
            <w:shd w:val="clear" w:color="000000" w:fill="FFFFFF"/>
            <w:noWrap/>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c>
          <w:tcPr>
            <w:tcW w:w="6622" w:type="dxa"/>
            <w:tcBorders>
              <w:top w:val="nil"/>
              <w:left w:val="nil"/>
              <w:bottom w:val="single" w:sz="4" w:space="0" w:color="auto"/>
              <w:right w:val="single" w:sz="4" w:space="0" w:color="auto"/>
            </w:tcBorders>
            <w:shd w:val="clear" w:color="000000" w:fill="D8D8D8"/>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 xml:space="preserve">C) Otros (indica cuáles): </w:t>
            </w:r>
          </w:p>
        </w:tc>
      </w:tr>
      <w:tr w:rsidR="00E2336B" w:rsidRPr="005F5A73" w:rsidTr="0092566C">
        <w:trPr>
          <w:trHeight w:val="180"/>
        </w:trPr>
        <w:tc>
          <w:tcPr>
            <w:tcW w:w="350" w:type="dxa"/>
            <w:tcBorders>
              <w:top w:val="nil"/>
              <w:left w:val="single" w:sz="4" w:space="0" w:color="auto"/>
              <w:bottom w:val="nil"/>
              <w:right w:val="nil"/>
            </w:tcBorders>
            <w:shd w:val="clear" w:color="000000" w:fill="BFBFBF"/>
            <w:noWrap/>
            <w:vAlign w:val="bottom"/>
          </w:tcPr>
          <w:p w:rsidR="00E2336B" w:rsidRPr="005F5A73" w:rsidRDefault="00E2336B" w:rsidP="00E237EB">
            <w:pPr>
              <w:jc w:val="cente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c>
          <w:tcPr>
            <w:tcW w:w="704" w:type="dxa"/>
            <w:tcBorders>
              <w:top w:val="nil"/>
              <w:left w:val="nil"/>
              <w:bottom w:val="nil"/>
              <w:right w:val="nil"/>
            </w:tcBorders>
            <w:shd w:val="clear" w:color="000000" w:fill="BFBFBF"/>
            <w:noWrap/>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c>
          <w:tcPr>
            <w:tcW w:w="6622" w:type="dxa"/>
            <w:tcBorders>
              <w:top w:val="nil"/>
              <w:left w:val="nil"/>
              <w:bottom w:val="nil"/>
              <w:right w:val="single" w:sz="4" w:space="0" w:color="auto"/>
            </w:tcBorders>
            <w:shd w:val="clear" w:color="000000" w:fill="BFBFBF"/>
            <w:noWrap/>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r>
      <w:tr w:rsidR="00E2336B" w:rsidRPr="005F5A73" w:rsidTr="0092566C">
        <w:trPr>
          <w:trHeight w:val="300"/>
        </w:trPr>
        <w:tc>
          <w:tcPr>
            <w:tcW w:w="350" w:type="dxa"/>
            <w:tcBorders>
              <w:top w:val="single" w:sz="4" w:space="0" w:color="auto"/>
              <w:left w:val="single" w:sz="4" w:space="0" w:color="auto"/>
              <w:bottom w:val="single" w:sz="4" w:space="0" w:color="auto"/>
              <w:right w:val="single" w:sz="4" w:space="0" w:color="auto"/>
            </w:tcBorders>
            <w:shd w:val="clear" w:color="000000" w:fill="A5A5A5"/>
            <w:noWrap/>
            <w:vAlign w:val="bottom"/>
          </w:tcPr>
          <w:p w:rsidR="00E2336B" w:rsidRPr="005F5A73" w:rsidRDefault="00E2336B" w:rsidP="00E237EB">
            <w:pPr>
              <w:jc w:val="center"/>
              <w:rPr>
                <w:rFonts w:ascii="MinionPro-Regular" w:hAnsi="MinionPro-Regular" w:cs="Calibri"/>
                <w:color w:val="000000"/>
                <w:sz w:val="20"/>
                <w:lang w:val="en-US"/>
              </w:rPr>
            </w:pPr>
            <w:r w:rsidRPr="005F5A73">
              <w:rPr>
                <w:rFonts w:ascii="MinionPro-Regular" w:hAnsi="MinionPro-Regular" w:cs="Calibri"/>
                <w:color w:val="000000"/>
                <w:sz w:val="20"/>
                <w:lang w:val="en-US"/>
              </w:rPr>
              <w:t>I</w:t>
            </w:r>
          </w:p>
        </w:tc>
        <w:tc>
          <w:tcPr>
            <w:tcW w:w="7326" w:type="dxa"/>
            <w:gridSpan w:val="2"/>
            <w:tcBorders>
              <w:top w:val="nil"/>
              <w:left w:val="nil"/>
              <w:bottom w:val="nil"/>
              <w:right w:val="single" w:sz="4" w:space="0" w:color="auto"/>
            </w:tcBorders>
            <w:shd w:val="clear" w:color="000000" w:fill="BFBFBF"/>
            <w:noWrap/>
            <w:vAlign w:val="bottom"/>
          </w:tcPr>
          <w:p w:rsidR="00E2336B" w:rsidRPr="005F5A73" w:rsidRDefault="00E2336B" w:rsidP="00E237EB">
            <w:pPr>
              <w:rPr>
                <w:rFonts w:ascii="MinionPro-Regular" w:hAnsi="MinionPro-Regular" w:cs="Calibri"/>
                <w:color w:val="000000"/>
                <w:sz w:val="20"/>
                <w:lang w:val="es-ES_tradnl"/>
              </w:rPr>
            </w:pPr>
            <w:r w:rsidRPr="005F5A73">
              <w:rPr>
                <w:rFonts w:ascii="MinionPro-Regular" w:hAnsi="MinionPro-Regular" w:cs="Calibri"/>
                <w:color w:val="000000"/>
                <w:sz w:val="20"/>
                <w:lang w:val="es-ES_tradnl"/>
              </w:rPr>
              <w:t>2.3. ¿Cuántos trabajos has tenido antes?</w:t>
            </w:r>
          </w:p>
        </w:tc>
      </w:tr>
      <w:tr w:rsidR="00E2336B" w:rsidRPr="005F5A73" w:rsidTr="0092566C">
        <w:trPr>
          <w:trHeight w:val="300"/>
        </w:trPr>
        <w:tc>
          <w:tcPr>
            <w:tcW w:w="350" w:type="dxa"/>
            <w:tcBorders>
              <w:top w:val="nil"/>
              <w:left w:val="single" w:sz="4" w:space="0" w:color="auto"/>
              <w:bottom w:val="nil"/>
              <w:right w:val="nil"/>
            </w:tcBorders>
            <w:shd w:val="clear" w:color="000000" w:fill="BFBFBF"/>
            <w:noWrap/>
            <w:vAlign w:val="bottom"/>
          </w:tcPr>
          <w:p w:rsidR="00E2336B" w:rsidRPr="005F5A73" w:rsidRDefault="00E2336B" w:rsidP="00E237EB">
            <w:pPr>
              <w:jc w:val="center"/>
              <w:rPr>
                <w:rFonts w:ascii="MinionPro-Regular" w:hAnsi="MinionPro-Regular" w:cs="Calibri"/>
                <w:color w:val="000000"/>
                <w:sz w:val="20"/>
                <w:lang w:val="es-ES_tradnl"/>
              </w:rPr>
            </w:pPr>
            <w:r w:rsidRPr="005F5A73">
              <w:rPr>
                <w:rFonts w:ascii="MinionPro-Regular" w:hAnsi="MinionPro-Regular" w:cs="Calibri"/>
                <w:color w:val="000000"/>
                <w:sz w:val="20"/>
                <w:lang w:val="es-ES_tradnl"/>
              </w:rPr>
              <w:t> </w:t>
            </w:r>
          </w:p>
        </w:tc>
        <w:tc>
          <w:tcPr>
            <w:tcW w:w="704"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E2336B" w:rsidRPr="005F5A73" w:rsidRDefault="00E2336B" w:rsidP="00E237EB">
            <w:pPr>
              <w:rPr>
                <w:rFonts w:ascii="MinionPro-Regular" w:hAnsi="MinionPro-Regular" w:cs="Calibri"/>
                <w:color w:val="000000"/>
                <w:sz w:val="20"/>
                <w:lang w:val="es-ES_tradnl"/>
              </w:rPr>
            </w:pPr>
            <w:r w:rsidRPr="005F5A73">
              <w:rPr>
                <w:rFonts w:ascii="MinionPro-Regular" w:hAnsi="MinionPro-Regular" w:cs="Calibri"/>
                <w:color w:val="000000"/>
                <w:sz w:val="20"/>
                <w:lang w:val="es-ES_tradnl"/>
              </w:rPr>
              <w:t> </w:t>
            </w:r>
          </w:p>
        </w:tc>
        <w:tc>
          <w:tcPr>
            <w:tcW w:w="6622" w:type="dxa"/>
            <w:tcBorders>
              <w:top w:val="single" w:sz="4" w:space="0" w:color="auto"/>
              <w:left w:val="nil"/>
              <w:bottom w:val="single" w:sz="4" w:space="0" w:color="auto"/>
              <w:right w:val="single" w:sz="4" w:space="0" w:color="auto"/>
            </w:tcBorders>
            <w:shd w:val="clear" w:color="000000" w:fill="D8D8D8"/>
            <w:vAlign w:val="bottom"/>
          </w:tcPr>
          <w:p w:rsidR="00E2336B" w:rsidRPr="005F5A73" w:rsidRDefault="00E2336B" w:rsidP="00E237EB">
            <w:pPr>
              <w:rPr>
                <w:rFonts w:ascii="MinionPro-Regular" w:hAnsi="MinionPro-Regular" w:cs="Calibri"/>
                <w:color w:val="000000"/>
                <w:sz w:val="20"/>
                <w:lang w:val="es-ES_tradnl"/>
              </w:rPr>
            </w:pPr>
            <w:r w:rsidRPr="005F5A73">
              <w:rPr>
                <w:rFonts w:ascii="MinionPro-Regular" w:hAnsi="MinionPro-Regular" w:cs="Calibri"/>
                <w:color w:val="000000"/>
                <w:sz w:val="20"/>
                <w:lang w:val="es-ES_tradnl"/>
              </w:rPr>
              <w:t>A) Es tu primer trabajo</w:t>
            </w:r>
          </w:p>
        </w:tc>
      </w:tr>
      <w:tr w:rsidR="00E2336B" w:rsidRPr="005F5A73" w:rsidTr="0092566C">
        <w:trPr>
          <w:trHeight w:val="300"/>
        </w:trPr>
        <w:tc>
          <w:tcPr>
            <w:tcW w:w="350" w:type="dxa"/>
            <w:tcBorders>
              <w:top w:val="nil"/>
              <w:left w:val="single" w:sz="4" w:space="0" w:color="auto"/>
              <w:bottom w:val="nil"/>
              <w:right w:val="nil"/>
            </w:tcBorders>
            <w:shd w:val="clear" w:color="000000" w:fill="BFBFBF"/>
            <w:noWrap/>
            <w:vAlign w:val="bottom"/>
          </w:tcPr>
          <w:p w:rsidR="00E2336B" w:rsidRPr="005F5A73" w:rsidRDefault="00E2336B" w:rsidP="00E237EB">
            <w:pPr>
              <w:jc w:val="center"/>
              <w:rPr>
                <w:rFonts w:ascii="MinionPro-Regular" w:hAnsi="MinionPro-Regular" w:cs="Calibri"/>
                <w:color w:val="000000"/>
                <w:sz w:val="20"/>
                <w:lang w:val="es-ES_tradnl"/>
              </w:rPr>
            </w:pPr>
            <w:r w:rsidRPr="005F5A73">
              <w:rPr>
                <w:rFonts w:ascii="MinionPro-Regular" w:hAnsi="MinionPro-Regular" w:cs="Calibri"/>
                <w:color w:val="000000"/>
                <w:sz w:val="20"/>
                <w:lang w:val="es-ES_tradnl"/>
              </w:rPr>
              <w:t> </w:t>
            </w:r>
          </w:p>
        </w:tc>
        <w:tc>
          <w:tcPr>
            <w:tcW w:w="704" w:type="dxa"/>
            <w:tcBorders>
              <w:top w:val="nil"/>
              <w:left w:val="single" w:sz="4" w:space="0" w:color="auto"/>
              <w:bottom w:val="single" w:sz="4" w:space="0" w:color="auto"/>
              <w:right w:val="single" w:sz="4" w:space="0" w:color="auto"/>
            </w:tcBorders>
            <w:shd w:val="clear" w:color="000000" w:fill="FFFFFF"/>
            <w:noWrap/>
            <w:vAlign w:val="bottom"/>
          </w:tcPr>
          <w:p w:rsidR="00E2336B" w:rsidRPr="005F5A73" w:rsidRDefault="00E2336B" w:rsidP="00E237EB">
            <w:pPr>
              <w:rPr>
                <w:rFonts w:ascii="MinionPro-Regular" w:hAnsi="MinionPro-Regular" w:cs="Calibri"/>
                <w:color w:val="000000"/>
                <w:sz w:val="20"/>
                <w:lang w:val="es-ES_tradnl"/>
              </w:rPr>
            </w:pPr>
            <w:r w:rsidRPr="005F5A73">
              <w:rPr>
                <w:rFonts w:ascii="MinionPro-Regular" w:hAnsi="MinionPro-Regular" w:cs="Calibri"/>
                <w:color w:val="000000"/>
                <w:sz w:val="20"/>
                <w:lang w:val="es-ES_tradnl"/>
              </w:rPr>
              <w:t> </w:t>
            </w:r>
          </w:p>
        </w:tc>
        <w:tc>
          <w:tcPr>
            <w:tcW w:w="6622" w:type="dxa"/>
            <w:tcBorders>
              <w:top w:val="nil"/>
              <w:left w:val="nil"/>
              <w:bottom w:val="single" w:sz="4" w:space="0" w:color="auto"/>
              <w:right w:val="single" w:sz="4" w:space="0" w:color="auto"/>
            </w:tcBorders>
            <w:shd w:val="clear" w:color="000000" w:fill="D8D8D8"/>
            <w:vAlign w:val="bottom"/>
          </w:tcPr>
          <w:p w:rsidR="00E2336B" w:rsidRPr="005F5A73" w:rsidRDefault="00E2336B" w:rsidP="00E237EB">
            <w:pPr>
              <w:rPr>
                <w:rFonts w:ascii="MinionPro-Regular" w:hAnsi="MinionPro-Regular" w:cs="Calibri"/>
                <w:color w:val="000000"/>
                <w:sz w:val="20"/>
                <w:lang w:val="es-ES_tradnl"/>
              </w:rPr>
            </w:pPr>
            <w:r w:rsidRPr="005F5A73">
              <w:rPr>
                <w:rFonts w:ascii="MinionPro-Regular" w:hAnsi="MinionPro-Regular" w:cs="Calibri"/>
                <w:color w:val="000000"/>
                <w:sz w:val="20"/>
                <w:lang w:val="es-ES_tradnl"/>
              </w:rPr>
              <w:t>B) Has tenido entre 1 y 2 trabajos anteriores</w:t>
            </w:r>
          </w:p>
        </w:tc>
      </w:tr>
      <w:tr w:rsidR="00E2336B" w:rsidRPr="005F5A73" w:rsidTr="0092566C">
        <w:trPr>
          <w:trHeight w:val="300"/>
        </w:trPr>
        <w:tc>
          <w:tcPr>
            <w:tcW w:w="350" w:type="dxa"/>
            <w:tcBorders>
              <w:top w:val="nil"/>
              <w:left w:val="single" w:sz="4" w:space="0" w:color="auto"/>
              <w:bottom w:val="nil"/>
              <w:right w:val="nil"/>
            </w:tcBorders>
            <w:shd w:val="clear" w:color="000000" w:fill="BFBFBF"/>
            <w:noWrap/>
            <w:vAlign w:val="bottom"/>
          </w:tcPr>
          <w:p w:rsidR="00E2336B" w:rsidRPr="005F5A73" w:rsidRDefault="00E2336B" w:rsidP="00E237EB">
            <w:pPr>
              <w:jc w:val="center"/>
              <w:rPr>
                <w:rFonts w:ascii="MinionPro-Regular" w:hAnsi="MinionPro-Regular" w:cs="Calibri"/>
                <w:color w:val="000000"/>
                <w:sz w:val="20"/>
                <w:lang w:val="es-ES_tradnl"/>
              </w:rPr>
            </w:pPr>
            <w:r w:rsidRPr="005F5A73">
              <w:rPr>
                <w:rFonts w:ascii="MinionPro-Regular" w:hAnsi="MinionPro-Regular" w:cs="Calibri"/>
                <w:color w:val="000000"/>
                <w:sz w:val="20"/>
                <w:lang w:val="es-ES_tradnl"/>
              </w:rPr>
              <w:t> </w:t>
            </w:r>
          </w:p>
        </w:tc>
        <w:tc>
          <w:tcPr>
            <w:tcW w:w="704" w:type="dxa"/>
            <w:tcBorders>
              <w:top w:val="nil"/>
              <w:left w:val="single" w:sz="4" w:space="0" w:color="auto"/>
              <w:bottom w:val="single" w:sz="4" w:space="0" w:color="auto"/>
              <w:right w:val="single" w:sz="4" w:space="0" w:color="auto"/>
            </w:tcBorders>
            <w:shd w:val="clear" w:color="000000" w:fill="FFFFFF"/>
            <w:noWrap/>
            <w:vAlign w:val="bottom"/>
          </w:tcPr>
          <w:p w:rsidR="00E2336B" w:rsidRPr="005F5A73" w:rsidRDefault="00E2336B" w:rsidP="00E237EB">
            <w:pPr>
              <w:rPr>
                <w:rFonts w:ascii="MinionPro-Regular" w:hAnsi="MinionPro-Regular" w:cs="Calibri"/>
                <w:color w:val="000000"/>
                <w:sz w:val="20"/>
                <w:lang w:val="es-ES_tradnl"/>
              </w:rPr>
            </w:pPr>
            <w:r w:rsidRPr="005F5A73">
              <w:rPr>
                <w:rFonts w:ascii="MinionPro-Regular" w:hAnsi="MinionPro-Regular" w:cs="Calibri"/>
                <w:color w:val="000000"/>
                <w:sz w:val="20"/>
                <w:lang w:val="es-ES_tradnl"/>
              </w:rPr>
              <w:t> </w:t>
            </w:r>
          </w:p>
        </w:tc>
        <w:tc>
          <w:tcPr>
            <w:tcW w:w="6622" w:type="dxa"/>
            <w:tcBorders>
              <w:top w:val="nil"/>
              <w:left w:val="nil"/>
              <w:bottom w:val="single" w:sz="4" w:space="0" w:color="auto"/>
              <w:right w:val="single" w:sz="4" w:space="0" w:color="auto"/>
            </w:tcBorders>
            <w:shd w:val="clear" w:color="000000" w:fill="D8D8D8"/>
            <w:vAlign w:val="bottom"/>
          </w:tcPr>
          <w:p w:rsidR="00E2336B" w:rsidRPr="005F5A73" w:rsidRDefault="00E2336B" w:rsidP="00E237EB">
            <w:pPr>
              <w:rPr>
                <w:rFonts w:ascii="MinionPro-Regular" w:hAnsi="MinionPro-Regular" w:cs="Calibri"/>
                <w:color w:val="000000"/>
                <w:sz w:val="20"/>
                <w:lang w:val="es-ES_tradnl"/>
              </w:rPr>
            </w:pPr>
            <w:r w:rsidRPr="005F5A73">
              <w:rPr>
                <w:rFonts w:ascii="MinionPro-Regular" w:hAnsi="MinionPro-Regular" w:cs="Calibri"/>
                <w:color w:val="000000"/>
                <w:sz w:val="20"/>
                <w:lang w:val="es-ES_tradnl"/>
              </w:rPr>
              <w:t>C) Has tenido entre 2 y 5 trabajos anteriores</w:t>
            </w:r>
          </w:p>
        </w:tc>
      </w:tr>
      <w:tr w:rsidR="00E2336B" w:rsidRPr="005F5A73" w:rsidTr="0092566C">
        <w:trPr>
          <w:trHeight w:val="300"/>
        </w:trPr>
        <w:tc>
          <w:tcPr>
            <w:tcW w:w="350" w:type="dxa"/>
            <w:tcBorders>
              <w:top w:val="nil"/>
              <w:left w:val="single" w:sz="4" w:space="0" w:color="auto"/>
              <w:bottom w:val="nil"/>
              <w:right w:val="nil"/>
            </w:tcBorders>
            <w:shd w:val="clear" w:color="000000" w:fill="BFBFBF"/>
            <w:noWrap/>
            <w:vAlign w:val="bottom"/>
          </w:tcPr>
          <w:p w:rsidR="00E2336B" w:rsidRPr="005F5A73" w:rsidRDefault="00E2336B" w:rsidP="00E237EB">
            <w:pPr>
              <w:jc w:val="center"/>
              <w:rPr>
                <w:rFonts w:ascii="MinionPro-Regular" w:hAnsi="MinionPro-Regular" w:cs="Calibri"/>
                <w:color w:val="000000"/>
                <w:sz w:val="20"/>
                <w:lang w:val="es-ES_tradnl"/>
              </w:rPr>
            </w:pPr>
            <w:r w:rsidRPr="005F5A73">
              <w:rPr>
                <w:rFonts w:ascii="MinionPro-Regular" w:hAnsi="MinionPro-Regular" w:cs="Calibri"/>
                <w:color w:val="000000"/>
                <w:sz w:val="20"/>
                <w:lang w:val="es-ES_tradnl"/>
              </w:rPr>
              <w:t> </w:t>
            </w:r>
          </w:p>
        </w:tc>
        <w:tc>
          <w:tcPr>
            <w:tcW w:w="704" w:type="dxa"/>
            <w:tcBorders>
              <w:top w:val="nil"/>
              <w:left w:val="single" w:sz="4" w:space="0" w:color="auto"/>
              <w:bottom w:val="single" w:sz="4" w:space="0" w:color="auto"/>
              <w:right w:val="single" w:sz="4" w:space="0" w:color="auto"/>
            </w:tcBorders>
            <w:shd w:val="clear" w:color="000000" w:fill="FFFFFF"/>
            <w:noWrap/>
            <w:vAlign w:val="bottom"/>
          </w:tcPr>
          <w:p w:rsidR="00E2336B" w:rsidRPr="005F5A73" w:rsidRDefault="00E2336B" w:rsidP="00E237EB">
            <w:pPr>
              <w:rPr>
                <w:rFonts w:ascii="MinionPro-Regular" w:hAnsi="MinionPro-Regular" w:cs="Calibri"/>
                <w:color w:val="000000"/>
                <w:sz w:val="20"/>
                <w:lang w:val="es-ES_tradnl"/>
              </w:rPr>
            </w:pPr>
            <w:r w:rsidRPr="005F5A73">
              <w:rPr>
                <w:rFonts w:ascii="MinionPro-Regular" w:hAnsi="MinionPro-Regular" w:cs="Calibri"/>
                <w:color w:val="000000"/>
                <w:sz w:val="20"/>
                <w:lang w:val="es-ES_tradnl"/>
              </w:rPr>
              <w:t> </w:t>
            </w:r>
          </w:p>
        </w:tc>
        <w:tc>
          <w:tcPr>
            <w:tcW w:w="6622" w:type="dxa"/>
            <w:tcBorders>
              <w:top w:val="nil"/>
              <w:left w:val="nil"/>
              <w:bottom w:val="single" w:sz="4" w:space="0" w:color="auto"/>
              <w:right w:val="single" w:sz="4" w:space="0" w:color="auto"/>
            </w:tcBorders>
            <w:shd w:val="clear" w:color="000000" w:fill="D8D8D8"/>
            <w:vAlign w:val="bottom"/>
          </w:tcPr>
          <w:p w:rsidR="00E2336B" w:rsidRPr="005F5A73" w:rsidRDefault="00E2336B" w:rsidP="00E237EB">
            <w:pPr>
              <w:rPr>
                <w:rFonts w:ascii="MinionPro-Regular" w:hAnsi="MinionPro-Regular" w:cs="Calibri"/>
                <w:color w:val="000000"/>
                <w:sz w:val="20"/>
                <w:lang w:val="es-ES_tradnl"/>
              </w:rPr>
            </w:pPr>
            <w:r w:rsidRPr="005F5A73">
              <w:rPr>
                <w:rFonts w:ascii="MinionPro-Regular" w:hAnsi="MinionPro-Regular" w:cs="Calibri"/>
                <w:color w:val="000000"/>
                <w:sz w:val="20"/>
                <w:lang w:val="es-ES_tradnl"/>
              </w:rPr>
              <w:t>D) Has tenido más de 5 trabajos anteriores</w:t>
            </w:r>
          </w:p>
        </w:tc>
      </w:tr>
      <w:tr w:rsidR="00E2336B" w:rsidRPr="005F5A73" w:rsidTr="0092566C">
        <w:trPr>
          <w:trHeight w:val="300"/>
        </w:trPr>
        <w:tc>
          <w:tcPr>
            <w:tcW w:w="350" w:type="dxa"/>
            <w:tcBorders>
              <w:top w:val="nil"/>
              <w:left w:val="single" w:sz="4" w:space="0" w:color="auto"/>
              <w:bottom w:val="nil"/>
              <w:right w:val="nil"/>
            </w:tcBorders>
            <w:shd w:val="clear" w:color="000000" w:fill="BFBFBF"/>
            <w:noWrap/>
            <w:vAlign w:val="bottom"/>
          </w:tcPr>
          <w:p w:rsidR="00E2336B" w:rsidRPr="005F5A73" w:rsidRDefault="00E2336B" w:rsidP="00E237EB">
            <w:pPr>
              <w:jc w:val="center"/>
              <w:rPr>
                <w:rFonts w:ascii="MinionPro-Regular" w:hAnsi="MinionPro-Regular" w:cs="Calibri"/>
                <w:color w:val="000000"/>
                <w:sz w:val="20"/>
                <w:lang w:val="es-ES_tradnl"/>
              </w:rPr>
            </w:pPr>
            <w:r w:rsidRPr="005F5A73">
              <w:rPr>
                <w:rFonts w:ascii="MinionPro-Regular" w:hAnsi="MinionPro-Regular" w:cs="Calibri"/>
                <w:color w:val="000000"/>
                <w:sz w:val="20"/>
                <w:lang w:val="es-ES_tradnl"/>
              </w:rPr>
              <w:t> </w:t>
            </w:r>
          </w:p>
        </w:tc>
        <w:tc>
          <w:tcPr>
            <w:tcW w:w="704" w:type="dxa"/>
            <w:tcBorders>
              <w:top w:val="nil"/>
              <w:left w:val="single" w:sz="4" w:space="0" w:color="auto"/>
              <w:bottom w:val="single" w:sz="4" w:space="0" w:color="auto"/>
              <w:right w:val="single" w:sz="4" w:space="0" w:color="auto"/>
            </w:tcBorders>
            <w:shd w:val="clear" w:color="000000" w:fill="FFFFFF"/>
            <w:noWrap/>
            <w:vAlign w:val="bottom"/>
          </w:tcPr>
          <w:p w:rsidR="00E2336B" w:rsidRPr="005F5A73" w:rsidRDefault="00E2336B" w:rsidP="00E237EB">
            <w:pPr>
              <w:rPr>
                <w:rFonts w:ascii="MinionPro-Regular" w:hAnsi="MinionPro-Regular" w:cs="Calibri"/>
                <w:color w:val="000000"/>
                <w:sz w:val="20"/>
                <w:lang w:val="es-ES_tradnl"/>
              </w:rPr>
            </w:pPr>
            <w:r w:rsidRPr="005F5A73">
              <w:rPr>
                <w:rFonts w:ascii="MinionPro-Regular" w:hAnsi="MinionPro-Regular" w:cs="Calibri"/>
                <w:color w:val="000000"/>
                <w:sz w:val="20"/>
                <w:lang w:val="es-ES_tradnl"/>
              </w:rPr>
              <w:t> </w:t>
            </w:r>
          </w:p>
        </w:tc>
        <w:tc>
          <w:tcPr>
            <w:tcW w:w="6622" w:type="dxa"/>
            <w:tcBorders>
              <w:top w:val="nil"/>
              <w:left w:val="nil"/>
              <w:bottom w:val="single" w:sz="4" w:space="0" w:color="auto"/>
              <w:right w:val="single" w:sz="4" w:space="0" w:color="auto"/>
            </w:tcBorders>
            <w:shd w:val="clear" w:color="000000" w:fill="D8D8D8"/>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 xml:space="preserve">E) Otros (indica cuáles): </w:t>
            </w:r>
          </w:p>
        </w:tc>
      </w:tr>
      <w:tr w:rsidR="00E2336B" w:rsidRPr="005F5A73" w:rsidTr="0092566C">
        <w:trPr>
          <w:trHeight w:val="180"/>
        </w:trPr>
        <w:tc>
          <w:tcPr>
            <w:tcW w:w="350" w:type="dxa"/>
            <w:tcBorders>
              <w:top w:val="nil"/>
              <w:left w:val="single" w:sz="4" w:space="0" w:color="auto"/>
              <w:bottom w:val="nil"/>
              <w:right w:val="nil"/>
            </w:tcBorders>
            <w:shd w:val="clear" w:color="000000" w:fill="BFBFBF"/>
            <w:noWrap/>
            <w:vAlign w:val="bottom"/>
          </w:tcPr>
          <w:p w:rsidR="00E2336B" w:rsidRPr="005F5A73" w:rsidRDefault="00E2336B" w:rsidP="00E237EB">
            <w:pPr>
              <w:jc w:val="cente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c>
          <w:tcPr>
            <w:tcW w:w="704" w:type="dxa"/>
            <w:tcBorders>
              <w:top w:val="nil"/>
              <w:left w:val="nil"/>
              <w:bottom w:val="nil"/>
              <w:right w:val="nil"/>
            </w:tcBorders>
            <w:shd w:val="clear" w:color="000000" w:fill="BFBFBF"/>
            <w:noWrap/>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c>
          <w:tcPr>
            <w:tcW w:w="6622" w:type="dxa"/>
            <w:tcBorders>
              <w:top w:val="nil"/>
              <w:left w:val="nil"/>
              <w:bottom w:val="nil"/>
              <w:right w:val="single" w:sz="4" w:space="0" w:color="auto"/>
            </w:tcBorders>
            <w:shd w:val="clear" w:color="000000" w:fill="BFBFBF"/>
            <w:noWrap/>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r>
      <w:tr w:rsidR="00E2336B" w:rsidRPr="005F5A73" w:rsidTr="0092566C">
        <w:trPr>
          <w:trHeight w:val="300"/>
        </w:trPr>
        <w:tc>
          <w:tcPr>
            <w:tcW w:w="350" w:type="dxa"/>
            <w:tcBorders>
              <w:top w:val="single" w:sz="4" w:space="0" w:color="auto"/>
              <w:left w:val="single" w:sz="4" w:space="0" w:color="auto"/>
              <w:bottom w:val="single" w:sz="4" w:space="0" w:color="auto"/>
              <w:right w:val="single" w:sz="4" w:space="0" w:color="auto"/>
            </w:tcBorders>
            <w:shd w:val="clear" w:color="000000" w:fill="A5A5A5"/>
            <w:noWrap/>
            <w:vAlign w:val="bottom"/>
          </w:tcPr>
          <w:p w:rsidR="00E2336B" w:rsidRPr="005F5A73" w:rsidRDefault="00E2336B" w:rsidP="00E237EB">
            <w:pPr>
              <w:jc w:val="center"/>
              <w:rPr>
                <w:rFonts w:ascii="MinionPro-Regular" w:hAnsi="MinionPro-Regular" w:cs="Calibri"/>
                <w:color w:val="000000"/>
                <w:sz w:val="20"/>
                <w:lang w:val="en-US"/>
              </w:rPr>
            </w:pPr>
            <w:r w:rsidRPr="005F5A73">
              <w:rPr>
                <w:rFonts w:ascii="MinionPro-Regular" w:hAnsi="MinionPro-Regular" w:cs="Calibri"/>
                <w:color w:val="000000"/>
                <w:sz w:val="20"/>
                <w:lang w:val="en-US"/>
              </w:rPr>
              <w:lastRenderedPageBreak/>
              <w:t>I</w:t>
            </w:r>
          </w:p>
        </w:tc>
        <w:tc>
          <w:tcPr>
            <w:tcW w:w="7326" w:type="dxa"/>
            <w:gridSpan w:val="2"/>
            <w:tcBorders>
              <w:top w:val="nil"/>
              <w:left w:val="nil"/>
              <w:bottom w:val="nil"/>
              <w:right w:val="single" w:sz="4" w:space="0" w:color="auto"/>
            </w:tcBorders>
            <w:shd w:val="clear" w:color="000000" w:fill="BFBFBF"/>
            <w:noWrap/>
            <w:vAlign w:val="bottom"/>
          </w:tcPr>
          <w:p w:rsidR="00E2336B" w:rsidRPr="005F5A73" w:rsidRDefault="00E2336B" w:rsidP="00E237EB">
            <w:pPr>
              <w:rPr>
                <w:rFonts w:ascii="MinionPro-Regular" w:hAnsi="MinionPro-Regular" w:cs="Calibri"/>
                <w:color w:val="000000"/>
                <w:sz w:val="20"/>
                <w:lang w:val="es-ES_tradnl"/>
              </w:rPr>
            </w:pPr>
            <w:r w:rsidRPr="005F5A73">
              <w:rPr>
                <w:rFonts w:ascii="MinionPro-Regular" w:hAnsi="MinionPro-Regular" w:cs="Calibri"/>
                <w:color w:val="000000"/>
                <w:sz w:val="20"/>
                <w:lang w:val="es-ES_tradnl"/>
              </w:rPr>
              <w:t>2.4. ¿Qué hacías antes de entrar en el CEE?</w:t>
            </w:r>
          </w:p>
        </w:tc>
      </w:tr>
      <w:tr w:rsidR="00E2336B" w:rsidRPr="005F5A73" w:rsidTr="0092566C">
        <w:trPr>
          <w:trHeight w:val="300"/>
        </w:trPr>
        <w:tc>
          <w:tcPr>
            <w:tcW w:w="350" w:type="dxa"/>
            <w:tcBorders>
              <w:top w:val="nil"/>
              <w:left w:val="single" w:sz="4" w:space="0" w:color="auto"/>
              <w:bottom w:val="nil"/>
              <w:right w:val="nil"/>
            </w:tcBorders>
            <w:shd w:val="clear" w:color="000000" w:fill="BFBFBF"/>
            <w:noWrap/>
            <w:vAlign w:val="bottom"/>
          </w:tcPr>
          <w:p w:rsidR="00E2336B" w:rsidRPr="005F5A73" w:rsidRDefault="00E2336B" w:rsidP="00E237EB">
            <w:pPr>
              <w:jc w:val="center"/>
              <w:rPr>
                <w:rFonts w:ascii="MinionPro-Regular" w:hAnsi="MinionPro-Regular" w:cs="Calibri"/>
                <w:color w:val="000000"/>
                <w:sz w:val="20"/>
                <w:lang w:val="es-ES_tradnl"/>
              </w:rPr>
            </w:pPr>
            <w:r w:rsidRPr="005F5A73">
              <w:rPr>
                <w:rFonts w:ascii="MinionPro-Regular" w:hAnsi="MinionPro-Regular" w:cs="Calibri"/>
                <w:color w:val="000000"/>
                <w:sz w:val="20"/>
                <w:lang w:val="es-ES_tradnl"/>
              </w:rPr>
              <w:t> </w:t>
            </w:r>
          </w:p>
        </w:tc>
        <w:tc>
          <w:tcPr>
            <w:tcW w:w="704"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E2336B" w:rsidRPr="005F5A73" w:rsidRDefault="00E2336B" w:rsidP="00E237EB">
            <w:pPr>
              <w:rPr>
                <w:rFonts w:ascii="MinionPro-Regular" w:hAnsi="MinionPro-Regular" w:cs="Calibri"/>
                <w:color w:val="000000"/>
                <w:sz w:val="20"/>
                <w:lang w:val="es-ES_tradnl"/>
              </w:rPr>
            </w:pPr>
            <w:r w:rsidRPr="005F5A73">
              <w:rPr>
                <w:rFonts w:ascii="MinionPro-Regular" w:hAnsi="MinionPro-Regular" w:cs="Calibri"/>
                <w:color w:val="000000"/>
                <w:sz w:val="20"/>
                <w:lang w:val="es-ES_tradnl"/>
              </w:rPr>
              <w:t> </w:t>
            </w:r>
          </w:p>
        </w:tc>
        <w:tc>
          <w:tcPr>
            <w:tcW w:w="6622" w:type="dxa"/>
            <w:tcBorders>
              <w:top w:val="single" w:sz="4" w:space="0" w:color="auto"/>
              <w:left w:val="nil"/>
              <w:bottom w:val="single" w:sz="4" w:space="0" w:color="auto"/>
              <w:right w:val="single" w:sz="4" w:space="0" w:color="auto"/>
            </w:tcBorders>
            <w:shd w:val="clear" w:color="000000" w:fill="D8D8D8"/>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A) Estabas en paro</w:t>
            </w:r>
          </w:p>
        </w:tc>
      </w:tr>
      <w:tr w:rsidR="00E2336B" w:rsidRPr="005F5A73" w:rsidTr="0092566C">
        <w:trPr>
          <w:trHeight w:val="300"/>
        </w:trPr>
        <w:tc>
          <w:tcPr>
            <w:tcW w:w="350" w:type="dxa"/>
            <w:tcBorders>
              <w:top w:val="nil"/>
              <w:left w:val="single" w:sz="4" w:space="0" w:color="auto"/>
              <w:bottom w:val="nil"/>
              <w:right w:val="nil"/>
            </w:tcBorders>
            <w:shd w:val="clear" w:color="000000" w:fill="BFBFBF"/>
            <w:noWrap/>
            <w:vAlign w:val="bottom"/>
          </w:tcPr>
          <w:p w:rsidR="00E2336B" w:rsidRPr="005F5A73" w:rsidRDefault="00E2336B" w:rsidP="00E237EB">
            <w:pPr>
              <w:jc w:val="cente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c>
          <w:tcPr>
            <w:tcW w:w="704" w:type="dxa"/>
            <w:tcBorders>
              <w:top w:val="nil"/>
              <w:left w:val="single" w:sz="4" w:space="0" w:color="auto"/>
              <w:bottom w:val="single" w:sz="4" w:space="0" w:color="auto"/>
              <w:right w:val="single" w:sz="4" w:space="0" w:color="auto"/>
            </w:tcBorders>
            <w:shd w:val="clear" w:color="000000" w:fill="FFFFFF"/>
            <w:noWrap/>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c>
          <w:tcPr>
            <w:tcW w:w="6622" w:type="dxa"/>
            <w:tcBorders>
              <w:top w:val="nil"/>
              <w:left w:val="nil"/>
              <w:bottom w:val="single" w:sz="4" w:space="0" w:color="auto"/>
              <w:right w:val="single" w:sz="4" w:space="0" w:color="auto"/>
            </w:tcBorders>
            <w:shd w:val="clear" w:color="000000" w:fill="D8D8D8"/>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B) Estudiabas</w:t>
            </w:r>
          </w:p>
        </w:tc>
      </w:tr>
      <w:tr w:rsidR="00E2336B" w:rsidRPr="005F5A73" w:rsidTr="0092566C">
        <w:trPr>
          <w:trHeight w:val="300"/>
        </w:trPr>
        <w:tc>
          <w:tcPr>
            <w:tcW w:w="350" w:type="dxa"/>
            <w:tcBorders>
              <w:top w:val="nil"/>
              <w:left w:val="single" w:sz="4" w:space="0" w:color="auto"/>
              <w:bottom w:val="nil"/>
              <w:right w:val="nil"/>
            </w:tcBorders>
            <w:shd w:val="clear" w:color="000000" w:fill="BFBFBF"/>
            <w:noWrap/>
            <w:vAlign w:val="bottom"/>
          </w:tcPr>
          <w:p w:rsidR="00E2336B" w:rsidRPr="005F5A73" w:rsidRDefault="00E2336B" w:rsidP="00E237EB">
            <w:pPr>
              <w:jc w:val="cente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c>
          <w:tcPr>
            <w:tcW w:w="704" w:type="dxa"/>
            <w:tcBorders>
              <w:top w:val="nil"/>
              <w:left w:val="single" w:sz="4" w:space="0" w:color="auto"/>
              <w:bottom w:val="single" w:sz="4" w:space="0" w:color="auto"/>
              <w:right w:val="single" w:sz="4" w:space="0" w:color="auto"/>
            </w:tcBorders>
            <w:shd w:val="clear" w:color="000000" w:fill="FFFFFF"/>
            <w:noWrap/>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c>
          <w:tcPr>
            <w:tcW w:w="6622" w:type="dxa"/>
            <w:tcBorders>
              <w:top w:val="nil"/>
              <w:left w:val="nil"/>
              <w:bottom w:val="single" w:sz="4" w:space="0" w:color="auto"/>
              <w:right w:val="single" w:sz="4" w:space="0" w:color="auto"/>
            </w:tcBorders>
            <w:shd w:val="clear" w:color="000000" w:fill="D8D8D8"/>
            <w:vAlign w:val="bottom"/>
          </w:tcPr>
          <w:p w:rsidR="00E2336B" w:rsidRPr="005F5A73" w:rsidRDefault="00E2336B" w:rsidP="00E237EB">
            <w:pPr>
              <w:rPr>
                <w:rFonts w:ascii="MinionPro-Regular" w:hAnsi="MinionPro-Regular" w:cs="Calibri"/>
                <w:color w:val="000000"/>
                <w:sz w:val="20"/>
                <w:lang w:val="es-ES_tradnl"/>
              </w:rPr>
            </w:pPr>
            <w:r w:rsidRPr="005F5A73">
              <w:rPr>
                <w:rFonts w:ascii="MinionPro-Regular" w:hAnsi="MinionPro-Regular" w:cs="Calibri"/>
                <w:color w:val="000000"/>
                <w:sz w:val="20"/>
                <w:lang w:val="es-ES_tradnl"/>
              </w:rPr>
              <w:t>C) Estabas en un centro ocupacional</w:t>
            </w:r>
          </w:p>
        </w:tc>
      </w:tr>
      <w:tr w:rsidR="00E2336B" w:rsidRPr="005F5A73" w:rsidTr="0092566C">
        <w:trPr>
          <w:trHeight w:val="300"/>
        </w:trPr>
        <w:tc>
          <w:tcPr>
            <w:tcW w:w="350" w:type="dxa"/>
            <w:tcBorders>
              <w:top w:val="nil"/>
              <w:left w:val="single" w:sz="4" w:space="0" w:color="auto"/>
              <w:bottom w:val="nil"/>
              <w:right w:val="nil"/>
            </w:tcBorders>
            <w:shd w:val="clear" w:color="000000" w:fill="BFBFBF"/>
            <w:noWrap/>
            <w:vAlign w:val="bottom"/>
          </w:tcPr>
          <w:p w:rsidR="00E2336B" w:rsidRPr="005F5A73" w:rsidRDefault="00E2336B" w:rsidP="00E237EB">
            <w:pPr>
              <w:jc w:val="center"/>
              <w:rPr>
                <w:rFonts w:ascii="MinionPro-Regular" w:hAnsi="MinionPro-Regular" w:cs="Calibri"/>
                <w:color w:val="000000"/>
                <w:sz w:val="20"/>
                <w:lang w:val="es-ES_tradnl"/>
              </w:rPr>
            </w:pPr>
            <w:r w:rsidRPr="005F5A73">
              <w:rPr>
                <w:rFonts w:ascii="MinionPro-Regular" w:hAnsi="MinionPro-Regular" w:cs="Calibri"/>
                <w:color w:val="000000"/>
                <w:sz w:val="20"/>
                <w:lang w:val="es-ES_tradnl"/>
              </w:rPr>
              <w:t> </w:t>
            </w:r>
          </w:p>
        </w:tc>
        <w:tc>
          <w:tcPr>
            <w:tcW w:w="704" w:type="dxa"/>
            <w:tcBorders>
              <w:top w:val="nil"/>
              <w:left w:val="single" w:sz="4" w:space="0" w:color="auto"/>
              <w:bottom w:val="single" w:sz="4" w:space="0" w:color="auto"/>
              <w:right w:val="single" w:sz="4" w:space="0" w:color="auto"/>
            </w:tcBorders>
            <w:shd w:val="clear" w:color="000000" w:fill="FFFFFF"/>
            <w:noWrap/>
            <w:vAlign w:val="bottom"/>
          </w:tcPr>
          <w:p w:rsidR="00E2336B" w:rsidRPr="005F5A73" w:rsidRDefault="00E2336B" w:rsidP="00E237EB">
            <w:pPr>
              <w:rPr>
                <w:rFonts w:ascii="MinionPro-Regular" w:hAnsi="MinionPro-Regular" w:cs="Calibri"/>
                <w:color w:val="000000"/>
                <w:sz w:val="20"/>
                <w:lang w:val="es-ES_tradnl"/>
              </w:rPr>
            </w:pPr>
            <w:r w:rsidRPr="005F5A73">
              <w:rPr>
                <w:rFonts w:ascii="MinionPro-Regular" w:hAnsi="MinionPro-Regular" w:cs="Calibri"/>
                <w:color w:val="000000"/>
                <w:sz w:val="20"/>
                <w:lang w:val="es-ES_tradnl"/>
              </w:rPr>
              <w:t> </w:t>
            </w:r>
          </w:p>
        </w:tc>
        <w:tc>
          <w:tcPr>
            <w:tcW w:w="6622" w:type="dxa"/>
            <w:tcBorders>
              <w:top w:val="nil"/>
              <w:left w:val="nil"/>
              <w:bottom w:val="single" w:sz="4" w:space="0" w:color="auto"/>
              <w:right w:val="single" w:sz="4" w:space="0" w:color="auto"/>
            </w:tcBorders>
            <w:shd w:val="clear" w:color="000000" w:fill="D8D8D8"/>
            <w:vAlign w:val="bottom"/>
          </w:tcPr>
          <w:p w:rsidR="00E2336B" w:rsidRPr="005F5A73" w:rsidRDefault="00E2336B" w:rsidP="00E237EB">
            <w:pPr>
              <w:rPr>
                <w:rFonts w:ascii="MinionPro-Regular" w:hAnsi="MinionPro-Regular" w:cs="Calibri"/>
                <w:color w:val="000000"/>
                <w:sz w:val="20"/>
                <w:lang w:val="es-ES_tradnl"/>
              </w:rPr>
            </w:pPr>
            <w:r w:rsidRPr="005F5A73">
              <w:rPr>
                <w:rFonts w:ascii="MinionPro-Regular" w:hAnsi="MinionPro-Regular" w:cs="Calibri"/>
                <w:color w:val="000000"/>
                <w:sz w:val="20"/>
                <w:lang w:val="es-ES_tradnl"/>
              </w:rPr>
              <w:t>D) Estabas en otro CEE</w:t>
            </w:r>
          </w:p>
        </w:tc>
      </w:tr>
      <w:tr w:rsidR="00E2336B" w:rsidRPr="005F5A73" w:rsidTr="0092566C">
        <w:trPr>
          <w:trHeight w:val="300"/>
        </w:trPr>
        <w:tc>
          <w:tcPr>
            <w:tcW w:w="350" w:type="dxa"/>
            <w:tcBorders>
              <w:top w:val="nil"/>
              <w:left w:val="single" w:sz="4" w:space="0" w:color="auto"/>
              <w:bottom w:val="nil"/>
              <w:right w:val="nil"/>
            </w:tcBorders>
            <w:shd w:val="clear" w:color="000000" w:fill="BFBFBF"/>
            <w:noWrap/>
            <w:vAlign w:val="bottom"/>
          </w:tcPr>
          <w:p w:rsidR="00E2336B" w:rsidRPr="005F5A73" w:rsidRDefault="00E2336B" w:rsidP="00E237EB">
            <w:pPr>
              <w:jc w:val="center"/>
              <w:rPr>
                <w:rFonts w:ascii="MinionPro-Regular" w:hAnsi="MinionPro-Regular" w:cs="Calibri"/>
                <w:color w:val="000000"/>
                <w:sz w:val="20"/>
                <w:lang w:val="es-ES_tradnl"/>
              </w:rPr>
            </w:pPr>
            <w:r w:rsidRPr="005F5A73">
              <w:rPr>
                <w:rFonts w:ascii="MinionPro-Regular" w:hAnsi="MinionPro-Regular" w:cs="Calibri"/>
                <w:color w:val="000000"/>
                <w:sz w:val="20"/>
                <w:lang w:val="es-ES_tradnl"/>
              </w:rPr>
              <w:t> </w:t>
            </w:r>
          </w:p>
        </w:tc>
        <w:tc>
          <w:tcPr>
            <w:tcW w:w="704" w:type="dxa"/>
            <w:tcBorders>
              <w:top w:val="nil"/>
              <w:left w:val="single" w:sz="4" w:space="0" w:color="auto"/>
              <w:bottom w:val="single" w:sz="4" w:space="0" w:color="auto"/>
              <w:right w:val="single" w:sz="4" w:space="0" w:color="auto"/>
            </w:tcBorders>
            <w:shd w:val="clear" w:color="000000" w:fill="FFFFFF"/>
            <w:noWrap/>
            <w:vAlign w:val="bottom"/>
          </w:tcPr>
          <w:p w:rsidR="00E2336B" w:rsidRPr="005F5A73" w:rsidRDefault="00E2336B" w:rsidP="00E237EB">
            <w:pPr>
              <w:rPr>
                <w:rFonts w:ascii="MinionPro-Regular" w:hAnsi="MinionPro-Regular" w:cs="Calibri"/>
                <w:color w:val="000000"/>
                <w:sz w:val="20"/>
                <w:lang w:val="es-ES_tradnl"/>
              </w:rPr>
            </w:pPr>
            <w:r w:rsidRPr="005F5A73">
              <w:rPr>
                <w:rFonts w:ascii="MinionPro-Regular" w:hAnsi="MinionPro-Regular" w:cs="Calibri"/>
                <w:color w:val="000000"/>
                <w:sz w:val="20"/>
                <w:lang w:val="es-ES_tradnl"/>
              </w:rPr>
              <w:t> </w:t>
            </w:r>
          </w:p>
        </w:tc>
        <w:tc>
          <w:tcPr>
            <w:tcW w:w="6622" w:type="dxa"/>
            <w:tcBorders>
              <w:top w:val="nil"/>
              <w:left w:val="nil"/>
              <w:bottom w:val="single" w:sz="4" w:space="0" w:color="auto"/>
              <w:right w:val="single" w:sz="4" w:space="0" w:color="auto"/>
            </w:tcBorders>
            <w:shd w:val="clear" w:color="000000" w:fill="D8D8D8"/>
            <w:vAlign w:val="bottom"/>
          </w:tcPr>
          <w:p w:rsidR="00E2336B" w:rsidRPr="005F5A73" w:rsidRDefault="00E2336B" w:rsidP="00E237EB">
            <w:pPr>
              <w:rPr>
                <w:rFonts w:ascii="MinionPro-Regular" w:hAnsi="MinionPro-Regular" w:cs="Calibri"/>
                <w:color w:val="000000"/>
                <w:sz w:val="20"/>
                <w:lang w:val="es-ES_tradnl"/>
              </w:rPr>
            </w:pPr>
            <w:r w:rsidRPr="005F5A73">
              <w:rPr>
                <w:rFonts w:ascii="MinionPro-Regular" w:hAnsi="MinionPro-Regular" w:cs="Calibri"/>
                <w:color w:val="000000"/>
                <w:sz w:val="20"/>
                <w:lang w:val="es-ES_tradnl"/>
              </w:rPr>
              <w:t>E) Estabas en un empleo ordinario</w:t>
            </w:r>
          </w:p>
        </w:tc>
      </w:tr>
      <w:tr w:rsidR="00E2336B" w:rsidRPr="005F5A73" w:rsidTr="0092566C">
        <w:trPr>
          <w:trHeight w:val="300"/>
        </w:trPr>
        <w:tc>
          <w:tcPr>
            <w:tcW w:w="350" w:type="dxa"/>
            <w:tcBorders>
              <w:top w:val="nil"/>
              <w:left w:val="single" w:sz="4" w:space="0" w:color="auto"/>
              <w:bottom w:val="nil"/>
              <w:right w:val="nil"/>
            </w:tcBorders>
            <w:shd w:val="clear" w:color="000000" w:fill="BFBFBF"/>
            <w:noWrap/>
            <w:vAlign w:val="bottom"/>
          </w:tcPr>
          <w:p w:rsidR="00E2336B" w:rsidRPr="005F5A73" w:rsidRDefault="00E2336B" w:rsidP="00E237EB">
            <w:pPr>
              <w:jc w:val="center"/>
              <w:rPr>
                <w:rFonts w:ascii="MinionPro-Regular" w:hAnsi="MinionPro-Regular" w:cs="Calibri"/>
                <w:color w:val="000000"/>
                <w:sz w:val="20"/>
                <w:lang w:val="es-ES_tradnl"/>
              </w:rPr>
            </w:pPr>
            <w:r w:rsidRPr="005F5A73">
              <w:rPr>
                <w:rFonts w:ascii="MinionPro-Regular" w:hAnsi="MinionPro-Regular" w:cs="Calibri"/>
                <w:color w:val="000000"/>
                <w:sz w:val="20"/>
                <w:lang w:val="es-ES_tradnl"/>
              </w:rPr>
              <w:t> </w:t>
            </w:r>
          </w:p>
        </w:tc>
        <w:tc>
          <w:tcPr>
            <w:tcW w:w="704" w:type="dxa"/>
            <w:tcBorders>
              <w:top w:val="nil"/>
              <w:left w:val="single" w:sz="4" w:space="0" w:color="auto"/>
              <w:bottom w:val="single" w:sz="4" w:space="0" w:color="auto"/>
              <w:right w:val="single" w:sz="4" w:space="0" w:color="auto"/>
            </w:tcBorders>
            <w:shd w:val="clear" w:color="000000" w:fill="FFFFFF"/>
            <w:noWrap/>
            <w:vAlign w:val="bottom"/>
          </w:tcPr>
          <w:p w:rsidR="00E2336B" w:rsidRPr="005F5A73" w:rsidRDefault="00E2336B" w:rsidP="00E237EB">
            <w:pPr>
              <w:rPr>
                <w:rFonts w:ascii="MinionPro-Regular" w:hAnsi="MinionPro-Regular" w:cs="Calibri"/>
                <w:color w:val="000000"/>
                <w:sz w:val="20"/>
                <w:lang w:val="es-ES_tradnl"/>
              </w:rPr>
            </w:pPr>
            <w:r w:rsidRPr="005F5A73">
              <w:rPr>
                <w:rFonts w:ascii="MinionPro-Regular" w:hAnsi="MinionPro-Regular" w:cs="Calibri"/>
                <w:color w:val="000000"/>
                <w:sz w:val="20"/>
                <w:lang w:val="es-ES_tradnl"/>
              </w:rPr>
              <w:t> </w:t>
            </w:r>
          </w:p>
        </w:tc>
        <w:tc>
          <w:tcPr>
            <w:tcW w:w="6622" w:type="dxa"/>
            <w:tcBorders>
              <w:top w:val="nil"/>
              <w:left w:val="nil"/>
              <w:bottom w:val="single" w:sz="4" w:space="0" w:color="auto"/>
              <w:right w:val="single" w:sz="4" w:space="0" w:color="auto"/>
            </w:tcBorders>
            <w:shd w:val="clear" w:color="000000" w:fill="D8D8D8"/>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 xml:space="preserve">F) Otros (indica cuáles): </w:t>
            </w:r>
          </w:p>
        </w:tc>
      </w:tr>
      <w:tr w:rsidR="00E2336B" w:rsidRPr="005F5A73" w:rsidTr="0092566C">
        <w:trPr>
          <w:trHeight w:val="180"/>
        </w:trPr>
        <w:tc>
          <w:tcPr>
            <w:tcW w:w="350" w:type="dxa"/>
            <w:tcBorders>
              <w:top w:val="nil"/>
              <w:left w:val="single" w:sz="4" w:space="0" w:color="auto"/>
              <w:bottom w:val="nil"/>
              <w:right w:val="nil"/>
            </w:tcBorders>
            <w:shd w:val="clear" w:color="000000" w:fill="BFBFBF"/>
            <w:noWrap/>
            <w:vAlign w:val="bottom"/>
          </w:tcPr>
          <w:p w:rsidR="00E2336B" w:rsidRPr="005F5A73" w:rsidRDefault="00E2336B" w:rsidP="00E237EB">
            <w:pPr>
              <w:jc w:val="cente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c>
          <w:tcPr>
            <w:tcW w:w="704" w:type="dxa"/>
            <w:tcBorders>
              <w:top w:val="nil"/>
              <w:left w:val="nil"/>
              <w:bottom w:val="nil"/>
              <w:right w:val="nil"/>
            </w:tcBorders>
            <w:shd w:val="clear" w:color="000000" w:fill="BFBFBF"/>
            <w:noWrap/>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c>
          <w:tcPr>
            <w:tcW w:w="6622" w:type="dxa"/>
            <w:tcBorders>
              <w:top w:val="nil"/>
              <w:left w:val="nil"/>
              <w:bottom w:val="nil"/>
              <w:right w:val="single" w:sz="4" w:space="0" w:color="auto"/>
            </w:tcBorders>
            <w:shd w:val="clear" w:color="000000" w:fill="BFBFBF"/>
            <w:noWrap/>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r>
      <w:tr w:rsidR="00E2336B" w:rsidRPr="005F5A73" w:rsidTr="0092566C">
        <w:trPr>
          <w:trHeight w:val="300"/>
        </w:trPr>
        <w:tc>
          <w:tcPr>
            <w:tcW w:w="350" w:type="dxa"/>
            <w:tcBorders>
              <w:top w:val="single" w:sz="4" w:space="0" w:color="auto"/>
              <w:left w:val="single" w:sz="4" w:space="0" w:color="auto"/>
              <w:bottom w:val="single" w:sz="4" w:space="0" w:color="auto"/>
              <w:right w:val="single" w:sz="4" w:space="0" w:color="auto"/>
            </w:tcBorders>
            <w:shd w:val="clear" w:color="000000" w:fill="A5A5A5"/>
            <w:noWrap/>
            <w:vAlign w:val="bottom"/>
          </w:tcPr>
          <w:p w:rsidR="00E2336B" w:rsidRPr="005F5A73" w:rsidRDefault="00E2336B" w:rsidP="00E237EB">
            <w:pPr>
              <w:jc w:val="center"/>
              <w:rPr>
                <w:rFonts w:ascii="MinionPro-Regular" w:hAnsi="MinionPro-Regular" w:cs="Calibri"/>
                <w:color w:val="000000"/>
                <w:sz w:val="20"/>
                <w:lang w:val="en-US"/>
              </w:rPr>
            </w:pPr>
            <w:r w:rsidRPr="005F5A73">
              <w:rPr>
                <w:rFonts w:ascii="MinionPro-Regular" w:hAnsi="MinionPro-Regular" w:cs="Calibri"/>
                <w:color w:val="000000"/>
                <w:sz w:val="20"/>
                <w:lang w:val="en-US"/>
              </w:rPr>
              <w:t>I</w:t>
            </w:r>
          </w:p>
        </w:tc>
        <w:tc>
          <w:tcPr>
            <w:tcW w:w="7326" w:type="dxa"/>
            <w:gridSpan w:val="2"/>
            <w:tcBorders>
              <w:top w:val="nil"/>
              <w:left w:val="nil"/>
              <w:bottom w:val="nil"/>
              <w:right w:val="single" w:sz="4" w:space="0" w:color="auto"/>
            </w:tcBorders>
            <w:shd w:val="clear" w:color="000000" w:fill="BFBFBF"/>
            <w:noWrap/>
            <w:vAlign w:val="bottom"/>
          </w:tcPr>
          <w:p w:rsidR="00E2336B" w:rsidRPr="005F5A73" w:rsidRDefault="00E2336B" w:rsidP="00E237EB">
            <w:pPr>
              <w:rPr>
                <w:rFonts w:ascii="MinionPro-Regular" w:hAnsi="MinionPro-Regular" w:cs="Calibri"/>
                <w:color w:val="000000"/>
                <w:sz w:val="20"/>
                <w:lang w:val="es-ES_tradnl"/>
              </w:rPr>
            </w:pPr>
            <w:r w:rsidRPr="005F5A73">
              <w:rPr>
                <w:rFonts w:ascii="MinionPro-Regular" w:hAnsi="MinionPro-Regular" w:cs="Calibri"/>
                <w:color w:val="000000"/>
                <w:sz w:val="20"/>
                <w:lang w:val="es-ES_tradnl"/>
              </w:rPr>
              <w:t>2.5. ¿Te gustaría poder hacer cosas diferentes en tu trabajo o cambiar de trabajo?</w:t>
            </w:r>
          </w:p>
        </w:tc>
      </w:tr>
      <w:tr w:rsidR="00E2336B" w:rsidRPr="005F5A73" w:rsidTr="0092566C">
        <w:trPr>
          <w:trHeight w:val="300"/>
        </w:trPr>
        <w:tc>
          <w:tcPr>
            <w:tcW w:w="350" w:type="dxa"/>
            <w:tcBorders>
              <w:top w:val="nil"/>
              <w:left w:val="single" w:sz="4" w:space="0" w:color="auto"/>
              <w:bottom w:val="nil"/>
              <w:right w:val="nil"/>
            </w:tcBorders>
            <w:shd w:val="clear" w:color="000000" w:fill="BFBFBF"/>
            <w:noWrap/>
            <w:vAlign w:val="bottom"/>
          </w:tcPr>
          <w:p w:rsidR="00E2336B" w:rsidRPr="005F5A73" w:rsidRDefault="00E2336B" w:rsidP="00E237EB">
            <w:pPr>
              <w:jc w:val="center"/>
              <w:rPr>
                <w:rFonts w:ascii="MinionPro-Regular" w:hAnsi="MinionPro-Regular" w:cs="Calibri"/>
                <w:color w:val="000000"/>
                <w:sz w:val="20"/>
                <w:lang w:val="es-ES_tradnl"/>
              </w:rPr>
            </w:pPr>
            <w:r w:rsidRPr="005F5A73">
              <w:rPr>
                <w:rFonts w:ascii="MinionPro-Regular" w:hAnsi="MinionPro-Regular" w:cs="Calibri"/>
                <w:color w:val="000000"/>
                <w:sz w:val="20"/>
                <w:lang w:val="es-ES_tradnl"/>
              </w:rPr>
              <w:t> </w:t>
            </w:r>
          </w:p>
        </w:tc>
        <w:tc>
          <w:tcPr>
            <w:tcW w:w="704" w:type="dxa"/>
            <w:tcBorders>
              <w:top w:val="nil"/>
              <w:left w:val="nil"/>
              <w:bottom w:val="single" w:sz="4" w:space="0" w:color="auto"/>
              <w:right w:val="nil"/>
            </w:tcBorders>
            <w:shd w:val="clear" w:color="000000" w:fill="BFBFBF"/>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SÍ</w:t>
            </w:r>
          </w:p>
        </w:tc>
        <w:tc>
          <w:tcPr>
            <w:tcW w:w="6622" w:type="dxa"/>
            <w:tcBorders>
              <w:top w:val="nil"/>
              <w:left w:val="nil"/>
              <w:bottom w:val="single" w:sz="4" w:space="0" w:color="auto"/>
              <w:right w:val="single" w:sz="4" w:space="0" w:color="auto"/>
            </w:tcBorders>
            <w:shd w:val="clear" w:color="000000" w:fill="BFBFBF"/>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r>
      <w:tr w:rsidR="00E2336B" w:rsidRPr="005F5A73" w:rsidTr="0092566C">
        <w:trPr>
          <w:trHeight w:val="300"/>
        </w:trPr>
        <w:tc>
          <w:tcPr>
            <w:tcW w:w="350" w:type="dxa"/>
            <w:tcBorders>
              <w:top w:val="nil"/>
              <w:left w:val="single" w:sz="4" w:space="0" w:color="auto"/>
              <w:bottom w:val="nil"/>
              <w:right w:val="nil"/>
            </w:tcBorders>
            <w:shd w:val="clear" w:color="000000" w:fill="BFBFBF"/>
            <w:noWrap/>
            <w:vAlign w:val="bottom"/>
          </w:tcPr>
          <w:p w:rsidR="00E2336B" w:rsidRPr="005F5A73" w:rsidRDefault="00E2336B" w:rsidP="00E237EB">
            <w:pPr>
              <w:jc w:val="cente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c>
          <w:tcPr>
            <w:tcW w:w="704" w:type="dxa"/>
            <w:tcBorders>
              <w:top w:val="nil"/>
              <w:left w:val="single" w:sz="4" w:space="0" w:color="auto"/>
              <w:bottom w:val="single" w:sz="4" w:space="0" w:color="auto"/>
              <w:right w:val="single" w:sz="4" w:space="0" w:color="auto"/>
            </w:tcBorders>
            <w:shd w:val="clear" w:color="000000" w:fill="FFFFFF"/>
            <w:noWrap/>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c>
          <w:tcPr>
            <w:tcW w:w="6622" w:type="dxa"/>
            <w:tcBorders>
              <w:top w:val="nil"/>
              <w:left w:val="nil"/>
              <w:bottom w:val="single" w:sz="4" w:space="0" w:color="auto"/>
              <w:right w:val="single" w:sz="4" w:space="0" w:color="auto"/>
            </w:tcBorders>
            <w:shd w:val="clear" w:color="000000" w:fill="D8D8D8"/>
            <w:vAlign w:val="bottom"/>
          </w:tcPr>
          <w:p w:rsidR="00E2336B" w:rsidRPr="005F5A73" w:rsidRDefault="00E2336B" w:rsidP="00E237EB">
            <w:pPr>
              <w:rPr>
                <w:rFonts w:ascii="MinionPro-Regular" w:hAnsi="MinionPro-Regular" w:cs="Calibri"/>
                <w:color w:val="000000"/>
                <w:sz w:val="20"/>
                <w:lang w:val="es-ES_tradnl"/>
              </w:rPr>
            </w:pPr>
            <w:r w:rsidRPr="005F5A73">
              <w:rPr>
                <w:rFonts w:ascii="MinionPro-Regular" w:hAnsi="MinionPro-Regular" w:cs="Calibri"/>
                <w:color w:val="000000"/>
                <w:sz w:val="20"/>
                <w:lang w:val="es-ES_tradnl"/>
              </w:rPr>
              <w:t>A) Las tareas que haces son rutinarias y ya no aprendes nada</w:t>
            </w:r>
          </w:p>
        </w:tc>
      </w:tr>
      <w:tr w:rsidR="00E2336B" w:rsidRPr="005F5A73" w:rsidTr="0092566C">
        <w:trPr>
          <w:trHeight w:val="300"/>
        </w:trPr>
        <w:tc>
          <w:tcPr>
            <w:tcW w:w="350" w:type="dxa"/>
            <w:tcBorders>
              <w:top w:val="nil"/>
              <w:left w:val="single" w:sz="4" w:space="0" w:color="auto"/>
              <w:bottom w:val="nil"/>
              <w:right w:val="nil"/>
            </w:tcBorders>
            <w:shd w:val="clear" w:color="000000" w:fill="BFBFBF"/>
            <w:noWrap/>
            <w:vAlign w:val="bottom"/>
          </w:tcPr>
          <w:p w:rsidR="00E2336B" w:rsidRPr="005F5A73" w:rsidRDefault="00E2336B" w:rsidP="00E237EB">
            <w:pPr>
              <w:jc w:val="center"/>
              <w:rPr>
                <w:rFonts w:ascii="MinionPro-Regular" w:hAnsi="MinionPro-Regular" w:cs="Calibri"/>
                <w:color w:val="000000"/>
                <w:sz w:val="20"/>
                <w:lang w:val="es-ES_tradnl"/>
              </w:rPr>
            </w:pPr>
            <w:r w:rsidRPr="005F5A73">
              <w:rPr>
                <w:rFonts w:ascii="MinionPro-Regular" w:hAnsi="MinionPro-Regular" w:cs="Calibri"/>
                <w:color w:val="000000"/>
                <w:sz w:val="20"/>
                <w:lang w:val="es-ES_tradnl"/>
              </w:rPr>
              <w:t> </w:t>
            </w:r>
          </w:p>
        </w:tc>
        <w:tc>
          <w:tcPr>
            <w:tcW w:w="704" w:type="dxa"/>
            <w:tcBorders>
              <w:top w:val="nil"/>
              <w:left w:val="single" w:sz="4" w:space="0" w:color="auto"/>
              <w:bottom w:val="single" w:sz="4" w:space="0" w:color="auto"/>
              <w:right w:val="single" w:sz="4" w:space="0" w:color="auto"/>
            </w:tcBorders>
            <w:shd w:val="clear" w:color="000000" w:fill="FFFFFF"/>
            <w:noWrap/>
            <w:vAlign w:val="bottom"/>
          </w:tcPr>
          <w:p w:rsidR="00E2336B" w:rsidRPr="005F5A73" w:rsidRDefault="00E2336B" w:rsidP="00E237EB">
            <w:pPr>
              <w:rPr>
                <w:rFonts w:ascii="MinionPro-Regular" w:hAnsi="MinionPro-Regular" w:cs="Calibri"/>
                <w:color w:val="000000"/>
                <w:sz w:val="20"/>
                <w:lang w:val="es-ES_tradnl"/>
              </w:rPr>
            </w:pPr>
            <w:r w:rsidRPr="005F5A73">
              <w:rPr>
                <w:rFonts w:ascii="MinionPro-Regular" w:hAnsi="MinionPro-Regular" w:cs="Calibri"/>
                <w:color w:val="000000"/>
                <w:sz w:val="20"/>
                <w:lang w:val="es-ES_tradnl"/>
              </w:rPr>
              <w:t> </w:t>
            </w:r>
          </w:p>
        </w:tc>
        <w:tc>
          <w:tcPr>
            <w:tcW w:w="6622" w:type="dxa"/>
            <w:tcBorders>
              <w:top w:val="nil"/>
              <w:left w:val="nil"/>
              <w:bottom w:val="single" w:sz="4" w:space="0" w:color="auto"/>
              <w:right w:val="single" w:sz="4" w:space="0" w:color="auto"/>
            </w:tcBorders>
            <w:shd w:val="clear" w:color="000000" w:fill="D8D8D8"/>
            <w:vAlign w:val="bottom"/>
          </w:tcPr>
          <w:p w:rsidR="00E2336B" w:rsidRPr="005F5A73" w:rsidRDefault="00E2336B" w:rsidP="00E237EB">
            <w:pPr>
              <w:rPr>
                <w:rFonts w:ascii="MinionPro-Regular" w:hAnsi="MinionPro-Regular" w:cs="Calibri"/>
                <w:color w:val="000000"/>
                <w:sz w:val="20"/>
                <w:lang w:val="es-ES_tradnl"/>
              </w:rPr>
            </w:pPr>
            <w:r w:rsidRPr="005F5A73">
              <w:rPr>
                <w:rFonts w:ascii="MinionPro-Regular" w:hAnsi="MinionPro-Regular" w:cs="Calibri"/>
                <w:color w:val="000000"/>
                <w:sz w:val="20"/>
                <w:lang w:val="es-ES_tradnl"/>
              </w:rPr>
              <w:t>B) Para aprender cosas diferentes</w:t>
            </w:r>
          </w:p>
        </w:tc>
      </w:tr>
      <w:tr w:rsidR="00E2336B" w:rsidRPr="005F5A73" w:rsidTr="0092566C">
        <w:trPr>
          <w:trHeight w:val="300"/>
        </w:trPr>
        <w:tc>
          <w:tcPr>
            <w:tcW w:w="350" w:type="dxa"/>
            <w:tcBorders>
              <w:top w:val="nil"/>
              <w:left w:val="single" w:sz="4" w:space="0" w:color="auto"/>
              <w:bottom w:val="nil"/>
              <w:right w:val="nil"/>
            </w:tcBorders>
            <w:shd w:val="clear" w:color="000000" w:fill="BFBFBF"/>
            <w:noWrap/>
            <w:vAlign w:val="bottom"/>
          </w:tcPr>
          <w:p w:rsidR="00E2336B" w:rsidRPr="005F5A73" w:rsidRDefault="00E2336B" w:rsidP="00E237EB">
            <w:pPr>
              <w:jc w:val="center"/>
              <w:rPr>
                <w:rFonts w:ascii="MinionPro-Regular" w:hAnsi="MinionPro-Regular" w:cs="Calibri"/>
                <w:color w:val="000000"/>
                <w:sz w:val="20"/>
                <w:lang w:val="es-ES_tradnl"/>
              </w:rPr>
            </w:pPr>
            <w:r w:rsidRPr="005F5A73">
              <w:rPr>
                <w:rFonts w:ascii="MinionPro-Regular" w:hAnsi="MinionPro-Regular" w:cs="Calibri"/>
                <w:color w:val="000000"/>
                <w:sz w:val="20"/>
                <w:lang w:val="es-ES_tradnl"/>
              </w:rPr>
              <w:t> </w:t>
            </w:r>
          </w:p>
        </w:tc>
        <w:tc>
          <w:tcPr>
            <w:tcW w:w="704" w:type="dxa"/>
            <w:tcBorders>
              <w:top w:val="nil"/>
              <w:left w:val="single" w:sz="4" w:space="0" w:color="auto"/>
              <w:bottom w:val="single" w:sz="4" w:space="0" w:color="auto"/>
              <w:right w:val="single" w:sz="4" w:space="0" w:color="auto"/>
            </w:tcBorders>
            <w:shd w:val="clear" w:color="000000" w:fill="FFFFFF"/>
            <w:noWrap/>
            <w:vAlign w:val="bottom"/>
          </w:tcPr>
          <w:p w:rsidR="00E2336B" w:rsidRPr="005F5A73" w:rsidRDefault="00E2336B" w:rsidP="00E237EB">
            <w:pPr>
              <w:rPr>
                <w:rFonts w:ascii="MinionPro-Regular" w:hAnsi="MinionPro-Regular" w:cs="Calibri"/>
                <w:color w:val="000000"/>
                <w:sz w:val="20"/>
                <w:lang w:val="es-ES_tradnl"/>
              </w:rPr>
            </w:pPr>
            <w:r w:rsidRPr="005F5A73">
              <w:rPr>
                <w:rFonts w:ascii="MinionPro-Regular" w:hAnsi="MinionPro-Regular" w:cs="Calibri"/>
                <w:color w:val="000000"/>
                <w:sz w:val="20"/>
                <w:lang w:val="es-ES_tradnl"/>
              </w:rPr>
              <w:t> </w:t>
            </w:r>
          </w:p>
        </w:tc>
        <w:tc>
          <w:tcPr>
            <w:tcW w:w="6622" w:type="dxa"/>
            <w:tcBorders>
              <w:top w:val="nil"/>
              <w:left w:val="nil"/>
              <w:bottom w:val="single" w:sz="4" w:space="0" w:color="auto"/>
              <w:right w:val="single" w:sz="4" w:space="0" w:color="auto"/>
            </w:tcBorders>
            <w:shd w:val="clear" w:color="000000" w:fill="D8D8D8"/>
            <w:vAlign w:val="bottom"/>
          </w:tcPr>
          <w:p w:rsidR="00E2336B" w:rsidRPr="005F5A73" w:rsidRDefault="00E2336B" w:rsidP="00E237EB">
            <w:pPr>
              <w:rPr>
                <w:rFonts w:ascii="MinionPro-Regular" w:hAnsi="MinionPro-Regular" w:cs="Calibri"/>
                <w:color w:val="000000"/>
                <w:sz w:val="20"/>
                <w:lang w:val="es-ES_tradnl"/>
              </w:rPr>
            </w:pPr>
            <w:r w:rsidRPr="005F5A73">
              <w:rPr>
                <w:rFonts w:ascii="MinionPro-Regular" w:hAnsi="MinionPro-Regular" w:cs="Calibri"/>
                <w:color w:val="000000"/>
                <w:sz w:val="20"/>
                <w:lang w:val="es-ES_tradnl"/>
              </w:rPr>
              <w:t>C) Por tener un trabajo mejor y con más responsabilidad</w:t>
            </w:r>
          </w:p>
        </w:tc>
      </w:tr>
      <w:tr w:rsidR="00E2336B" w:rsidRPr="005F5A73" w:rsidTr="0092566C">
        <w:trPr>
          <w:trHeight w:val="300"/>
        </w:trPr>
        <w:tc>
          <w:tcPr>
            <w:tcW w:w="350" w:type="dxa"/>
            <w:tcBorders>
              <w:top w:val="nil"/>
              <w:left w:val="single" w:sz="4" w:space="0" w:color="auto"/>
              <w:bottom w:val="nil"/>
              <w:right w:val="nil"/>
            </w:tcBorders>
            <w:shd w:val="clear" w:color="000000" w:fill="BFBFBF"/>
            <w:noWrap/>
            <w:vAlign w:val="bottom"/>
          </w:tcPr>
          <w:p w:rsidR="00E2336B" w:rsidRPr="005F5A73" w:rsidRDefault="00E2336B" w:rsidP="00E237EB">
            <w:pPr>
              <w:jc w:val="center"/>
              <w:rPr>
                <w:rFonts w:ascii="MinionPro-Regular" w:hAnsi="MinionPro-Regular" w:cs="Calibri"/>
                <w:color w:val="000000"/>
                <w:sz w:val="20"/>
                <w:lang w:val="es-ES_tradnl"/>
              </w:rPr>
            </w:pPr>
            <w:r w:rsidRPr="005F5A73">
              <w:rPr>
                <w:rFonts w:ascii="MinionPro-Regular" w:hAnsi="MinionPro-Regular" w:cs="Calibri"/>
                <w:color w:val="000000"/>
                <w:sz w:val="20"/>
                <w:lang w:val="es-ES_tradnl"/>
              </w:rPr>
              <w:t> </w:t>
            </w:r>
          </w:p>
        </w:tc>
        <w:tc>
          <w:tcPr>
            <w:tcW w:w="704" w:type="dxa"/>
            <w:tcBorders>
              <w:top w:val="nil"/>
              <w:left w:val="single" w:sz="4" w:space="0" w:color="auto"/>
              <w:bottom w:val="single" w:sz="4" w:space="0" w:color="auto"/>
              <w:right w:val="single" w:sz="4" w:space="0" w:color="auto"/>
            </w:tcBorders>
            <w:shd w:val="clear" w:color="000000" w:fill="FFFFFF"/>
            <w:noWrap/>
            <w:vAlign w:val="bottom"/>
          </w:tcPr>
          <w:p w:rsidR="00E2336B" w:rsidRPr="005F5A73" w:rsidRDefault="00E2336B" w:rsidP="00E237EB">
            <w:pPr>
              <w:rPr>
                <w:rFonts w:ascii="MinionPro-Regular" w:hAnsi="MinionPro-Regular" w:cs="Calibri"/>
                <w:color w:val="000000"/>
                <w:sz w:val="20"/>
                <w:lang w:val="es-ES_tradnl"/>
              </w:rPr>
            </w:pPr>
            <w:r w:rsidRPr="005F5A73">
              <w:rPr>
                <w:rFonts w:ascii="MinionPro-Regular" w:hAnsi="MinionPro-Regular" w:cs="Calibri"/>
                <w:color w:val="000000"/>
                <w:sz w:val="20"/>
                <w:lang w:val="es-ES_tradnl"/>
              </w:rPr>
              <w:t> </w:t>
            </w:r>
          </w:p>
        </w:tc>
        <w:tc>
          <w:tcPr>
            <w:tcW w:w="6622" w:type="dxa"/>
            <w:tcBorders>
              <w:top w:val="nil"/>
              <w:left w:val="nil"/>
              <w:bottom w:val="single" w:sz="4" w:space="0" w:color="auto"/>
              <w:right w:val="single" w:sz="4" w:space="0" w:color="auto"/>
            </w:tcBorders>
            <w:shd w:val="clear" w:color="000000" w:fill="D8D8D8"/>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D) Por ganar más</w:t>
            </w:r>
          </w:p>
        </w:tc>
      </w:tr>
      <w:tr w:rsidR="00E2336B" w:rsidRPr="005F5A73" w:rsidTr="0092566C">
        <w:trPr>
          <w:trHeight w:val="300"/>
        </w:trPr>
        <w:tc>
          <w:tcPr>
            <w:tcW w:w="350" w:type="dxa"/>
            <w:tcBorders>
              <w:top w:val="nil"/>
              <w:left w:val="single" w:sz="4" w:space="0" w:color="auto"/>
              <w:bottom w:val="nil"/>
              <w:right w:val="nil"/>
            </w:tcBorders>
            <w:shd w:val="clear" w:color="000000" w:fill="BFBFBF"/>
            <w:noWrap/>
            <w:vAlign w:val="bottom"/>
          </w:tcPr>
          <w:p w:rsidR="00E2336B" w:rsidRPr="005F5A73" w:rsidRDefault="00E2336B" w:rsidP="00E237EB">
            <w:pPr>
              <w:jc w:val="cente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c>
          <w:tcPr>
            <w:tcW w:w="704" w:type="dxa"/>
            <w:tcBorders>
              <w:top w:val="nil"/>
              <w:left w:val="single" w:sz="4" w:space="0" w:color="auto"/>
              <w:bottom w:val="single" w:sz="4" w:space="0" w:color="auto"/>
              <w:right w:val="single" w:sz="4" w:space="0" w:color="auto"/>
            </w:tcBorders>
            <w:shd w:val="clear" w:color="000000" w:fill="FFFFFF"/>
            <w:noWrap/>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c>
          <w:tcPr>
            <w:tcW w:w="6622" w:type="dxa"/>
            <w:tcBorders>
              <w:top w:val="nil"/>
              <w:left w:val="nil"/>
              <w:bottom w:val="single" w:sz="4" w:space="0" w:color="auto"/>
              <w:right w:val="single" w:sz="4" w:space="0" w:color="auto"/>
            </w:tcBorders>
            <w:shd w:val="clear" w:color="000000" w:fill="D8D8D8"/>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 xml:space="preserve">E) Otros (indica cuáles): </w:t>
            </w:r>
          </w:p>
        </w:tc>
      </w:tr>
      <w:tr w:rsidR="00E2336B" w:rsidRPr="005F5A73" w:rsidTr="0092566C">
        <w:trPr>
          <w:trHeight w:val="300"/>
        </w:trPr>
        <w:tc>
          <w:tcPr>
            <w:tcW w:w="350" w:type="dxa"/>
            <w:tcBorders>
              <w:top w:val="nil"/>
              <w:left w:val="single" w:sz="4" w:space="0" w:color="auto"/>
              <w:bottom w:val="nil"/>
              <w:right w:val="nil"/>
            </w:tcBorders>
            <w:shd w:val="clear" w:color="000000" w:fill="BFBFBF"/>
            <w:noWrap/>
            <w:vAlign w:val="bottom"/>
          </w:tcPr>
          <w:p w:rsidR="00E2336B" w:rsidRPr="005F5A73" w:rsidRDefault="00E2336B" w:rsidP="00E237EB">
            <w:pPr>
              <w:jc w:val="cente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c>
          <w:tcPr>
            <w:tcW w:w="704" w:type="dxa"/>
            <w:tcBorders>
              <w:top w:val="nil"/>
              <w:left w:val="nil"/>
              <w:bottom w:val="single" w:sz="4" w:space="0" w:color="auto"/>
              <w:right w:val="nil"/>
            </w:tcBorders>
            <w:shd w:val="clear" w:color="000000" w:fill="BFBFBF"/>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NO</w:t>
            </w:r>
          </w:p>
        </w:tc>
        <w:tc>
          <w:tcPr>
            <w:tcW w:w="6622" w:type="dxa"/>
            <w:tcBorders>
              <w:top w:val="nil"/>
              <w:left w:val="nil"/>
              <w:bottom w:val="nil"/>
              <w:right w:val="single" w:sz="4" w:space="0" w:color="auto"/>
            </w:tcBorders>
            <w:shd w:val="clear" w:color="000000" w:fill="BFBFBF"/>
            <w:noWrap/>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r>
      <w:tr w:rsidR="00E2336B" w:rsidRPr="005F5A73" w:rsidTr="0092566C">
        <w:trPr>
          <w:trHeight w:val="300"/>
        </w:trPr>
        <w:tc>
          <w:tcPr>
            <w:tcW w:w="350" w:type="dxa"/>
            <w:tcBorders>
              <w:top w:val="nil"/>
              <w:left w:val="single" w:sz="4" w:space="0" w:color="auto"/>
              <w:bottom w:val="nil"/>
              <w:right w:val="nil"/>
            </w:tcBorders>
            <w:shd w:val="clear" w:color="000000" w:fill="BFBFBF"/>
            <w:noWrap/>
            <w:vAlign w:val="bottom"/>
          </w:tcPr>
          <w:p w:rsidR="00E2336B" w:rsidRPr="005F5A73" w:rsidRDefault="00E2336B" w:rsidP="00E237EB">
            <w:pPr>
              <w:jc w:val="cente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c>
          <w:tcPr>
            <w:tcW w:w="704" w:type="dxa"/>
            <w:tcBorders>
              <w:top w:val="nil"/>
              <w:left w:val="single" w:sz="4" w:space="0" w:color="auto"/>
              <w:bottom w:val="single" w:sz="4" w:space="0" w:color="auto"/>
              <w:right w:val="single" w:sz="4" w:space="0" w:color="auto"/>
            </w:tcBorders>
            <w:shd w:val="clear" w:color="000000" w:fill="FFFFFF"/>
            <w:noWrap/>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c>
          <w:tcPr>
            <w:tcW w:w="6622" w:type="dxa"/>
            <w:tcBorders>
              <w:top w:val="single" w:sz="4" w:space="0" w:color="auto"/>
              <w:left w:val="nil"/>
              <w:bottom w:val="single" w:sz="4" w:space="0" w:color="auto"/>
              <w:right w:val="single" w:sz="4" w:space="0" w:color="auto"/>
            </w:tcBorders>
            <w:shd w:val="clear" w:color="000000" w:fill="D8D8D8"/>
            <w:vAlign w:val="bottom"/>
          </w:tcPr>
          <w:p w:rsidR="00E2336B" w:rsidRPr="005F5A73" w:rsidRDefault="00E2336B" w:rsidP="00E237EB">
            <w:pPr>
              <w:rPr>
                <w:rFonts w:ascii="MinionPro-Regular" w:hAnsi="MinionPro-Regular" w:cs="Calibri"/>
                <w:color w:val="000000"/>
                <w:sz w:val="20"/>
                <w:lang w:val="es-ES_tradnl"/>
              </w:rPr>
            </w:pPr>
            <w:r w:rsidRPr="005F5A73">
              <w:rPr>
                <w:rFonts w:ascii="MinionPro-Regular" w:hAnsi="MinionPro-Regular" w:cs="Calibri"/>
                <w:color w:val="000000"/>
                <w:sz w:val="20"/>
                <w:lang w:val="es-ES_tradnl"/>
              </w:rPr>
              <w:t>A) Te gusta este trabajo</w:t>
            </w:r>
          </w:p>
        </w:tc>
      </w:tr>
      <w:tr w:rsidR="00E2336B" w:rsidRPr="005F5A73" w:rsidTr="0092566C">
        <w:trPr>
          <w:trHeight w:val="300"/>
        </w:trPr>
        <w:tc>
          <w:tcPr>
            <w:tcW w:w="350" w:type="dxa"/>
            <w:tcBorders>
              <w:top w:val="nil"/>
              <w:left w:val="single" w:sz="4" w:space="0" w:color="auto"/>
              <w:bottom w:val="nil"/>
              <w:right w:val="nil"/>
            </w:tcBorders>
            <w:shd w:val="clear" w:color="000000" w:fill="BFBFBF"/>
            <w:noWrap/>
            <w:vAlign w:val="bottom"/>
          </w:tcPr>
          <w:p w:rsidR="00E2336B" w:rsidRPr="005F5A73" w:rsidRDefault="00E2336B" w:rsidP="00E237EB">
            <w:pPr>
              <w:jc w:val="center"/>
              <w:rPr>
                <w:rFonts w:ascii="MinionPro-Regular" w:hAnsi="MinionPro-Regular" w:cs="Calibri"/>
                <w:color w:val="000000"/>
                <w:sz w:val="20"/>
                <w:lang w:val="es-ES_tradnl"/>
              </w:rPr>
            </w:pPr>
            <w:r w:rsidRPr="005F5A73">
              <w:rPr>
                <w:rFonts w:ascii="MinionPro-Regular" w:hAnsi="MinionPro-Regular" w:cs="Calibri"/>
                <w:color w:val="000000"/>
                <w:sz w:val="20"/>
                <w:lang w:val="es-ES_tradnl"/>
              </w:rPr>
              <w:t> </w:t>
            </w:r>
          </w:p>
        </w:tc>
        <w:tc>
          <w:tcPr>
            <w:tcW w:w="704" w:type="dxa"/>
            <w:tcBorders>
              <w:top w:val="nil"/>
              <w:left w:val="single" w:sz="4" w:space="0" w:color="auto"/>
              <w:bottom w:val="single" w:sz="4" w:space="0" w:color="auto"/>
              <w:right w:val="single" w:sz="4" w:space="0" w:color="auto"/>
            </w:tcBorders>
            <w:shd w:val="clear" w:color="000000" w:fill="FFFFFF"/>
            <w:noWrap/>
            <w:vAlign w:val="bottom"/>
          </w:tcPr>
          <w:p w:rsidR="00E2336B" w:rsidRPr="005F5A73" w:rsidRDefault="00E2336B" w:rsidP="00E237EB">
            <w:pPr>
              <w:rPr>
                <w:rFonts w:ascii="MinionPro-Regular" w:hAnsi="MinionPro-Regular" w:cs="Calibri"/>
                <w:color w:val="000000"/>
                <w:sz w:val="20"/>
                <w:lang w:val="es-ES_tradnl"/>
              </w:rPr>
            </w:pPr>
            <w:r w:rsidRPr="005F5A73">
              <w:rPr>
                <w:rFonts w:ascii="MinionPro-Regular" w:hAnsi="MinionPro-Regular" w:cs="Calibri"/>
                <w:color w:val="000000"/>
                <w:sz w:val="20"/>
                <w:lang w:val="es-ES_tradnl"/>
              </w:rPr>
              <w:t> </w:t>
            </w:r>
          </w:p>
        </w:tc>
        <w:tc>
          <w:tcPr>
            <w:tcW w:w="6622" w:type="dxa"/>
            <w:tcBorders>
              <w:top w:val="nil"/>
              <w:left w:val="nil"/>
              <w:bottom w:val="single" w:sz="4" w:space="0" w:color="auto"/>
              <w:right w:val="single" w:sz="4" w:space="0" w:color="auto"/>
            </w:tcBorders>
            <w:shd w:val="clear" w:color="000000" w:fill="D8D8D8"/>
            <w:vAlign w:val="bottom"/>
          </w:tcPr>
          <w:p w:rsidR="00E2336B" w:rsidRPr="005F5A73" w:rsidRDefault="00E2336B" w:rsidP="00E237EB">
            <w:pPr>
              <w:rPr>
                <w:rFonts w:ascii="MinionPro-Regular" w:hAnsi="MinionPro-Regular" w:cs="Calibri"/>
                <w:color w:val="000000"/>
                <w:sz w:val="20"/>
                <w:lang w:val="es-ES_tradnl"/>
              </w:rPr>
            </w:pPr>
            <w:r w:rsidRPr="005F5A73">
              <w:rPr>
                <w:rFonts w:ascii="MinionPro-Regular" w:hAnsi="MinionPro-Regular" w:cs="Calibri"/>
                <w:color w:val="000000"/>
                <w:sz w:val="20"/>
                <w:lang w:val="es-ES_tradnl"/>
              </w:rPr>
              <w:t>B) Te da miedo cambiar</w:t>
            </w:r>
          </w:p>
        </w:tc>
      </w:tr>
      <w:tr w:rsidR="00E2336B" w:rsidRPr="005F5A73" w:rsidTr="0092566C">
        <w:trPr>
          <w:trHeight w:val="300"/>
        </w:trPr>
        <w:tc>
          <w:tcPr>
            <w:tcW w:w="350" w:type="dxa"/>
            <w:tcBorders>
              <w:top w:val="nil"/>
              <w:left w:val="single" w:sz="4" w:space="0" w:color="auto"/>
              <w:bottom w:val="nil"/>
              <w:right w:val="nil"/>
            </w:tcBorders>
            <w:shd w:val="clear" w:color="000000" w:fill="BFBFBF"/>
            <w:noWrap/>
            <w:vAlign w:val="bottom"/>
          </w:tcPr>
          <w:p w:rsidR="00E2336B" w:rsidRPr="005F5A73" w:rsidRDefault="00E2336B" w:rsidP="00E237EB">
            <w:pPr>
              <w:jc w:val="center"/>
              <w:rPr>
                <w:rFonts w:ascii="MinionPro-Regular" w:hAnsi="MinionPro-Regular" w:cs="Calibri"/>
                <w:color w:val="000000"/>
                <w:sz w:val="20"/>
                <w:lang w:val="es-ES_tradnl"/>
              </w:rPr>
            </w:pPr>
            <w:r w:rsidRPr="005F5A73">
              <w:rPr>
                <w:rFonts w:ascii="MinionPro-Regular" w:hAnsi="MinionPro-Regular" w:cs="Calibri"/>
                <w:color w:val="000000"/>
                <w:sz w:val="20"/>
                <w:lang w:val="es-ES_tradnl"/>
              </w:rPr>
              <w:t> </w:t>
            </w:r>
          </w:p>
        </w:tc>
        <w:tc>
          <w:tcPr>
            <w:tcW w:w="704" w:type="dxa"/>
            <w:tcBorders>
              <w:top w:val="nil"/>
              <w:left w:val="single" w:sz="4" w:space="0" w:color="auto"/>
              <w:bottom w:val="single" w:sz="4" w:space="0" w:color="auto"/>
              <w:right w:val="single" w:sz="4" w:space="0" w:color="auto"/>
            </w:tcBorders>
            <w:shd w:val="clear" w:color="000000" w:fill="FFFFFF"/>
            <w:noWrap/>
            <w:vAlign w:val="bottom"/>
          </w:tcPr>
          <w:p w:rsidR="00E2336B" w:rsidRPr="005F5A73" w:rsidRDefault="00E2336B" w:rsidP="00E237EB">
            <w:pPr>
              <w:rPr>
                <w:rFonts w:ascii="MinionPro-Regular" w:hAnsi="MinionPro-Regular" w:cs="Calibri"/>
                <w:color w:val="000000"/>
                <w:sz w:val="20"/>
                <w:lang w:val="es-ES_tradnl"/>
              </w:rPr>
            </w:pPr>
            <w:r w:rsidRPr="005F5A73">
              <w:rPr>
                <w:rFonts w:ascii="MinionPro-Regular" w:hAnsi="MinionPro-Regular" w:cs="Calibri"/>
                <w:color w:val="000000"/>
                <w:sz w:val="20"/>
                <w:lang w:val="es-ES_tradnl"/>
              </w:rPr>
              <w:t> </w:t>
            </w:r>
          </w:p>
        </w:tc>
        <w:tc>
          <w:tcPr>
            <w:tcW w:w="6622" w:type="dxa"/>
            <w:tcBorders>
              <w:top w:val="nil"/>
              <w:left w:val="nil"/>
              <w:bottom w:val="single" w:sz="4" w:space="0" w:color="auto"/>
              <w:right w:val="single" w:sz="4" w:space="0" w:color="auto"/>
            </w:tcBorders>
            <w:shd w:val="clear" w:color="000000" w:fill="D8D8D8"/>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C) Por tus compañeros</w:t>
            </w:r>
          </w:p>
        </w:tc>
      </w:tr>
      <w:tr w:rsidR="00E2336B" w:rsidRPr="005F5A73" w:rsidTr="0092566C">
        <w:trPr>
          <w:trHeight w:val="300"/>
        </w:trPr>
        <w:tc>
          <w:tcPr>
            <w:tcW w:w="350" w:type="dxa"/>
            <w:tcBorders>
              <w:top w:val="nil"/>
              <w:left w:val="single" w:sz="4" w:space="0" w:color="auto"/>
              <w:bottom w:val="nil"/>
              <w:right w:val="nil"/>
            </w:tcBorders>
            <w:shd w:val="clear" w:color="000000" w:fill="BFBFBF"/>
            <w:noWrap/>
            <w:vAlign w:val="bottom"/>
          </w:tcPr>
          <w:p w:rsidR="00E2336B" w:rsidRPr="005F5A73" w:rsidRDefault="00E2336B" w:rsidP="00E237EB">
            <w:pPr>
              <w:jc w:val="cente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c>
          <w:tcPr>
            <w:tcW w:w="704" w:type="dxa"/>
            <w:tcBorders>
              <w:top w:val="nil"/>
              <w:left w:val="single" w:sz="4" w:space="0" w:color="auto"/>
              <w:bottom w:val="single" w:sz="4" w:space="0" w:color="auto"/>
              <w:right w:val="single" w:sz="4" w:space="0" w:color="auto"/>
            </w:tcBorders>
            <w:shd w:val="clear" w:color="000000" w:fill="FFFFFF"/>
            <w:noWrap/>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c>
          <w:tcPr>
            <w:tcW w:w="6622" w:type="dxa"/>
            <w:tcBorders>
              <w:top w:val="nil"/>
              <w:left w:val="nil"/>
              <w:bottom w:val="single" w:sz="4" w:space="0" w:color="auto"/>
              <w:right w:val="single" w:sz="4" w:space="0" w:color="auto"/>
            </w:tcBorders>
            <w:shd w:val="clear" w:color="000000" w:fill="D8D8D8"/>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 xml:space="preserve">D) Otros (indica cuáles): </w:t>
            </w:r>
          </w:p>
        </w:tc>
      </w:tr>
      <w:tr w:rsidR="00E2336B" w:rsidRPr="005F5A73" w:rsidTr="0092566C">
        <w:trPr>
          <w:trHeight w:val="180"/>
        </w:trPr>
        <w:tc>
          <w:tcPr>
            <w:tcW w:w="350" w:type="dxa"/>
            <w:tcBorders>
              <w:top w:val="nil"/>
              <w:left w:val="single" w:sz="4" w:space="0" w:color="auto"/>
              <w:bottom w:val="nil"/>
              <w:right w:val="nil"/>
            </w:tcBorders>
            <w:shd w:val="clear" w:color="000000" w:fill="BFBFBF"/>
            <w:noWrap/>
            <w:vAlign w:val="bottom"/>
          </w:tcPr>
          <w:p w:rsidR="00E2336B" w:rsidRPr="005F5A73" w:rsidRDefault="00E2336B" w:rsidP="00E237EB">
            <w:pPr>
              <w:jc w:val="cente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c>
          <w:tcPr>
            <w:tcW w:w="704" w:type="dxa"/>
            <w:tcBorders>
              <w:top w:val="nil"/>
              <w:left w:val="nil"/>
              <w:bottom w:val="nil"/>
              <w:right w:val="nil"/>
            </w:tcBorders>
            <w:shd w:val="clear" w:color="000000" w:fill="BFBFBF"/>
            <w:noWrap/>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c>
          <w:tcPr>
            <w:tcW w:w="6622" w:type="dxa"/>
            <w:tcBorders>
              <w:top w:val="nil"/>
              <w:left w:val="nil"/>
              <w:bottom w:val="nil"/>
              <w:right w:val="single" w:sz="4" w:space="0" w:color="auto"/>
            </w:tcBorders>
            <w:shd w:val="clear" w:color="000000" w:fill="BFBFBF"/>
            <w:noWrap/>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r>
      <w:tr w:rsidR="00E2336B" w:rsidRPr="005F5A73" w:rsidTr="0092566C">
        <w:trPr>
          <w:trHeight w:val="300"/>
        </w:trPr>
        <w:tc>
          <w:tcPr>
            <w:tcW w:w="350" w:type="dxa"/>
            <w:tcBorders>
              <w:top w:val="single" w:sz="4" w:space="0" w:color="auto"/>
              <w:left w:val="single" w:sz="4" w:space="0" w:color="auto"/>
              <w:bottom w:val="single" w:sz="4" w:space="0" w:color="auto"/>
              <w:right w:val="single" w:sz="4" w:space="0" w:color="auto"/>
            </w:tcBorders>
            <w:shd w:val="clear" w:color="000000" w:fill="A5A5A5"/>
            <w:noWrap/>
            <w:vAlign w:val="bottom"/>
          </w:tcPr>
          <w:p w:rsidR="00E2336B" w:rsidRPr="005F5A73" w:rsidRDefault="00E2336B" w:rsidP="00E237EB">
            <w:pPr>
              <w:jc w:val="center"/>
              <w:rPr>
                <w:rFonts w:ascii="MinionPro-Regular" w:hAnsi="MinionPro-Regular" w:cs="Calibri"/>
                <w:color w:val="000000"/>
                <w:sz w:val="20"/>
                <w:lang w:val="en-US"/>
              </w:rPr>
            </w:pPr>
            <w:r w:rsidRPr="005F5A73">
              <w:rPr>
                <w:rFonts w:ascii="MinionPro-Regular" w:hAnsi="MinionPro-Regular" w:cs="Calibri"/>
                <w:color w:val="000000"/>
                <w:sz w:val="20"/>
                <w:lang w:val="en-US"/>
              </w:rPr>
              <w:t>I</w:t>
            </w:r>
          </w:p>
        </w:tc>
        <w:tc>
          <w:tcPr>
            <w:tcW w:w="7326" w:type="dxa"/>
            <w:gridSpan w:val="2"/>
            <w:tcBorders>
              <w:top w:val="nil"/>
              <w:left w:val="nil"/>
              <w:bottom w:val="nil"/>
              <w:right w:val="single" w:sz="4" w:space="0" w:color="auto"/>
            </w:tcBorders>
            <w:shd w:val="clear" w:color="000000" w:fill="BFBFBF"/>
            <w:noWrap/>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s-ES_tradnl"/>
              </w:rPr>
              <w:t xml:space="preserve">2.6. ¿Te gustaría cambiar a un empleo ordinario? </w:t>
            </w:r>
            <w:r w:rsidRPr="005F5A73">
              <w:rPr>
                <w:rFonts w:ascii="MinionPro-Regular" w:hAnsi="MinionPro-Regular" w:cs="Calibri"/>
                <w:color w:val="000000"/>
                <w:sz w:val="20"/>
                <w:lang w:val="en-US"/>
              </w:rPr>
              <w:t>¿Por qué?</w:t>
            </w:r>
          </w:p>
        </w:tc>
      </w:tr>
      <w:tr w:rsidR="00E2336B" w:rsidRPr="005F5A73" w:rsidTr="0092566C">
        <w:trPr>
          <w:trHeight w:val="300"/>
        </w:trPr>
        <w:tc>
          <w:tcPr>
            <w:tcW w:w="350" w:type="dxa"/>
            <w:tcBorders>
              <w:top w:val="nil"/>
              <w:left w:val="single" w:sz="4" w:space="0" w:color="auto"/>
              <w:bottom w:val="nil"/>
              <w:right w:val="nil"/>
            </w:tcBorders>
            <w:shd w:val="clear" w:color="000000" w:fill="BFBFBF"/>
            <w:noWrap/>
            <w:vAlign w:val="bottom"/>
          </w:tcPr>
          <w:p w:rsidR="00E2336B" w:rsidRPr="005F5A73" w:rsidRDefault="00E2336B" w:rsidP="00E237EB">
            <w:pPr>
              <w:jc w:val="cente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c>
          <w:tcPr>
            <w:tcW w:w="704"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c>
          <w:tcPr>
            <w:tcW w:w="6622" w:type="dxa"/>
            <w:tcBorders>
              <w:top w:val="single" w:sz="4" w:space="0" w:color="auto"/>
              <w:left w:val="nil"/>
              <w:bottom w:val="single" w:sz="4" w:space="0" w:color="auto"/>
              <w:right w:val="single" w:sz="4" w:space="0" w:color="auto"/>
            </w:tcBorders>
            <w:shd w:val="clear" w:color="000000" w:fill="D8D8D8"/>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A) Sí</w:t>
            </w:r>
          </w:p>
        </w:tc>
      </w:tr>
      <w:tr w:rsidR="00E2336B" w:rsidRPr="005F5A73" w:rsidTr="0092566C">
        <w:trPr>
          <w:trHeight w:val="300"/>
        </w:trPr>
        <w:tc>
          <w:tcPr>
            <w:tcW w:w="350" w:type="dxa"/>
            <w:tcBorders>
              <w:top w:val="nil"/>
              <w:left w:val="single" w:sz="4" w:space="0" w:color="auto"/>
              <w:bottom w:val="nil"/>
              <w:right w:val="nil"/>
            </w:tcBorders>
            <w:shd w:val="clear" w:color="000000" w:fill="BFBFBF"/>
            <w:noWrap/>
            <w:vAlign w:val="bottom"/>
          </w:tcPr>
          <w:p w:rsidR="00E2336B" w:rsidRPr="005F5A73" w:rsidRDefault="00E2336B" w:rsidP="00E237EB">
            <w:pPr>
              <w:jc w:val="cente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c>
          <w:tcPr>
            <w:tcW w:w="704" w:type="dxa"/>
            <w:tcBorders>
              <w:top w:val="nil"/>
              <w:left w:val="single" w:sz="4" w:space="0" w:color="auto"/>
              <w:bottom w:val="single" w:sz="4" w:space="0" w:color="auto"/>
              <w:right w:val="single" w:sz="4" w:space="0" w:color="auto"/>
            </w:tcBorders>
            <w:shd w:val="clear" w:color="000000" w:fill="FFFFFF"/>
            <w:noWrap/>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c>
          <w:tcPr>
            <w:tcW w:w="6622" w:type="dxa"/>
            <w:tcBorders>
              <w:top w:val="nil"/>
              <w:left w:val="nil"/>
              <w:bottom w:val="single" w:sz="4" w:space="0" w:color="auto"/>
              <w:right w:val="single" w:sz="4" w:space="0" w:color="auto"/>
            </w:tcBorders>
            <w:shd w:val="clear" w:color="000000" w:fill="D8D8D8"/>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B) No</w:t>
            </w:r>
          </w:p>
        </w:tc>
      </w:tr>
      <w:tr w:rsidR="00E2336B" w:rsidRPr="005F5A73" w:rsidTr="0092566C">
        <w:trPr>
          <w:trHeight w:val="300"/>
        </w:trPr>
        <w:tc>
          <w:tcPr>
            <w:tcW w:w="350" w:type="dxa"/>
            <w:tcBorders>
              <w:top w:val="nil"/>
              <w:left w:val="single" w:sz="4" w:space="0" w:color="auto"/>
              <w:bottom w:val="nil"/>
              <w:right w:val="nil"/>
            </w:tcBorders>
            <w:shd w:val="clear" w:color="000000" w:fill="BFBFBF"/>
            <w:noWrap/>
            <w:vAlign w:val="bottom"/>
          </w:tcPr>
          <w:p w:rsidR="00E2336B" w:rsidRPr="005F5A73" w:rsidRDefault="00E2336B" w:rsidP="00E237EB">
            <w:pPr>
              <w:jc w:val="cente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c>
          <w:tcPr>
            <w:tcW w:w="704" w:type="dxa"/>
            <w:tcBorders>
              <w:top w:val="nil"/>
              <w:left w:val="single" w:sz="4" w:space="0" w:color="auto"/>
              <w:bottom w:val="single" w:sz="4" w:space="0" w:color="auto"/>
              <w:right w:val="single" w:sz="4" w:space="0" w:color="auto"/>
            </w:tcBorders>
            <w:shd w:val="clear" w:color="000000" w:fill="FFFFFF"/>
            <w:noWrap/>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c>
          <w:tcPr>
            <w:tcW w:w="6622" w:type="dxa"/>
            <w:tcBorders>
              <w:top w:val="nil"/>
              <w:left w:val="nil"/>
              <w:bottom w:val="single" w:sz="4" w:space="0" w:color="auto"/>
              <w:right w:val="single" w:sz="4" w:space="0" w:color="auto"/>
            </w:tcBorders>
            <w:shd w:val="clear" w:color="000000" w:fill="D8D8D8"/>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 xml:space="preserve">C) Otros (indica cuáles): </w:t>
            </w:r>
          </w:p>
        </w:tc>
      </w:tr>
      <w:tr w:rsidR="00E2336B" w:rsidRPr="005F5A73" w:rsidTr="0092566C">
        <w:trPr>
          <w:trHeight w:val="180"/>
        </w:trPr>
        <w:tc>
          <w:tcPr>
            <w:tcW w:w="350" w:type="dxa"/>
            <w:tcBorders>
              <w:top w:val="nil"/>
              <w:left w:val="single" w:sz="4" w:space="0" w:color="auto"/>
              <w:bottom w:val="nil"/>
              <w:right w:val="nil"/>
            </w:tcBorders>
            <w:shd w:val="clear" w:color="000000" w:fill="BFBFBF"/>
            <w:noWrap/>
            <w:vAlign w:val="bottom"/>
          </w:tcPr>
          <w:p w:rsidR="00E2336B" w:rsidRPr="005F5A73" w:rsidRDefault="00E2336B" w:rsidP="00E237EB">
            <w:pPr>
              <w:jc w:val="cente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c>
          <w:tcPr>
            <w:tcW w:w="704" w:type="dxa"/>
            <w:tcBorders>
              <w:top w:val="nil"/>
              <w:left w:val="nil"/>
              <w:bottom w:val="nil"/>
              <w:right w:val="nil"/>
            </w:tcBorders>
            <w:shd w:val="clear" w:color="000000" w:fill="BFBFBF"/>
            <w:noWrap/>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c>
          <w:tcPr>
            <w:tcW w:w="6622" w:type="dxa"/>
            <w:tcBorders>
              <w:top w:val="nil"/>
              <w:left w:val="nil"/>
              <w:bottom w:val="nil"/>
              <w:right w:val="single" w:sz="4" w:space="0" w:color="auto"/>
            </w:tcBorders>
            <w:shd w:val="clear" w:color="000000" w:fill="BFBFBF"/>
            <w:noWrap/>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r>
      <w:tr w:rsidR="00E2336B" w:rsidRPr="005F5A73" w:rsidTr="0092566C">
        <w:trPr>
          <w:trHeight w:val="600"/>
        </w:trPr>
        <w:tc>
          <w:tcPr>
            <w:tcW w:w="350" w:type="dxa"/>
            <w:tcBorders>
              <w:top w:val="single" w:sz="4" w:space="0" w:color="auto"/>
              <w:left w:val="single" w:sz="4" w:space="0" w:color="auto"/>
              <w:bottom w:val="single" w:sz="4" w:space="0" w:color="auto"/>
              <w:right w:val="single" w:sz="4" w:space="0" w:color="auto"/>
            </w:tcBorders>
            <w:shd w:val="clear" w:color="000000" w:fill="A5A5A5"/>
            <w:noWrap/>
            <w:vAlign w:val="center"/>
          </w:tcPr>
          <w:p w:rsidR="00E2336B" w:rsidRPr="005F5A73" w:rsidRDefault="00E2336B" w:rsidP="00E237EB">
            <w:pPr>
              <w:jc w:val="center"/>
              <w:rPr>
                <w:rFonts w:ascii="MinionPro-Regular" w:hAnsi="MinionPro-Regular" w:cs="Calibri"/>
                <w:color w:val="000000"/>
                <w:sz w:val="20"/>
                <w:lang w:val="en-US"/>
              </w:rPr>
            </w:pPr>
            <w:r w:rsidRPr="005F5A73">
              <w:rPr>
                <w:rFonts w:ascii="MinionPro-Regular" w:hAnsi="MinionPro-Regular" w:cs="Calibri"/>
                <w:color w:val="000000"/>
                <w:sz w:val="20"/>
                <w:lang w:val="en-US"/>
              </w:rPr>
              <w:t>I</w:t>
            </w:r>
          </w:p>
        </w:tc>
        <w:tc>
          <w:tcPr>
            <w:tcW w:w="7326" w:type="dxa"/>
            <w:gridSpan w:val="2"/>
            <w:tcBorders>
              <w:top w:val="nil"/>
              <w:left w:val="nil"/>
              <w:bottom w:val="single" w:sz="4" w:space="0" w:color="auto"/>
              <w:right w:val="single" w:sz="4" w:space="0" w:color="auto"/>
            </w:tcBorders>
            <w:shd w:val="clear" w:color="000000" w:fill="BFBFBF"/>
            <w:vAlign w:val="center"/>
          </w:tcPr>
          <w:p w:rsidR="00E2336B" w:rsidRPr="005F5A73" w:rsidRDefault="00E2336B" w:rsidP="00E237EB">
            <w:pPr>
              <w:rPr>
                <w:rFonts w:ascii="MinionPro-Regular" w:hAnsi="MinionPro-Regular" w:cs="Calibri"/>
                <w:color w:val="000000"/>
                <w:sz w:val="20"/>
                <w:lang w:val="es-ES_tradnl"/>
              </w:rPr>
            </w:pPr>
            <w:r w:rsidRPr="005F5A73">
              <w:rPr>
                <w:rFonts w:ascii="MinionPro-Regular" w:hAnsi="MinionPro-Regular" w:cs="Calibri"/>
                <w:color w:val="000000"/>
                <w:sz w:val="20"/>
                <w:lang w:val="es-ES_tradnl"/>
              </w:rPr>
              <w:t>2.7. ¿Necesitas algún tipo de ayuda para poder realizar adecuadamente tu trabajo?</w:t>
            </w:r>
          </w:p>
        </w:tc>
      </w:tr>
      <w:tr w:rsidR="00E2336B" w:rsidRPr="005F5A73" w:rsidTr="0092566C">
        <w:trPr>
          <w:trHeight w:val="300"/>
        </w:trPr>
        <w:tc>
          <w:tcPr>
            <w:tcW w:w="350" w:type="dxa"/>
            <w:tcBorders>
              <w:top w:val="nil"/>
              <w:left w:val="single" w:sz="4" w:space="0" w:color="auto"/>
              <w:bottom w:val="nil"/>
              <w:right w:val="nil"/>
            </w:tcBorders>
            <w:shd w:val="clear" w:color="000000" w:fill="BFBFBF"/>
            <w:noWrap/>
            <w:vAlign w:val="bottom"/>
          </w:tcPr>
          <w:p w:rsidR="00E2336B" w:rsidRPr="005F5A73" w:rsidRDefault="00E2336B" w:rsidP="00E237EB">
            <w:pPr>
              <w:jc w:val="center"/>
              <w:rPr>
                <w:rFonts w:ascii="MinionPro-Regular" w:hAnsi="MinionPro-Regular" w:cs="Calibri"/>
                <w:color w:val="000000"/>
                <w:sz w:val="20"/>
                <w:lang w:val="es-ES_tradnl"/>
              </w:rPr>
            </w:pPr>
            <w:r w:rsidRPr="005F5A73">
              <w:rPr>
                <w:rFonts w:ascii="MinionPro-Regular" w:hAnsi="MinionPro-Regular" w:cs="Calibri"/>
                <w:color w:val="000000"/>
                <w:sz w:val="20"/>
                <w:lang w:val="es-ES_tradnl"/>
              </w:rPr>
              <w:t> </w:t>
            </w:r>
          </w:p>
        </w:tc>
        <w:tc>
          <w:tcPr>
            <w:tcW w:w="704" w:type="dxa"/>
            <w:tcBorders>
              <w:top w:val="nil"/>
              <w:left w:val="single" w:sz="4" w:space="0" w:color="auto"/>
              <w:bottom w:val="single" w:sz="4" w:space="0" w:color="auto"/>
              <w:right w:val="single" w:sz="4" w:space="0" w:color="auto"/>
            </w:tcBorders>
            <w:shd w:val="clear" w:color="000000" w:fill="FFFFFF"/>
            <w:noWrap/>
            <w:vAlign w:val="bottom"/>
          </w:tcPr>
          <w:p w:rsidR="00E2336B" w:rsidRPr="005F5A73" w:rsidRDefault="00E2336B" w:rsidP="00E237EB">
            <w:pPr>
              <w:rPr>
                <w:rFonts w:ascii="MinionPro-Regular" w:hAnsi="MinionPro-Regular" w:cs="Calibri"/>
                <w:color w:val="000000"/>
                <w:sz w:val="20"/>
                <w:lang w:val="es-ES_tradnl"/>
              </w:rPr>
            </w:pPr>
            <w:r w:rsidRPr="005F5A73">
              <w:rPr>
                <w:rFonts w:ascii="MinionPro-Regular" w:hAnsi="MinionPro-Regular" w:cs="Calibri"/>
                <w:color w:val="000000"/>
                <w:sz w:val="20"/>
                <w:lang w:val="es-ES_tradnl"/>
              </w:rPr>
              <w:t> </w:t>
            </w:r>
          </w:p>
        </w:tc>
        <w:tc>
          <w:tcPr>
            <w:tcW w:w="6622" w:type="dxa"/>
            <w:tcBorders>
              <w:top w:val="nil"/>
              <w:left w:val="nil"/>
              <w:bottom w:val="single" w:sz="4" w:space="0" w:color="auto"/>
              <w:right w:val="single" w:sz="4" w:space="0" w:color="auto"/>
            </w:tcBorders>
            <w:shd w:val="clear" w:color="000000" w:fill="D8D8D8"/>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A) Sí</w:t>
            </w:r>
          </w:p>
        </w:tc>
      </w:tr>
      <w:tr w:rsidR="00E2336B" w:rsidRPr="005F5A73" w:rsidTr="0092566C">
        <w:trPr>
          <w:trHeight w:val="300"/>
        </w:trPr>
        <w:tc>
          <w:tcPr>
            <w:tcW w:w="350" w:type="dxa"/>
            <w:tcBorders>
              <w:top w:val="nil"/>
              <w:left w:val="single" w:sz="4" w:space="0" w:color="auto"/>
              <w:bottom w:val="nil"/>
              <w:right w:val="nil"/>
            </w:tcBorders>
            <w:shd w:val="clear" w:color="000000" w:fill="BFBFBF"/>
            <w:noWrap/>
            <w:vAlign w:val="bottom"/>
          </w:tcPr>
          <w:p w:rsidR="00E2336B" w:rsidRPr="005F5A73" w:rsidRDefault="00E2336B" w:rsidP="00E237EB">
            <w:pPr>
              <w:jc w:val="cente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c>
          <w:tcPr>
            <w:tcW w:w="704" w:type="dxa"/>
            <w:tcBorders>
              <w:top w:val="nil"/>
              <w:left w:val="single" w:sz="4" w:space="0" w:color="auto"/>
              <w:bottom w:val="single" w:sz="4" w:space="0" w:color="auto"/>
              <w:right w:val="single" w:sz="4" w:space="0" w:color="auto"/>
            </w:tcBorders>
            <w:shd w:val="clear" w:color="000000" w:fill="FFFFFF"/>
            <w:noWrap/>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c>
          <w:tcPr>
            <w:tcW w:w="6622" w:type="dxa"/>
            <w:tcBorders>
              <w:top w:val="nil"/>
              <w:left w:val="nil"/>
              <w:bottom w:val="single" w:sz="4" w:space="0" w:color="auto"/>
              <w:right w:val="single" w:sz="4" w:space="0" w:color="auto"/>
            </w:tcBorders>
            <w:shd w:val="clear" w:color="000000" w:fill="D8D8D8"/>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B) No</w:t>
            </w:r>
          </w:p>
        </w:tc>
      </w:tr>
      <w:tr w:rsidR="00E2336B" w:rsidRPr="005F5A73" w:rsidTr="0092566C">
        <w:trPr>
          <w:trHeight w:val="300"/>
        </w:trPr>
        <w:tc>
          <w:tcPr>
            <w:tcW w:w="350" w:type="dxa"/>
            <w:tcBorders>
              <w:top w:val="nil"/>
              <w:left w:val="single" w:sz="4" w:space="0" w:color="auto"/>
              <w:bottom w:val="nil"/>
              <w:right w:val="nil"/>
            </w:tcBorders>
            <w:shd w:val="clear" w:color="000000" w:fill="BFBFBF"/>
            <w:noWrap/>
            <w:vAlign w:val="bottom"/>
          </w:tcPr>
          <w:p w:rsidR="00E2336B" w:rsidRPr="005F5A73" w:rsidRDefault="00E2336B" w:rsidP="00E237EB">
            <w:pPr>
              <w:jc w:val="cente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c>
          <w:tcPr>
            <w:tcW w:w="704" w:type="dxa"/>
            <w:tcBorders>
              <w:top w:val="nil"/>
              <w:left w:val="single" w:sz="4" w:space="0" w:color="auto"/>
              <w:bottom w:val="single" w:sz="4" w:space="0" w:color="auto"/>
              <w:right w:val="single" w:sz="4" w:space="0" w:color="auto"/>
            </w:tcBorders>
            <w:shd w:val="clear" w:color="000000" w:fill="FFFFFF"/>
            <w:noWrap/>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c>
          <w:tcPr>
            <w:tcW w:w="6622" w:type="dxa"/>
            <w:tcBorders>
              <w:top w:val="nil"/>
              <w:left w:val="nil"/>
              <w:bottom w:val="single" w:sz="4" w:space="0" w:color="auto"/>
              <w:right w:val="single" w:sz="4" w:space="0" w:color="auto"/>
            </w:tcBorders>
            <w:shd w:val="clear" w:color="000000" w:fill="D8D8D8"/>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 xml:space="preserve">C) Otros (indica cuáles): </w:t>
            </w:r>
          </w:p>
        </w:tc>
      </w:tr>
      <w:tr w:rsidR="00E2336B" w:rsidRPr="005F5A73" w:rsidTr="0092566C">
        <w:trPr>
          <w:trHeight w:val="180"/>
        </w:trPr>
        <w:tc>
          <w:tcPr>
            <w:tcW w:w="350" w:type="dxa"/>
            <w:tcBorders>
              <w:top w:val="nil"/>
              <w:left w:val="single" w:sz="4" w:space="0" w:color="auto"/>
              <w:bottom w:val="nil"/>
              <w:right w:val="nil"/>
            </w:tcBorders>
            <w:shd w:val="clear" w:color="000000" w:fill="BFBFBF"/>
            <w:noWrap/>
            <w:vAlign w:val="bottom"/>
          </w:tcPr>
          <w:p w:rsidR="00E2336B" w:rsidRPr="005F5A73" w:rsidRDefault="00E2336B" w:rsidP="00E237EB">
            <w:pPr>
              <w:jc w:val="cente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c>
          <w:tcPr>
            <w:tcW w:w="704" w:type="dxa"/>
            <w:tcBorders>
              <w:top w:val="nil"/>
              <w:left w:val="nil"/>
              <w:bottom w:val="nil"/>
              <w:right w:val="nil"/>
            </w:tcBorders>
            <w:shd w:val="clear" w:color="000000" w:fill="BFBFBF"/>
            <w:noWrap/>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c>
          <w:tcPr>
            <w:tcW w:w="6622" w:type="dxa"/>
            <w:tcBorders>
              <w:top w:val="nil"/>
              <w:left w:val="nil"/>
              <w:bottom w:val="nil"/>
              <w:right w:val="single" w:sz="4" w:space="0" w:color="auto"/>
            </w:tcBorders>
            <w:shd w:val="clear" w:color="000000" w:fill="BFBFBF"/>
            <w:noWrap/>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r>
      <w:tr w:rsidR="00E2336B" w:rsidRPr="005F5A73" w:rsidTr="0092566C">
        <w:trPr>
          <w:trHeight w:val="300"/>
        </w:trPr>
        <w:tc>
          <w:tcPr>
            <w:tcW w:w="350" w:type="dxa"/>
            <w:tcBorders>
              <w:top w:val="single" w:sz="4" w:space="0" w:color="auto"/>
              <w:left w:val="single" w:sz="4" w:space="0" w:color="auto"/>
              <w:bottom w:val="single" w:sz="4" w:space="0" w:color="auto"/>
              <w:right w:val="single" w:sz="4" w:space="0" w:color="auto"/>
            </w:tcBorders>
            <w:shd w:val="clear" w:color="000000" w:fill="A5A5A5"/>
            <w:noWrap/>
            <w:vAlign w:val="bottom"/>
          </w:tcPr>
          <w:p w:rsidR="00E2336B" w:rsidRPr="005F5A73" w:rsidRDefault="00E2336B" w:rsidP="00E237EB">
            <w:pPr>
              <w:jc w:val="center"/>
              <w:rPr>
                <w:rFonts w:ascii="MinionPro-Regular" w:hAnsi="MinionPro-Regular" w:cs="Calibri"/>
                <w:color w:val="000000"/>
                <w:sz w:val="20"/>
                <w:lang w:val="en-US"/>
              </w:rPr>
            </w:pPr>
            <w:r w:rsidRPr="005F5A73">
              <w:rPr>
                <w:rFonts w:ascii="MinionPro-Regular" w:hAnsi="MinionPro-Regular" w:cs="Calibri"/>
                <w:color w:val="000000"/>
                <w:sz w:val="20"/>
                <w:lang w:val="en-US"/>
              </w:rPr>
              <w:t>I</w:t>
            </w:r>
          </w:p>
        </w:tc>
        <w:tc>
          <w:tcPr>
            <w:tcW w:w="7326" w:type="dxa"/>
            <w:gridSpan w:val="2"/>
            <w:tcBorders>
              <w:top w:val="nil"/>
              <w:left w:val="nil"/>
              <w:bottom w:val="nil"/>
              <w:right w:val="single" w:sz="4" w:space="0" w:color="auto"/>
            </w:tcBorders>
            <w:shd w:val="clear" w:color="000000" w:fill="BFBFBF"/>
            <w:noWrap/>
            <w:vAlign w:val="bottom"/>
          </w:tcPr>
          <w:p w:rsidR="00E2336B" w:rsidRPr="005F5A73" w:rsidRDefault="00E2336B" w:rsidP="00E237EB">
            <w:pPr>
              <w:rPr>
                <w:rFonts w:ascii="MinionPro-Regular" w:hAnsi="MinionPro-Regular" w:cs="Calibri"/>
                <w:color w:val="000000"/>
                <w:sz w:val="20"/>
                <w:lang w:val="es-ES_tradnl"/>
              </w:rPr>
            </w:pPr>
            <w:r w:rsidRPr="005F5A73">
              <w:rPr>
                <w:rFonts w:ascii="MinionPro-Regular" w:hAnsi="MinionPro-Regular" w:cs="Calibri"/>
                <w:color w:val="000000"/>
                <w:sz w:val="20"/>
                <w:lang w:val="es-ES_tradnl"/>
              </w:rPr>
              <w:t>2.8. ¿Qué tipo de ayuda es la que necesitas?</w:t>
            </w:r>
          </w:p>
        </w:tc>
      </w:tr>
      <w:tr w:rsidR="00E2336B" w:rsidRPr="005F5A73" w:rsidTr="0092566C">
        <w:trPr>
          <w:trHeight w:val="300"/>
        </w:trPr>
        <w:tc>
          <w:tcPr>
            <w:tcW w:w="350" w:type="dxa"/>
            <w:tcBorders>
              <w:top w:val="nil"/>
              <w:left w:val="single" w:sz="4" w:space="0" w:color="auto"/>
              <w:bottom w:val="nil"/>
              <w:right w:val="nil"/>
            </w:tcBorders>
            <w:shd w:val="clear" w:color="000000" w:fill="BFBFBF"/>
            <w:noWrap/>
            <w:vAlign w:val="bottom"/>
          </w:tcPr>
          <w:p w:rsidR="00E2336B" w:rsidRPr="005F5A73" w:rsidRDefault="00E2336B" w:rsidP="00E237EB">
            <w:pPr>
              <w:jc w:val="center"/>
              <w:rPr>
                <w:rFonts w:ascii="MinionPro-Regular" w:hAnsi="MinionPro-Regular" w:cs="Calibri"/>
                <w:color w:val="000000"/>
                <w:sz w:val="20"/>
                <w:lang w:val="es-ES_tradnl"/>
              </w:rPr>
            </w:pPr>
            <w:r w:rsidRPr="005F5A73">
              <w:rPr>
                <w:rFonts w:ascii="MinionPro-Regular" w:hAnsi="MinionPro-Regular" w:cs="Calibri"/>
                <w:color w:val="000000"/>
                <w:sz w:val="20"/>
                <w:lang w:val="es-ES_tradnl"/>
              </w:rPr>
              <w:t> </w:t>
            </w:r>
          </w:p>
        </w:tc>
        <w:tc>
          <w:tcPr>
            <w:tcW w:w="704"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E2336B" w:rsidRPr="005F5A73" w:rsidRDefault="00E2336B" w:rsidP="00E237EB">
            <w:pPr>
              <w:rPr>
                <w:rFonts w:ascii="MinionPro-Regular" w:hAnsi="MinionPro-Regular" w:cs="Calibri"/>
                <w:color w:val="000000"/>
                <w:sz w:val="20"/>
                <w:lang w:val="es-ES_tradnl"/>
              </w:rPr>
            </w:pPr>
            <w:r w:rsidRPr="005F5A73">
              <w:rPr>
                <w:rFonts w:ascii="MinionPro-Regular" w:hAnsi="MinionPro-Regular" w:cs="Calibri"/>
                <w:color w:val="000000"/>
                <w:sz w:val="20"/>
                <w:lang w:val="es-ES_tradnl"/>
              </w:rPr>
              <w:t> </w:t>
            </w:r>
          </w:p>
        </w:tc>
        <w:tc>
          <w:tcPr>
            <w:tcW w:w="6622" w:type="dxa"/>
            <w:tcBorders>
              <w:top w:val="single" w:sz="4" w:space="0" w:color="auto"/>
              <w:left w:val="nil"/>
              <w:bottom w:val="single" w:sz="4" w:space="0" w:color="auto"/>
              <w:right w:val="single" w:sz="4" w:space="0" w:color="auto"/>
            </w:tcBorders>
            <w:shd w:val="clear" w:color="000000" w:fill="D8D8D8"/>
            <w:vAlign w:val="bottom"/>
          </w:tcPr>
          <w:p w:rsidR="00E2336B" w:rsidRPr="005F5A73" w:rsidRDefault="00E2336B" w:rsidP="00E237EB">
            <w:pPr>
              <w:rPr>
                <w:rFonts w:ascii="MinionPro-Regular" w:hAnsi="MinionPro-Regular" w:cs="Calibri"/>
                <w:color w:val="000000"/>
                <w:sz w:val="20"/>
                <w:lang w:val="es-ES_tradnl"/>
              </w:rPr>
            </w:pPr>
            <w:r w:rsidRPr="005F5A73">
              <w:rPr>
                <w:rFonts w:ascii="MinionPro-Regular" w:hAnsi="MinionPro-Regular" w:cs="Calibri"/>
                <w:color w:val="000000"/>
                <w:sz w:val="20"/>
                <w:lang w:val="es-ES_tradnl"/>
              </w:rPr>
              <w:t>A) Una persona que te ayude</w:t>
            </w:r>
          </w:p>
        </w:tc>
      </w:tr>
      <w:tr w:rsidR="00E2336B" w:rsidRPr="005F5A73" w:rsidTr="0092566C">
        <w:trPr>
          <w:trHeight w:val="300"/>
        </w:trPr>
        <w:tc>
          <w:tcPr>
            <w:tcW w:w="350" w:type="dxa"/>
            <w:tcBorders>
              <w:top w:val="nil"/>
              <w:left w:val="single" w:sz="4" w:space="0" w:color="auto"/>
              <w:bottom w:val="nil"/>
              <w:right w:val="nil"/>
            </w:tcBorders>
            <w:shd w:val="clear" w:color="000000" w:fill="BFBFBF"/>
            <w:noWrap/>
            <w:vAlign w:val="bottom"/>
          </w:tcPr>
          <w:p w:rsidR="00E2336B" w:rsidRPr="005F5A73" w:rsidRDefault="00E2336B" w:rsidP="00E237EB">
            <w:pPr>
              <w:jc w:val="center"/>
              <w:rPr>
                <w:rFonts w:ascii="MinionPro-Regular" w:hAnsi="MinionPro-Regular" w:cs="Calibri"/>
                <w:color w:val="000000"/>
                <w:sz w:val="20"/>
                <w:lang w:val="es-ES_tradnl"/>
              </w:rPr>
            </w:pPr>
            <w:r w:rsidRPr="005F5A73">
              <w:rPr>
                <w:rFonts w:ascii="MinionPro-Regular" w:hAnsi="MinionPro-Regular" w:cs="Calibri"/>
                <w:color w:val="000000"/>
                <w:sz w:val="20"/>
                <w:lang w:val="es-ES_tradnl"/>
              </w:rPr>
              <w:t> </w:t>
            </w:r>
          </w:p>
        </w:tc>
        <w:tc>
          <w:tcPr>
            <w:tcW w:w="704" w:type="dxa"/>
            <w:tcBorders>
              <w:top w:val="nil"/>
              <w:left w:val="single" w:sz="4" w:space="0" w:color="auto"/>
              <w:bottom w:val="single" w:sz="4" w:space="0" w:color="auto"/>
              <w:right w:val="single" w:sz="4" w:space="0" w:color="auto"/>
            </w:tcBorders>
            <w:shd w:val="clear" w:color="000000" w:fill="FFFFFF"/>
            <w:noWrap/>
            <w:vAlign w:val="bottom"/>
          </w:tcPr>
          <w:p w:rsidR="00E2336B" w:rsidRPr="005F5A73" w:rsidRDefault="00E2336B" w:rsidP="00E237EB">
            <w:pPr>
              <w:rPr>
                <w:rFonts w:ascii="MinionPro-Regular" w:hAnsi="MinionPro-Regular" w:cs="Calibri"/>
                <w:color w:val="000000"/>
                <w:sz w:val="20"/>
                <w:lang w:val="es-ES_tradnl"/>
              </w:rPr>
            </w:pPr>
            <w:r w:rsidRPr="005F5A73">
              <w:rPr>
                <w:rFonts w:ascii="MinionPro-Regular" w:hAnsi="MinionPro-Regular" w:cs="Calibri"/>
                <w:color w:val="000000"/>
                <w:sz w:val="20"/>
                <w:lang w:val="es-ES_tradnl"/>
              </w:rPr>
              <w:t> </w:t>
            </w:r>
          </w:p>
        </w:tc>
        <w:tc>
          <w:tcPr>
            <w:tcW w:w="6622" w:type="dxa"/>
            <w:tcBorders>
              <w:top w:val="nil"/>
              <w:left w:val="nil"/>
              <w:bottom w:val="single" w:sz="4" w:space="0" w:color="auto"/>
              <w:right w:val="single" w:sz="4" w:space="0" w:color="auto"/>
            </w:tcBorders>
            <w:shd w:val="clear" w:color="000000" w:fill="D8D8D8"/>
            <w:vAlign w:val="bottom"/>
          </w:tcPr>
          <w:p w:rsidR="00E2336B" w:rsidRPr="005F5A73" w:rsidRDefault="00E2336B" w:rsidP="00E237EB">
            <w:pPr>
              <w:rPr>
                <w:rFonts w:ascii="MinionPro-Regular" w:hAnsi="MinionPro-Regular" w:cs="Calibri"/>
                <w:color w:val="000000"/>
                <w:sz w:val="20"/>
                <w:lang w:val="es-ES_tradnl"/>
              </w:rPr>
            </w:pPr>
            <w:r w:rsidRPr="005F5A73">
              <w:rPr>
                <w:rFonts w:ascii="MinionPro-Regular" w:hAnsi="MinionPro-Regular" w:cs="Calibri"/>
                <w:color w:val="000000"/>
                <w:sz w:val="20"/>
                <w:lang w:val="es-ES_tradnl"/>
              </w:rPr>
              <w:t>B) Maquinas o herramientas especiales</w:t>
            </w:r>
          </w:p>
        </w:tc>
      </w:tr>
      <w:tr w:rsidR="00E2336B" w:rsidRPr="005F5A73" w:rsidTr="0092566C">
        <w:trPr>
          <w:trHeight w:val="300"/>
        </w:trPr>
        <w:tc>
          <w:tcPr>
            <w:tcW w:w="350" w:type="dxa"/>
            <w:tcBorders>
              <w:top w:val="nil"/>
              <w:left w:val="single" w:sz="4" w:space="0" w:color="auto"/>
              <w:bottom w:val="nil"/>
              <w:right w:val="nil"/>
            </w:tcBorders>
            <w:shd w:val="clear" w:color="000000" w:fill="BFBFBF"/>
            <w:noWrap/>
            <w:vAlign w:val="bottom"/>
          </w:tcPr>
          <w:p w:rsidR="00E2336B" w:rsidRPr="005F5A73" w:rsidRDefault="00E2336B" w:rsidP="00E237EB">
            <w:pPr>
              <w:jc w:val="center"/>
              <w:rPr>
                <w:rFonts w:ascii="MinionPro-Regular" w:hAnsi="MinionPro-Regular" w:cs="Calibri"/>
                <w:color w:val="000000"/>
                <w:sz w:val="20"/>
                <w:lang w:val="es-ES_tradnl"/>
              </w:rPr>
            </w:pPr>
            <w:r w:rsidRPr="005F5A73">
              <w:rPr>
                <w:rFonts w:ascii="MinionPro-Regular" w:hAnsi="MinionPro-Regular" w:cs="Calibri"/>
                <w:color w:val="000000"/>
                <w:sz w:val="20"/>
                <w:lang w:val="es-ES_tradnl"/>
              </w:rPr>
              <w:t> </w:t>
            </w:r>
          </w:p>
        </w:tc>
        <w:tc>
          <w:tcPr>
            <w:tcW w:w="704" w:type="dxa"/>
            <w:tcBorders>
              <w:top w:val="nil"/>
              <w:left w:val="single" w:sz="4" w:space="0" w:color="auto"/>
              <w:bottom w:val="single" w:sz="4" w:space="0" w:color="auto"/>
              <w:right w:val="single" w:sz="4" w:space="0" w:color="auto"/>
            </w:tcBorders>
            <w:shd w:val="clear" w:color="000000" w:fill="FFFFFF"/>
            <w:noWrap/>
            <w:vAlign w:val="bottom"/>
          </w:tcPr>
          <w:p w:rsidR="00E2336B" w:rsidRPr="005F5A73" w:rsidRDefault="00E2336B" w:rsidP="00E237EB">
            <w:pPr>
              <w:rPr>
                <w:rFonts w:ascii="MinionPro-Regular" w:hAnsi="MinionPro-Regular" w:cs="Calibri"/>
                <w:color w:val="000000"/>
                <w:sz w:val="20"/>
                <w:lang w:val="es-ES_tradnl"/>
              </w:rPr>
            </w:pPr>
            <w:r w:rsidRPr="005F5A73">
              <w:rPr>
                <w:rFonts w:ascii="MinionPro-Regular" w:hAnsi="MinionPro-Regular" w:cs="Calibri"/>
                <w:color w:val="000000"/>
                <w:sz w:val="20"/>
                <w:lang w:val="es-ES_tradnl"/>
              </w:rPr>
              <w:t> </w:t>
            </w:r>
          </w:p>
        </w:tc>
        <w:tc>
          <w:tcPr>
            <w:tcW w:w="6622" w:type="dxa"/>
            <w:tcBorders>
              <w:top w:val="nil"/>
              <w:left w:val="nil"/>
              <w:bottom w:val="single" w:sz="4" w:space="0" w:color="auto"/>
              <w:right w:val="single" w:sz="4" w:space="0" w:color="auto"/>
            </w:tcBorders>
            <w:shd w:val="clear" w:color="000000" w:fill="D8D8D8"/>
            <w:vAlign w:val="bottom"/>
          </w:tcPr>
          <w:p w:rsidR="00E2336B" w:rsidRPr="005F5A73" w:rsidRDefault="00E2336B" w:rsidP="00E237EB">
            <w:pPr>
              <w:rPr>
                <w:rFonts w:ascii="MinionPro-Regular" w:hAnsi="MinionPro-Regular" w:cs="Calibri"/>
                <w:color w:val="000000"/>
                <w:sz w:val="20"/>
                <w:lang w:val="es-ES_tradnl"/>
              </w:rPr>
            </w:pPr>
            <w:r w:rsidRPr="005F5A73">
              <w:rPr>
                <w:rFonts w:ascii="MinionPro-Regular" w:hAnsi="MinionPro-Regular" w:cs="Calibri"/>
                <w:color w:val="000000"/>
                <w:sz w:val="20"/>
                <w:lang w:val="es-ES_tradnl"/>
              </w:rPr>
              <w:t>C) Procedimientos o tiempos adaptados</w:t>
            </w:r>
          </w:p>
        </w:tc>
      </w:tr>
      <w:tr w:rsidR="00E2336B" w:rsidRPr="005F5A73" w:rsidTr="0092566C">
        <w:trPr>
          <w:trHeight w:val="300"/>
        </w:trPr>
        <w:tc>
          <w:tcPr>
            <w:tcW w:w="350" w:type="dxa"/>
            <w:tcBorders>
              <w:top w:val="nil"/>
              <w:left w:val="single" w:sz="4" w:space="0" w:color="auto"/>
              <w:bottom w:val="nil"/>
              <w:right w:val="nil"/>
            </w:tcBorders>
            <w:shd w:val="clear" w:color="000000" w:fill="BFBFBF"/>
            <w:noWrap/>
            <w:vAlign w:val="bottom"/>
          </w:tcPr>
          <w:p w:rsidR="00E2336B" w:rsidRPr="005F5A73" w:rsidRDefault="00E2336B" w:rsidP="00E237EB">
            <w:pPr>
              <w:jc w:val="center"/>
              <w:rPr>
                <w:rFonts w:ascii="MinionPro-Regular" w:hAnsi="MinionPro-Regular" w:cs="Calibri"/>
                <w:color w:val="000000"/>
                <w:sz w:val="20"/>
                <w:lang w:val="es-ES_tradnl"/>
              </w:rPr>
            </w:pPr>
            <w:r w:rsidRPr="005F5A73">
              <w:rPr>
                <w:rFonts w:ascii="MinionPro-Regular" w:hAnsi="MinionPro-Regular" w:cs="Calibri"/>
                <w:color w:val="000000"/>
                <w:sz w:val="20"/>
                <w:lang w:val="es-ES_tradnl"/>
              </w:rPr>
              <w:t> </w:t>
            </w:r>
          </w:p>
        </w:tc>
        <w:tc>
          <w:tcPr>
            <w:tcW w:w="704" w:type="dxa"/>
            <w:tcBorders>
              <w:top w:val="nil"/>
              <w:left w:val="single" w:sz="4" w:space="0" w:color="auto"/>
              <w:bottom w:val="single" w:sz="4" w:space="0" w:color="auto"/>
              <w:right w:val="single" w:sz="4" w:space="0" w:color="auto"/>
            </w:tcBorders>
            <w:shd w:val="clear" w:color="000000" w:fill="FFFFFF"/>
            <w:noWrap/>
            <w:vAlign w:val="bottom"/>
          </w:tcPr>
          <w:p w:rsidR="00E2336B" w:rsidRPr="005F5A73" w:rsidRDefault="00E2336B" w:rsidP="00E237EB">
            <w:pPr>
              <w:rPr>
                <w:rFonts w:ascii="MinionPro-Regular" w:hAnsi="MinionPro-Regular" w:cs="Calibri"/>
                <w:color w:val="000000"/>
                <w:sz w:val="20"/>
                <w:lang w:val="es-ES_tradnl"/>
              </w:rPr>
            </w:pPr>
            <w:r w:rsidRPr="005F5A73">
              <w:rPr>
                <w:rFonts w:ascii="MinionPro-Regular" w:hAnsi="MinionPro-Regular" w:cs="Calibri"/>
                <w:color w:val="000000"/>
                <w:sz w:val="20"/>
                <w:lang w:val="es-ES_tradnl"/>
              </w:rPr>
              <w:t> </w:t>
            </w:r>
          </w:p>
        </w:tc>
        <w:tc>
          <w:tcPr>
            <w:tcW w:w="6622" w:type="dxa"/>
            <w:tcBorders>
              <w:top w:val="nil"/>
              <w:left w:val="nil"/>
              <w:bottom w:val="single" w:sz="4" w:space="0" w:color="auto"/>
              <w:right w:val="single" w:sz="4" w:space="0" w:color="auto"/>
            </w:tcBorders>
            <w:shd w:val="clear" w:color="000000" w:fill="D8D8D8"/>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D) Ayudas de accesibilidad</w:t>
            </w:r>
          </w:p>
        </w:tc>
      </w:tr>
      <w:tr w:rsidR="00E2336B" w:rsidRPr="005F5A73" w:rsidTr="0092566C">
        <w:trPr>
          <w:trHeight w:val="300"/>
        </w:trPr>
        <w:tc>
          <w:tcPr>
            <w:tcW w:w="350" w:type="dxa"/>
            <w:tcBorders>
              <w:top w:val="nil"/>
              <w:left w:val="single" w:sz="4" w:space="0" w:color="auto"/>
              <w:bottom w:val="nil"/>
              <w:right w:val="nil"/>
            </w:tcBorders>
            <w:shd w:val="clear" w:color="000000" w:fill="BFBFBF"/>
            <w:noWrap/>
            <w:vAlign w:val="bottom"/>
          </w:tcPr>
          <w:p w:rsidR="00E2336B" w:rsidRPr="005F5A73" w:rsidRDefault="00E2336B" w:rsidP="00E237EB">
            <w:pPr>
              <w:jc w:val="cente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c>
          <w:tcPr>
            <w:tcW w:w="704" w:type="dxa"/>
            <w:tcBorders>
              <w:top w:val="nil"/>
              <w:left w:val="single" w:sz="4" w:space="0" w:color="auto"/>
              <w:bottom w:val="single" w:sz="4" w:space="0" w:color="auto"/>
              <w:right w:val="single" w:sz="4" w:space="0" w:color="auto"/>
            </w:tcBorders>
            <w:shd w:val="clear" w:color="000000" w:fill="FFFFFF"/>
            <w:noWrap/>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c>
          <w:tcPr>
            <w:tcW w:w="6622" w:type="dxa"/>
            <w:tcBorders>
              <w:top w:val="nil"/>
              <w:left w:val="nil"/>
              <w:bottom w:val="single" w:sz="4" w:space="0" w:color="auto"/>
              <w:right w:val="single" w:sz="4" w:space="0" w:color="auto"/>
            </w:tcBorders>
            <w:shd w:val="clear" w:color="000000" w:fill="D8D8D8"/>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 xml:space="preserve">E) Otros (indica cuáles): </w:t>
            </w:r>
          </w:p>
        </w:tc>
      </w:tr>
      <w:tr w:rsidR="00E2336B" w:rsidRPr="005F5A73" w:rsidTr="0092566C">
        <w:trPr>
          <w:trHeight w:val="180"/>
        </w:trPr>
        <w:tc>
          <w:tcPr>
            <w:tcW w:w="350" w:type="dxa"/>
            <w:tcBorders>
              <w:top w:val="nil"/>
              <w:left w:val="single" w:sz="4" w:space="0" w:color="auto"/>
              <w:bottom w:val="nil"/>
              <w:right w:val="nil"/>
            </w:tcBorders>
            <w:shd w:val="clear" w:color="000000" w:fill="BFBFBF"/>
            <w:noWrap/>
            <w:vAlign w:val="bottom"/>
          </w:tcPr>
          <w:p w:rsidR="00E2336B" w:rsidRPr="005F5A73" w:rsidRDefault="00E2336B" w:rsidP="00E237EB">
            <w:pPr>
              <w:jc w:val="cente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c>
          <w:tcPr>
            <w:tcW w:w="704" w:type="dxa"/>
            <w:tcBorders>
              <w:top w:val="nil"/>
              <w:left w:val="nil"/>
              <w:bottom w:val="nil"/>
              <w:right w:val="nil"/>
            </w:tcBorders>
            <w:shd w:val="clear" w:color="000000" w:fill="BFBFBF"/>
            <w:noWrap/>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c>
          <w:tcPr>
            <w:tcW w:w="6622" w:type="dxa"/>
            <w:tcBorders>
              <w:top w:val="nil"/>
              <w:left w:val="nil"/>
              <w:bottom w:val="nil"/>
              <w:right w:val="single" w:sz="4" w:space="0" w:color="auto"/>
            </w:tcBorders>
            <w:shd w:val="clear" w:color="000000" w:fill="BFBFBF"/>
            <w:noWrap/>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r>
      <w:tr w:rsidR="00E2336B" w:rsidRPr="005F5A73" w:rsidTr="0092566C">
        <w:trPr>
          <w:trHeight w:val="300"/>
        </w:trPr>
        <w:tc>
          <w:tcPr>
            <w:tcW w:w="350" w:type="dxa"/>
            <w:tcBorders>
              <w:top w:val="single" w:sz="4" w:space="0" w:color="auto"/>
              <w:left w:val="single" w:sz="4" w:space="0" w:color="auto"/>
              <w:bottom w:val="single" w:sz="4" w:space="0" w:color="auto"/>
              <w:right w:val="single" w:sz="4" w:space="0" w:color="auto"/>
            </w:tcBorders>
            <w:shd w:val="clear" w:color="000000" w:fill="A5A5A5"/>
            <w:noWrap/>
            <w:vAlign w:val="bottom"/>
          </w:tcPr>
          <w:p w:rsidR="00E2336B" w:rsidRPr="005F5A73" w:rsidRDefault="00E2336B" w:rsidP="00E237EB">
            <w:pPr>
              <w:jc w:val="center"/>
              <w:rPr>
                <w:rFonts w:ascii="MinionPro-Regular" w:hAnsi="MinionPro-Regular" w:cs="Calibri"/>
                <w:color w:val="000000"/>
                <w:sz w:val="20"/>
                <w:lang w:val="en-US"/>
              </w:rPr>
            </w:pPr>
            <w:r w:rsidRPr="005F5A73">
              <w:rPr>
                <w:rFonts w:ascii="MinionPro-Regular" w:hAnsi="MinionPro-Regular" w:cs="Calibri"/>
                <w:color w:val="000000"/>
                <w:sz w:val="20"/>
                <w:lang w:val="en-US"/>
              </w:rPr>
              <w:t>I</w:t>
            </w:r>
          </w:p>
        </w:tc>
        <w:tc>
          <w:tcPr>
            <w:tcW w:w="7326" w:type="dxa"/>
            <w:gridSpan w:val="2"/>
            <w:tcBorders>
              <w:top w:val="nil"/>
              <w:left w:val="nil"/>
              <w:bottom w:val="nil"/>
              <w:right w:val="single" w:sz="4" w:space="0" w:color="auto"/>
            </w:tcBorders>
            <w:shd w:val="clear" w:color="000000" w:fill="BFBFBF"/>
            <w:noWrap/>
            <w:vAlign w:val="bottom"/>
          </w:tcPr>
          <w:p w:rsidR="00E2336B" w:rsidRPr="005F5A73" w:rsidRDefault="00E2336B" w:rsidP="00E237EB">
            <w:pPr>
              <w:rPr>
                <w:rFonts w:ascii="MinionPro-Regular" w:hAnsi="MinionPro-Regular" w:cs="Calibri"/>
                <w:color w:val="000000"/>
                <w:sz w:val="20"/>
                <w:lang w:val="es-ES_tradnl"/>
              </w:rPr>
            </w:pPr>
            <w:r w:rsidRPr="005F5A73">
              <w:rPr>
                <w:rFonts w:ascii="MinionPro-Regular" w:hAnsi="MinionPro-Regular" w:cs="Calibri"/>
                <w:color w:val="000000"/>
                <w:sz w:val="20"/>
                <w:lang w:val="es-ES_tradnl"/>
              </w:rPr>
              <w:t>2.9. ¿Cuántas horas trabajas al día?</w:t>
            </w:r>
          </w:p>
        </w:tc>
      </w:tr>
      <w:tr w:rsidR="00E2336B" w:rsidRPr="005F5A73" w:rsidTr="0092566C">
        <w:trPr>
          <w:trHeight w:val="300"/>
        </w:trPr>
        <w:tc>
          <w:tcPr>
            <w:tcW w:w="350" w:type="dxa"/>
            <w:tcBorders>
              <w:top w:val="nil"/>
              <w:left w:val="single" w:sz="4" w:space="0" w:color="auto"/>
              <w:bottom w:val="nil"/>
              <w:right w:val="nil"/>
            </w:tcBorders>
            <w:shd w:val="clear" w:color="000000" w:fill="BFBFBF"/>
            <w:noWrap/>
            <w:vAlign w:val="bottom"/>
          </w:tcPr>
          <w:p w:rsidR="00E2336B" w:rsidRPr="005F5A73" w:rsidRDefault="00E2336B" w:rsidP="00E237EB">
            <w:pPr>
              <w:jc w:val="center"/>
              <w:rPr>
                <w:rFonts w:ascii="MinionPro-Regular" w:hAnsi="MinionPro-Regular" w:cs="Calibri"/>
                <w:color w:val="000000"/>
                <w:sz w:val="20"/>
                <w:lang w:val="es-ES_tradnl"/>
              </w:rPr>
            </w:pPr>
            <w:r w:rsidRPr="005F5A73">
              <w:rPr>
                <w:rFonts w:ascii="MinionPro-Regular" w:hAnsi="MinionPro-Regular" w:cs="Calibri"/>
                <w:color w:val="000000"/>
                <w:sz w:val="20"/>
                <w:lang w:val="es-ES_tradnl"/>
              </w:rPr>
              <w:lastRenderedPageBreak/>
              <w:t> </w:t>
            </w:r>
          </w:p>
        </w:tc>
        <w:tc>
          <w:tcPr>
            <w:tcW w:w="704"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E2336B" w:rsidRPr="005F5A73" w:rsidRDefault="00E2336B" w:rsidP="00E237EB">
            <w:pPr>
              <w:rPr>
                <w:rFonts w:ascii="MinionPro-Regular" w:hAnsi="MinionPro-Regular" w:cs="Calibri"/>
                <w:color w:val="000000"/>
                <w:sz w:val="20"/>
                <w:lang w:val="es-ES_tradnl"/>
              </w:rPr>
            </w:pPr>
            <w:r w:rsidRPr="005F5A73">
              <w:rPr>
                <w:rFonts w:ascii="MinionPro-Regular" w:hAnsi="MinionPro-Regular" w:cs="Calibri"/>
                <w:color w:val="000000"/>
                <w:sz w:val="20"/>
                <w:lang w:val="es-ES_tradnl"/>
              </w:rPr>
              <w:t> </w:t>
            </w:r>
          </w:p>
        </w:tc>
        <w:tc>
          <w:tcPr>
            <w:tcW w:w="6622" w:type="dxa"/>
            <w:tcBorders>
              <w:top w:val="single" w:sz="4" w:space="0" w:color="auto"/>
              <w:left w:val="nil"/>
              <w:bottom w:val="single" w:sz="4" w:space="0" w:color="auto"/>
              <w:right w:val="single" w:sz="4" w:space="0" w:color="auto"/>
            </w:tcBorders>
            <w:shd w:val="clear" w:color="000000" w:fill="D8D8D8"/>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A) Menos de 4</w:t>
            </w:r>
          </w:p>
        </w:tc>
      </w:tr>
      <w:tr w:rsidR="00E2336B" w:rsidRPr="005F5A73" w:rsidTr="0092566C">
        <w:trPr>
          <w:trHeight w:val="300"/>
        </w:trPr>
        <w:tc>
          <w:tcPr>
            <w:tcW w:w="350" w:type="dxa"/>
            <w:tcBorders>
              <w:top w:val="nil"/>
              <w:left w:val="single" w:sz="4" w:space="0" w:color="auto"/>
              <w:bottom w:val="nil"/>
              <w:right w:val="nil"/>
            </w:tcBorders>
            <w:shd w:val="clear" w:color="000000" w:fill="BFBFBF"/>
            <w:noWrap/>
            <w:vAlign w:val="bottom"/>
          </w:tcPr>
          <w:p w:rsidR="00E2336B" w:rsidRPr="005F5A73" w:rsidRDefault="00E2336B" w:rsidP="00E237EB">
            <w:pPr>
              <w:jc w:val="cente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c>
          <w:tcPr>
            <w:tcW w:w="704" w:type="dxa"/>
            <w:tcBorders>
              <w:top w:val="nil"/>
              <w:left w:val="single" w:sz="4" w:space="0" w:color="auto"/>
              <w:bottom w:val="single" w:sz="4" w:space="0" w:color="auto"/>
              <w:right w:val="single" w:sz="4" w:space="0" w:color="auto"/>
            </w:tcBorders>
            <w:shd w:val="clear" w:color="000000" w:fill="FFFFFF"/>
            <w:noWrap/>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c>
          <w:tcPr>
            <w:tcW w:w="6622" w:type="dxa"/>
            <w:tcBorders>
              <w:top w:val="nil"/>
              <w:left w:val="nil"/>
              <w:bottom w:val="single" w:sz="4" w:space="0" w:color="auto"/>
              <w:right w:val="single" w:sz="4" w:space="0" w:color="auto"/>
            </w:tcBorders>
            <w:shd w:val="clear" w:color="000000" w:fill="D8D8D8"/>
            <w:vAlign w:val="bottom"/>
          </w:tcPr>
          <w:p w:rsidR="00E2336B" w:rsidRPr="005F5A73" w:rsidRDefault="00E2336B" w:rsidP="00E237EB">
            <w:pPr>
              <w:rPr>
                <w:rFonts w:ascii="MinionPro-Regular" w:hAnsi="MinionPro-Regular" w:cs="Calibri"/>
                <w:color w:val="000000"/>
                <w:sz w:val="20"/>
                <w:lang w:val="es-ES_tradnl"/>
              </w:rPr>
            </w:pPr>
            <w:r w:rsidRPr="005F5A73">
              <w:rPr>
                <w:rFonts w:ascii="MinionPro-Regular" w:hAnsi="MinionPro-Regular" w:cs="Calibri"/>
                <w:color w:val="000000"/>
                <w:sz w:val="20"/>
                <w:lang w:val="es-ES_tradnl"/>
              </w:rPr>
              <w:t>B) Media jornada (entre 4 y 6)</w:t>
            </w:r>
          </w:p>
        </w:tc>
      </w:tr>
      <w:tr w:rsidR="00E2336B" w:rsidRPr="005F5A73" w:rsidTr="0092566C">
        <w:trPr>
          <w:trHeight w:val="300"/>
        </w:trPr>
        <w:tc>
          <w:tcPr>
            <w:tcW w:w="350" w:type="dxa"/>
            <w:tcBorders>
              <w:top w:val="nil"/>
              <w:left w:val="single" w:sz="4" w:space="0" w:color="auto"/>
              <w:bottom w:val="nil"/>
              <w:right w:val="nil"/>
            </w:tcBorders>
            <w:shd w:val="clear" w:color="000000" w:fill="BFBFBF"/>
            <w:noWrap/>
            <w:vAlign w:val="bottom"/>
          </w:tcPr>
          <w:p w:rsidR="00E2336B" w:rsidRPr="005F5A73" w:rsidRDefault="00E2336B" w:rsidP="00E237EB">
            <w:pPr>
              <w:jc w:val="center"/>
              <w:rPr>
                <w:rFonts w:ascii="MinionPro-Regular" w:hAnsi="MinionPro-Regular" w:cs="Calibri"/>
                <w:color w:val="000000"/>
                <w:sz w:val="20"/>
                <w:lang w:val="es-ES_tradnl"/>
              </w:rPr>
            </w:pPr>
            <w:r w:rsidRPr="005F5A73">
              <w:rPr>
                <w:rFonts w:ascii="MinionPro-Regular" w:hAnsi="MinionPro-Regular" w:cs="Calibri"/>
                <w:color w:val="000000"/>
                <w:sz w:val="20"/>
                <w:lang w:val="es-ES_tradnl"/>
              </w:rPr>
              <w:t> </w:t>
            </w:r>
          </w:p>
        </w:tc>
        <w:tc>
          <w:tcPr>
            <w:tcW w:w="704" w:type="dxa"/>
            <w:tcBorders>
              <w:top w:val="nil"/>
              <w:left w:val="single" w:sz="4" w:space="0" w:color="auto"/>
              <w:bottom w:val="single" w:sz="4" w:space="0" w:color="auto"/>
              <w:right w:val="single" w:sz="4" w:space="0" w:color="auto"/>
            </w:tcBorders>
            <w:shd w:val="clear" w:color="000000" w:fill="FFFFFF"/>
            <w:noWrap/>
            <w:vAlign w:val="bottom"/>
          </w:tcPr>
          <w:p w:rsidR="00E2336B" w:rsidRPr="005F5A73" w:rsidRDefault="00E2336B" w:rsidP="00E237EB">
            <w:pPr>
              <w:rPr>
                <w:rFonts w:ascii="MinionPro-Regular" w:hAnsi="MinionPro-Regular" w:cs="Calibri"/>
                <w:color w:val="000000"/>
                <w:sz w:val="20"/>
                <w:lang w:val="es-ES_tradnl"/>
              </w:rPr>
            </w:pPr>
            <w:r w:rsidRPr="005F5A73">
              <w:rPr>
                <w:rFonts w:ascii="MinionPro-Regular" w:hAnsi="MinionPro-Regular" w:cs="Calibri"/>
                <w:color w:val="000000"/>
                <w:sz w:val="20"/>
                <w:lang w:val="es-ES_tradnl"/>
              </w:rPr>
              <w:t> </w:t>
            </w:r>
          </w:p>
        </w:tc>
        <w:tc>
          <w:tcPr>
            <w:tcW w:w="6622" w:type="dxa"/>
            <w:tcBorders>
              <w:top w:val="nil"/>
              <w:left w:val="nil"/>
              <w:bottom w:val="single" w:sz="4" w:space="0" w:color="auto"/>
              <w:right w:val="single" w:sz="4" w:space="0" w:color="auto"/>
            </w:tcBorders>
            <w:shd w:val="clear" w:color="000000" w:fill="D8D8D8"/>
            <w:vAlign w:val="bottom"/>
          </w:tcPr>
          <w:p w:rsidR="00E2336B" w:rsidRPr="005F5A73" w:rsidRDefault="00E2336B" w:rsidP="00E237EB">
            <w:pPr>
              <w:rPr>
                <w:rFonts w:ascii="MinionPro-Regular" w:hAnsi="MinionPro-Regular" w:cs="Calibri"/>
                <w:color w:val="000000"/>
                <w:sz w:val="20"/>
                <w:lang w:val="es-ES_tradnl"/>
              </w:rPr>
            </w:pPr>
            <w:r w:rsidRPr="005F5A73">
              <w:rPr>
                <w:rFonts w:ascii="MinionPro-Regular" w:hAnsi="MinionPro-Regular" w:cs="Calibri"/>
                <w:color w:val="000000"/>
                <w:sz w:val="20"/>
                <w:lang w:val="es-ES_tradnl"/>
              </w:rPr>
              <w:t>C) Jornada completa (entre 6 y 8 horas)</w:t>
            </w:r>
          </w:p>
        </w:tc>
      </w:tr>
      <w:tr w:rsidR="00E2336B" w:rsidRPr="005F5A73" w:rsidTr="0092566C">
        <w:trPr>
          <w:trHeight w:val="300"/>
        </w:trPr>
        <w:tc>
          <w:tcPr>
            <w:tcW w:w="350" w:type="dxa"/>
            <w:tcBorders>
              <w:top w:val="nil"/>
              <w:left w:val="single" w:sz="4" w:space="0" w:color="auto"/>
              <w:bottom w:val="nil"/>
              <w:right w:val="nil"/>
            </w:tcBorders>
            <w:shd w:val="clear" w:color="000000" w:fill="BFBFBF"/>
            <w:noWrap/>
            <w:vAlign w:val="bottom"/>
          </w:tcPr>
          <w:p w:rsidR="00E2336B" w:rsidRPr="005F5A73" w:rsidRDefault="00E2336B" w:rsidP="00E237EB">
            <w:pPr>
              <w:jc w:val="center"/>
              <w:rPr>
                <w:rFonts w:ascii="MinionPro-Regular" w:hAnsi="MinionPro-Regular" w:cs="Calibri"/>
                <w:color w:val="000000"/>
                <w:sz w:val="20"/>
                <w:lang w:val="es-ES_tradnl"/>
              </w:rPr>
            </w:pPr>
            <w:r w:rsidRPr="005F5A73">
              <w:rPr>
                <w:rFonts w:ascii="MinionPro-Regular" w:hAnsi="MinionPro-Regular" w:cs="Calibri"/>
                <w:color w:val="000000"/>
                <w:sz w:val="20"/>
                <w:lang w:val="es-ES_tradnl"/>
              </w:rPr>
              <w:t> </w:t>
            </w:r>
          </w:p>
        </w:tc>
        <w:tc>
          <w:tcPr>
            <w:tcW w:w="704" w:type="dxa"/>
            <w:tcBorders>
              <w:top w:val="nil"/>
              <w:left w:val="single" w:sz="4" w:space="0" w:color="auto"/>
              <w:bottom w:val="single" w:sz="4" w:space="0" w:color="auto"/>
              <w:right w:val="single" w:sz="4" w:space="0" w:color="auto"/>
            </w:tcBorders>
            <w:shd w:val="clear" w:color="000000" w:fill="FFFFFF"/>
            <w:noWrap/>
            <w:vAlign w:val="bottom"/>
          </w:tcPr>
          <w:p w:rsidR="00E2336B" w:rsidRPr="005F5A73" w:rsidRDefault="00E2336B" w:rsidP="00E237EB">
            <w:pPr>
              <w:rPr>
                <w:rFonts w:ascii="MinionPro-Regular" w:hAnsi="MinionPro-Regular" w:cs="Calibri"/>
                <w:color w:val="000000"/>
                <w:sz w:val="20"/>
                <w:lang w:val="es-ES_tradnl"/>
              </w:rPr>
            </w:pPr>
            <w:r w:rsidRPr="005F5A73">
              <w:rPr>
                <w:rFonts w:ascii="MinionPro-Regular" w:hAnsi="MinionPro-Regular" w:cs="Calibri"/>
                <w:color w:val="000000"/>
                <w:sz w:val="20"/>
                <w:lang w:val="es-ES_tradnl"/>
              </w:rPr>
              <w:t> </w:t>
            </w:r>
          </w:p>
        </w:tc>
        <w:tc>
          <w:tcPr>
            <w:tcW w:w="6622" w:type="dxa"/>
            <w:tcBorders>
              <w:top w:val="nil"/>
              <w:left w:val="nil"/>
              <w:bottom w:val="single" w:sz="4" w:space="0" w:color="auto"/>
              <w:right w:val="single" w:sz="4" w:space="0" w:color="auto"/>
            </w:tcBorders>
            <w:shd w:val="clear" w:color="000000" w:fill="D8D8D8"/>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D) Más de 8 horas</w:t>
            </w:r>
          </w:p>
        </w:tc>
      </w:tr>
      <w:tr w:rsidR="00E2336B" w:rsidRPr="005F5A73" w:rsidTr="0092566C">
        <w:trPr>
          <w:trHeight w:val="300"/>
        </w:trPr>
        <w:tc>
          <w:tcPr>
            <w:tcW w:w="350" w:type="dxa"/>
            <w:tcBorders>
              <w:top w:val="nil"/>
              <w:left w:val="single" w:sz="4" w:space="0" w:color="auto"/>
              <w:bottom w:val="nil"/>
              <w:right w:val="nil"/>
            </w:tcBorders>
            <w:shd w:val="clear" w:color="000000" w:fill="BFBFBF"/>
            <w:noWrap/>
            <w:vAlign w:val="bottom"/>
          </w:tcPr>
          <w:p w:rsidR="00E2336B" w:rsidRPr="005F5A73" w:rsidRDefault="00E2336B" w:rsidP="00E237EB">
            <w:pPr>
              <w:jc w:val="cente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c>
          <w:tcPr>
            <w:tcW w:w="704" w:type="dxa"/>
            <w:tcBorders>
              <w:top w:val="nil"/>
              <w:left w:val="single" w:sz="4" w:space="0" w:color="auto"/>
              <w:bottom w:val="single" w:sz="4" w:space="0" w:color="auto"/>
              <w:right w:val="single" w:sz="4" w:space="0" w:color="auto"/>
            </w:tcBorders>
            <w:shd w:val="clear" w:color="000000" w:fill="FFFFFF"/>
            <w:noWrap/>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c>
          <w:tcPr>
            <w:tcW w:w="6622" w:type="dxa"/>
            <w:tcBorders>
              <w:top w:val="nil"/>
              <w:left w:val="nil"/>
              <w:bottom w:val="single" w:sz="4" w:space="0" w:color="auto"/>
              <w:right w:val="single" w:sz="4" w:space="0" w:color="auto"/>
            </w:tcBorders>
            <w:shd w:val="clear" w:color="000000" w:fill="D8D8D8"/>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 xml:space="preserve">E) Otros (indica cuáles): </w:t>
            </w:r>
          </w:p>
        </w:tc>
      </w:tr>
      <w:tr w:rsidR="00E2336B" w:rsidRPr="005F5A73" w:rsidTr="0092566C">
        <w:trPr>
          <w:trHeight w:val="180"/>
        </w:trPr>
        <w:tc>
          <w:tcPr>
            <w:tcW w:w="350" w:type="dxa"/>
            <w:tcBorders>
              <w:top w:val="nil"/>
              <w:left w:val="single" w:sz="4" w:space="0" w:color="auto"/>
              <w:bottom w:val="nil"/>
              <w:right w:val="nil"/>
            </w:tcBorders>
            <w:shd w:val="clear" w:color="000000" w:fill="BFBFBF"/>
            <w:noWrap/>
            <w:vAlign w:val="bottom"/>
          </w:tcPr>
          <w:p w:rsidR="00E2336B" w:rsidRPr="005F5A73" w:rsidRDefault="00E2336B" w:rsidP="00E237EB">
            <w:pPr>
              <w:jc w:val="cente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c>
          <w:tcPr>
            <w:tcW w:w="704" w:type="dxa"/>
            <w:tcBorders>
              <w:top w:val="nil"/>
              <w:left w:val="nil"/>
              <w:bottom w:val="nil"/>
              <w:right w:val="nil"/>
            </w:tcBorders>
            <w:shd w:val="clear" w:color="000000" w:fill="BFBFBF"/>
            <w:noWrap/>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c>
          <w:tcPr>
            <w:tcW w:w="6622" w:type="dxa"/>
            <w:tcBorders>
              <w:top w:val="nil"/>
              <w:left w:val="nil"/>
              <w:bottom w:val="nil"/>
              <w:right w:val="single" w:sz="4" w:space="0" w:color="auto"/>
            </w:tcBorders>
            <w:shd w:val="clear" w:color="000000" w:fill="BFBFBF"/>
            <w:noWrap/>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r>
      <w:tr w:rsidR="00E2336B" w:rsidRPr="005F5A73" w:rsidTr="0092566C">
        <w:trPr>
          <w:trHeight w:val="690"/>
        </w:trPr>
        <w:tc>
          <w:tcPr>
            <w:tcW w:w="350" w:type="dxa"/>
            <w:tcBorders>
              <w:top w:val="single" w:sz="4" w:space="0" w:color="auto"/>
              <w:left w:val="single" w:sz="4" w:space="0" w:color="auto"/>
              <w:bottom w:val="single" w:sz="4" w:space="0" w:color="auto"/>
              <w:right w:val="single" w:sz="4" w:space="0" w:color="auto"/>
            </w:tcBorders>
            <w:shd w:val="clear" w:color="000000" w:fill="A5A5A5"/>
            <w:noWrap/>
            <w:vAlign w:val="center"/>
          </w:tcPr>
          <w:p w:rsidR="00E2336B" w:rsidRPr="005F5A73" w:rsidRDefault="00E2336B" w:rsidP="00E237EB">
            <w:pPr>
              <w:jc w:val="center"/>
              <w:rPr>
                <w:rFonts w:ascii="MinionPro-Regular" w:hAnsi="MinionPro-Regular" w:cs="Calibri"/>
                <w:color w:val="000000"/>
                <w:sz w:val="20"/>
                <w:lang w:val="en-US"/>
              </w:rPr>
            </w:pPr>
            <w:r w:rsidRPr="005F5A73">
              <w:rPr>
                <w:rFonts w:ascii="MinionPro-Regular" w:hAnsi="MinionPro-Regular" w:cs="Calibri"/>
                <w:color w:val="000000"/>
                <w:sz w:val="20"/>
                <w:lang w:val="en-US"/>
              </w:rPr>
              <w:t>I</w:t>
            </w:r>
          </w:p>
        </w:tc>
        <w:tc>
          <w:tcPr>
            <w:tcW w:w="7326" w:type="dxa"/>
            <w:gridSpan w:val="2"/>
            <w:tcBorders>
              <w:top w:val="nil"/>
              <w:left w:val="nil"/>
              <w:bottom w:val="single" w:sz="4" w:space="0" w:color="auto"/>
              <w:right w:val="single" w:sz="4" w:space="0" w:color="auto"/>
            </w:tcBorders>
            <w:shd w:val="clear" w:color="000000" w:fill="BFBFBF"/>
            <w:vAlign w:val="center"/>
          </w:tcPr>
          <w:p w:rsidR="00E2336B" w:rsidRPr="005F5A73" w:rsidRDefault="00E2336B" w:rsidP="00E237EB">
            <w:pPr>
              <w:rPr>
                <w:rFonts w:ascii="MinionPro-Regular" w:hAnsi="MinionPro-Regular" w:cs="Calibri"/>
                <w:color w:val="000000"/>
                <w:sz w:val="20"/>
                <w:lang w:val="es-ES_tradnl"/>
              </w:rPr>
            </w:pPr>
            <w:r w:rsidRPr="005F5A73">
              <w:rPr>
                <w:rFonts w:ascii="MinionPro-Regular" w:hAnsi="MinionPro-Regular" w:cs="Calibri"/>
                <w:color w:val="000000"/>
                <w:sz w:val="20"/>
                <w:lang w:val="es-ES_tradnl"/>
              </w:rPr>
              <w:t>2.10. ¿Habías recibido algún tipo de preparación laboral antes de empezar a trabajar?/¿Cuál es tu nivel académico?</w:t>
            </w:r>
          </w:p>
        </w:tc>
      </w:tr>
      <w:tr w:rsidR="00E2336B" w:rsidRPr="005F5A73" w:rsidTr="0092566C">
        <w:trPr>
          <w:trHeight w:val="300"/>
        </w:trPr>
        <w:tc>
          <w:tcPr>
            <w:tcW w:w="350" w:type="dxa"/>
            <w:tcBorders>
              <w:top w:val="nil"/>
              <w:left w:val="single" w:sz="4" w:space="0" w:color="auto"/>
              <w:bottom w:val="nil"/>
              <w:right w:val="nil"/>
            </w:tcBorders>
            <w:shd w:val="clear" w:color="000000" w:fill="BFBFBF"/>
            <w:noWrap/>
            <w:vAlign w:val="bottom"/>
          </w:tcPr>
          <w:p w:rsidR="00E2336B" w:rsidRPr="005F5A73" w:rsidRDefault="00E2336B" w:rsidP="00E237EB">
            <w:pPr>
              <w:jc w:val="center"/>
              <w:rPr>
                <w:rFonts w:ascii="MinionPro-Regular" w:hAnsi="MinionPro-Regular" w:cs="Calibri"/>
                <w:color w:val="000000"/>
                <w:sz w:val="20"/>
                <w:lang w:val="es-ES_tradnl"/>
              </w:rPr>
            </w:pPr>
            <w:r w:rsidRPr="005F5A73">
              <w:rPr>
                <w:rFonts w:ascii="MinionPro-Regular" w:hAnsi="MinionPro-Regular" w:cs="Calibri"/>
                <w:color w:val="000000"/>
                <w:sz w:val="20"/>
                <w:lang w:val="es-ES_tradnl"/>
              </w:rPr>
              <w:t> </w:t>
            </w:r>
          </w:p>
        </w:tc>
        <w:tc>
          <w:tcPr>
            <w:tcW w:w="704" w:type="dxa"/>
            <w:tcBorders>
              <w:top w:val="nil"/>
              <w:left w:val="single" w:sz="4" w:space="0" w:color="auto"/>
              <w:bottom w:val="single" w:sz="4" w:space="0" w:color="auto"/>
              <w:right w:val="single" w:sz="4" w:space="0" w:color="auto"/>
            </w:tcBorders>
            <w:shd w:val="clear" w:color="000000" w:fill="FFFFFF"/>
            <w:noWrap/>
            <w:vAlign w:val="bottom"/>
          </w:tcPr>
          <w:p w:rsidR="00E2336B" w:rsidRPr="005F5A73" w:rsidRDefault="00E2336B" w:rsidP="00E237EB">
            <w:pPr>
              <w:rPr>
                <w:rFonts w:ascii="MinionPro-Regular" w:hAnsi="MinionPro-Regular" w:cs="Calibri"/>
                <w:color w:val="000000"/>
                <w:sz w:val="20"/>
                <w:lang w:val="es-ES_tradnl"/>
              </w:rPr>
            </w:pPr>
            <w:r w:rsidRPr="005F5A73">
              <w:rPr>
                <w:rFonts w:ascii="MinionPro-Regular" w:hAnsi="MinionPro-Regular" w:cs="Calibri"/>
                <w:color w:val="000000"/>
                <w:sz w:val="20"/>
                <w:lang w:val="es-ES_tradnl"/>
              </w:rPr>
              <w:t> </w:t>
            </w:r>
          </w:p>
        </w:tc>
        <w:tc>
          <w:tcPr>
            <w:tcW w:w="6622" w:type="dxa"/>
            <w:tcBorders>
              <w:top w:val="nil"/>
              <w:left w:val="nil"/>
              <w:bottom w:val="single" w:sz="4" w:space="0" w:color="auto"/>
              <w:right w:val="single" w:sz="4" w:space="0" w:color="auto"/>
            </w:tcBorders>
            <w:shd w:val="clear" w:color="000000" w:fill="D8D8D8"/>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A) Sí</w:t>
            </w:r>
          </w:p>
        </w:tc>
      </w:tr>
      <w:tr w:rsidR="00E2336B" w:rsidRPr="005F5A73" w:rsidTr="0092566C">
        <w:trPr>
          <w:trHeight w:val="300"/>
        </w:trPr>
        <w:tc>
          <w:tcPr>
            <w:tcW w:w="350" w:type="dxa"/>
            <w:tcBorders>
              <w:top w:val="nil"/>
              <w:left w:val="single" w:sz="4" w:space="0" w:color="auto"/>
              <w:bottom w:val="nil"/>
              <w:right w:val="nil"/>
            </w:tcBorders>
            <w:shd w:val="clear" w:color="000000" w:fill="BFBFBF"/>
            <w:noWrap/>
            <w:vAlign w:val="bottom"/>
          </w:tcPr>
          <w:p w:rsidR="00E2336B" w:rsidRPr="005F5A73" w:rsidRDefault="00E2336B" w:rsidP="00E237EB">
            <w:pPr>
              <w:jc w:val="cente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c>
          <w:tcPr>
            <w:tcW w:w="704" w:type="dxa"/>
            <w:tcBorders>
              <w:top w:val="nil"/>
              <w:left w:val="single" w:sz="4" w:space="0" w:color="auto"/>
              <w:bottom w:val="single" w:sz="4" w:space="0" w:color="auto"/>
              <w:right w:val="single" w:sz="4" w:space="0" w:color="auto"/>
            </w:tcBorders>
            <w:shd w:val="clear" w:color="000000" w:fill="FFFFFF"/>
            <w:noWrap/>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c>
          <w:tcPr>
            <w:tcW w:w="6622" w:type="dxa"/>
            <w:tcBorders>
              <w:top w:val="nil"/>
              <w:left w:val="nil"/>
              <w:bottom w:val="single" w:sz="4" w:space="0" w:color="auto"/>
              <w:right w:val="single" w:sz="4" w:space="0" w:color="auto"/>
            </w:tcBorders>
            <w:shd w:val="clear" w:color="000000" w:fill="D8D8D8"/>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B) No</w:t>
            </w:r>
          </w:p>
        </w:tc>
      </w:tr>
      <w:tr w:rsidR="00E2336B" w:rsidRPr="005F5A73" w:rsidTr="0092566C">
        <w:trPr>
          <w:trHeight w:val="300"/>
        </w:trPr>
        <w:tc>
          <w:tcPr>
            <w:tcW w:w="350" w:type="dxa"/>
            <w:tcBorders>
              <w:top w:val="nil"/>
              <w:left w:val="single" w:sz="4" w:space="0" w:color="auto"/>
              <w:bottom w:val="nil"/>
              <w:right w:val="nil"/>
            </w:tcBorders>
            <w:shd w:val="clear" w:color="000000" w:fill="BFBFBF"/>
            <w:noWrap/>
            <w:vAlign w:val="bottom"/>
          </w:tcPr>
          <w:p w:rsidR="00E2336B" w:rsidRPr="005F5A73" w:rsidRDefault="00E2336B" w:rsidP="00E237EB">
            <w:pPr>
              <w:jc w:val="cente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c>
          <w:tcPr>
            <w:tcW w:w="704" w:type="dxa"/>
            <w:tcBorders>
              <w:top w:val="nil"/>
              <w:left w:val="single" w:sz="4" w:space="0" w:color="auto"/>
              <w:bottom w:val="single" w:sz="4" w:space="0" w:color="auto"/>
              <w:right w:val="single" w:sz="4" w:space="0" w:color="auto"/>
            </w:tcBorders>
            <w:shd w:val="clear" w:color="000000" w:fill="FFFFFF"/>
            <w:noWrap/>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c>
          <w:tcPr>
            <w:tcW w:w="6622" w:type="dxa"/>
            <w:tcBorders>
              <w:top w:val="nil"/>
              <w:left w:val="nil"/>
              <w:bottom w:val="single" w:sz="4" w:space="0" w:color="auto"/>
              <w:right w:val="single" w:sz="4" w:space="0" w:color="auto"/>
            </w:tcBorders>
            <w:shd w:val="clear" w:color="000000" w:fill="D8D8D8"/>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 xml:space="preserve">C) Otros (indica cuáles): </w:t>
            </w:r>
          </w:p>
        </w:tc>
      </w:tr>
      <w:tr w:rsidR="00E2336B" w:rsidRPr="005F5A73" w:rsidTr="0092566C">
        <w:trPr>
          <w:trHeight w:val="180"/>
        </w:trPr>
        <w:tc>
          <w:tcPr>
            <w:tcW w:w="350" w:type="dxa"/>
            <w:tcBorders>
              <w:top w:val="nil"/>
              <w:left w:val="single" w:sz="4" w:space="0" w:color="auto"/>
              <w:bottom w:val="nil"/>
              <w:right w:val="nil"/>
            </w:tcBorders>
            <w:shd w:val="clear" w:color="000000" w:fill="BFBFBF"/>
            <w:noWrap/>
            <w:vAlign w:val="bottom"/>
          </w:tcPr>
          <w:p w:rsidR="00E2336B" w:rsidRPr="005F5A73" w:rsidRDefault="00E2336B" w:rsidP="00E237EB">
            <w:pPr>
              <w:jc w:val="cente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c>
          <w:tcPr>
            <w:tcW w:w="704" w:type="dxa"/>
            <w:tcBorders>
              <w:top w:val="nil"/>
              <w:left w:val="nil"/>
              <w:bottom w:val="nil"/>
              <w:right w:val="nil"/>
            </w:tcBorders>
            <w:shd w:val="clear" w:color="000000" w:fill="BFBFBF"/>
            <w:noWrap/>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c>
          <w:tcPr>
            <w:tcW w:w="6622" w:type="dxa"/>
            <w:tcBorders>
              <w:top w:val="nil"/>
              <w:left w:val="nil"/>
              <w:bottom w:val="nil"/>
              <w:right w:val="single" w:sz="4" w:space="0" w:color="auto"/>
            </w:tcBorders>
            <w:shd w:val="clear" w:color="000000" w:fill="BFBFBF"/>
            <w:noWrap/>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r>
      <w:tr w:rsidR="00E2336B" w:rsidRPr="005F5A73" w:rsidTr="0092566C">
        <w:trPr>
          <w:trHeight w:val="300"/>
        </w:trPr>
        <w:tc>
          <w:tcPr>
            <w:tcW w:w="350" w:type="dxa"/>
            <w:tcBorders>
              <w:top w:val="single" w:sz="4" w:space="0" w:color="auto"/>
              <w:left w:val="single" w:sz="4" w:space="0" w:color="auto"/>
              <w:bottom w:val="single" w:sz="4" w:space="0" w:color="auto"/>
              <w:right w:val="single" w:sz="4" w:space="0" w:color="auto"/>
            </w:tcBorders>
            <w:shd w:val="clear" w:color="000000" w:fill="A5A5A5"/>
            <w:noWrap/>
            <w:vAlign w:val="bottom"/>
          </w:tcPr>
          <w:p w:rsidR="00E2336B" w:rsidRPr="005F5A73" w:rsidRDefault="00E2336B" w:rsidP="00E237EB">
            <w:pPr>
              <w:jc w:val="center"/>
              <w:rPr>
                <w:rFonts w:ascii="MinionPro-Regular" w:hAnsi="MinionPro-Regular" w:cs="Calibri"/>
                <w:color w:val="000000"/>
                <w:sz w:val="20"/>
                <w:lang w:val="en-US"/>
              </w:rPr>
            </w:pPr>
            <w:r w:rsidRPr="005F5A73">
              <w:rPr>
                <w:rFonts w:ascii="MinionPro-Regular" w:hAnsi="MinionPro-Regular" w:cs="Calibri"/>
                <w:color w:val="000000"/>
                <w:sz w:val="20"/>
                <w:lang w:val="en-US"/>
              </w:rPr>
              <w:t>I</w:t>
            </w:r>
          </w:p>
        </w:tc>
        <w:tc>
          <w:tcPr>
            <w:tcW w:w="7326" w:type="dxa"/>
            <w:gridSpan w:val="2"/>
            <w:tcBorders>
              <w:top w:val="nil"/>
              <w:left w:val="nil"/>
              <w:bottom w:val="nil"/>
              <w:right w:val="single" w:sz="4" w:space="0" w:color="auto"/>
            </w:tcBorders>
            <w:shd w:val="clear" w:color="000000" w:fill="BFBFBF"/>
            <w:noWrap/>
            <w:vAlign w:val="bottom"/>
          </w:tcPr>
          <w:p w:rsidR="00E2336B" w:rsidRPr="005F5A73" w:rsidRDefault="00E2336B" w:rsidP="00E237EB">
            <w:pPr>
              <w:rPr>
                <w:rFonts w:ascii="MinionPro-Regular" w:hAnsi="MinionPro-Regular" w:cs="Calibri"/>
                <w:color w:val="000000"/>
                <w:sz w:val="20"/>
                <w:lang w:val="es-ES_tradnl"/>
              </w:rPr>
            </w:pPr>
            <w:r w:rsidRPr="005F5A73">
              <w:rPr>
                <w:rFonts w:ascii="MinionPro-Regular" w:hAnsi="MinionPro-Regular" w:cs="Calibri"/>
                <w:color w:val="000000"/>
                <w:sz w:val="20"/>
                <w:lang w:val="es-ES_tradnl"/>
              </w:rPr>
              <w:t>2.11. ¿Has recibido formación en tu trabajo actual?</w:t>
            </w:r>
          </w:p>
        </w:tc>
      </w:tr>
      <w:tr w:rsidR="00E2336B" w:rsidRPr="005F5A73" w:rsidTr="0092566C">
        <w:trPr>
          <w:trHeight w:val="300"/>
        </w:trPr>
        <w:tc>
          <w:tcPr>
            <w:tcW w:w="350" w:type="dxa"/>
            <w:tcBorders>
              <w:top w:val="nil"/>
              <w:left w:val="single" w:sz="4" w:space="0" w:color="auto"/>
              <w:bottom w:val="nil"/>
              <w:right w:val="nil"/>
            </w:tcBorders>
            <w:shd w:val="clear" w:color="000000" w:fill="BFBFBF"/>
            <w:noWrap/>
            <w:vAlign w:val="bottom"/>
          </w:tcPr>
          <w:p w:rsidR="00E2336B" w:rsidRPr="005F5A73" w:rsidRDefault="00E2336B" w:rsidP="00E237EB">
            <w:pPr>
              <w:jc w:val="center"/>
              <w:rPr>
                <w:rFonts w:ascii="MinionPro-Regular" w:hAnsi="MinionPro-Regular" w:cs="Calibri"/>
                <w:color w:val="000000"/>
                <w:sz w:val="20"/>
                <w:lang w:val="es-ES_tradnl"/>
              </w:rPr>
            </w:pPr>
            <w:r w:rsidRPr="005F5A73">
              <w:rPr>
                <w:rFonts w:ascii="MinionPro-Regular" w:hAnsi="MinionPro-Regular" w:cs="Calibri"/>
                <w:color w:val="000000"/>
                <w:sz w:val="20"/>
                <w:lang w:val="es-ES_tradnl"/>
              </w:rPr>
              <w:t> </w:t>
            </w:r>
          </w:p>
        </w:tc>
        <w:tc>
          <w:tcPr>
            <w:tcW w:w="704"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E2336B" w:rsidRPr="005F5A73" w:rsidRDefault="00E2336B" w:rsidP="00E237EB">
            <w:pPr>
              <w:rPr>
                <w:rFonts w:ascii="MinionPro-Regular" w:hAnsi="MinionPro-Regular" w:cs="Calibri"/>
                <w:color w:val="000000"/>
                <w:sz w:val="20"/>
                <w:lang w:val="es-ES_tradnl"/>
              </w:rPr>
            </w:pPr>
            <w:r w:rsidRPr="005F5A73">
              <w:rPr>
                <w:rFonts w:ascii="MinionPro-Regular" w:hAnsi="MinionPro-Regular" w:cs="Calibri"/>
                <w:color w:val="000000"/>
                <w:sz w:val="20"/>
                <w:lang w:val="es-ES_tradnl"/>
              </w:rPr>
              <w:t> </w:t>
            </w:r>
          </w:p>
        </w:tc>
        <w:tc>
          <w:tcPr>
            <w:tcW w:w="6622" w:type="dxa"/>
            <w:tcBorders>
              <w:top w:val="single" w:sz="4" w:space="0" w:color="auto"/>
              <w:left w:val="nil"/>
              <w:bottom w:val="single" w:sz="4" w:space="0" w:color="auto"/>
              <w:right w:val="single" w:sz="4" w:space="0" w:color="auto"/>
            </w:tcBorders>
            <w:shd w:val="clear" w:color="000000" w:fill="D8D8D8"/>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A) Sí</w:t>
            </w:r>
          </w:p>
        </w:tc>
      </w:tr>
      <w:tr w:rsidR="00E2336B" w:rsidRPr="005F5A73" w:rsidTr="0092566C">
        <w:trPr>
          <w:trHeight w:val="300"/>
        </w:trPr>
        <w:tc>
          <w:tcPr>
            <w:tcW w:w="350" w:type="dxa"/>
            <w:tcBorders>
              <w:top w:val="nil"/>
              <w:left w:val="single" w:sz="4" w:space="0" w:color="auto"/>
              <w:bottom w:val="nil"/>
              <w:right w:val="nil"/>
            </w:tcBorders>
            <w:shd w:val="clear" w:color="000000" w:fill="BFBFBF"/>
            <w:noWrap/>
            <w:vAlign w:val="bottom"/>
          </w:tcPr>
          <w:p w:rsidR="00E2336B" w:rsidRPr="005F5A73" w:rsidRDefault="00E2336B" w:rsidP="00E237EB">
            <w:pPr>
              <w:jc w:val="cente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c>
          <w:tcPr>
            <w:tcW w:w="704" w:type="dxa"/>
            <w:tcBorders>
              <w:top w:val="nil"/>
              <w:left w:val="single" w:sz="4" w:space="0" w:color="auto"/>
              <w:bottom w:val="single" w:sz="4" w:space="0" w:color="auto"/>
              <w:right w:val="single" w:sz="4" w:space="0" w:color="auto"/>
            </w:tcBorders>
            <w:shd w:val="clear" w:color="000000" w:fill="FFFFFF"/>
            <w:noWrap/>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c>
          <w:tcPr>
            <w:tcW w:w="6622" w:type="dxa"/>
            <w:tcBorders>
              <w:top w:val="nil"/>
              <w:left w:val="nil"/>
              <w:bottom w:val="single" w:sz="4" w:space="0" w:color="auto"/>
              <w:right w:val="single" w:sz="4" w:space="0" w:color="auto"/>
            </w:tcBorders>
            <w:shd w:val="clear" w:color="000000" w:fill="D8D8D8"/>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B) No</w:t>
            </w:r>
          </w:p>
        </w:tc>
      </w:tr>
      <w:tr w:rsidR="00E2336B" w:rsidRPr="005F5A73" w:rsidTr="0092566C">
        <w:trPr>
          <w:trHeight w:val="300"/>
        </w:trPr>
        <w:tc>
          <w:tcPr>
            <w:tcW w:w="350" w:type="dxa"/>
            <w:tcBorders>
              <w:top w:val="nil"/>
              <w:left w:val="single" w:sz="4" w:space="0" w:color="auto"/>
              <w:bottom w:val="nil"/>
              <w:right w:val="nil"/>
            </w:tcBorders>
            <w:shd w:val="clear" w:color="000000" w:fill="BFBFBF"/>
            <w:noWrap/>
            <w:vAlign w:val="bottom"/>
          </w:tcPr>
          <w:p w:rsidR="00E2336B" w:rsidRPr="005F5A73" w:rsidRDefault="00E2336B" w:rsidP="00E237EB">
            <w:pPr>
              <w:jc w:val="cente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c>
          <w:tcPr>
            <w:tcW w:w="704" w:type="dxa"/>
            <w:tcBorders>
              <w:top w:val="nil"/>
              <w:left w:val="single" w:sz="4" w:space="0" w:color="auto"/>
              <w:bottom w:val="single" w:sz="4" w:space="0" w:color="auto"/>
              <w:right w:val="single" w:sz="4" w:space="0" w:color="auto"/>
            </w:tcBorders>
            <w:shd w:val="clear" w:color="000000" w:fill="FFFFFF"/>
            <w:noWrap/>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c>
          <w:tcPr>
            <w:tcW w:w="6622" w:type="dxa"/>
            <w:tcBorders>
              <w:top w:val="nil"/>
              <w:left w:val="nil"/>
              <w:bottom w:val="single" w:sz="4" w:space="0" w:color="auto"/>
              <w:right w:val="single" w:sz="4" w:space="0" w:color="auto"/>
            </w:tcBorders>
            <w:shd w:val="clear" w:color="000000" w:fill="D8D8D8"/>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 xml:space="preserve">C) Otros (indica cuáles): </w:t>
            </w:r>
          </w:p>
        </w:tc>
      </w:tr>
      <w:tr w:rsidR="00E2336B" w:rsidRPr="005F5A73" w:rsidTr="0092566C">
        <w:trPr>
          <w:trHeight w:val="180"/>
        </w:trPr>
        <w:tc>
          <w:tcPr>
            <w:tcW w:w="350" w:type="dxa"/>
            <w:tcBorders>
              <w:top w:val="nil"/>
              <w:left w:val="single" w:sz="4" w:space="0" w:color="auto"/>
              <w:bottom w:val="nil"/>
              <w:right w:val="nil"/>
            </w:tcBorders>
            <w:shd w:val="clear" w:color="000000" w:fill="BFBFBF"/>
            <w:noWrap/>
            <w:vAlign w:val="bottom"/>
          </w:tcPr>
          <w:p w:rsidR="00E2336B" w:rsidRPr="005F5A73" w:rsidRDefault="00E2336B" w:rsidP="00E237EB">
            <w:pPr>
              <w:jc w:val="cente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c>
          <w:tcPr>
            <w:tcW w:w="704" w:type="dxa"/>
            <w:tcBorders>
              <w:top w:val="nil"/>
              <w:left w:val="nil"/>
              <w:bottom w:val="nil"/>
              <w:right w:val="nil"/>
            </w:tcBorders>
            <w:shd w:val="clear" w:color="000000" w:fill="BFBFBF"/>
            <w:noWrap/>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c>
          <w:tcPr>
            <w:tcW w:w="6622" w:type="dxa"/>
            <w:tcBorders>
              <w:top w:val="nil"/>
              <w:left w:val="nil"/>
              <w:bottom w:val="nil"/>
              <w:right w:val="single" w:sz="4" w:space="0" w:color="auto"/>
            </w:tcBorders>
            <w:shd w:val="clear" w:color="000000" w:fill="BFBFBF"/>
            <w:noWrap/>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r>
      <w:tr w:rsidR="00E2336B" w:rsidRPr="005F5A73" w:rsidTr="0092566C">
        <w:trPr>
          <w:trHeight w:val="300"/>
        </w:trPr>
        <w:tc>
          <w:tcPr>
            <w:tcW w:w="350" w:type="dxa"/>
            <w:tcBorders>
              <w:top w:val="single" w:sz="4" w:space="0" w:color="auto"/>
              <w:left w:val="single" w:sz="4" w:space="0" w:color="auto"/>
              <w:bottom w:val="single" w:sz="4" w:space="0" w:color="auto"/>
              <w:right w:val="single" w:sz="4" w:space="0" w:color="auto"/>
            </w:tcBorders>
            <w:shd w:val="clear" w:color="000000" w:fill="A5A5A5"/>
            <w:noWrap/>
            <w:vAlign w:val="bottom"/>
          </w:tcPr>
          <w:p w:rsidR="00E2336B" w:rsidRPr="005F5A73" w:rsidRDefault="00E2336B" w:rsidP="00E237EB">
            <w:pPr>
              <w:jc w:val="center"/>
              <w:rPr>
                <w:rFonts w:ascii="MinionPro-Regular" w:hAnsi="MinionPro-Regular" w:cs="Calibri"/>
                <w:color w:val="000000"/>
                <w:sz w:val="20"/>
                <w:lang w:val="en-US"/>
              </w:rPr>
            </w:pPr>
            <w:r w:rsidRPr="005F5A73">
              <w:rPr>
                <w:rFonts w:ascii="MinionPro-Regular" w:hAnsi="MinionPro-Regular" w:cs="Calibri"/>
                <w:color w:val="000000"/>
                <w:sz w:val="20"/>
                <w:lang w:val="en-US"/>
              </w:rPr>
              <w:t>I</w:t>
            </w:r>
          </w:p>
        </w:tc>
        <w:tc>
          <w:tcPr>
            <w:tcW w:w="7326" w:type="dxa"/>
            <w:gridSpan w:val="2"/>
            <w:tcBorders>
              <w:top w:val="nil"/>
              <w:left w:val="nil"/>
              <w:bottom w:val="nil"/>
              <w:right w:val="single" w:sz="4" w:space="0" w:color="auto"/>
            </w:tcBorders>
            <w:shd w:val="clear" w:color="000000" w:fill="BFBFBF"/>
            <w:noWrap/>
            <w:vAlign w:val="bottom"/>
          </w:tcPr>
          <w:p w:rsidR="00E2336B" w:rsidRPr="005F5A73" w:rsidRDefault="00E2336B" w:rsidP="00E237EB">
            <w:pPr>
              <w:rPr>
                <w:rFonts w:ascii="MinionPro-Regular" w:hAnsi="MinionPro-Regular" w:cs="Calibri"/>
                <w:color w:val="000000"/>
                <w:sz w:val="20"/>
                <w:lang w:val="es-ES_tradnl"/>
              </w:rPr>
            </w:pPr>
            <w:r w:rsidRPr="005F5A73">
              <w:rPr>
                <w:rFonts w:ascii="MinionPro-Regular" w:hAnsi="MinionPro-Regular" w:cs="Calibri"/>
                <w:color w:val="000000"/>
                <w:sz w:val="20"/>
                <w:lang w:val="es-ES_tradnl"/>
              </w:rPr>
              <w:t>2.12. ¿Cuánta formación has recibido en el último año?</w:t>
            </w:r>
          </w:p>
        </w:tc>
      </w:tr>
      <w:tr w:rsidR="00E2336B" w:rsidRPr="005F5A73" w:rsidTr="0092566C">
        <w:trPr>
          <w:trHeight w:val="300"/>
        </w:trPr>
        <w:tc>
          <w:tcPr>
            <w:tcW w:w="350" w:type="dxa"/>
            <w:tcBorders>
              <w:top w:val="nil"/>
              <w:left w:val="single" w:sz="4" w:space="0" w:color="auto"/>
              <w:bottom w:val="nil"/>
              <w:right w:val="nil"/>
            </w:tcBorders>
            <w:shd w:val="clear" w:color="000000" w:fill="BFBFBF"/>
            <w:noWrap/>
            <w:vAlign w:val="bottom"/>
          </w:tcPr>
          <w:p w:rsidR="00E2336B" w:rsidRPr="005F5A73" w:rsidRDefault="00E2336B" w:rsidP="00E237EB">
            <w:pPr>
              <w:jc w:val="center"/>
              <w:rPr>
                <w:rFonts w:ascii="MinionPro-Regular" w:hAnsi="MinionPro-Regular" w:cs="Calibri"/>
                <w:color w:val="000000"/>
                <w:sz w:val="20"/>
                <w:lang w:val="es-ES_tradnl"/>
              </w:rPr>
            </w:pPr>
            <w:r w:rsidRPr="005F5A73">
              <w:rPr>
                <w:rFonts w:ascii="MinionPro-Regular" w:hAnsi="MinionPro-Regular" w:cs="Calibri"/>
                <w:color w:val="000000"/>
                <w:sz w:val="20"/>
                <w:lang w:val="es-ES_tradnl"/>
              </w:rPr>
              <w:t> </w:t>
            </w:r>
          </w:p>
        </w:tc>
        <w:tc>
          <w:tcPr>
            <w:tcW w:w="704"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E2336B" w:rsidRPr="005F5A73" w:rsidRDefault="00E2336B" w:rsidP="00E237EB">
            <w:pPr>
              <w:rPr>
                <w:rFonts w:ascii="MinionPro-Regular" w:hAnsi="MinionPro-Regular" w:cs="Calibri"/>
                <w:color w:val="000000"/>
                <w:sz w:val="20"/>
                <w:lang w:val="es-ES_tradnl"/>
              </w:rPr>
            </w:pPr>
            <w:r w:rsidRPr="005F5A73">
              <w:rPr>
                <w:rFonts w:ascii="MinionPro-Regular" w:hAnsi="MinionPro-Regular" w:cs="Calibri"/>
                <w:color w:val="000000"/>
                <w:sz w:val="20"/>
                <w:lang w:val="es-ES_tradnl"/>
              </w:rPr>
              <w:t> </w:t>
            </w:r>
          </w:p>
        </w:tc>
        <w:tc>
          <w:tcPr>
            <w:tcW w:w="6622" w:type="dxa"/>
            <w:tcBorders>
              <w:top w:val="single" w:sz="4" w:space="0" w:color="auto"/>
              <w:left w:val="nil"/>
              <w:bottom w:val="single" w:sz="4" w:space="0" w:color="auto"/>
              <w:right w:val="single" w:sz="4" w:space="0" w:color="auto"/>
            </w:tcBorders>
            <w:shd w:val="clear" w:color="000000" w:fill="D8D8D8"/>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A) Ninguna</w:t>
            </w:r>
          </w:p>
        </w:tc>
      </w:tr>
      <w:tr w:rsidR="00E2336B" w:rsidRPr="005F5A73" w:rsidTr="0092566C">
        <w:trPr>
          <w:trHeight w:val="300"/>
        </w:trPr>
        <w:tc>
          <w:tcPr>
            <w:tcW w:w="350" w:type="dxa"/>
            <w:tcBorders>
              <w:top w:val="nil"/>
              <w:left w:val="single" w:sz="4" w:space="0" w:color="auto"/>
              <w:bottom w:val="nil"/>
              <w:right w:val="nil"/>
            </w:tcBorders>
            <w:shd w:val="clear" w:color="000000" w:fill="BFBFBF"/>
            <w:noWrap/>
            <w:vAlign w:val="bottom"/>
          </w:tcPr>
          <w:p w:rsidR="00E2336B" w:rsidRPr="005F5A73" w:rsidRDefault="00E2336B" w:rsidP="00E237EB">
            <w:pPr>
              <w:jc w:val="cente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c>
          <w:tcPr>
            <w:tcW w:w="704" w:type="dxa"/>
            <w:tcBorders>
              <w:top w:val="nil"/>
              <w:left w:val="single" w:sz="4" w:space="0" w:color="auto"/>
              <w:bottom w:val="single" w:sz="4" w:space="0" w:color="auto"/>
              <w:right w:val="single" w:sz="4" w:space="0" w:color="auto"/>
            </w:tcBorders>
            <w:shd w:val="clear" w:color="000000" w:fill="FFFFFF"/>
            <w:noWrap/>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c>
          <w:tcPr>
            <w:tcW w:w="6622" w:type="dxa"/>
            <w:tcBorders>
              <w:top w:val="nil"/>
              <w:left w:val="nil"/>
              <w:bottom w:val="single" w:sz="4" w:space="0" w:color="auto"/>
              <w:right w:val="single" w:sz="4" w:space="0" w:color="auto"/>
            </w:tcBorders>
            <w:shd w:val="clear" w:color="000000" w:fill="D8D8D8"/>
            <w:vAlign w:val="bottom"/>
          </w:tcPr>
          <w:p w:rsidR="00E2336B" w:rsidRPr="005F5A73" w:rsidRDefault="00E2336B" w:rsidP="00E237EB">
            <w:pPr>
              <w:rPr>
                <w:rFonts w:ascii="MinionPro-Regular" w:hAnsi="MinionPro-Regular" w:cs="Calibri"/>
                <w:color w:val="000000"/>
                <w:sz w:val="20"/>
                <w:lang w:val="es-ES_tradnl"/>
              </w:rPr>
            </w:pPr>
            <w:r w:rsidRPr="005F5A73">
              <w:rPr>
                <w:rFonts w:ascii="MinionPro-Regular" w:hAnsi="MinionPro-Regular" w:cs="Calibri"/>
                <w:color w:val="000000"/>
                <w:sz w:val="20"/>
                <w:lang w:val="es-ES_tradnl"/>
              </w:rPr>
              <w:t>B) Algún curso puntual (PRL, accesibilidad, etc)</w:t>
            </w:r>
          </w:p>
        </w:tc>
      </w:tr>
      <w:tr w:rsidR="00E2336B" w:rsidRPr="005F5A73" w:rsidTr="0092566C">
        <w:trPr>
          <w:trHeight w:val="300"/>
        </w:trPr>
        <w:tc>
          <w:tcPr>
            <w:tcW w:w="350" w:type="dxa"/>
            <w:tcBorders>
              <w:top w:val="nil"/>
              <w:left w:val="single" w:sz="4" w:space="0" w:color="auto"/>
              <w:bottom w:val="nil"/>
              <w:right w:val="nil"/>
            </w:tcBorders>
            <w:shd w:val="clear" w:color="000000" w:fill="BFBFBF"/>
            <w:noWrap/>
            <w:vAlign w:val="bottom"/>
          </w:tcPr>
          <w:p w:rsidR="00E2336B" w:rsidRPr="005F5A73" w:rsidRDefault="00E2336B" w:rsidP="00E237EB">
            <w:pPr>
              <w:jc w:val="center"/>
              <w:rPr>
                <w:rFonts w:ascii="MinionPro-Regular" w:hAnsi="MinionPro-Regular" w:cs="Calibri"/>
                <w:color w:val="000000"/>
                <w:sz w:val="20"/>
                <w:lang w:val="es-ES_tradnl"/>
              </w:rPr>
            </w:pPr>
            <w:r w:rsidRPr="005F5A73">
              <w:rPr>
                <w:rFonts w:ascii="MinionPro-Regular" w:hAnsi="MinionPro-Regular" w:cs="Calibri"/>
                <w:color w:val="000000"/>
                <w:sz w:val="20"/>
                <w:lang w:val="es-ES_tradnl"/>
              </w:rPr>
              <w:t> </w:t>
            </w:r>
          </w:p>
        </w:tc>
        <w:tc>
          <w:tcPr>
            <w:tcW w:w="704" w:type="dxa"/>
            <w:tcBorders>
              <w:top w:val="nil"/>
              <w:left w:val="single" w:sz="4" w:space="0" w:color="auto"/>
              <w:bottom w:val="single" w:sz="4" w:space="0" w:color="auto"/>
              <w:right w:val="single" w:sz="4" w:space="0" w:color="auto"/>
            </w:tcBorders>
            <w:shd w:val="clear" w:color="000000" w:fill="FFFFFF"/>
            <w:noWrap/>
            <w:vAlign w:val="bottom"/>
          </w:tcPr>
          <w:p w:rsidR="00E2336B" w:rsidRPr="005F5A73" w:rsidRDefault="00E2336B" w:rsidP="00E237EB">
            <w:pPr>
              <w:rPr>
                <w:rFonts w:ascii="MinionPro-Regular" w:hAnsi="MinionPro-Regular" w:cs="Calibri"/>
                <w:color w:val="000000"/>
                <w:sz w:val="20"/>
                <w:lang w:val="es-ES_tradnl"/>
              </w:rPr>
            </w:pPr>
            <w:r w:rsidRPr="005F5A73">
              <w:rPr>
                <w:rFonts w:ascii="MinionPro-Regular" w:hAnsi="MinionPro-Regular" w:cs="Calibri"/>
                <w:color w:val="000000"/>
                <w:sz w:val="20"/>
                <w:lang w:val="es-ES_tradnl"/>
              </w:rPr>
              <w:t> </w:t>
            </w:r>
          </w:p>
        </w:tc>
        <w:tc>
          <w:tcPr>
            <w:tcW w:w="6622" w:type="dxa"/>
            <w:tcBorders>
              <w:top w:val="nil"/>
              <w:left w:val="nil"/>
              <w:bottom w:val="single" w:sz="4" w:space="0" w:color="auto"/>
              <w:right w:val="single" w:sz="4" w:space="0" w:color="auto"/>
            </w:tcBorders>
            <w:shd w:val="clear" w:color="000000" w:fill="D8D8D8"/>
            <w:vAlign w:val="bottom"/>
          </w:tcPr>
          <w:p w:rsidR="00E2336B" w:rsidRPr="005F5A73" w:rsidRDefault="00E2336B" w:rsidP="00E237EB">
            <w:pPr>
              <w:rPr>
                <w:rFonts w:ascii="MinionPro-Regular" w:hAnsi="MinionPro-Regular" w:cs="Calibri"/>
                <w:color w:val="000000"/>
                <w:sz w:val="20"/>
                <w:lang w:val="es-ES_tradnl"/>
              </w:rPr>
            </w:pPr>
            <w:r w:rsidRPr="005F5A73">
              <w:rPr>
                <w:rFonts w:ascii="MinionPro-Regular" w:hAnsi="MinionPro-Regular" w:cs="Calibri"/>
                <w:color w:val="000000"/>
                <w:sz w:val="20"/>
                <w:lang w:val="es-ES_tradnl"/>
              </w:rPr>
              <w:t>C) Formación regular (idiomas, formación téctica, etc)</w:t>
            </w:r>
          </w:p>
        </w:tc>
      </w:tr>
      <w:tr w:rsidR="00E2336B" w:rsidRPr="005F5A73" w:rsidTr="0092566C">
        <w:trPr>
          <w:trHeight w:val="300"/>
        </w:trPr>
        <w:tc>
          <w:tcPr>
            <w:tcW w:w="350" w:type="dxa"/>
            <w:tcBorders>
              <w:top w:val="nil"/>
              <w:left w:val="single" w:sz="4" w:space="0" w:color="auto"/>
              <w:bottom w:val="nil"/>
              <w:right w:val="nil"/>
            </w:tcBorders>
            <w:shd w:val="clear" w:color="000000" w:fill="BFBFBF"/>
            <w:noWrap/>
            <w:vAlign w:val="bottom"/>
          </w:tcPr>
          <w:p w:rsidR="00E2336B" w:rsidRPr="005F5A73" w:rsidRDefault="00E2336B" w:rsidP="00E237EB">
            <w:pPr>
              <w:jc w:val="center"/>
              <w:rPr>
                <w:rFonts w:ascii="MinionPro-Regular" w:hAnsi="MinionPro-Regular" w:cs="Calibri"/>
                <w:color w:val="000000"/>
                <w:sz w:val="20"/>
                <w:lang w:val="es-ES_tradnl"/>
              </w:rPr>
            </w:pPr>
            <w:r w:rsidRPr="005F5A73">
              <w:rPr>
                <w:rFonts w:ascii="MinionPro-Regular" w:hAnsi="MinionPro-Regular" w:cs="Calibri"/>
                <w:color w:val="000000"/>
                <w:sz w:val="20"/>
                <w:lang w:val="es-ES_tradnl"/>
              </w:rPr>
              <w:t> </w:t>
            </w:r>
          </w:p>
        </w:tc>
        <w:tc>
          <w:tcPr>
            <w:tcW w:w="704" w:type="dxa"/>
            <w:tcBorders>
              <w:top w:val="nil"/>
              <w:left w:val="single" w:sz="4" w:space="0" w:color="auto"/>
              <w:bottom w:val="single" w:sz="4" w:space="0" w:color="auto"/>
              <w:right w:val="single" w:sz="4" w:space="0" w:color="auto"/>
            </w:tcBorders>
            <w:shd w:val="clear" w:color="000000" w:fill="FFFFFF"/>
            <w:noWrap/>
            <w:vAlign w:val="bottom"/>
          </w:tcPr>
          <w:p w:rsidR="00E2336B" w:rsidRPr="005F5A73" w:rsidRDefault="00E2336B" w:rsidP="00E237EB">
            <w:pPr>
              <w:rPr>
                <w:rFonts w:ascii="MinionPro-Regular" w:hAnsi="MinionPro-Regular" w:cs="Calibri"/>
                <w:color w:val="000000"/>
                <w:sz w:val="20"/>
                <w:lang w:val="es-ES_tradnl"/>
              </w:rPr>
            </w:pPr>
            <w:r w:rsidRPr="005F5A73">
              <w:rPr>
                <w:rFonts w:ascii="MinionPro-Regular" w:hAnsi="MinionPro-Regular" w:cs="Calibri"/>
                <w:color w:val="000000"/>
                <w:sz w:val="20"/>
                <w:lang w:val="es-ES_tradnl"/>
              </w:rPr>
              <w:t> </w:t>
            </w:r>
          </w:p>
        </w:tc>
        <w:tc>
          <w:tcPr>
            <w:tcW w:w="6622" w:type="dxa"/>
            <w:tcBorders>
              <w:top w:val="nil"/>
              <w:left w:val="nil"/>
              <w:bottom w:val="single" w:sz="4" w:space="0" w:color="auto"/>
              <w:right w:val="single" w:sz="4" w:space="0" w:color="auto"/>
            </w:tcBorders>
            <w:shd w:val="clear" w:color="000000" w:fill="D8D8D8"/>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 xml:space="preserve">C) Otros (indica cuáles): </w:t>
            </w:r>
          </w:p>
        </w:tc>
      </w:tr>
      <w:tr w:rsidR="00E2336B" w:rsidRPr="005F5A73" w:rsidTr="0092566C">
        <w:trPr>
          <w:trHeight w:val="180"/>
        </w:trPr>
        <w:tc>
          <w:tcPr>
            <w:tcW w:w="350" w:type="dxa"/>
            <w:tcBorders>
              <w:top w:val="nil"/>
              <w:left w:val="single" w:sz="4" w:space="0" w:color="auto"/>
              <w:bottom w:val="nil"/>
              <w:right w:val="nil"/>
            </w:tcBorders>
            <w:shd w:val="clear" w:color="000000" w:fill="BFBFBF"/>
            <w:noWrap/>
            <w:vAlign w:val="bottom"/>
          </w:tcPr>
          <w:p w:rsidR="00E2336B" w:rsidRPr="005F5A73" w:rsidRDefault="00E2336B" w:rsidP="00E237EB">
            <w:pPr>
              <w:jc w:val="cente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c>
          <w:tcPr>
            <w:tcW w:w="704" w:type="dxa"/>
            <w:tcBorders>
              <w:top w:val="nil"/>
              <w:left w:val="nil"/>
              <w:bottom w:val="nil"/>
              <w:right w:val="nil"/>
            </w:tcBorders>
            <w:shd w:val="clear" w:color="000000" w:fill="BFBFBF"/>
            <w:noWrap/>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c>
          <w:tcPr>
            <w:tcW w:w="6622" w:type="dxa"/>
            <w:tcBorders>
              <w:top w:val="nil"/>
              <w:left w:val="nil"/>
              <w:bottom w:val="nil"/>
              <w:right w:val="single" w:sz="4" w:space="0" w:color="auto"/>
            </w:tcBorders>
            <w:shd w:val="clear" w:color="000000" w:fill="BFBFBF"/>
            <w:noWrap/>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r>
      <w:tr w:rsidR="00E2336B" w:rsidRPr="005F5A73" w:rsidTr="0092566C">
        <w:trPr>
          <w:trHeight w:val="795"/>
        </w:trPr>
        <w:tc>
          <w:tcPr>
            <w:tcW w:w="350" w:type="dxa"/>
            <w:tcBorders>
              <w:top w:val="single" w:sz="4" w:space="0" w:color="auto"/>
              <w:left w:val="single" w:sz="4" w:space="0" w:color="auto"/>
              <w:bottom w:val="single" w:sz="4" w:space="0" w:color="auto"/>
              <w:right w:val="single" w:sz="4" w:space="0" w:color="auto"/>
            </w:tcBorders>
            <w:shd w:val="clear" w:color="000000" w:fill="A5A5A5"/>
            <w:noWrap/>
            <w:vAlign w:val="center"/>
          </w:tcPr>
          <w:p w:rsidR="00E2336B" w:rsidRPr="005F5A73" w:rsidRDefault="00E2336B" w:rsidP="00E237EB">
            <w:pPr>
              <w:jc w:val="center"/>
              <w:rPr>
                <w:rFonts w:ascii="MinionPro-Regular" w:hAnsi="MinionPro-Regular" w:cs="Calibri"/>
                <w:color w:val="000000"/>
                <w:sz w:val="20"/>
                <w:lang w:val="en-US"/>
              </w:rPr>
            </w:pPr>
            <w:r w:rsidRPr="005F5A73">
              <w:rPr>
                <w:rFonts w:ascii="MinionPro-Regular" w:hAnsi="MinionPro-Regular" w:cs="Calibri"/>
                <w:color w:val="000000"/>
                <w:sz w:val="20"/>
                <w:lang w:val="en-US"/>
              </w:rPr>
              <w:t>I</w:t>
            </w:r>
          </w:p>
        </w:tc>
        <w:tc>
          <w:tcPr>
            <w:tcW w:w="7326" w:type="dxa"/>
            <w:gridSpan w:val="2"/>
            <w:tcBorders>
              <w:top w:val="nil"/>
              <w:left w:val="nil"/>
              <w:bottom w:val="single" w:sz="4" w:space="0" w:color="auto"/>
              <w:right w:val="single" w:sz="4" w:space="0" w:color="auto"/>
            </w:tcBorders>
            <w:shd w:val="clear" w:color="000000" w:fill="BFBFBF"/>
            <w:vAlign w:val="center"/>
          </w:tcPr>
          <w:p w:rsidR="00E2336B" w:rsidRPr="005F5A73" w:rsidRDefault="00E2336B" w:rsidP="00E237EB">
            <w:pPr>
              <w:rPr>
                <w:rFonts w:ascii="MinionPro-Regular" w:hAnsi="MinionPro-Regular" w:cs="Calibri"/>
                <w:color w:val="000000"/>
                <w:sz w:val="20"/>
                <w:lang w:val="es-ES_tradnl"/>
              </w:rPr>
            </w:pPr>
            <w:r w:rsidRPr="005F5A73">
              <w:rPr>
                <w:rFonts w:ascii="MinionPro-Regular" w:hAnsi="MinionPro-Regular" w:cs="Calibri"/>
                <w:color w:val="000000"/>
                <w:sz w:val="20"/>
                <w:lang w:val="es-ES_tradnl"/>
              </w:rPr>
              <w:t>2.13. ¿Qué opinas de la formación o preparación laboral que has recibido hasta el momento?</w:t>
            </w:r>
          </w:p>
        </w:tc>
      </w:tr>
      <w:tr w:rsidR="00E2336B" w:rsidRPr="005F5A73" w:rsidTr="0092566C">
        <w:trPr>
          <w:trHeight w:val="300"/>
        </w:trPr>
        <w:tc>
          <w:tcPr>
            <w:tcW w:w="350" w:type="dxa"/>
            <w:tcBorders>
              <w:top w:val="nil"/>
              <w:left w:val="single" w:sz="4" w:space="0" w:color="auto"/>
              <w:bottom w:val="nil"/>
              <w:right w:val="nil"/>
            </w:tcBorders>
            <w:shd w:val="clear" w:color="000000" w:fill="BFBFBF"/>
            <w:noWrap/>
            <w:vAlign w:val="bottom"/>
          </w:tcPr>
          <w:p w:rsidR="00E2336B" w:rsidRPr="005F5A73" w:rsidRDefault="00E2336B" w:rsidP="00E237EB">
            <w:pPr>
              <w:jc w:val="center"/>
              <w:rPr>
                <w:rFonts w:ascii="MinionPro-Regular" w:hAnsi="MinionPro-Regular" w:cs="Calibri"/>
                <w:color w:val="000000"/>
                <w:sz w:val="20"/>
                <w:lang w:val="es-ES_tradnl"/>
              </w:rPr>
            </w:pPr>
            <w:r w:rsidRPr="005F5A73">
              <w:rPr>
                <w:rFonts w:ascii="MinionPro-Regular" w:hAnsi="MinionPro-Regular" w:cs="Calibri"/>
                <w:color w:val="000000"/>
                <w:sz w:val="20"/>
                <w:lang w:val="es-ES_tradnl"/>
              </w:rPr>
              <w:t> </w:t>
            </w:r>
          </w:p>
        </w:tc>
        <w:tc>
          <w:tcPr>
            <w:tcW w:w="704" w:type="dxa"/>
            <w:tcBorders>
              <w:top w:val="nil"/>
              <w:left w:val="single" w:sz="4" w:space="0" w:color="auto"/>
              <w:bottom w:val="single" w:sz="4" w:space="0" w:color="auto"/>
              <w:right w:val="single" w:sz="4" w:space="0" w:color="auto"/>
            </w:tcBorders>
            <w:shd w:val="clear" w:color="000000" w:fill="FFFFFF"/>
            <w:noWrap/>
            <w:vAlign w:val="bottom"/>
          </w:tcPr>
          <w:p w:rsidR="00E2336B" w:rsidRPr="005F5A73" w:rsidRDefault="00E2336B" w:rsidP="00E237EB">
            <w:pPr>
              <w:rPr>
                <w:rFonts w:ascii="MinionPro-Regular" w:hAnsi="MinionPro-Regular" w:cs="Calibri"/>
                <w:color w:val="000000"/>
                <w:sz w:val="20"/>
                <w:lang w:val="es-ES_tradnl"/>
              </w:rPr>
            </w:pPr>
            <w:r w:rsidRPr="005F5A73">
              <w:rPr>
                <w:rFonts w:ascii="MinionPro-Regular" w:hAnsi="MinionPro-Regular" w:cs="Calibri"/>
                <w:color w:val="000000"/>
                <w:sz w:val="20"/>
                <w:lang w:val="es-ES_tradnl"/>
              </w:rPr>
              <w:t> </w:t>
            </w:r>
          </w:p>
        </w:tc>
        <w:tc>
          <w:tcPr>
            <w:tcW w:w="6622" w:type="dxa"/>
            <w:tcBorders>
              <w:top w:val="nil"/>
              <w:left w:val="nil"/>
              <w:bottom w:val="single" w:sz="4" w:space="0" w:color="auto"/>
              <w:right w:val="single" w:sz="4" w:space="0" w:color="auto"/>
            </w:tcBorders>
            <w:shd w:val="clear" w:color="000000" w:fill="D8D8D8"/>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A) Buena</w:t>
            </w:r>
          </w:p>
        </w:tc>
      </w:tr>
      <w:tr w:rsidR="00E2336B" w:rsidRPr="005F5A73" w:rsidTr="0092566C">
        <w:trPr>
          <w:trHeight w:val="300"/>
        </w:trPr>
        <w:tc>
          <w:tcPr>
            <w:tcW w:w="350" w:type="dxa"/>
            <w:tcBorders>
              <w:top w:val="nil"/>
              <w:left w:val="single" w:sz="4" w:space="0" w:color="auto"/>
              <w:bottom w:val="nil"/>
              <w:right w:val="nil"/>
            </w:tcBorders>
            <w:shd w:val="clear" w:color="000000" w:fill="BFBFBF"/>
            <w:noWrap/>
            <w:vAlign w:val="bottom"/>
          </w:tcPr>
          <w:p w:rsidR="00E2336B" w:rsidRPr="005F5A73" w:rsidRDefault="00E2336B" w:rsidP="00E237EB">
            <w:pPr>
              <w:jc w:val="cente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c>
          <w:tcPr>
            <w:tcW w:w="704" w:type="dxa"/>
            <w:tcBorders>
              <w:top w:val="nil"/>
              <w:left w:val="single" w:sz="4" w:space="0" w:color="auto"/>
              <w:bottom w:val="single" w:sz="4" w:space="0" w:color="auto"/>
              <w:right w:val="single" w:sz="4" w:space="0" w:color="auto"/>
            </w:tcBorders>
            <w:shd w:val="clear" w:color="000000" w:fill="FFFFFF"/>
            <w:noWrap/>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c>
          <w:tcPr>
            <w:tcW w:w="6622" w:type="dxa"/>
            <w:tcBorders>
              <w:top w:val="nil"/>
              <w:left w:val="nil"/>
              <w:bottom w:val="single" w:sz="4" w:space="0" w:color="auto"/>
              <w:right w:val="single" w:sz="4" w:space="0" w:color="auto"/>
            </w:tcBorders>
            <w:shd w:val="clear" w:color="000000" w:fill="D8D8D8"/>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B) Regular</w:t>
            </w:r>
          </w:p>
        </w:tc>
      </w:tr>
      <w:tr w:rsidR="00E2336B" w:rsidRPr="005F5A73" w:rsidTr="0092566C">
        <w:trPr>
          <w:trHeight w:val="300"/>
        </w:trPr>
        <w:tc>
          <w:tcPr>
            <w:tcW w:w="350" w:type="dxa"/>
            <w:tcBorders>
              <w:top w:val="nil"/>
              <w:left w:val="single" w:sz="4" w:space="0" w:color="auto"/>
              <w:bottom w:val="nil"/>
              <w:right w:val="nil"/>
            </w:tcBorders>
            <w:shd w:val="clear" w:color="000000" w:fill="BFBFBF"/>
            <w:noWrap/>
            <w:vAlign w:val="bottom"/>
          </w:tcPr>
          <w:p w:rsidR="00E2336B" w:rsidRPr="005F5A73" w:rsidRDefault="00E2336B" w:rsidP="00E237EB">
            <w:pPr>
              <w:jc w:val="cente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c>
          <w:tcPr>
            <w:tcW w:w="704" w:type="dxa"/>
            <w:tcBorders>
              <w:top w:val="nil"/>
              <w:left w:val="single" w:sz="4" w:space="0" w:color="auto"/>
              <w:bottom w:val="single" w:sz="4" w:space="0" w:color="auto"/>
              <w:right w:val="single" w:sz="4" w:space="0" w:color="auto"/>
            </w:tcBorders>
            <w:shd w:val="clear" w:color="000000" w:fill="FFFFFF"/>
            <w:noWrap/>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c>
          <w:tcPr>
            <w:tcW w:w="6622" w:type="dxa"/>
            <w:tcBorders>
              <w:top w:val="nil"/>
              <w:left w:val="nil"/>
              <w:bottom w:val="single" w:sz="4" w:space="0" w:color="auto"/>
              <w:right w:val="single" w:sz="4" w:space="0" w:color="auto"/>
            </w:tcBorders>
            <w:shd w:val="clear" w:color="000000" w:fill="D8D8D8"/>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C) Mala</w:t>
            </w:r>
          </w:p>
        </w:tc>
      </w:tr>
      <w:tr w:rsidR="00E2336B" w:rsidRPr="005F5A73" w:rsidTr="0092566C">
        <w:trPr>
          <w:trHeight w:val="300"/>
        </w:trPr>
        <w:tc>
          <w:tcPr>
            <w:tcW w:w="350" w:type="dxa"/>
            <w:tcBorders>
              <w:top w:val="nil"/>
              <w:left w:val="single" w:sz="4" w:space="0" w:color="auto"/>
              <w:bottom w:val="nil"/>
              <w:right w:val="nil"/>
            </w:tcBorders>
            <w:shd w:val="clear" w:color="000000" w:fill="BFBFBF"/>
            <w:noWrap/>
            <w:vAlign w:val="bottom"/>
          </w:tcPr>
          <w:p w:rsidR="00E2336B" w:rsidRPr="005F5A73" w:rsidRDefault="00E2336B" w:rsidP="00E237EB">
            <w:pPr>
              <w:jc w:val="cente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c>
          <w:tcPr>
            <w:tcW w:w="704" w:type="dxa"/>
            <w:tcBorders>
              <w:top w:val="nil"/>
              <w:left w:val="single" w:sz="4" w:space="0" w:color="auto"/>
              <w:bottom w:val="single" w:sz="4" w:space="0" w:color="auto"/>
              <w:right w:val="single" w:sz="4" w:space="0" w:color="auto"/>
            </w:tcBorders>
            <w:shd w:val="clear" w:color="000000" w:fill="FFFFFF"/>
            <w:noWrap/>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c>
          <w:tcPr>
            <w:tcW w:w="6622" w:type="dxa"/>
            <w:tcBorders>
              <w:top w:val="nil"/>
              <w:left w:val="nil"/>
              <w:bottom w:val="single" w:sz="4" w:space="0" w:color="auto"/>
              <w:right w:val="single" w:sz="4" w:space="0" w:color="auto"/>
            </w:tcBorders>
            <w:shd w:val="clear" w:color="000000" w:fill="D8D8D8"/>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 xml:space="preserve">C) Otros (indica cuáles): </w:t>
            </w:r>
          </w:p>
        </w:tc>
      </w:tr>
      <w:tr w:rsidR="00E2336B" w:rsidRPr="005F5A73" w:rsidTr="0092566C">
        <w:trPr>
          <w:trHeight w:val="180"/>
        </w:trPr>
        <w:tc>
          <w:tcPr>
            <w:tcW w:w="350" w:type="dxa"/>
            <w:tcBorders>
              <w:top w:val="nil"/>
              <w:left w:val="single" w:sz="4" w:space="0" w:color="auto"/>
              <w:bottom w:val="nil"/>
              <w:right w:val="nil"/>
            </w:tcBorders>
            <w:shd w:val="clear" w:color="000000" w:fill="BFBFBF"/>
            <w:noWrap/>
            <w:vAlign w:val="bottom"/>
          </w:tcPr>
          <w:p w:rsidR="00E2336B" w:rsidRPr="005F5A73" w:rsidRDefault="00E2336B" w:rsidP="00E237EB">
            <w:pPr>
              <w:jc w:val="cente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c>
          <w:tcPr>
            <w:tcW w:w="704" w:type="dxa"/>
            <w:tcBorders>
              <w:top w:val="nil"/>
              <w:left w:val="nil"/>
              <w:bottom w:val="nil"/>
              <w:right w:val="nil"/>
            </w:tcBorders>
            <w:shd w:val="clear" w:color="000000" w:fill="BFBFBF"/>
            <w:noWrap/>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c>
          <w:tcPr>
            <w:tcW w:w="6622" w:type="dxa"/>
            <w:tcBorders>
              <w:top w:val="nil"/>
              <w:left w:val="nil"/>
              <w:bottom w:val="nil"/>
              <w:right w:val="single" w:sz="4" w:space="0" w:color="auto"/>
            </w:tcBorders>
            <w:shd w:val="clear" w:color="000000" w:fill="BFBFBF"/>
            <w:noWrap/>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r>
      <w:tr w:rsidR="00E2336B" w:rsidRPr="005F5A73" w:rsidTr="0092566C">
        <w:trPr>
          <w:trHeight w:val="795"/>
        </w:trPr>
        <w:tc>
          <w:tcPr>
            <w:tcW w:w="350" w:type="dxa"/>
            <w:tcBorders>
              <w:top w:val="single" w:sz="4" w:space="0" w:color="auto"/>
              <w:left w:val="single" w:sz="4" w:space="0" w:color="auto"/>
              <w:bottom w:val="single" w:sz="4" w:space="0" w:color="auto"/>
              <w:right w:val="single" w:sz="4" w:space="0" w:color="auto"/>
            </w:tcBorders>
            <w:shd w:val="clear" w:color="000000" w:fill="A5A5A5"/>
            <w:noWrap/>
            <w:vAlign w:val="center"/>
          </w:tcPr>
          <w:p w:rsidR="00E2336B" w:rsidRPr="005F5A73" w:rsidRDefault="00E2336B" w:rsidP="00E237EB">
            <w:pPr>
              <w:jc w:val="center"/>
              <w:rPr>
                <w:rFonts w:ascii="MinionPro-Regular" w:hAnsi="MinionPro-Regular" w:cs="Calibri"/>
                <w:color w:val="000000"/>
                <w:sz w:val="20"/>
                <w:lang w:val="en-US"/>
              </w:rPr>
            </w:pPr>
            <w:r w:rsidRPr="005F5A73">
              <w:rPr>
                <w:rFonts w:ascii="MinionPro-Regular" w:hAnsi="MinionPro-Regular" w:cs="Calibri"/>
                <w:color w:val="000000"/>
                <w:sz w:val="20"/>
                <w:lang w:val="en-US"/>
              </w:rPr>
              <w:t>C</w:t>
            </w:r>
          </w:p>
        </w:tc>
        <w:tc>
          <w:tcPr>
            <w:tcW w:w="7326" w:type="dxa"/>
            <w:gridSpan w:val="2"/>
            <w:tcBorders>
              <w:top w:val="nil"/>
              <w:left w:val="nil"/>
              <w:bottom w:val="single" w:sz="4" w:space="0" w:color="auto"/>
              <w:right w:val="single" w:sz="4" w:space="0" w:color="auto"/>
            </w:tcBorders>
            <w:shd w:val="clear" w:color="000000" w:fill="BFBFBF"/>
            <w:vAlign w:val="center"/>
          </w:tcPr>
          <w:p w:rsidR="00E2336B" w:rsidRPr="005F5A73" w:rsidRDefault="00E2336B" w:rsidP="00E237EB">
            <w:pPr>
              <w:rPr>
                <w:rFonts w:ascii="MinionPro-Regular" w:hAnsi="MinionPro-Regular" w:cs="Calibri"/>
                <w:color w:val="000000"/>
                <w:sz w:val="20"/>
                <w:lang w:val="es-ES_tradnl"/>
              </w:rPr>
            </w:pPr>
            <w:r w:rsidRPr="005F5A73">
              <w:rPr>
                <w:rFonts w:ascii="MinionPro-Regular" w:hAnsi="MinionPro-Regular" w:cs="Calibri"/>
                <w:color w:val="000000"/>
                <w:sz w:val="20"/>
                <w:lang w:val="es-ES_tradnl"/>
              </w:rPr>
              <w:t>2.14. ¿Cuánto te pagan? (contabilizando solo 12 pagas y especificando el tipo de jornada que se trabaja)</w:t>
            </w:r>
          </w:p>
        </w:tc>
      </w:tr>
      <w:tr w:rsidR="00E2336B" w:rsidRPr="005F5A73" w:rsidTr="0092566C">
        <w:trPr>
          <w:trHeight w:val="300"/>
        </w:trPr>
        <w:tc>
          <w:tcPr>
            <w:tcW w:w="350" w:type="dxa"/>
            <w:tcBorders>
              <w:top w:val="nil"/>
              <w:left w:val="single" w:sz="4" w:space="0" w:color="auto"/>
              <w:bottom w:val="nil"/>
              <w:right w:val="nil"/>
            </w:tcBorders>
            <w:shd w:val="clear" w:color="000000" w:fill="BFBFBF"/>
            <w:noWrap/>
            <w:vAlign w:val="bottom"/>
          </w:tcPr>
          <w:p w:rsidR="00E2336B" w:rsidRPr="005F5A73" w:rsidRDefault="00E2336B" w:rsidP="00E237EB">
            <w:pPr>
              <w:jc w:val="center"/>
              <w:rPr>
                <w:rFonts w:ascii="MinionPro-Regular" w:hAnsi="MinionPro-Regular" w:cs="Calibri"/>
                <w:color w:val="000000"/>
                <w:sz w:val="20"/>
                <w:lang w:val="es-ES_tradnl"/>
              </w:rPr>
            </w:pPr>
            <w:r w:rsidRPr="005F5A73">
              <w:rPr>
                <w:rFonts w:ascii="MinionPro-Regular" w:hAnsi="MinionPro-Regular" w:cs="Calibri"/>
                <w:color w:val="000000"/>
                <w:sz w:val="20"/>
                <w:lang w:val="es-ES_tradnl"/>
              </w:rPr>
              <w:t> </w:t>
            </w:r>
          </w:p>
        </w:tc>
        <w:tc>
          <w:tcPr>
            <w:tcW w:w="704" w:type="dxa"/>
            <w:tcBorders>
              <w:top w:val="nil"/>
              <w:left w:val="single" w:sz="4" w:space="0" w:color="auto"/>
              <w:bottom w:val="single" w:sz="4" w:space="0" w:color="auto"/>
              <w:right w:val="single" w:sz="4" w:space="0" w:color="auto"/>
            </w:tcBorders>
            <w:shd w:val="clear" w:color="000000" w:fill="FFFFFF"/>
            <w:noWrap/>
            <w:vAlign w:val="bottom"/>
          </w:tcPr>
          <w:p w:rsidR="00E2336B" w:rsidRPr="005F5A73" w:rsidRDefault="00E2336B" w:rsidP="00E237EB">
            <w:pPr>
              <w:rPr>
                <w:rFonts w:ascii="MinionPro-Regular" w:hAnsi="MinionPro-Regular" w:cs="Calibri"/>
                <w:color w:val="FF0000"/>
                <w:sz w:val="20"/>
                <w:lang w:val="es-ES_tradnl"/>
              </w:rPr>
            </w:pPr>
            <w:r w:rsidRPr="005F5A73">
              <w:rPr>
                <w:rFonts w:ascii="MinionPro-Regular" w:hAnsi="MinionPro-Regular" w:cs="Calibri"/>
                <w:color w:val="FF0000"/>
                <w:sz w:val="20"/>
                <w:lang w:val="es-ES_tradnl"/>
              </w:rPr>
              <w:t> </w:t>
            </w:r>
          </w:p>
        </w:tc>
        <w:tc>
          <w:tcPr>
            <w:tcW w:w="6622" w:type="dxa"/>
            <w:tcBorders>
              <w:top w:val="nil"/>
              <w:left w:val="nil"/>
              <w:bottom w:val="single" w:sz="4" w:space="0" w:color="auto"/>
              <w:right w:val="single" w:sz="4" w:space="0" w:color="auto"/>
            </w:tcBorders>
            <w:shd w:val="clear" w:color="000000" w:fill="D8D8D8"/>
            <w:vAlign w:val="bottom"/>
          </w:tcPr>
          <w:p w:rsidR="00E2336B" w:rsidRPr="005F5A73" w:rsidRDefault="00E2336B" w:rsidP="00E237EB">
            <w:pPr>
              <w:rPr>
                <w:rFonts w:ascii="MinionPro-Regular" w:hAnsi="MinionPro-Regular" w:cs="Calibri"/>
                <w:sz w:val="20"/>
                <w:lang w:val="es-ES_tradnl"/>
              </w:rPr>
            </w:pPr>
            <w:r w:rsidRPr="005F5A73">
              <w:rPr>
                <w:rFonts w:ascii="MinionPro-Regular" w:hAnsi="MinionPro-Regular" w:cs="Calibri"/>
                <w:sz w:val="20"/>
                <w:lang w:val="es-ES_tradnl"/>
              </w:rPr>
              <w:t>A) No lo sabes ya que te lo administra otra persona</w:t>
            </w:r>
          </w:p>
        </w:tc>
      </w:tr>
      <w:tr w:rsidR="00E2336B" w:rsidRPr="005F5A73" w:rsidTr="0092566C">
        <w:trPr>
          <w:trHeight w:val="300"/>
        </w:trPr>
        <w:tc>
          <w:tcPr>
            <w:tcW w:w="350" w:type="dxa"/>
            <w:tcBorders>
              <w:top w:val="nil"/>
              <w:left w:val="single" w:sz="4" w:space="0" w:color="auto"/>
              <w:bottom w:val="nil"/>
              <w:right w:val="nil"/>
            </w:tcBorders>
            <w:shd w:val="clear" w:color="000000" w:fill="BFBFBF"/>
            <w:noWrap/>
            <w:vAlign w:val="bottom"/>
          </w:tcPr>
          <w:p w:rsidR="00E2336B" w:rsidRPr="005F5A73" w:rsidRDefault="00E2336B" w:rsidP="00E237EB">
            <w:pPr>
              <w:jc w:val="center"/>
              <w:rPr>
                <w:rFonts w:ascii="MinionPro-Regular" w:hAnsi="MinionPro-Regular" w:cs="Calibri"/>
                <w:color w:val="000000"/>
                <w:sz w:val="20"/>
                <w:lang w:val="es-ES_tradnl"/>
              </w:rPr>
            </w:pPr>
            <w:r w:rsidRPr="005F5A73">
              <w:rPr>
                <w:rFonts w:ascii="MinionPro-Regular" w:hAnsi="MinionPro-Regular" w:cs="Calibri"/>
                <w:color w:val="000000"/>
                <w:sz w:val="20"/>
                <w:lang w:val="es-ES_tradnl"/>
              </w:rPr>
              <w:t> </w:t>
            </w:r>
          </w:p>
        </w:tc>
        <w:tc>
          <w:tcPr>
            <w:tcW w:w="704" w:type="dxa"/>
            <w:tcBorders>
              <w:top w:val="nil"/>
              <w:left w:val="single" w:sz="4" w:space="0" w:color="auto"/>
              <w:bottom w:val="single" w:sz="4" w:space="0" w:color="auto"/>
              <w:right w:val="single" w:sz="4" w:space="0" w:color="auto"/>
            </w:tcBorders>
            <w:shd w:val="clear" w:color="000000" w:fill="FFFFFF"/>
            <w:noWrap/>
            <w:vAlign w:val="bottom"/>
          </w:tcPr>
          <w:p w:rsidR="00E2336B" w:rsidRPr="005F5A73" w:rsidRDefault="00E2336B" w:rsidP="00E237EB">
            <w:pPr>
              <w:rPr>
                <w:rFonts w:ascii="MinionPro-Regular" w:hAnsi="MinionPro-Regular" w:cs="Calibri"/>
                <w:color w:val="FF0000"/>
                <w:sz w:val="20"/>
                <w:lang w:val="es-ES_tradnl"/>
              </w:rPr>
            </w:pPr>
            <w:r w:rsidRPr="005F5A73">
              <w:rPr>
                <w:rFonts w:ascii="MinionPro-Regular" w:hAnsi="MinionPro-Regular" w:cs="Calibri"/>
                <w:color w:val="FF0000"/>
                <w:sz w:val="20"/>
                <w:lang w:val="es-ES_tradnl"/>
              </w:rPr>
              <w:t> </w:t>
            </w:r>
          </w:p>
        </w:tc>
        <w:tc>
          <w:tcPr>
            <w:tcW w:w="6622" w:type="dxa"/>
            <w:tcBorders>
              <w:top w:val="nil"/>
              <w:left w:val="nil"/>
              <w:bottom w:val="single" w:sz="4" w:space="0" w:color="auto"/>
              <w:right w:val="single" w:sz="4" w:space="0" w:color="auto"/>
            </w:tcBorders>
            <w:shd w:val="clear" w:color="000000" w:fill="D8D8D8"/>
            <w:vAlign w:val="bottom"/>
          </w:tcPr>
          <w:p w:rsidR="00E2336B" w:rsidRPr="005F5A73" w:rsidRDefault="00E2336B" w:rsidP="00E237EB">
            <w:pPr>
              <w:rPr>
                <w:rFonts w:ascii="MinionPro-Regular" w:hAnsi="MinionPro-Regular" w:cs="Calibri"/>
                <w:sz w:val="20"/>
                <w:lang w:val="es-ES_tradnl"/>
              </w:rPr>
            </w:pPr>
            <w:r w:rsidRPr="005F5A73">
              <w:rPr>
                <w:rFonts w:ascii="MinionPro-Regular" w:hAnsi="MinionPro-Regular" w:cs="Calibri"/>
                <w:sz w:val="20"/>
                <w:lang w:val="es-ES_tradnl"/>
              </w:rPr>
              <w:t>B) Menos de 400 euros al mes</w:t>
            </w:r>
          </w:p>
        </w:tc>
      </w:tr>
      <w:tr w:rsidR="00E2336B" w:rsidRPr="005F5A73" w:rsidTr="0092566C">
        <w:trPr>
          <w:trHeight w:val="300"/>
        </w:trPr>
        <w:tc>
          <w:tcPr>
            <w:tcW w:w="350" w:type="dxa"/>
            <w:tcBorders>
              <w:top w:val="nil"/>
              <w:left w:val="single" w:sz="4" w:space="0" w:color="auto"/>
              <w:bottom w:val="nil"/>
              <w:right w:val="nil"/>
            </w:tcBorders>
            <w:shd w:val="clear" w:color="000000" w:fill="BFBFBF"/>
            <w:noWrap/>
            <w:vAlign w:val="bottom"/>
          </w:tcPr>
          <w:p w:rsidR="00E2336B" w:rsidRPr="005F5A73" w:rsidRDefault="00E2336B" w:rsidP="00E237EB">
            <w:pPr>
              <w:jc w:val="center"/>
              <w:rPr>
                <w:rFonts w:ascii="MinionPro-Regular" w:hAnsi="MinionPro-Regular" w:cs="Calibri"/>
                <w:color w:val="000000"/>
                <w:sz w:val="20"/>
                <w:lang w:val="es-ES_tradnl"/>
              </w:rPr>
            </w:pPr>
            <w:r w:rsidRPr="005F5A73">
              <w:rPr>
                <w:rFonts w:ascii="MinionPro-Regular" w:hAnsi="MinionPro-Regular" w:cs="Calibri"/>
                <w:color w:val="000000"/>
                <w:sz w:val="20"/>
                <w:lang w:val="es-ES_tradnl"/>
              </w:rPr>
              <w:t> </w:t>
            </w:r>
          </w:p>
        </w:tc>
        <w:tc>
          <w:tcPr>
            <w:tcW w:w="704" w:type="dxa"/>
            <w:tcBorders>
              <w:top w:val="nil"/>
              <w:left w:val="single" w:sz="4" w:space="0" w:color="auto"/>
              <w:bottom w:val="single" w:sz="4" w:space="0" w:color="auto"/>
              <w:right w:val="single" w:sz="4" w:space="0" w:color="auto"/>
            </w:tcBorders>
            <w:shd w:val="clear" w:color="000000" w:fill="FFFFFF"/>
            <w:noWrap/>
            <w:vAlign w:val="bottom"/>
          </w:tcPr>
          <w:p w:rsidR="00E2336B" w:rsidRPr="005F5A73" w:rsidRDefault="00E2336B" w:rsidP="00E237EB">
            <w:pPr>
              <w:rPr>
                <w:rFonts w:ascii="MinionPro-Regular" w:hAnsi="MinionPro-Regular" w:cs="Calibri"/>
                <w:color w:val="FF0000"/>
                <w:sz w:val="20"/>
                <w:lang w:val="es-ES_tradnl"/>
              </w:rPr>
            </w:pPr>
            <w:r w:rsidRPr="005F5A73">
              <w:rPr>
                <w:rFonts w:ascii="MinionPro-Regular" w:hAnsi="MinionPro-Regular" w:cs="Calibri"/>
                <w:color w:val="FF0000"/>
                <w:sz w:val="20"/>
                <w:lang w:val="es-ES_tradnl"/>
              </w:rPr>
              <w:t> </w:t>
            </w:r>
          </w:p>
        </w:tc>
        <w:tc>
          <w:tcPr>
            <w:tcW w:w="6622" w:type="dxa"/>
            <w:tcBorders>
              <w:top w:val="nil"/>
              <w:left w:val="nil"/>
              <w:bottom w:val="single" w:sz="4" w:space="0" w:color="auto"/>
              <w:right w:val="single" w:sz="4" w:space="0" w:color="auto"/>
            </w:tcBorders>
            <w:shd w:val="clear" w:color="000000" w:fill="D8D8D8"/>
            <w:vAlign w:val="bottom"/>
          </w:tcPr>
          <w:p w:rsidR="00E2336B" w:rsidRPr="005F5A73" w:rsidRDefault="00E2336B" w:rsidP="00E237EB">
            <w:pPr>
              <w:rPr>
                <w:rFonts w:ascii="MinionPro-Regular" w:hAnsi="MinionPro-Regular" w:cs="Calibri"/>
                <w:sz w:val="20"/>
                <w:lang w:val="es-ES_tradnl"/>
              </w:rPr>
            </w:pPr>
            <w:r w:rsidRPr="005F5A73">
              <w:rPr>
                <w:rFonts w:ascii="MinionPro-Regular" w:hAnsi="MinionPro-Regular" w:cs="Calibri"/>
                <w:sz w:val="20"/>
                <w:lang w:val="es-ES_tradnl"/>
              </w:rPr>
              <w:t>C) Entre 400 y 600 euros al mes</w:t>
            </w:r>
          </w:p>
        </w:tc>
      </w:tr>
      <w:tr w:rsidR="00E2336B" w:rsidRPr="005F5A73" w:rsidTr="0092566C">
        <w:trPr>
          <w:trHeight w:val="300"/>
        </w:trPr>
        <w:tc>
          <w:tcPr>
            <w:tcW w:w="350" w:type="dxa"/>
            <w:tcBorders>
              <w:top w:val="nil"/>
              <w:left w:val="single" w:sz="4" w:space="0" w:color="auto"/>
              <w:bottom w:val="nil"/>
              <w:right w:val="nil"/>
            </w:tcBorders>
            <w:shd w:val="clear" w:color="000000" w:fill="BFBFBF"/>
            <w:noWrap/>
            <w:vAlign w:val="bottom"/>
          </w:tcPr>
          <w:p w:rsidR="00E2336B" w:rsidRPr="005F5A73" w:rsidRDefault="00E2336B" w:rsidP="00E237EB">
            <w:pPr>
              <w:jc w:val="center"/>
              <w:rPr>
                <w:rFonts w:ascii="MinionPro-Regular" w:hAnsi="MinionPro-Regular" w:cs="Calibri"/>
                <w:color w:val="000000"/>
                <w:sz w:val="20"/>
                <w:lang w:val="es-ES_tradnl"/>
              </w:rPr>
            </w:pPr>
            <w:r w:rsidRPr="005F5A73">
              <w:rPr>
                <w:rFonts w:ascii="MinionPro-Regular" w:hAnsi="MinionPro-Regular" w:cs="Calibri"/>
                <w:color w:val="000000"/>
                <w:sz w:val="20"/>
                <w:lang w:val="es-ES_tradnl"/>
              </w:rPr>
              <w:t> </w:t>
            </w:r>
          </w:p>
        </w:tc>
        <w:tc>
          <w:tcPr>
            <w:tcW w:w="704" w:type="dxa"/>
            <w:tcBorders>
              <w:top w:val="nil"/>
              <w:left w:val="single" w:sz="4" w:space="0" w:color="auto"/>
              <w:bottom w:val="single" w:sz="4" w:space="0" w:color="auto"/>
              <w:right w:val="single" w:sz="4" w:space="0" w:color="auto"/>
            </w:tcBorders>
            <w:shd w:val="clear" w:color="000000" w:fill="FFFFFF"/>
            <w:noWrap/>
            <w:vAlign w:val="bottom"/>
          </w:tcPr>
          <w:p w:rsidR="00E2336B" w:rsidRPr="005F5A73" w:rsidRDefault="00E2336B" w:rsidP="00E237EB">
            <w:pPr>
              <w:rPr>
                <w:rFonts w:ascii="MinionPro-Regular" w:hAnsi="MinionPro-Regular" w:cs="Calibri"/>
                <w:color w:val="FF0000"/>
                <w:sz w:val="20"/>
                <w:lang w:val="es-ES_tradnl"/>
              </w:rPr>
            </w:pPr>
            <w:r w:rsidRPr="005F5A73">
              <w:rPr>
                <w:rFonts w:ascii="MinionPro-Regular" w:hAnsi="MinionPro-Regular" w:cs="Calibri"/>
                <w:color w:val="FF0000"/>
                <w:sz w:val="20"/>
                <w:lang w:val="es-ES_tradnl"/>
              </w:rPr>
              <w:t> </w:t>
            </w:r>
          </w:p>
        </w:tc>
        <w:tc>
          <w:tcPr>
            <w:tcW w:w="6622" w:type="dxa"/>
            <w:tcBorders>
              <w:top w:val="nil"/>
              <w:left w:val="nil"/>
              <w:bottom w:val="single" w:sz="4" w:space="0" w:color="auto"/>
              <w:right w:val="single" w:sz="4" w:space="0" w:color="auto"/>
            </w:tcBorders>
            <w:shd w:val="clear" w:color="000000" w:fill="D8D8D8"/>
            <w:vAlign w:val="bottom"/>
          </w:tcPr>
          <w:p w:rsidR="00E2336B" w:rsidRPr="005F5A73" w:rsidRDefault="00E2336B" w:rsidP="00E237EB">
            <w:pPr>
              <w:rPr>
                <w:rFonts w:ascii="MinionPro-Regular" w:hAnsi="MinionPro-Regular" w:cs="Calibri"/>
                <w:sz w:val="20"/>
                <w:lang w:val="es-ES_tradnl"/>
              </w:rPr>
            </w:pPr>
            <w:r w:rsidRPr="005F5A73">
              <w:rPr>
                <w:rFonts w:ascii="MinionPro-Regular" w:hAnsi="MinionPro-Regular" w:cs="Calibri"/>
                <w:sz w:val="20"/>
                <w:lang w:val="es-ES_tradnl"/>
              </w:rPr>
              <w:t>D) Entre 600 y 800 euros al mes</w:t>
            </w:r>
          </w:p>
        </w:tc>
      </w:tr>
      <w:tr w:rsidR="00E2336B" w:rsidRPr="005F5A73" w:rsidTr="0092566C">
        <w:trPr>
          <w:trHeight w:val="300"/>
        </w:trPr>
        <w:tc>
          <w:tcPr>
            <w:tcW w:w="350" w:type="dxa"/>
            <w:tcBorders>
              <w:top w:val="nil"/>
              <w:left w:val="single" w:sz="4" w:space="0" w:color="auto"/>
              <w:bottom w:val="nil"/>
              <w:right w:val="nil"/>
            </w:tcBorders>
            <w:shd w:val="clear" w:color="000000" w:fill="BFBFBF"/>
            <w:noWrap/>
            <w:vAlign w:val="bottom"/>
          </w:tcPr>
          <w:p w:rsidR="00E2336B" w:rsidRPr="005F5A73" w:rsidRDefault="00E2336B" w:rsidP="00E237EB">
            <w:pPr>
              <w:jc w:val="center"/>
              <w:rPr>
                <w:rFonts w:ascii="MinionPro-Regular" w:hAnsi="MinionPro-Regular" w:cs="Calibri"/>
                <w:color w:val="000000"/>
                <w:sz w:val="20"/>
                <w:lang w:val="es-ES_tradnl"/>
              </w:rPr>
            </w:pPr>
            <w:r w:rsidRPr="005F5A73">
              <w:rPr>
                <w:rFonts w:ascii="MinionPro-Regular" w:hAnsi="MinionPro-Regular" w:cs="Calibri"/>
                <w:color w:val="000000"/>
                <w:sz w:val="20"/>
                <w:lang w:val="es-ES_tradnl"/>
              </w:rPr>
              <w:t> </w:t>
            </w:r>
          </w:p>
        </w:tc>
        <w:tc>
          <w:tcPr>
            <w:tcW w:w="704" w:type="dxa"/>
            <w:tcBorders>
              <w:top w:val="nil"/>
              <w:left w:val="single" w:sz="4" w:space="0" w:color="auto"/>
              <w:bottom w:val="single" w:sz="4" w:space="0" w:color="auto"/>
              <w:right w:val="single" w:sz="4" w:space="0" w:color="auto"/>
            </w:tcBorders>
            <w:shd w:val="clear" w:color="000000" w:fill="FFFFFF"/>
            <w:noWrap/>
            <w:vAlign w:val="bottom"/>
          </w:tcPr>
          <w:p w:rsidR="00E2336B" w:rsidRPr="005F5A73" w:rsidRDefault="00E2336B" w:rsidP="00E237EB">
            <w:pPr>
              <w:rPr>
                <w:rFonts w:ascii="MinionPro-Regular" w:hAnsi="MinionPro-Regular" w:cs="Calibri"/>
                <w:color w:val="FF0000"/>
                <w:sz w:val="20"/>
                <w:lang w:val="es-ES_tradnl"/>
              </w:rPr>
            </w:pPr>
            <w:r w:rsidRPr="005F5A73">
              <w:rPr>
                <w:rFonts w:ascii="MinionPro-Regular" w:hAnsi="MinionPro-Regular" w:cs="Calibri"/>
                <w:color w:val="FF0000"/>
                <w:sz w:val="20"/>
                <w:lang w:val="es-ES_tradnl"/>
              </w:rPr>
              <w:t> </w:t>
            </w:r>
          </w:p>
        </w:tc>
        <w:tc>
          <w:tcPr>
            <w:tcW w:w="6622" w:type="dxa"/>
            <w:tcBorders>
              <w:top w:val="nil"/>
              <w:left w:val="nil"/>
              <w:bottom w:val="single" w:sz="4" w:space="0" w:color="auto"/>
              <w:right w:val="single" w:sz="4" w:space="0" w:color="auto"/>
            </w:tcBorders>
            <w:shd w:val="clear" w:color="000000" w:fill="D8D8D8"/>
            <w:vAlign w:val="bottom"/>
          </w:tcPr>
          <w:p w:rsidR="00E2336B" w:rsidRPr="005F5A73" w:rsidRDefault="00E2336B" w:rsidP="00E237EB">
            <w:pPr>
              <w:rPr>
                <w:rFonts w:ascii="MinionPro-Regular" w:hAnsi="MinionPro-Regular" w:cs="Calibri"/>
                <w:sz w:val="20"/>
                <w:lang w:val="es-ES_tradnl"/>
              </w:rPr>
            </w:pPr>
            <w:r w:rsidRPr="005F5A73">
              <w:rPr>
                <w:rFonts w:ascii="MinionPro-Regular" w:hAnsi="MinionPro-Regular" w:cs="Calibri"/>
                <w:sz w:val="20"/>
                <w:lang w:val="es-ES_tradnl"/>
              </w:rPr>
              <w:t>E) Entre 800 y 1.000 euros al mes</w:t>
            </w:r>
          </w:p>
        </w:tc>
      </w:tr>
      <w:tr w:rsidR="00E2336B" w:rsidRPr="005F5A73" w:rsidTr="0092566C">
        <w:trPr>
          <w:trHeight w:val="300"/>
        </w:trPr>
        <w:tc>
          <w:tcPr>
            <w:tcW w:w="350" w:type="dxa"/>
            <w:tcBorders>
              <w:top w:val="nil"/>
              <w:left w:val="single" w:sz="4" w:space="0" w:color="auto"/>
              <w:bottom w:val="nil"/>
              <w:right w:val="nil"/>
            </w:tcBorders>
            <w:shd w:val="clear" w:color="000000" w:fill="BFBFBF"/>
            <w:noWrap/>
            <w:vAlign w:val="bottom"/>
          </w:tcPr>
          <w:p w:rsidR="00E2336B" w:rsidRPr="005F5A73" w:rsidRDefault="00E2336B" w:rsidP="00E237EB">
            <w:pPr>
              <w:jc w:val="center"/>
              <w:rPr>
                <w:rFonts w:ascii="MinionPro-Regular" w:hAnsi="MinionPro-Regular" w:cs="Calibri"/>
                <w:color w:val="000000"/>
                <w:sz w:val="20"/>
                <w:lang w:val="es-ES_tradnl"/>
              </w:rPr>
            </w:pPr>
            <w:r w:rsidRPr="005F5A73">
              <w:rPr>
                <w:rFonts w:ascii="MinionPro-Regular" w:hAnsi="MinionPro-Regular" w:cs="Calibri"/>
                <w:color w:val="000000"/>
                <w:sz w:val="20"/>
                <w:lang w:val="es-ES_tradnl"/>
              </w:rPr>
              <w:t> </w:t>
            </w:r>
          </w:p>
        </w:tc>
        <w:tc>
          <w:tcPr>
            <w:tcW w:w="704" w:type="dxa"/>
            <w:tcBorders>
              <w:top w:val="nil"/>
              <w:left w:val="single" w:sz="4" w:space="0" w:color="auto"/>
              <w:bottom w:val="single" w:sz="4" w:space="0" w:color="auto"/>
              <w:right w:val="single" w:sz="4" w:space="0" w:color="auto"/>
            </w:tcBorders>
            <w:shd w:val="clear" w:color="000000" w:fill="FFFFFF"/>
            <w:noWrap/>
            <w:vAlign w:val="bottom"/>
          </w:tcPr>
          <w:p w:rsidR="00E2336B" w:rsidRPr="005F5A73" w:rsidRDefault="00E2336B" w:rsidP="00E237EB">
            <w:pPr>
              <w:rPr>
                <w:rFonts w:ascii="MinionPro-Regular" w:hAnsi="MinionPro-Regular" w:cs="Calibri"/>
                <w:color w:val="FF0000"/>
                <w:sz w:val="20"/>
                <w:lang w:val="es-ES_tradnl"/>
              </w:rPr>
            </w:pPr>
            <w:r w:rsidRPr="005F5A73">
              <w:rPr>
                <w:rFonts w:ascii="MinionPro-Regular" w:hAnsi="MinionPro-Regular" w:cs="Calibri"/>
                <w:color w:val="FF0000"/>
                <w:sz w:val="20"/>
                <w:lang w:val="es-ES_tradnl"/>
              </w:rPr>
              <w:t> </w:t>
            </w:r>
          </w:p>
        </w:tc>
        <w:tc>
          <w:tcPr>
            <w:tcW w:w="6622" w:type="dxa"/>
            <w:tcBorders>
              <w:top w:val="nil"/>
              <w:left w:val="nil"/>
              <w:bottom w:val="single" w:sz="4" w:space="0" w:color="auto"/>
              <w:right w:val="single" w:sz="4" w:space="0" w:color="auto"/>
            </w:tcBorders>
            <w:shd w:val="clear" w:color="000000" w:fill="D8D8D8"/>
            <w:vAlign w:val="bottom"/>
          </w:tcPr>
          <w:p w:rsidR="00E2336B" w:rsidRPr="005F5A73" w:rsidRDefault="00E2336B" w:rsidP="00E237EB">
            <w:pPr>
              <w:rPr>
                <w:rFonts w:ascii="MinionPro-Regular" w:hAnsi="MinionPro-Regular" w:cs="Calibri"/>
                <w:sz w:val="20"/>
                <w:lang w:val="es-ES_tradnl"/>
              </w:rPr>
            </w:pPr>
            <w:r w:rsidRPr="005F5A73">
              <w:rPr>
                <w:rFonts w:ascii="MinionPro-Regular" w:hAnsi="MinionPro-Regular" w:cs="Calibri"/>
                <w:sz w:val="20"/>
                <w:lang w:val="es-ES_tradnl"/>
              </w:rPr>
              <w:t>F) Entre 1.000 y 1.500 euros al mes</w:t>
            </w:r>
          </w:p>
        </w:tc>
      </w:tr>
      <w:tr w:rsidR="00E2336B" w:rsidRPr="005F5A73" w:rsidTr="0092566C">
        <w:trPr>
          <w:trHeight w:val="300"/>
        </w:trPr>
        <w:tc>
          <w:tcPr>
            <w:tcW w:w="350" w:type="dxa"/>
            <w:tcBorders>
              <w:top w:val="nil"/>
              <w:left w:val="single" w:sz="4" w:space="0" w:color="auto"/>
              <w:bottom w:val="nil"/>
              <w:right w:val="nil"/>
            </w:tcBorders>
            <w:shd w:val="clear" w:color="000000" w:fill="BFBFBF"/>
            <w:noWrap/>
            <w:vAlign w:val="bottom"/>
          </w:tcPr>
          <w:p w:rsidR="00E2336B" w:rsidRPr="005F5A73" w:rsidRDefault="00E2336B" w:rsidP="00E237EB">
            <w:pPr>
              <w:jc w:val="center"/>
              <w:rPr>
                <w:rFonts w:ascii="MinionPro-Regular" w:hAnsi="MinionPro-Regular" w:cs="Calibri"/>
                <w:color w:val="000000"/>
                <w:sz w:val="20"/>
                <w:lang w:val="es-ES_tradnl"/>
              </w:rPr>
            </w:pPr>
            <w:r w:rsidRPr="005F5A73">
              <w:rPr>
                <w:rFonts w:ascii="MinionPro-Regular" w:hAnsi="MinionPro-Regular" w:cs="Calibri"/>
                <w:color w:val="000000"/>
                <w:sz w:val="20"/>
                <w:lang w:val="es-ES_tradnl"/>
              </w:rPr>
              <w:t> </w:t>
            </w:r>
          </w:p>
        </w:tc>
        <w:tc>
          <w:tcPr>
            <w:tcW w:w="704" w:type="dxa"/>
            <w:tcBorders>
              <w:top w:val="nil"/>
              <w:left w:val="single" w:sz="4" w:space="0" w:color="auto"/>
              <w:bottom w:val="single" w:sz="4" w:space="0" w:color="auto"/>
              <w:right w:val="single" w:sz="4" w:space="0" w:color="auto"/>
            </w:tcBorders>
            <w:shd w:val="clear" w:color="000000" w:fill="FFFFFF"/>
            <w:noWrap/>
            <w:vAlign w:val="bottom"/>
          </w:tcPr>
          <w:p w:rsidR="00E2336B" w:rsidRPr="005F5A73" w:rsidRDefault="00E2336B" w:rsidP="00E237EB">
            <w:pPr>
              <w:rPr>
                <w:rFonts w:ascii="MinionPro-Regular" w:hAnsi="MinionPro-Regular" w:cs="Calibri"/>
                <w:color w:val="FF0000"/>
                <w:sz w:val="20"/>
                <w:lang w:val="es-ES_tradnl"/>
              </w:rPr>
            </w:pPr>
            <w:r w:rsidRPr="005F5A73">
              <w:rPr>
                <w:rFonts w:ascii="MinionPro-Regular" w:hAnsi="MinionPro-Regular" w:cs="Calibri"/>
                <w:color w:val="FF0000"/>
                <w:sz w:val="20"/>
                <w:lang w:val="es-ES_tradnl"/>
              </w:rPr>
              <w:t> </w:t>
            </w:r>
          </w:p>
        </w:tc>
        <w:tc>
          <w:tcPr>
            <w:tcW w:w="6622" w:type="dxa"/>
            <w:tcBorders>
              <w:top w:val="nil"/>
              <w:left w:val="nil"/>
              <w:bottom w:val="single" w:sz="4" w:space="0" w:color="auto"/>
              <w:right w:val="single" w:sz="4" w:space="0" w:color="auto"/>
            </w:tcBorders>
            <w:shd w:val="clear" w:color="000000" w:fill="D8D8D8"/>
            <w:vAlign w:val="bottom"/>
          </w:tcPr>
          <w:p w:rsidR="00E2336B" w:rsidRPr="005F5A73" w:rsidRDefault="00E2336B" w:rsidP="00E237EB">
            <w:pPr>
              <w:rPr>
                <w:rFonts w:ascii="MinionPro-Regular" w:hAnsi="MinionPro-Regular" w:cs="Calibri"/>
                <w:sz w:val="20"/>
                <w:lang w:val="es-ES_tradnl"/>
              </w:rPr>
            </w:pPr>
            <w:r w:rsidRPr="005F5A73">
              <w:rPr>
                <w:rFonts w:ascii="MinionPro-Regular" w:hAnsi="MinionPro-Regular" w:cs="Calibri"/>
                <w:sz w:val="20"/>
                <w:lang w:val="es-ES_tradnl"/>
              </w:rPr>
              <w:t>G) Más de 1.500 euros al mes</w:t>
            </w:r>
          </w:p>
        </w:tc>
      </w:tr>
      <w:tr w:rsidR="00E2336B" w:rsidRPr="005F5A73" w:rsidTr="0092566C">
        <w:trPr>
          <w:trHeight w:val="180"/>
        </w:trPr>
        <w:tc>
          <w:tcPr>
            <w:tcW w:w="350" w:type="dxa"/>
            <w:tcBorders>
              <w:top w:val="nil"/>
              <w:left w:val="single" w:sz="4" w:space="0" w:color="auto"/>
              <w:bottom w:val="nil"/>
              <w:right w:val="nil"/>
            </w:tcBorders>
            <w:shd w:val="clear" w:color="000000" w:fill="BFBFBF"/>
            <w:noWrap/>
            <w:vAlign w:val="bottom"/>
          </w:tcPr>
          <w:p w:rsidR="00E2336B" w:rsidRPr="005F5A73" w:rsidRDefault="00E2336B" w:rsidP="00E237EB">
            <w:pPr>
              <w:jc w:val="center"/>
              <w:rPr>
                <w:rFonts w:ascii="MinionPro-Regular" w:hAnsi="MinionPro-Regular" w:cs="Calibri"/>
                <w:color w:val="000000"/>
                <w:sz w:val="20"/>
                <w:lang w:val="es-ES_tradnl"/>
              </w:rPr>
            </w:pPr>
            <w:r w:rsidRPr="005F5A73">
              <w:rPr>
                <w:rFonts w:ascii="MinionPro-Regular" w:hAnsi="MinionPro-Regular" w:cs="Calibri"/>
                <w:color w:val="000000"/>
                <w:sz w:val="20"/>
                <w:lang w:val="es-ES_tradnl"/>
              </w:rPr>
              <w:lastRenderedPageBreak/>
              <w:t> </w:t>
            </w:r>
          </w:p>
        </w:tc>
        <w:tc>
          <w:tcPr>
            <w:tcW w:w="704" w:type="dxa"/>
            <w:tcBorders>
              <w:top w:val="nil"/>
              <w:left w:val="nil"/>
              <w:bottom w:val="nil"/>
              <w:right w:val="nil"/>
            </w:tcBorders>
            <w:shd w:val="clear" w:color="000000" w:fill="BFBFBF"/>
            <w:noWrap/>
            <w:vAlign w:val="bottom"/>
          </w:tcPr>
          <w:p w:rsidR="00E2336B" w:rsidRPr="005F5A73" w:rsidRDefault="00E2336B" w:rsidP="00E237EB">
            <w:pPr>
              <w:rPr>
                <w:rFonts w:ascii="MinionPro-Regular" w:hAnsi="MinionPro-Regular" w:cs="Calibri"/>
                <w:color w:val="000000"/>
                <w:sz w:val="20"/>
                <w:lang w:val="es-ES_tradnl"/>
              </w:rPr>
            </w:pPr>
            <w:r w:rsidRPr="005F5A73">
              <w:rPr>
                <w:rFonts w:ascii="MinionPro-Regular" w:hAnsi="MinionPro-Regular" w:cs="Calibri"/>
                <w:color w:val="000000"/>
                <w:sz w:val="20"/>
                <w:lang w:val="es-ES_tradnl"/>
              </w:rPr>
              <w:t> </w:t>
            </w:r>
          </w:p>
        </w:tc>
        <w:tc>
          <w:tcPr>
            <w:tcW w:w="6622" w:type="dxa"/>
            <w:tcBorders>
              <w:top w:val="nil"/>
              <w:left w:val="nil"/>
              <w:bottom w:val="nil"/>
              <w:right w:val="single" w:sz="4" w:space="0" w:color="auto"/>
            </w:tcBorders>
            <w:shd w:val="clear" w:color="000000" w:fill="BFBFBF"/>
            <w:noWrap/>
            <w:vAlign w:val="bottom"/>
          </w:tcPr>
          <w:p w:rsidR="00E2336B" w:rsidRPr="005F5A73" w:rsidRDefault="00E2336B" w:rsidP="00E237EB">
            <w:pPr>
              <w:rPr>
                <w:rFonts w:ascii="MinionPro-Regular" w:hAnsi="MinionPro-Regular" w:cs="Calibri"/>
                <w:color w:val="000000"/>
                <w:sz w:val="20"/>
                <w:lang w:val="es-ES_tradnl"/>
              </w:rPr>
            </w:pPr>
            <w:r w:rsidRPr="005F5A73">
              <w:rPr>
                <w:rFonts w:ascii="MinionPro-Regular" w:hAnsi="MinionPro-Regular" w:cs="Calibri"/>
                <w:color w:val="000000"/>
                <w:sz w:val="20"/>
                <w:lang w:val="es-ES_tradnl"/>
              </w:rPr>
              <w:t> </w:t>
            </w:r>
          </w:p>
        </w:tc>
      </w:tr>
      <w:tr w:rsidR="00E2336B" w:rsidRPr="005F5A73" w:rsidTr="0092566C">
        <w:trPr>
          <w:trHeight w:val="300"/>
        </w:trPr>
        <w:tc>
          <w:tcPr>
            <w:tcW w:w="350" w:type="dxa"/>
            <w:tcBorders>
              <w:top w:val="single" w:sz="4" w:space="0" w:color="auto"/>
              <w:left w:val="single" w:sz="4" w:space="0" w:color="auto"/>
              <w:bottom w:val="single" w:sz="4" w:space="0" w:color="auto"/>
              <w:right w:val="single" w:sz="4" w:space="0" w:color="auto"/>
            </w:tcBorders>
            <w:shd w:val="clear" w:color="000000" w:fill="A5A5A5"/>
            <w:noWrap/>
            <w:vAlign w:val="bottom"/>
          </w:tcPr>
          <w:p w:rsidR="00E2336B" w:rsidRPr="005F5A73" w:rsidRDefault="00E2336B" w:rsidP="00E237EB">
            <w:pPr>
              <w:jc w:val="center"/>
              <w:rPr>
                <w:rFonts w:ascii="MinionPro-Regular" w:hAnsi="MinionPro-Regular" w:cs="Calibri"/>
                <w:color w:val="000000"/>
                <w:sz w:val="20"/>
                <w:lang w:val="en-US"/>
              </w:rPr>
            </w:pPr>
            <w:r w:rsidRPr="005F5A73">
              <w:rPr>
                <w:rFonts w:ascii="MinionPro-Regular" w:hAnsi="MinionPro-Regular" w:cs="Calibri"/>
                <w:color w:val="000000"/>
                <w:sz w:val="20"/>
                <w:lang w:val="en-US"/>
              </w:rPr>
              <w:t>C</w:t>
            </w:r>
          </w:p>
        </w:tc>
        <w:tc>
          <w:tcPr>
            <w:tcW w:w="7326" w:type="dxa"/>
            <w:gridSpan w:val="2"/>
            <w:tcBorders>
              <w:top w:val="nil"/>
              <w:left w:val="nil"/>
              <w:bottom w:val="nil"/>
              <w:right w:val="single" w:sz="4" w:space="0" w:color="auto"/>
            </w:tcBorders>
            <w:shd w:val="clear" w:color="000000" w:fill="BFBFBF"/>
            <w:noWrap/>
            <w:vAlign w:val="bottom"/>
          </w:tcPr>
          <w:p w:rsidR="00E2336B" w:rsidRPr="005F5A73" w:rsidRDefault="00E2336B" w:rsidP="00E237EB">
            <w:pPr>
              <w:rPr>
                <w:rFonts w:ascii="MinionPro-Regular" w:hAnsi="MinionPro-Regular" w:cs="Calibri"/>
                <w:color w:val="000000"/>
                <w:sz w:val="20"/>
                <w:lang w:val="es-ES_tradnl"/>
              </w:rPr>
            </w:pPr>
            <w:r w:rsidRPr="005F5A73">
              <w:rPr>
                <w:rFonts w:ascii="MinionPro-Regular" w:hAnsi="MinionPro-Regular" w:cs="Calibri"/>
                <w:color w:val="000000"/>
                <w:sz w:val="20"/>
                <w:lang w:val="es-ES_tradnl"/>
              </w:rPr>
              <w:t>2.15. Con el dinero que te pagan…</w:t>
            </w:r>
          </w:p>
        </w:tc>
      </w:tr>
      <w:tr w:rsidR="00E2336B" w:rsidRPr="005F5A73" w:rsidTr="0092566C">
        <w:trPr>
          <w:trHeight w:val="300"/>
        </w:trPr>
        <w:tc>
          <w:tcPr>
            <w:tcW w:w="350" w:type="dxa"/>
            <w:tcBorders>
              <w:top w:val="nil"/>
              <w:left w:val="single" w:sz="4" w:space="0" w:color="auto"/>
              <w:bottom w:val="nil"/>
              <w:right w:val="nil"/>
            </w:tcBorders>
            <w:shd w:val="clear" w:color="000000" w:fill="BFBFBF"/>
            <w:noWrap/>
            <w:vAlign w:val="bottom"/>
          </w:tcPr>
          <w:p w:rsidR="00E2336B" w:rsidRPr="005F5A73" w:rsidRDefault="00E2336B" w:rsidP="00E237EB">
            <w:pPr>
              <w:jc w:val="center"/>
              <w:rPr>
                <w:rFonts w:ascii="MinionPro-Regular" w:hAnsi="MinionPro-Regular" w:cs="Calibri"/>
                <w:color w:val="000000"/>
                <w:sz w:val="20"/>
                <w:lang w:val="es-ES_tradnl"/>
              </w:rPr>
            </w:pPr>
            <w:r w:rsidRPr="005F5A73">
              <w:rPr>
                <w:rFonts w:ascii="MinionPro-Regular" w:hAnsi="MinionPro-Regular" w:cs="Calibri"/>
                <w:color w:val="000000"/>
                <w:sz w:val="20"/>
                <w:lang w:val="es-ES_tradnl"/>
              </w:rPr>
              <w:t> </w:t>
            </w:r>
          </w:p>
        </w:tc>
        <w:tc>
          <w:tcPr>
            <w:tcW w:w="704"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E2336B" w:rsidRPr="005F5A73" w:rsidRDefault="00E2336B" w:rsidP="00E237EB">
            <w:pPr>
              <w:rPr>
                <w:rFonts w:ascii="MinionPro-Regular" w:hAnsi="MinionPro-Regular" w:cs="Calibri"/>
                <w:color w:val="000000"/>
                <w:sz w:val="20"/>
                <w:lang w:val="es-ES_tradnl"/>
              </w:rPr>
            </w:pPr>
            <w:r w:rsidRPr="005F5A73">
              <w:rPr>
                <w:rFonts w:ascii="MinionPro-Regular" w:hAnsi="MinionPro-Regular" w:cs="Calibri"/>
                <w:color w:val="000000"/>
                <w:sz w:val="20"/>
                <w:lang w:val="es-ES_tradnl"/>
              </w:rPr>
              <w:t> </w:t>
            </w:r>
          </w:p>
        </w:tc>
        <w:tc>
          <w:tcPr>
            <w:tcW w:w="6622" w:type="dxa"/>
            <w:tcBorders>
              <w:top w:val="single" w:sz="4" w:space="0" w:color="auto"/>
              <w:left w:val="nil"/>
              <w:bottom w:val="single" w:sz="4" w:space="0" w:color="auto"/>
              <w:right w:val="single" w:sz="4" w:space="0" w:color="auto"/>
            </w:tcBorders>
            <w:shd w:val="clear" w:color="000000" w:fill="D8D8D8"/>
            <w:vAlign w:val="bottom"/>
          </w:tcPr>
          <w:p w:rsidR="00E2336B" w:rsidRPr="005F5A73" w:rsidRDefault="00E2336B" w:rsidP="00E237EB">
            <w:pPr>
              <w:rPr>
                <w:rFonts w:ascii="MinionPro-Regular" w:hAnsi="MinionPro-Regular" w:cs="Calibri"/>
                <w:color w:val="000000"/>
                <w:sz w:val="20"/>
                <w:lang w:val="es-ES_tradnl"/>
              </w:rPr>
            </w:pPr>
            <w:r w:rsidRPr="005F5A73">
              <w:rPr>
                <w:rFonts w:ascii="MinionPro-Regular" w:hAnsi="MinionPro-Regular" w:cs="Calibri"/>
                <w:color w:val="000000"/>
                <w:sz w:val="20"/>
                <w:lang w:val="es-ES_tradnl"/>
              </w:rPr>
              <w:t>A) Te lo administra otra persona</w:t>
            </w:r>
          </w:p>
        </w:tc>
      </w:tr>
      <w:tr w:rsidR="00E2336B" w:rsidRPr="005F5A73" w:rsidTr="0092566C">
        <w:trPr>
          <w:trHeight w:val="300"/>
        </w:trPr>
        <w:tc>
          <w:tcPr>
            <w:tcW w:w="350" w:type="dxa"/>
            <w:tcBorders>
              <w:top w:val="nil"/>
              <w:left w:val="single" w:sz="4" w:space="0" w:color="auto"/>
              <w:bottom w:val="nil"/>
              <w:right w:val="nil"/>
            </w:tcBorders>
            <w:shd w:val="clear" w:color="000000" w:fill="BFBFBF"/>
            <w:noWrap/>
            <w:vAlign w:val="bottom"/>
          </w:tcPr>
          <w:p w:rsidR="00E2336B" w:rsidRPr="005F5A73" w:rsidRDefault="00E2336B" w:rsidP="00E237EB">
            <w:pPr>
              <w:jc w:val="center"/>
              <w:rPr>
                <w:rFonts w:ascii="MinionPro-Regular" w:hAnsi="MinionPro-Regular" w:cs="Calibri"/>
                <w:color w:val="000000"/>
                <w:sz w:val="20"/>
                <w:lang w:val="es-ES_tradnl"/>
              </w:rPr>
            </w:pPr>
            <w:r w:rsidRPr="005F5A73">
              <w:rPr>
                <w:rFonts w:ascii="MinionPro-Regular" w:hAnsi="MinionPro-Regular" w:cs="Calibri"/>
                <w:color w:val="000000"/>
                <w:sz w:val="20"/>
                <w:lang w:val="es-ES_tradnl"/>
              </w:rPr>
              <w:t> </w:t>
            </w:r>
          </w:p>
        </w:tc>
        <w:tc>
          <w:tcPr>
            <w:tcW w:w="704" w:type="dxa"/>
            <w:tcBorders>
              <w:top w:val="nil"/>
              <w:left w:val="single" w:sz="4" w:space="0" w:color="auto"/>
              <w:bottom w:val="single" w:sz="4" w:space="0" w:color="auto"/>
              <w:right w:val="single" w:sz="4" w:space="0" w:color="auto"/>
            </w:tcBorders>
            <w:shd w:val="clear" w:color="000000" w:fill="FFFFFF"/>
            <w:noWrap/>
            <w:vAlign w:val="bottom"/>
          </w:tcPr>
          <w:p w:rsidR="00E2336B" w:rsidRPr="005F5A73" w:rsidRDefault="00E2336B" w:rsidP="00E237EB">
            <w:pPr>
              <w:rPr>
                <w:rFonts w:ascii="MinionPro-Regular" w:hAnsi="MinionPro-Regular" w:cs="Calibri"/>
                <w:color w:val="000000"/>
                <w:sz w:val="20"/>
                <w:lang w:val="es-ES_tradnl"/>
              </w:rPr>
            </w:pPr>
            <w:r w:rsidRPr="005F5A73">
              <w:rPr>
                <w:rFonts w:ascii="MinionPro-Regular" w:hAnsi="MinionPro-Regular" w:cs="Calibri"/>
                <w:color w:val="000000"/>
                <w:sz w:val="20"/>
                <w:lang w:val="es-ES_tradnl"/>
              </w:rPr>
              <w:t> </w:t>
            </w:r>
          </w:p>
        </w:tc>
        <w:tc>
          <w:tcPr>
            <w:tcW w:w="6622" w:type="dxa"/>
            <w:tcBorders>
              <w:top w:val="nil"/>
              <w:left w:val="nil"/>
              <w:bottom w:val="single" w:sz="4" w:space="0" w:color="auto"/>
              <w:right w:val="single" w:sz="4" w:space="0" w:color="auto"/>
            </w:tcBorders>
            <w:shd w:val="clear" w:color="000000" w:fill="D8D8D8"/>
            <w:vAlign w:val="bottom"/>
          </w:tcPr>
          <w:p w:rsidR="00E2336B" w:rsidRPr="005F5A73" w:rsidRDefault="00E2336B" w:rsidP="00E237EB">
            <w:pPr>
              <w:rPr>
                <w:rFonts w:ascii="MinionPro-Regular" w:hAnsi="MinionPro-Regular" w:cs="Calibri"/>
                <w:color w:val="000000"/>
                <w:sz w:val="20"/>
                <w:lang w:val="es-ES_tradnl"/>
              </w:rPr>
            </w:pPr>
            <w:r w:rsidRPr="005F5A73">
              <w:rPr>
                <w:rFonts w:ascii="MinionPro-Regular" w:hAnsi="MinionPro-Regular" w:cs="Calibri"/>
                <w:color w:val="000000"/>
                <w:sz w:val="20"/>
                <w:lang w:val="es-ES_tradnl"/>
              </w:rPr>
              <w:t>B) No cubres tus gastos</w:t>
            </w:r>
          </w:p>
        </w:tc>
      </w:tr>
      <w:tr w:rsidR="00E2336B" w:rsidRPr="005F5A73" w:rsidTr="0092566C">
        <w:trPr>
          <w:trHeight w:val="300"/>
        </w:trPr>
        <w:tc>
          <w:tcPr>
            <w:tcW w:w="350" w:type="dxa"/>
            <w:tcBorders>
              <w:top w:val="nil"/>
              <w:left w:val="single" w:sz="4" w:space="0" w:color="auto"/>
              <w:bottom w:val="nil"/>
              <w:right w:val="nil"/>
            </w:tcBorders>
            <w:shd w:val="clear" w:color="000000" w:fill="BFBFBF"/>
            <w:noWrap/>
            <w:vAlign w:val="bottom"/>
          </w:tcPr>
          <w:p w:rsidR="00E2336B" w:rsidRPr="005F5A73" w:rsidRDefault="00E2336B" w:rsidP="00E237EB">
            <w:pPr>
              <w:jc w:val="center"/>
              <w:rPr>
                <w:rFonts w:ascii="MinionPro-Regular" w:hAnsi="MinionPro-Regular" w:cs="Calibri"/>
                <w:color w:val="000000"/>
                <w:sz w:val="20"/>
                <w:lang w:val="es-ES_tradnl"/>
              </w:rPr>
            </w:pPr>
            <w:r w:rsidRPr="005F5A73">
              <w:rPr>
                <w:rFonts w:ascii="MinionPro-Regular" w:hAnsi="MinionPro-Regular" w:cs="Calibri"/>
                <w:color w:val="000000"/>
                <w:sz w:val="20"/>
                <w:lang w:val="es-ES_tradnl"/>
              </w:rPr>
              <w:t> </w:t>
            </w:r>
          </w:p>
        </w:tc>
        <w:tc>
          <w:tcPr>
            <w:tcW w:w="704" w:type="dxa"/>
            <w:tcBorders>
              <w:top w:val="nil"/>
              <w:left w:val="single" w:sz="4" w:space="0" w:color="auto"/>
              <w:bottom w:val="single" w:sz="4" w:space="0" w:color="auto"/>
              <w:right w:val="single" w:sz="4" w:space="0" w:color="auto"/>
            </w:tcBorders>
            <w:shd w:val="clear" w:color="000000" w:fill="FFFFFF"/>
            <w:noWrap/>
            <w:vAlign w:val="bottom"/>
          </w:tcPr>
          <w:p w:rsidR="00E2336B" w:rsidRPr="005F5A73" w:rsidRDefault="00E2336B" w:rsidP="00E237EB">
            <w:pPr>
              <w:rPr>
                <w:rFonts w:ascii="MinionPro-Regular" w:hAnsi="MinionPro-Regular" w:cs="Calibri"/>
                <w:color w:val="000000"/>
                <w:sz w:val="20"/>
                <w:lang w:val="es-ES_tradnl"/>
              </w:rPr>
            </w:pPr>
            <w:r w:rsidRPr="005F5A73">
              <w:rPr>
                <w:rFonts w:ascii="MinionPro-Regular" w:hAnsi="MinionPro-Regular" w:cs="Calibri"/>
                <w:color w:val="000000"/>
                <w:sz w:val="20"/>
                <w:lang w:val="es-ES_tradnl"/>
              </w:rPr>
              <w:t> </w:t>
            </w:r>
          </w:p>
        </w:tc>
        <w:tc>
          <w:tcPr>
            <w:tcW w:w="6622" w:type="dxa"/>
            <w:tcBorders>
              <w:top w:val="nil"/>
              <w:left w:val="nil"/>
              <w:bottom w:val="single" w:sz="4" w:space="0" w:color="auto"/>
              <w:right w:val="single" w:sz="4" w:space="0" w:color="auto"/>
            </w:tcBorders>
            <w:shd w:val="clear" w:color="000000" w:fill="D8D8D8"/>
            <w:vAlign w:val="bottom"/>
          </w:tcPr>
          <w:p w:rsidR="00E2336B" w:rsidRPr="005F5A73" w:rsidRDefault="00E2336B" w:rsidP="00E237EB">
            <w:pPr>
              <w:rPr>
                <w:rFonts w:ascii="MinionPro-Regular" w:hAnsi="MinionPro-Regular" w:cs="Calibri"/>
                <w:color w:val="000000"/>
                <w:sz w:val="20"/>
                <w:lang w:val="es-ES_tradnl"/>
              </w:rPr>
            </w:pPr>
            <w:r w:rsidRPr="005F5A73">
              <w:rPr>
                <w:rFonts w:ascii="MinionPro-Regular" w:hAnsi="MinionPro-Regular" w:cs="Calibri"/>
                <w:color w:val="000000"/>
                <w:sz w:val="20"/>
                <w:lang w:val="es-ES_tradnl"/>
              </w:rPr>
              <w:t>C) Cubres tus gastos básicos</w:t>
            </w:r>
          </w:p>
        </w:tc>
      </w:tr>
      <w:tr w:rsidR="00E2336B" w:rsidRPr="005F5A73" w:rsidTr="0092566C">
        <w:trPr>
          <w:trHeight w:val="300"/>
        </w:trPr>
        <w:tc>
          <w:tcPr>
            <w:tcW w:w="350" w:type="dxa"/>
            <w:tcBorders>
              <w:top w:val="nil"/>
              <w:left w:val="single" w:sz="4" w:space="0" w:color="auto"/>
              <w:bottom w:val="nil"/>
              <w:right w:val="nil"/>
            </w:tcBorders>
            <w:shd w:val="clear" w:color="000000" w:fill="BFBFBF"/>
            <w:noWrap/>
            <w:vAlign w:val="bottom"/>
          </w:tcPr>
          <w:p w:rsidR="00E2336B" w:rsidRPr="005F5A73" w:rsidRDefault="00E2336B" w:rsidP="00E237EB">
            <w:pPr>
              <w:jc w:val="center"/>
              <w:rPr>
                <w:rFonts w:ascii="MinionPro-Regular" w:hAnsi="MinionPro-Regular" w:cs="Calibri"/>
                <w:color w:val="000000"/>
                <w:sz w:val="20"/>
                <w:lang w:val="es-ES_tradnl"/>
              </w:rPr>
            </w:pPr>
            <w:r w:rsidRPr="005F5A73">
              <w:rPr>
                <w:rFonts w:ascii="MinionPro-Regular" w:hAnsi="MinionPro-Regular" w:cs="Calibri"/>
                <w:color w:val="000000"/>
                <w:sz w:val="20"/>
                <w:lang w:val="es-ES_tradnl"/>
              </w:rPr>
              <w:t> </w:t>
            </w:r>
          </w:p>
        </w:tc>
        <w:tc>
          <w:tcPr>
            <w:tcW w:w="704" w:type="dxa"/>
            <w:tcBorders>
              <w:top w:val="nil"/>
              <w:left w:val="single" w:sz="4" w:space="0" w:color="auto"/>
              <w:bottom w:val="single" w:sz="4" w:space="0" w:color="auto"/>
              <w:right w:val="single" w:sz="4" w:space="0" w:color="auto"/>
            </w:tcBorders>
            <w:shd w:val="clear" w:color="000000" w:fill="FFFFFF"/>
            <w:noWrap/>
            <w:vAlign w:val="bottom"/>
          </w:tcPr>
          <w:p w:rsidR="00E2336B" w:rsidRPr="005F5A73" w:rsidRDefault="00E2336B" w:rsidP="00E237EB">
            <w:pPr>
              <w:rPr>
                <w:rFonts w:ascii="MinionPro-Regular" w:hAnsi="MinionPro-Regular" w:cs="Calibri"/>
                <w:color w:val="000000"/>
                <w:sz w:val="20"/>
                <w:lang w:val="es-ES_tradnl"/>
              </w:rPr>
            </w:pPr>
            <w:r w:rsidRPr="005F5A73">
              <w:rPr>
                <w:rFonts w:ascii="MinionPro-Regular" w:hAnsi="MinionPro-Regular" w:cs="Calibri"/>
                <w:color w:val="000000"/>
                <w:sz w:val="20"/>
                <w:lang w:val="es-ES_tradnl"/>
              </w:rPr>
              <w:t> </w:t>
            </w:r>
          </w:p>
        </w:tc>
        <w:tc>
          <w:tcPr>
            <w:tcW w:w="6622" w:type="dxa"/>
            <w:tcBorders>
              <w:top w:val="nil"/>
              <w:left w:val="nil"/>
              <w:bottom w:val="single" w:sz="4" w:space="0" w:color="auto"/>
              <w:right w:val="single" w:sz="4" w:space="0" w:color="auto"/>
            </w:tcBorders>
            <w:shd w:val="clear" w:color="000000" w:fill="D8D8D8"/>
            <w:vAlign w:val="bottom"/>
          </w:tcPr>
          <w:p w:rsidR="00E2336B" w:rsidRPr="005F5A73" w:rsidRDefault="00E2336B" w:rsidP="00E237EB">
            <w:pPr>
              <w:rPr>
                <w:rFonts w:ascii="MinionPro-Regular" w:hAnsi="MinionPro-Regular" w:cs="Calibri"/>
                <w:color w:val="000000"/>
                <w:sz w:val="20"/>
                <w:lang w:val="es-ES_tradnl"/>
              </w:rPr>
            </w:pPr>
            <w:r w:rsidRPr="005F5A73">
              <w:rPr>
                <w:rFonts w:ascii="MinionPro-Regular" w:hAnsi="MinionPro-Regular" w:cs="Calibri"/>
                <w:color w:val="000000"/>
                <w:sz w:val="20"/>
                <w:lang w:val="es-ES_tradnl"/>
              </w:rPr>
              <w:t>C) Cubres tus gastos y tu ocio</w:t>
            </w:r>
          </w:p>
        </w:tc>
      </w:tr>
      <w:tr w:rsidR="00E2336B" w:rsidRPr="005F5A73" w:rsidTr="0092566C">
        <w:trPr>
          <w:trHeight w:val="300"/>
        </w:trPr>
        <w:tc>
          <w:tcPr>
            <w:tcW w:w="350" w:type="dxa"/>
            <w:tcBorders>
              <w:top w:val="nil"/>
              <w:left w:val="single" w:sz="4" w:space="0" w:color="auto"/>
              <w:bottom w:val="nil"/>
              <w:right w:val="nil"/>
            </w:tcBorders>
            <w:shd w:val="clear" w:color="000000" w:fill="BFBFBF"/>
            <w:noWrap/>
            <w:vAlign w:val="bottom"/>
          </w:tcPr>
          <w:p w:rsidR="00E2336B" w:rsidRPr="005F5A73" w:rsidRDefault="00E2336B" w:rsidP="00E237EB">
            <w:pPr>
              <w:jc w:val="center"/>
              <w:rPr>
                <w:rFonts w:ascii="MinionPro-Regular" w:hAnsi="MinionPro-Regular" w:cs="Calibri"/>
                <w:color w:val="000000"/>
                <w:sz w:val="20"/>
                <w:lang w:val="es-ES_tradnl"/>
              </w:rPr>
            </w:pPr>
            <w:r w:rsidRPr="005F5A73">
              <w:rPr>
                <w:rFonts w:ascii="MinionPro-Regular" w:hAnsi="MinionPro-Regular" w:cs="Calibri"/>
                <w:color w:val="000000"/>
                <w:sz w:val="20"/>
                <w:lang w:val="es-ES_tradnl"/>
              </w:rPr>
              <w:t> </w:t>
            </w:r>
          </w:p>
        </w:tc>
        <w:tc>
          <w:tcPr>
            <w:tcW w:w="704" w:type="dxa"/>
            <w:tcBorders>
              <w:top w:val="nil"/>
              <w:left w:val="single" w:sz="4" w:space="0" w:color="auto"/>
              <w:bottom w:val="single" w:sz="4" w:space="0" w:color="auto"/>
              <w:right w:val="single" w:sz="4" w:space="0" w:color="auto"/>
            </w:tcBorders>
            <w:shd w:val="clear" w:color="000000" w:fill="FFFFFF"/>
            <w:noWrap/>
            <w:vAlign w:val="bottom"/>
          </w:tcPr>
          <w:p w:rsidR="00E2336B" w:rsidRPr="005F5A73" w:rsidRDefault="00E2336B" w:rsidP="00E237EB">
            <w:pPr>
              <w:rPr>
                <w:rFonts w:ascii="MinionPro-Regular" w:hAnsi="MinionPro-Regular" w:cs="Calibri"/>
                <w:color w:val="000000"/>
                <w:sz w:val="20"/>
                <w:lang w:val="es-ES_tradnl"/>
              </w:rPr>
            </w:pPr>
            <w:r w:rsidRPr="005F5A73">
              <w:rPr>
                <w:rFonts w:ascii="MinionPro-Regular" w:hAnsi="MinionPro-Regular" w:cs="Calibri"/>
                <w:color w:val="000000"/>
                <w:sz w:val="20"/>
                <w:lang w:val="es-ES_tradnl"/>
              </w:rPr>
              <w:t> </w:t>
            </w:r>
          </w:p>
        </w:tc>
        <w:tc>
          <w:tcPr>
            <w:tcW w:w="6622" w:type="dxa"/>
            <w:tcBorders>
              <w:top w:val="nil"/>
              <w:left w:val="nil"/>
              <w:bottom w:val="single" w:sz="4" w:space="0" w:color="auto"/>
              <w:right w:val="single" w:sz="4" w:space="0" w:color="auto"/>
            </w:tcBorders>
            <w:shd w:val="clear" w:color="000000" w:fill="D8D8D8"/>
            <w:vAlign w:val="bottom"/>
          </w:tcPr>
          <w:p w:rsidR="00E2336B" w:rsidRPr="005F5A73" w:rsidRDefault="00E2336B" w:rsidP="00E237EB">
            <w:pPr>
              <w:rPr>
                <w:rFonts w:ascii="MinionPro-Regular" w:hAnsi="MinionPro-Regular" w:cs="Calibri"/>
                <w:color w:val="000000"/>
                <w:sz w:val="20"/>
                <w:lang w:val="es-ES_tradnl"/>
              </w:rPr>
            </w:pPr>
            <w:r w:rsidRPr="005F5A73">
              <w:rPr>
                <w:rFonts w:ascii="MinionPro-Regular" w:hAnsi="MinionPro-Regular" w:cs="Calibri"/>
                <w:color w:val="000000"/>
                <w:sz w:val="20"/>
                <w:lang w:val="es-ES_tradnl"/>
              </w:rPr>
              <w:t>E) Ahorras para comprarte una casa/coche, etc</w:t>
            </w:r>
          </w:p>
        </w:tc>
      </w:tr>
      <w:tr w:rsidR="00E2336B" w:rsidRPr="005F5A73" w:rsidTr="0092566C">
        <w:trPr>
          <w:trHeight w:val="300"/>
        </w:trPr>
        <w:tc>
          <w:tcPr>
            <w:tcW w:w="350" w:type="dxa"/>
            <w:tcBorders>
              <w:top w:val="nil"/>
              <w:left w:val="single" w:sz="4" w:space="0" w:color="auto"/>
              <w:bottom w:val="nil"/>
              <w:right w:val="nil"/>
            </w:tcBorders>
            <w:shd w:val="clear" w:color="000000" w:fill="BFBFBF"/>
            <w:noWrap/>
            <w:vAlign w:val="bottom"/>
          </w:tcPr>
          <w:p w:rsidR="00E2336B" w:rsidRPr="005F5A73" w:rsidRDefault="00E2336B" w:rsidP="00E237EB">
            <w:pPr>
              <w:jc w:val="center"/>
              <w:rPr>
                <w:rFonts w:ascii="MinionPro-Regular" w:hAnsi="MinionPro-Regular" w:cs="Calibri"/>
                <w:color w:val="000000"/>
                <w:sz w:val="20"/>
                <w:lang w:val="es-ES_tradnl"/>
              </w:rPr>
            </w:pPr>
            <w:r w:rsidRPr="005F5A73">
              <w:rPr>
                <w:rFonts w:ascii="MinionPro-Regular" w:hAnsi="MinionPro-Regular" w:cs="Calibri"/>
                <w:color w:val="000000"/>
                <w:sz w:val="20"/>
                <w:lang w:val="es-ES_tradnl"/>
              </w:rPr>
              <w:t> </w:t>
            </w:r>
          </w:p>
        </w:tc>
        <w:tc>
          <w:tcPr>
            <w:tcW w:w="704" w:type="dxa"/>
            <w:tcBorders>
              <w:top w:val="nil"/>
              <w:left w:val="single" w:sz="4" w:space="0" w:color="auto"/>
              <w:bottom w:val="single" w:sz="4" w:space="0" w:color="auto"/>
              <w:right w:val="single" w:sz="4" w:space="0" w:color="auto"/>
            </w:tcBorders>
            <w:shd w:val="clear" w:color="000000" w:fill="FFFFFF"/>
            <w:noWrap/>
            <w:vAlign w:val="bottom"/>
          </w:tcPr>
          <w:p w:rsidR="00E2336B" w:rsidRPr="005F5A73" w:rsidRDefault="00E2336B" w:rsidP="00E237EB">
            <w:pPr>
              <w:rPr>
                <w:rFonts w:ascii="MinionPro-Regular" w:hAnsi="MinionPro-Regular" w:cs="Calibri"/>
                <w:color w:val="000000"/>
                <w:sz w:val="20"/>
                <w:lang w:val="es-ES_tradnl"/>
              </w:rPr>
            </w:pPr>
            <w:r w:rsidRPr="005F5A73">
              <w:rPr>
                <w:rFonts w:ascii="MinionPro-Regular" w:hAnsi="MinionPro-Regular" w:cs="Calibri"/>
                <w:color w:val="000000"/>
                <w:sz w:val="20"/>
                <w:lang w:val="es-ES_tradnl"/>
              </w:rPr>
              <w:t> </w:t>
            </w:r>
          </w:p>
        </w:tc>
        <w:tc>
          <w:tcPr>
            <w:tcW w:w="6622" w:type="dxa"/>
            <w:tcBorders>
              <w:top w:val="nil"/>
              <w:left w:val="nil"/>
              <w:bottom w:val="single" w:sz="4" w:space="0" w:color="auto"/>
              <w:right w:val="single" w:sz="4" w:space="0" w:color="auto"/>
            </w:tcBorders>
            <w:shd w:val="clear" w:color="000000" w:fill="D8D8D8"/>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 xml:space="preserve">F) Otros (indica cuáles): </w:t>
            </w:r>
          </w:p>
        </w:tc>
      </w:tr>
      <w:tr w:rsidR="00E2336B" w:rsidRPr="005F5A73" w:rsidTr="0092566C">
        <w:trPr>
          <w:trHeight w:val="180"/>
        </w:trPr>
        <w:tc>
          <w:tcPr>
            <w:tcW w:w="350" w:type="dxa"/>
            <w:tcBorders>
              <w:top w:val="nil"/>
              <w:left w:val="single" w:sz="4" w:space="0" w:color="auto"/>
              <w:bottom w:val="nil"/>
              <w:right w:val="nil"/>
            </w:tcBorders>
            <w:shd w:val="clear" w:color="000000" w:fill="BFBFBF"/>
            <w:noWrap/>
            <w:vAlign w:val="bottom"/>
          </w:tcPr>
          <w:p w:rsidR="00E2336B" w:rsidRPr="005F5A73" w:rsidRDefault="00E2336B" w:rsidP="00E237EB">
            <w:pPr>
              <w:jc w:val="cente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c>
          <w:tcPr>
            <w:tcW w:w="704" w:type="dxa"/>
            <w:tcBorders>
              <w:top w:val="nil"/>
              <w:left w:val="nil"/>
              <w:bottom w:val="nil"/>
              <w:right w:val="nil"/>
            </w:tcBorders>
            <w:shd w:val="clear" w:color="000000" w:fill="BFBFBF"/>
            <w:noWrap/>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c>
          <w:tcPr>
            <w:tcW w:w="6622" w:type="dxa"/>
            <w:tcBorders>
              <w:top w:val="nil"/>
              <w:left w:val="nil"/>
              <w:bottom w:val="nil"/>
              <w:right w:val="single" w:sz="4" w:space="0" w:color="auto"/>
            </w:tcBorders>
            <w:shd w:val="clear" w:color="000000" w:fill="BFBFBF"/>
            <w:noWrap/>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r>
      <w:tr w:rsidR="00E2336B" w:rsidRPr="005F5A73" w:rsidTr="0092566C">
        <w:trPr>
          <w:trHeight w:val="300"/>
        </w:trPr>
        <w:tc>
          <w:tcPr>
            <w:tcW w:w="350" w:type="dxa"/>
            <w:tcBorders>
              <w:top w:val="single" w:sz="4" w:space="0" w:color="auto"/>
              <w:left w:val="single" w:sz="4" w:space="0" w:color="auto"/>
              <w:bottom w:val="single" w:sz="4" w:space="0" w:color="auto"/>
              <w:right w:val="single" w:sz="4" w:space="0" w:color="auto"/>
            </w:tcBorders>
            <w:shd w:val="clear" w:color="000000" w:fill="A5A5A5"/>
            <w:noWrap/>
            <w:vAlign w:val="bottom"/>
          </w:tcPr>
          <w:p w:rsidR="00E2336B" w:rsidRPr="005F5A73" w:rsidRDefault="00E2336B" w:rsidP="00E237EB">
            <w:pPr>
              <w:jc w:val="center"/>
              <w:rPr>
                <w:rFonts w:ascii="MinionPro-Regular" w:hAnsi="MinionPro-Regular" w:cs="Calibri"/>
                <w:color w:val="000000"/>
                <w:sz w:val="20"/>
                <w:lang w:val="en-US"/>
              </w:rPr>
            </w:pPr>
            <w:r w:rsidRPr="005F5A73">
              <w:rPr>
                <w:rFonts w:ascii="MinionPro-Regular" w:hAnsi="MinionPro-Regular" w:cs="Calibri"/>
                <w:color w:val="000000"/>
                <w:sz w:val="20"/>
                <w:lang w:val="en-US"/>
              </w:rPr>
              <w:t>I</w:t>
            </w:r>
          </w:p>
        </w:tc>
        <w:tc>
          <w:tcPr>
            <w:tcW w:w="7326" w:type="dxa"/>
            <w:gridSpan w:val="2"/>
            <w:tcBorders>
              <w:top w:val="nil"/>
              <w:left w:val="nil"/>
              <w:bottom w:val="nil"/>
              <w:right w:val="single" w:sz="4" w:space="0" w:color="auto"/>
            </w:tcBorders>
            <w:shd w:val="clear" w:color="000000" w:fill="BFBFBF"/>
            <w:noWrap/>
            <w:vAlign w:val="bottom"/>
          </w:tcPr>
          <w:p w:rsidR="00E2336B" w:rsidRPr="005F5A73" w:rsidRDefault="00E2336B" w:rsidP="00E237EB">
            <w:pPr>
              <w:rPr>
                <w:rFonts w:ascii="MinionPro-Regular" w:hAnsi="MinionPro-Regular" w:cs="Calibri"/>
                <w:color w:val="000000"/>
                <w:sz w:val="20"/>
                <w:lang w:val="es-ES_tradnl"/>
              </w:rPr>
            </w:pPr>
            <w:r w:rsidRPr="005F5A73">
              <w:rPr>
                <w:rFonts w:ascii="MinionPro-Regular" w:hAnsi="MinionPro-Regular" w:cs="Calibri"/>
                <w:color w:val="000000"/>
                <w:sz w:val="20"/>
                <w:lang w:val="es-ES_tradnl"/>
              </w:rPr>
              <w:t>2.16. ¿Haces cosas fuera del trabajo con la gente del trabajo?</w:t>
            </w:r>
          </w:p>
        </w:tc>
      </w:tr>
      <w:tr w:rsidR="00E2336B" w:rsidRPr="005F5A73" w:rsidTr="0092566C">
        <w:trPr>
          <w:trHeight w:val="300"/>
        </w:trPr>
        <w:tc>
          <w:tcPr>
            <w:tcW w:w="350" w:type="dxa"/>
            <w:tcBorders>
              <w:top w:val="nil"/>
              <w:left w:val="single" w:sz="4" w:space="0" w:color="auto"/>
              <w:bottom w:val="nil"/>
              <w:right w:val="nil"/>
            </w:tcBorders>
            <w:shd w:val="clear" w:color="000000" w:fill="BFBFBF"/>
            <w:noWrap/>
            <w:vAlign w:val="bottom"/>
          </w:tcPr>
          <w:p w:rsidR="00E2336B" w:rsidRPr="005F5A73" w:rsidRDefault="00E2336B" w:rsidP="00E237EB">
            <w:pPr>
              <w:jc w:val="center"/>
              <w:rPr>
                <w:rFonts w:ascii="MinionPro-Regular" w:hAnsi="MinionPro-Regular" w:cs="Calibri"/>
                <w:color w:val="000000"/>
                <w:sz w:val="20"/>
                <w:lang w:val="es-ES_tradnl"/>
              </w:rPr>
            </w:pPr>
            <w:r w:rsidRPr="005F5A73">
              <w:rPr>
                <w:rFonts w:ascii="MinionPro-Regular" w:hAnsi="MinionPro-Regular" w:cs="Calibri"/>
                <w:color w:val="000000"/>
                <w:sz w:val="20"/>
                <w:lang w:val="es-ES_tradnl"/>
              </w:rPr>
              <w:t> </w:t>
            </w:r>
          </w:p>
        </w:tc>
        <w:tc>
          <w:tcPr>
            <w:tcW w:w="704"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E2336B" w:rsidRPr="005F5A73" w:rsidRDefault="00E2336B" w:rsidP="00E237EB">
            <w:pPr>
              <w:rPr>
                <w:rFonts w:ascii="MinionPro-Regular" w:hAnsi="MinionPro-Regular" w:cs="Calibri"/>
                <w:color w:val="000000"/>
                <w:sz w:val="20"/>
                <w:lang w:val="es-ES_tradnl"/>
              </w:rPr>
            </w:pPr>
            <w:r w:rsidRPr="005F5A73">
              <w:rPr>
                <w:rFonts w:ascii="MinionPro-Regular" w:hAnsi="MinionPro-Regular" w:cs="Calibri"/>
                <w:color w:val="000000"/>
                <w:sz w:val="20"/>
                <w:lang w:val="es-ES_tradnl"/>
              </w:rPr>
              <w:t> </w:t>
            </w:r>
          </w:p>
        </w:tc>
        <w:tc>
          <w:tcPr>
            <w:tcW w:w="6622" w:type="dxa"/>
            <w:tcBorders>
              <w:top w:val="single" w:sz="4" w:space="0" w:color="auto"/>
              <w:left w:val="nil"/>
              <w:bottom w:val="single" w:sz="4" w:space="0" w:color="auto"/>
              <w:right w:val="single" w:sz="4" w:space="0" w:color="auto"/>
            </w:tcBorders>
            <w:shd w:val="clear" w:color="000000" w:fill="D8D8D8"/>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A) Sí</w:t>
            </w:r>
          </w:p>
        </w:tc>
      </w:tr>
      <w:tr w:rsidR="00E2336B" w:rsidRPr="005F5A73" w:rsidTr="0092566C">
        <w:trPr>
          <w:trHeight w:val="300"/>
        </w:trPr>
        <w:tc>
          <w:tcPr>
            <w:tcW w:w="350" w:type="dxa"/>
            <w:tcBorders>
              <w:top w:val="nil"/>
              <w:left w:val="single" w:sz="4" w:space="0" w:color="auto"/>
              <w:bottom w:val="nil"/>
              <w:right w:val="nil"/>
            </w:tcBorders>
            <w:shd w:val="clear" w:color="000000" w:fill="BFBFBF"/>
            <w:noWrap/>
            <w:vAlign w:val="bottom"/>
          </w:tcPr>
          <w:p w:rsidR="00E2336B" w:rsidRPr="005F5A73" w:rsidRDefault="00E2336B" w:rsidP="00E237EB">
            <w:pPr>
              <w:jc w:val="cente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c>
          <w:tcPr>
            <w:tcW w:w="704" w:type="dxa"/>
            <w:tcBorders>
              <w:top w:val="nil"/>
              <w:left w:val="single" w:sz="4" w:space="0" w:color="auto"/>
              <w:bottom w:val="single" w:sz="4" w:space="0" w:color="auto"/>
              <w:right w:val="single" w:sz="4" w:space="0" w:color="auto"/>
            </w:tcBorders>
            <w:shd w:val="clear" w:color="000000" w:fill="FFFFFF"/>
            <w:noWrap/>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c>
          <w:tcPr>
            <w:tcW w:w="6622" w:type="dxa"/>
            <w:tcBorders>
              <w:top w:val="nil"/>
              <w:left w:val="nil"/>
              <w:bottom w:val="single" w:sz="4" w:space="0" w:color="auto"/>
              <w:right w:val="single" w:sz="4" w:space="0" w:color="auto"/>
            </w:tcBorders>
            <w:shd w:val="clear" w:color="000000" w:fill="D8D8D8"/>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B) No</w:t>
            </w:r>
          </w:p>
        </w:tc>
      </w:tr>
      <w:tr w:rsidR="00E2336B" w:rsidRPr="005F5A73" w:rsidTr="0092566C">
        <w:trPr>
          <w:trHeight w:val="300"/>
        </w:trPr>
        <w:tc>
          <w:tcPr>
            <w:tcW w:w="350" w:type="dxa"/>
            <w:tcBorders>
              <w:top w:val="nil"/>
              <w:left w:val="single" w:sz="4" w:space="0" w:color="auto"/>
              <w:bottom w:val="nil"/>
              <w:right w:val="nil"/>
            </w:tcBorders>
            <w:shd w:val="clear" w:color="000000" w:fill="BFBFBF"/>
            <w:noWrap/>
            <w:vAlign w:val="bottom"/>
          </w:tcPr>
          <w:p w:rsidR="00E2336B" w:rsidRPr="005F5A73" w:rsidRDefault="00E2336B" w:rsidP="00E237EB">
            <w:pPr>
              <w:jc w:val="cente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c>
          <w:tcPr>
            <w:tcW w:w="704" w:type="dxa"/>
            <w:tcBorders>
              <w:top w:val="nil"/>
              <w:left w:val="single" w:sz="4" w:space="0" w:color="auto"/>
              <w:bottom w:val="single" w:sz="4" w:space="0" w:color="auto"/>
              <w:right w:val="single" w:sz="4" w:space="0" w:color="auto"/>
            </w:tcBorders>
            <w:shd w:val="clear" w:color="000000" w:fill="FFFFFF"/>
            <w:noWrap/>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c>
          <w:tcPr>
            <w:tcW w:w="6622" w:type="dxa"/>
            <w:tcBorders>
              <w:top w:val="nil"/>
              <w:left w:val="nil"/>
              <w:bottom w:val="single" w:sz="4" w:space="0" w:color="auto"/>
              <w:right w:val="single" w:sz="4" w:space="0" w:color="auto"/>
            </w:tcBorders>
            <w:shd w:val="clear" w:color="000000" w:fill="D8D8D8"/>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 xml:space="preserve">C) Otros (indica cuáles): </w:t>
            </w:r>
          </w:p>
        </w:tc>
      </w:tr>
      <w:tr w:rsidR="00E2336B" w:rsidRPr="005F5A73" w:rsidTr="0092566C">
        <w:trPr>
          <w:trHeight w:val="180"/>
        </w:trPr>
        <w:tc>
          <w:tcPr>
            <w:tcW w:w="350" w:type="dxa"/>
            <w:tcBorders>
              <w:top w:val="nil"/>
              <w:left w:val="single" w:sz="4" w:space="0" w:color="auto"/>
              <w:bottom w:val="nil"/>
              <w:right w:val="nil"/>
            </w:tcBorders>
            <w:shd w:val="clear" w:color="000000" w:fill="BFBFBF"/>
            <w:noWrap/>
            <w:vAlign w:val="bottom"/>
          </w:tcPr>
          <w:p w:rsidR="00E2336B" w:rsidRPr="005F5A73" w:rsidRDefault="00E2336B" w:rsidP="00E237EB">
            <w:pPr>
              <w:jc w:val="cente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c>
          <w:tcPr>
            <w:tcW w:w="704" w:type="dxa"/>
            <w:tcBorders>
              <w:top w:val="nil"/>
              <w:left w:val="nil"/>
              <w:bottom w:val="nil"/>
              <w:right w:val="nil"/>
            </w:tcBorders>
            <w:shd w:val="clear" w:color="000000" w:fill="BFBFBF"/>
            <w:noWrap/>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c>
          <w:tcPr>
            <w:tcW w:w="6622" w:type="dxa"/>
            <w:tcBorders>
              <w:top w:val="nil"/>
              <w:left w:val="nil"/>
              <w:bottom w:val="nil"/>
              <w:right w:val="single" w:sz="4" w:space="0" w:color="auto"/>
            </w:tcBorders>
            <w:shd w:val="clear" w:color="000000" w:fill="BFBFBF"/>
            <w:noWrap/>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r>
      <w:tr w:rsidR="00E2336B" w:rsidRPr="005F5A73" w:rsidTr="0092566C">
        <w:trPr>
          <w:trHeight w:val="300"/>
        </w:trPr>
        <w:tc>
          <w:tcPr>
            <w:tcW w:w="350" w:type="dxa"/>
            <w:tcBorders>
              <w:top w:val="single" w:sz="4" w:space="0" w:color="auto"/>
              <w:left w:val="single" w:sz="4" w:space="0" w:color="auto"/>
              <w:bottom w:val="single" w:sz="4" w:space="0" w:color="auto"/>
              <w:right w:val="single" w:sz="4" w:space="0" w:color="auto"/>
            </w:tcBorders>
            <w:shd w:val="clear" w:color="000000" w:fill="A5A5A5"/>
            <w:noWrap/>
            <w:vAlign w:val="bottom"/>
          </w:tcPr>
          <w:p w:rsidR="00E2336B" w:rsidRPr="005F5A73" w:rsidRDefault="00E2336B" w:rsidP="00E237EB">
            <w:pPr>
              <w:jc w:val="center"/>
              <w:rPr>
                <w:rFonts w:ascii="MinionPro-Regular" w:hAnsi="MinionPro-Regular" w:cs="Calibri"/>
                <w:color w:val="000000"/>
                <w:sz w:val="20"/>
                <w:lang w:val="en-US"/>
              </w:rPr>
            </w:pPr>
            <w:r w:rsidRPr="005F5A73">
              <w:rPr>
                <w:rFonts w:ascii="MinionPro-Regular" w:hAnsi="MinionPro-Regular" w:cs="Calibri"/>
                <w:color w:val="000000"/>
                <w:sz w:val="20"/>
                <w:lang w:val="en-US"/>
              </w:rPr>
              <w:t>I</w:t>
            </w:r>
          </w:p>
        </w:tc>
        <w:tc>
          <w:tcPr>
            <w:tcW w:w="7326" w:type="dxa"/>
            <w:gridSpan w:val="2"/>
            <w:tcBorders>
              <w:top w:val="nil"/>
              <w:left w:val="nil"/>
              <w:bottom w:val="nil"/>
              <w:right w:val="single" w:sz="4" w:space="0" w:color="auto"/>
            </w:tcBorders>
            <w:shd w:val="clear" w:color="000000" w:fill="BFBFBF"/>
            <w:noWrap/>
            <w:vAlign w:val="bottom"/>
          </w:tcPr>
          <w:p w:rsidR="00E2336B" w:rsidRPr="005F5A73" w:rsidRDefault="00E2336B" w:rsidP="00E237EB">
            <w:pPr>
              <w:rPr>
                <w:rFonts w:ascii="MinionPro-Regular" w:hAnsi="MinionPro-Regular" w:cs="Calibri"/>
                <w:color w:val="000000"/>
                <w:sz w:val="20"/>
                <w:lang w:val="es-ES_tradnl"/>
              </w:rPr>
            </w:pPr>
            <w:r w:rsidRPr="005F5A73">
              <w:rPr>
                <w:rFonts w:ascii="MinionPro-Regular" w:hAnsi="MinionPro-Regular" w:cs="Calibri"/>
                <w:color w:val="000000"/>
                <w:sz w:val="20"/>
                <w:lang w:val="es-ES_tradnl"/>
              </w:rPr>
              <w:t>2.17. ¿Recibes ayuda de tus compañeros de trabajo?</w:t>
            </w:r>
          </w:p>
        </w:tc>
      </w:tr>
      <w:tr w:rsidR="00E2336B" w:rsidRPr="005F5A73" w:rsidTr="0092566C">
        <w:trPr>
          <w:trHeight w:val="300"/>
        </w:trPr>
        <w:tc>
          <w:tcPr>
            <w:tcW w:w="350" w:type="dxa"/>
            <w:tcBorders>
              <w:top w:val="nil"/>
              <w:left w:val="single" w:sz="4" w:space="0" w:color="auto"/>
              <w:bottom w:val="nil"/>
              <w:right w:val="nil"/>
            </w:tcBorders>
            <w:shd w:val="clear" w:color="000000" w:fill="BFBFBF"/>
            <w:noWrap/>
            <w:vAlign w:val="bottom"/>
          </w:tcPr>
          <w:p w:rsidR="00E2336B" w:rsidRPr="005F5A73" w:rsidRDefault="00E2336B" w:rsidP="00E237EB">
            <w:pPr>
              <w:jc w:val="center"/>
              <w:rPr>
                <w:rFonts w:ascii="MinionPro-Regular" w:hAnsi="MinionPro-Regular" w:cs="Calibri"/>
                <w:color w:val="000000"/>
                <w:sz w:val="20"/>
                <w:lang w:val="es-ES_tradnl"/>
              </w:rPr>
            </w:pPr>
            <w:r w:rsidRPr="005F5A73">
              <w:rPr>
                <w:rFonts w:ascii="MinionPro-Regular" w:hAnsi="MinionPro-Regular" w:cs="Calibri"/>
                <w:color w:val="000000"/>
                <w:sz w:val="20"/>
                <w:lang w:val="es-ES_tradnl"/>
              </w:rPr>
              <w:t> </w:t>
            </w:r>
          </w:p>
        </w:tc>
        <w:tc>
          <w:tcPr>
            <w:tcW w:w="704"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E2336B" w:rsidRPr="005F5A73" w:rsidRDefault="00E2336B" w:rsidP="00E237EB">
            <w:pPr>
              <w:rPr>
                <w:rFonts w:ascii="MinionPro-Regular" w:hAnsi="MinionPro-Regular" w:cs="Calibri"/>
                <w:color w:val="000000"/>
                <w:sz w:val="20"/>
                <w:lang w:val="es-ES_tradnl"/>
              </w:rPr>
            </w:pPr>
            <w:r w:rsidRPr="005F5A73">
              <w:rPr>
                <w:rFonts w:ascii="MinionPro-Regular" w:hAnsi="MinionPro-Regular" w:cs="Calibri"/>
                <w:color w:val="000000"/>
                <w:sz w:val="20"/>
                <w:lang w:val="es-ES_tradnl"/>
              </w:rPr>
              <w:t> </w:t>
            </w:r>
          </w:p>
        </w:tc>
        <w:tc>
          <w:tcPr>
            <w:tcW w:w="6622" w:type="dxa"/>
            <w:tcBorders>
              <w:top w:val="single" w:sz="4" w:space="0" w:color="auto"/>
              <w:left w:val="nil"/>
              <w:bottom w:val="single" w:sz="4" w:space="0" w:color="auto"/>
              <w:right w:val="single" w:sz="4" w:space="0" w:color="auto"/>
            </w:tcBorders>
            <w:shd w:val="clear" w:color="000000" w:fill="D8D8D8"/>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A) Sí</w:t>
            </w:r>
          </w:p>
        </w:tc>
      </w:tr>
      <w:tr w:rsidR="00E2336B" w:rsidRPr="005F5A73" w:rsidTr="0092566C">
        <w:trPr>
          <w:trHeight w:val="300"/>
        </w:trPr>
        <w:tc>
          <w:tcPr>
            <w:tcW w:w="350" w:type="dxa"/>
            <w:tcBorders>
              <w:top w:val="nil"/>
              <w:left w:val="single" w:sz="4" w:space="0" w:color="auto"/>
              <w:bottom w:val="nil"/>
              <w:right w:val="nil"/>
            </w:tcBorders>
            <w:shd w:val="clear" w:color="000000" w:fill="BFBFBF"/>
            <w:noWrap/>
            <w:vAlign w:val="bottom"/>
          </w:tcPr>
          <w:p w:rsidR="00E2336B" w:rsidRPr="005F5A73" w:rsidRDefault="00E2336B" w:rsidP="00E237EB">
            <w:pPr>
              <w:jc w:val="cente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c>
          <w:tcPr>
            <w:tcW w:w="704" w:type="dxa"/>
            <w:tcBorders>
              <w:top w:val="nil"/>
              <w:left w:val="single" w:sz="4" w:space="0" w:color="auto"/>
              <w:bottom w:val="single" w:sz="4" w:space="0" w:color="auto"/>
              <w:right w:val="single" w:sz="4" w:space="0" w:color="auto"/>
            </w:tcBorders>
            <w:shd w:val="clear" w:color="000000" w:fill="FFFFFF"/>
            <w:noWrap/>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c>
          <w:tcPr>
            <w:tcW w:w="6622" w:type="dxa"/>
            <w:tcBorders>
              <w:top w:val="nil"/>
              <w:left w:val="nil"/>
              <w:bottom w:val="single" w:sz="4" w:space="0" w:color="auto"/>
              <w:right w:val="single" w:sz="4" w:space="0" w:color="auto"/>
            </w:tcBorders>
            <w:shd w:val="clear" w:color="000000" w:fill="D8D8D8"/>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B) No</w:t>
            </w:r>
          </w:p>
        </w:tc>
      </w:tr>
      <w:tr w:rsidR="00E2336B" w:rsidRPr="005F5A73" w:rsidTr="0092566C">
        <w:trPr>
          <w:trHeight w:val="300"/>
        </w:trPr>
        <w:tc>
          <w:tcPr>
            <w:tcW w:w="350" w:type="dxa"/>
            <w:tcBorders>
              <w:top w:val="nil"/>
              <w:left w:val="single" w:sz="4" w:space="0" w:color="auto"/>
              <w:bottom w:val="nil"/>
              <w:right w:val="nil"/>
            </w:tcBorders>
            <w:shd w:val="clear" w:color="000000" w:fill="BFBFBF"/>
            <w:noWrap/>
            <w:vAlign w:val="bottom"/>
          </w:tcPr>
          <w:p w:rsidR="00E2336B" w:rsidRPr="005F5A73" w:rsidRDefault="00E2336B" w:rsidP="00E237EB">
            <w:pPr>
              <w:jc w:val="cente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c>
          <w:tcPr>
            <w:tcW w:w="704" w:type="dxa"/>
            <w:tcBorders>
              <w:top w:val="nil"/>
              <w:left w:val="single" w:sz="4" w:space="0" w:color="auto"/>
              <w:bottom w:val="single" w:sz="4" w:space="0" w:color="auto"/>
              <w:right w:val="single" w:sz="4" w:space="0" w:color="auto"/>
            </w:tcBorders>
            <w:shd w:val="clear" w:color="000000" w:fill="FFFFFF"/>
            <w:noWrap/>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c>
          <w:tcPr>
            <w:tcW w:w="6622" w:type="dxa"/>
            <w:tcBorders>
              <w:top w:val="nil"/>
              <w:left w:val="nil"/>
              <w:bottom w:val="single" w:sz="4" w:space="0" w:color="auto"/>
              <w:right w:val="single" w:sz="4" w:space="0" w:color="auto"/>
            </w:tcBorders>
            <w:shd w:val="clear" w:color="000000" w:fill="D8D8D8"/>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 xml:space="preserve">C) Otros (indica cuáles): </w:t>
            </w:r>
          </w:p>
        </w:tc>
      </w:tr>
      <w:tr w:rsidR="00E2336B" w:rsidRPr="005F5A73" w:rsidTr="0092566C">
        <w:trPr>
          <w:trHeight w:val="180"/>
        </w:trPr>
        <w:tc>
          <w:tcPr>
            <w:tcW w:w="350" w:type="dxa"/>
            <w:tcBorders>
              <w:top w:val="nil"/>
              <w:left w:val="single" w:sz="4" w:space="0" w:color="auto"/>
              <w:bottom w:val="nil"/>
              <w:right w:val="nil"/>
            </w:tcBorders>
            <w:shd w:val="clear" w:color="000000" w:fill="BFBFBF"/>
            <w:noWrap/>
            <w:vAlign w:val="bottom"/>
          </w:tcPr>
          <w:p w:rsidR="00E2336B" w:rsidRPr="005F5A73" w:rsidRDefault="00E2336B" w:rsidP="00E237EB">
            <w:pPr>
              <w:jc w:val="cente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c>
          <w:tcPr>
            <w:tcW w:w="704" w:type="dxa"/>
            <w:tcBorders>
              <w:top w:val="nil"/>
              <w:left w:val="nil"/>
              <w:bottom w:val="nil"/>
              <w:right w:val="nil"/>
            </w:tcBorders>
            <w:shd w:val="clear" w:color="000000" w:fill="BFBFBF"/>
            <w:noWrap/>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c>
          <w:tcPr>
            <w:tcW w:w="6622" w:type="dxa"/>
            <w:tcBorders>
              <w:top w:val="nil"/>
              <w:left w:val="nil"/>
              <w:bottom w:val="nil"/>
              <w:right w:val="single" w:sz="4" w:space="0" w:color="auto"/>
            </w:tcBorders>
            <w:shd w:val="clear" w:color="000000" w:fill="BFBFBF"/>
            <w:noWrap/>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r>
      <w:tr w:rsidR="00E2336B" w:rsidRPr="005F5A73" w:rsidTr="0092566C">
        <w:trPr>
          <w:trHeight w:val="300"/>
        </w:trPr>
        <w:tc>
          <w:tcPr>
            <w:tcW w:w="350" w:type="dxa"/>
            <w:tcBorders>
              <w:top w:val="single" w:sz="4" w:space="0" w:color="auto"/>
              <w:left w:val="single" w:sz="4" w:space="0" w:color="auto"/>
              <w:bottom w:val="single" w:sz="4" w:space="0" w:color="auto"/>
              <w:right w:val="single" w:sz="4" w:space="0" w:color="auto"/>
            </w:tcBorders>
            <w:shd w:val="clear" w:color="000000" w:fill="A5A5A5"/>
            <w:noWrap/>
            <w:vAlign w:val="bottom"/>
          </w:tcPr>
          <w:p w:rsidR="00E2336B" w:rsidRPr="005F5A73" w:rsidRDefault="00E2336B" w:rsidP="00E237EB">
            <w:pPr>
              <w:jc w:val="center"/>
              <w:rPr>
                <w:rFonts w:ascii="MinionPro-Regular" w:hAnsi="MinionPro-Regular" w:cs="Calibri"/>
                <w:color w:val="000000"/>
                <w:sz w:val="20"/>
                <w:lang w:val="en-US"/>
              </w:rPr>
            </w:pPr>
            <w:r w:rsidRPr="005F5A73">
              <w:rPr>
                <w:rFonts w:ascii="MinionPro-Regular" w:hAnsi="MinionPro-Regular" w:cs="Calibri"/>
                <w:color w:val="000000"/>
                <w:sz w:val="20"/>
                <w:lang w:val="en-US"/>
              </w:rPr>
              <w:t>I</w:t>
            </w:r>
          </w:p>
        </w:tc>
        <w:tc>
          <w:tcPr>
            <w:tcW w:w="7326" w:type="dxa"/>
            <w:gridSpan w:val="2"/>
            <w:tcBorders>
              <w:top w:val="nil"/>
              <w:left w:val="nil"/>
              <w:bottom w:val="nil"/>
              <w:right w:val="single" w:sz="4" w:space="0" w:color="auto"/>
            </w:tcBorders>
            <w:shd w:val="clear" w:color="000000" w:fill="BFBFBF"/>
            <w:noWrap/>
            <w:vAlign w:val="bottom"/>
          </w:tcPr>
          <w:p w:rsidR="00E2336B" w:rsidRPr="005F5A73" w:rsidRDefault="00E2336B" w:rsidP="00E237EB">
            <w:pPr>
              <w:rPr>
                <w:rFonts w:ascii="MinionPro-Regular" w:hAnsi="MinionPro-Regular" w:cs="Calibri"/>
                <w:color w:val="000000"/>
                <w:sz w:val="20"/>
                <w:lang w:val="es-ES_tradnl"/>
              </w:rPr>
            </w:pPr>
            <w:r w:rsidRPr="005F5A73">
              <w:rPr>
                <w:rFonts w:ascii="MinionPro-Regular" w:hAnsi="MinionPro-Regular" w:cs="Calibri"/>
                <w:color w:val="000000"/>
                <w:sz w:val="20"/>
                <w:lang w:val="es-ES_tradnl"/>
              </w:rPr>
              <w:t>2.18. ¿Crees que es importante tener un trabajo?</w:t>
            </w:r>
          </w:p>
        </w:tc>
      </w:tr>
      <w:tr w:rsidR="00E2336B" w:rsidRPr="005F5A73" w:rsidTr="0092566C">
        <w:trPr>
          <w:trHeight w:val="300"/>
        </w:trPr>
        <w:tc>
          <w:tcPr>
            <w:tcW w:w="350" w:type="dxa"/>
            <w:tcBorders>
              <w:top w:val="nil"/>
              <w:left w:val="single" w:sz="4" w:space="0" w:color="auto"/>
              <w:bottom w:val="nil"/>
              <w:right w:val="nil"/>
            </w:tcBorders>
            <w:shd w:val="clear" w:color="000000" w:fill="BFBFBF"/>
            <w:noWrap/>
            <w:vAlign w:val="bottom"/>
          </w:tcPr>
          <w:p w:rsidR="00E2336B" w:rsidRPr="005F5A73" w:rsidRDefault="00E2336B" w:rsidP="00E237EB">
            <w:pPr>
              <w:jc w:val="center"/>
              <w:rPr>
                <w:rFonts w:ascii="MinionPro-Regular" w:hAnsi="MinionPro-Regular" w:cs="Calibri"/>
                <w:color w:val="000000"/>
                <w:sz w:val="20"/>
                <w:lang w:val="es-ES_tradnl"/>
              </w:rPr>
            </w:pPr>
            <w:r w:rsidRPr="005F5A73">
              <w:rPr>
                <w:rFonts w:ascii="MinionPro-Regular" w:hAnsi="MinionPro-Regular" w:cs="Calibri"/>
                <w:color w:val="000000"/>
                <w:sz w:val="20"/>
                <w:lang w:val="es-ES_tradnl"/>
              </w:rPr>
              <w:t> </w:t>
            </w:r>
          </w:p>
        </w:tc>
        <w:tc>
          <w:tcPr>
            <w:tcW w:w="704"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E2336B" w:rsidRPr="005F5A73" w:rsidRDefault="00E2336B" w:rsidP="00E237EB">
            <w:pPr>
              <w:rPr>
                <w:rFonts w:ascii="MinionPro-Regular" w:hAnsi="MinionPro-Regular" w:cs="Calibri"/>
                <w:color w:val="000000"/>
                <w:sz w:val="20"/>
                <w:lang w:val="es-ES_tradnl"/>
              </w:rPr>
            </w:pPr>
            <w:r w:rsidRPr="005F5A73">
              <w:rPr>
                <w:rFonts w:ascii="MinionPro-Regular" w:hAnsi="MinionPro-Regular" w:cs="Calibri"/>
                <w:color w:val="000000"/>
                <w:sz w:val="20"/>
                <w:lang w:val="es-ES_tradnl"/>
              </w:rPr>
              <w:t> </w:t>
            </w:r>
          </w:p>
        </w:tc>
        <w:tc>
          <w:tcPr>
            <w:tcW w:w="6622" w:type="dxa"/>
            <w:tcBorders>
              <w:top w:val="single" w:sz="4" w:space="0" w:color="auto"/>
              <w:left w:val="nil"/>
              <w:bottom w:val="single" w:sz="4" w:space="0" w:color="auto"/>
              <w:right w:val="single" w:sz="4" w:space="0" w:color="auto"/>
            </w:tcBorders>
            <w:shd w:val="clear" w:color="000000" w:fill="D8D8D8"/>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A) Sí</w:t>
            </w:r>
          </w:p>
        </w:tc>
      </w:tr>
      <w:tr w:rsidR="00E2336B" w:rsidRPr="005F5A73" w:rsidTr="0092566C">
        <w:trPr>
          <w:trHeight w:val="300"/>
        </w:trPr>
        <w:tc>
          <w:tcPr>
            <w:tcW w:w="350" w:type="dxa"/>
            <w:tcBorders>
              <w:top w:val="nil"/>
              <w:left w:val="single" w:sz="4" w:space="0" w:color="auto"/>
              <w:bottom w:val="nil"/>
              <w:right w:val="nil"/>
            </w:tcBorders>
            <w:shd w:val="clear" w:color="000000" w:fill="BFBFBF"/>
            <w:noWrap/>
            <w:vAlign w:val="bottom"/>
          </w:tcPr>
          <w:p w:rsidR="00E2336B" w:rsidRPr="005F5A73" w:rsidRDefault="00E2336B" w:rsidP="00E237EB">
            <w:pPr>
              <w:jc w:val="cente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c>
          <w:tcPr>
            <w:tcW w:w="704" w:type="dxa"/>
            <w:tcBorders>
              <w:top w:val="nil"/>
              <w:left w:val="single" w:sz="4" w:space="0" w:color="auto"/>
              <w:bottom w:val="single" w:sz="4" w:space="0" w:color="auto"/>
              <w:right w:val="single" w:sz="4" w:space="0" w:color="auto"/>
            </w:tcBorders>
            <w:shd w:val="clear" w:color="000000" w:fill="FFFFFF"/>
            <w:noWrap/>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c>
          <w:tcPr>
            <w:tcW w:w="6622" w:type="dxa"/>
            <w:tcBorders>
              <w:top w:val="nil"/>
              <w:left w:val="nil"/>
              <w:bottom w:val="single" w:sz="4" w:space="0" w:color="auto"/>
              <w:right w:val="single" w:sz="4" w:space="0" w:color="auto"/>
            </w:tcBorders>
            <w:shd w:val="clear" w:color="000000" w:fill="D8D8D8"/>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B) No</w:t>
            </w:r>
          </w:p>
        </w:tc>
      </w:tr>
      <w:tr w:rsidR="00E2336B" w:rsidRPr="005F5A73" w:rsidTr="0092566C">
        <w:trPr>
          <w:trHeight w:val="300"/>
        </w:trPr>
        <w:tc>
          <w:tcPr>
            <w:tcW w:w="350" w:type="dxa"/>
            <w:tcBorders>
              <w:top w:val="nil"/>
              <w:left w:val="single" w:sz="4" w:space="0" w:color="auto"/>
              <w:bottom w:val="nil"/>
              <w:right w:val="nil"/>
            </w:tcBorders>
            <w:shd w:val="clear" w:color="000000" w:fill="BFBFBF"/>
            <w:noWrap/>
            <w:vAlign w:val="bottom"/>
          </w:tcPr>
          <w:p w:rsidR="00E2336B" w:rsidRPr="005F5A73" w:rsidRDefault="00E2336B" w:rsidP="00E237EB">
            <w:pPr>
              <w:jc w:val="cente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c>
          <w:tcPr>
            <w:tcW w:w="704" w:type="dxa"/>
            <w:tcBorders>
              <w:top w:val="nil"/>
              <w:left w:val="single" w:sz="4" w:space="0" w:color="auto"/>
              <w:bottom w:val="single" w:sz="4" w:space="0" w:color="auto"/>
              <w:right w:val="single" w:sz="4" w:space="0" w:color="auto"/>
            </w:tcBorders>
            <w:shd w:val="clear" w:color="000000" w:fill="FFFFFF"/>
            <w:noWrap/>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c>
          <w:tcPr>
            <w:tcW w:w="6622" w:type="dxa"/>
            <w:tcBorders>
              <w:top w:val="nil"/>
              <w:left w:val="nil"/>
              <w:bottom w:val="single" w:sz="4" w:space="0" w:color="auto"/>
              <w:right w:val="single" w:sz="4" w:space="0" w:color="auto"/>
            </w:tcBorders>
            <w:shd w:val="clear" w:color="000000" w:fill="D8D8D8"/>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 xml:space="preserve">C) Otros (indica cuáles): </w:t>
            </w:r>
          </w:p>
        </w:tc>
      </w:tr>
      <w:tr w:rsidR="00E2336B" w:rsidRPr="005F5A73" w:rsidTr="0092566C">
        <w:trPr>
          <w:trHeight w:val="180"/>
        </w:trPr>
        <w:tc>
          <w:tcPr>
            <w:tcW w:w="350" w:type="dxa"/>
            <w:tcBorders>
              <w:top w:val="nil"/>
              <w:left w:val="single" w:sz="4" w:space="0" w:color="auto"/>
              <w:bottom w:val="nil"/>
              <w:right w:val="nil"/>
            </w:tcBorders>
            <w:shd w:val="clear" w:color="000000" w:fill="BFBFBF"/>
            <w:noWrap/>
            <w:vAlign w:val="bottom"/>
          </w:tcPr>
          <w:p w:rsidR="00E2336B" w:rsidRPr="005F5A73" w:rsidRDefault="00E2336B" w:rsidP="00E237EB">
            <w:pPr>
              <w:jc w:val="cente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c>
          <w:tcPr>
            <w:tcW w:w="704" w:type="dxa"/>
            <w:tcBorders>
              <w:top w:val="nil"/>
              <w:left w:val="nil"/>
              <w:bottom w:val="nil"/>
              <w:right w:val="nil"/>
            </w:tcBorders>
            <w:shd w:val="clear" w:color="000000" w:fill="BFBFBF"/>
            <w:noWrap/>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c>
          <w:tcPr>
            <w:tcW w:w="6622" w:type="dxa"/>
            <w:tcBorders>
              <w:top w:val="nil"/>
              <w:left w:val="nil"/>
              <w:bottom w:val="nil"/>
              <w:right w:val="single" w:sz="4" w:space="0" w:color="auto"/>
            </w:tcBorders>
            <w:shd w:val="clear" w:color="000000" w:fill="BFBFBF"/>
            <w:noWrap/>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r>
      <w:tr w:rsidR="00E2336B" w:rsidRPr="005F5A73" w:rsidTr="0092566C">
        <w:trPr>
          <w:trHeight w:val="810"/>
        </w:trPr>
        <w:tc>
          <w:tcPr>
            <w:tcW w:w="350" w:type="dxa"/>
            <w:tcBorders>
              <w:top w:val="single" w:sz="4" w:space="0" w:color="auto"/>
              <w:left w:val="single" w:sz="4" w:space="0" w:color="auto"/>
              <w:bottom w:val="single" w:sz="4" w:space="0" w:color="auto"/>
              <w:right w:val="single" w:sz="4" w:space="0" w:color="auto"/>
            </w:tcBorders>
            <w:shd w:val="clear" w:color="000000" w:fill="A5A5A5"/>
            <w:noWrap/>
            <w:vAlign w:val="center"/>
          </w:tcPr>
          <w:p w:rsidR="00E2336B" w:rsidRPr="005F5A73" w:rsidRDefault="00E2336B" w:rsidP="00E237EB">
            <w:pPr>
              <w:jc w:val="center"/>
              <w:rPr>
                <w:rFonts w:ascii="MinionPro-Regular" w:hAnsi="MinionPro-Regular" w:cs="Calibri"/>
                <w:color w:val="000000"/>
                <w:sz w:val="20"/>
                <w:lang w:val="en-US"/>
              </w:rPr>
            </w:pPr>
            <w:r w:rsidRPr="005F5A73">
              <w:rPr>
                <w:rFonts w:ascii="MinionPro-Regular" w:hAnsi="MinionPro-Regular" w:cs="Calibri"/>
                <w:color w:val="000000"/>
                <w:sz w:val="20"/>
                <w:lang w:val="en-US"/>
              </w:rPr>
              <w:t>C</w:t>
            </w:r>
          </w:p>
        </w:tc>
        <w:tc>
          <w:tcPr>
            <w:tcW w:w="7326" w:type="dxa"/>
            <w:gridSpan w:val="2"/>
            <w:tcBorders>
              <w:top w:val="nil"/>
              <w:left w:val="nil"/>
              <w:bottom w:val="single" w:sz="4" w:space="0" w:color="auto"/>
              <w:right w:val="single" w:sz="4" w:space="0" w:color="auto"/>
            </w:tcBorders>
            <w:shd w:val="clear" w:color="000000" w:fill="BFBFBF"/>
            <w:vAlign w:val="bottom"/>
          </w:tcPr>
          <w:p w:rsidR="00E2336B" w:rsidRPr="005F5A73" w:rsidRDefault="00E2336B" w:rsidP="00E237EB">
            <w:pPr>
              <w:jc w:val="center"/>
              <w:rPr>
                <w:rFonts w:ascii="MinionPro-Regular" w:hAnsi="MinionPro-Regular" w:cs="Calibri"/>
                <w:color w:val="000000"/>
                <w:sz w:val="20"/>
                <w:lang w:val="es-ES_tradnl"/>
              </w:rPr>
            </w:pPr>
            <w:r w:rsidRPr="005F5A73">
              <w:rPr>
                <w:rFonts w:ascii="MinionPro-Regular" w:hAnsi="MinionPro-Regular" w:cs="Calibri"/>
                <w:color w:val="000000"/>
                <w:sz w:val="20"/>
                <w:lang w:val="es-ES_tradnl"/>
              </w:rPr>
              <w:t>2.19. ¿El trabajo te ha aportado alguno de los siguienetes aspectos? Si/No ¿Qué aspecto crees que ha sido el más importante?</w:t>
            </w:r>
          </w:p>
        </w:tc>
      </w:tr>
      <w:tr w:rsidR="00E2336B" w:rsidRPr="005F5A73" w:rsidTr="0092566C">
        <w:trPr>
          <w:trHeight w:val="300"/>
        </w:trPr>
        <w:tc>
          <w:tcPr>
            <w:tcW w:w="350" w:type="dxa"/>
            <w:tcBorders>
              <w:top w:val="nil"/>
              <w:left w:val="single" w:sz="4" w:space="0" w:color="auto"/>
              <w:bottom w:val="nil"/>
              <w:right w:val="nil"/>
            </w:tcBorders>
            <w:shd w:val="clear" w:color="000000" w:fill="BFBFBF"/>
            <w:noWrap/>
            <w:vAlign w:val="bottom"/>
          </w:tcPr>
          <w:p w:rsidR="00E2336B" w:rsidRPr="005F5A73" w:rsidRDefault="00E2336B" w:rsidP="00E237EB">
            <w:pPr>
              <w:jc w:val="center"/>
              <w:rPr>
                <w:rFonts w:ascii="MinionPro-Regular" w:hAnsi="MinionPro-Regular" w:cs="Calibri"/>
                <w:color w:val="000000"/>
                <w:sz w:val="20"/>
                <w:lang w:val="es-ES_tradnl"/>
              </w:rPr>
            </w:pPr>
            <w:r w:rsidRPr="005F5A73">
              <w:rPr>
                <w:rFonts w:ascii="MinionPro-Regular" w:hAnsi="MinionPro-Regular" w:cs="Calibri"/>
                <w:color w:val="000000"/>
                <w:sz w:val="20"/>
                <w:lang w:val="es-ES_tradnl"/>
              </w:rPr>
              <w:t> </w:t>
            </w:r>
          </w:p>
        </w:tc>
        <w:tc>
          <w:tcPr>
            <w:tcW w:w="704" w:type="dxa"/>
            <w:tcBorders>
              <w:top w:val="nil"/>
              <w:left w:val="single" w:sz="4" w:space="0" w:color="auto"/>
              <w:bottom w:val="single" w:sz="4" w:space="0" w:color="auto"/>
              <w:right w:val="single" w:sz="4" w:space="0" w:color="auto"/>
            </w:tcBorders>
            <w:shd w:val="clear" w:color="000000" w:fill="FFFFFF"/>
            <w:noWrap/>
            <w:vAlign w:val="bottom"/>
          </w:tcPr>
          <w:p w:rsidR="00E2336B" w:rsidRPr="005F5A73" w:rsidRDefault="00E2336B" w:rsidP="00E237EB">
            <w:pPr>
              <w:rPr>
                <w:rFonts w:ascii="MinionPro-Regular" w:hAnsi="MinionPro-Regular" w:cs="Calibri"/>
                <w:color w:val="000000"/>
                <w:sz w:val="20"/>
                <w:lang w:val="es-ES_tradnl"/>
              </w:rPr>
            </w:pPr>
            <w:r w:rsidRPr="005F5A73">
              <w:rPr>
                <w:rFonts w:ascii="MinionPro-Regular" w:hAnsi="MinionPro-Regular" w:cs="Calibri"/>
                <w:color w:val="000000"/>
                <w:sz w:val="20"/>
                <w:lang w:val="es-ES_tradnl"/>
              </w:rPr>
              <w:t> </w:t>
            </w:r>
          </w:p>
        </w:tc>
        <w:tc>
          <w:tcPr>
            <w:tcW w:w="6622" w:type="dxa"/>
            <w:tcBorders>
              <w:top w:val="nil"/>
              <w:left w:val="nil"/>
              <w:bottom w:val="single" w:sz="4" w:space="0" w:color="auto"/>
              <w:right w:val="single" w:sz="4" w:space="0" w:color="auto"/>
            </w:tcBorders>
            <w:shd w:val="clear" w:color="000000" w:fill="D8D8D8"/>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A) Más autonomía</w:t>
            </w:r>
          </w:p>
        </w:tc>
      </w:tr>
      <w:tr w:rsidR="00E2336B" w:rsidRPr="005F5A73" w:rsidTr="0092566C">
        <w:trPr>
          <w:trHeight w:val="300"/>
        </w:trPr>
        <w:tc>
          <w:tcPr>
            <w:tcW w:w="350" w:type="dxa"/>
            <w:tcBorders>
              <w:top w:val="nil"/>
              <w:left w:val="single" w:sz="4" w:space="0" w:color="auto"/>
              <w:bottom w:val="nil"/>
              <w:right w:val="nil"/>
            </w:tcBorders>
            <w:shd w:val="clear" w:color="000000" w:fill="BFBFBF"/>
            <w:noWrap/>
            <w:vAlign w:val="bottom"/>
          </w:tcPr>
          <w:p w:rsidR="00E2336B" w:rsidRPr="005F5A73" w:rsidRDefault="00E2336B" w:rsidP="00E237EB">
            <w:pPr>
              <w:jc w:val="cente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c>
          <w:tcPr>
            <w:tcW w:w="704" w:type="dxa"/>
            <w:tcBorders>
              <w:top w:val="nil"/>
              <w:left w:val="single" w:sz="4" w:space="0" w:color="auto"/>
              <w:bottom w:val="single" w:sz="4" w:space="0" w:color="auto"/>
              <w:right w:val="single" w:sz="4" w:space="0" w:color="auto"/>
            </w:tcBorders>
            <w:shd w:val="clear" w:color="000000" w:fill="FFFFFF"/>
            <w:noWrap/>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c>
          <w:tcPr>
            <w:tcW w:w="6622" w:type="dxa"/>
            <w:tcBorders>
              <w:top w:val="nil"/>
              <w:left w:val="nil"/>
              <w:bottom w:val="single" w:sz="4" w:space="0" w:color="auto"/>
              <w:right w:val="single" w:sz="4" w:space="0" w:color="auto"/>
            </w:tcBorders>
            <w:shd w:val="clear" w:color="000000" w:fill="D8D8D8"/>
            <w:vAlign w:val="bottom"/>
          </w:tcPr>
          <w:p w:rsidR="00E2336B" w:rsidRPr="005F5A73" w:rsidRDefault="00E2336B" w:rsidP="00E237EB">
            <w:pPr>
              <w:rPr>
                <w:rFonts w:ascii="MinionPro-Regular" w:hAnsi="MinionPro-Regular" w:cs="Calibri"/>
                <w:color w:val="000000"/>
                <w:sz w:val="20"/>
                <w:lang w:val="es-ES_tradnl"/>
              </w:rPr>
            </w:pPr>
            <w:r w:rsidRPr="005F5A73">
              <w:rPr>
                <w:rFonts w:ascii="MinionPro-Regular" w:hAnsi="MinionPro-Regular" w:cs="Calibri"/>
                <w:color w:val="000000"/>
                <w:sz w:val="20"/>
                <w:lang w:val="es-ES_tradnl"/>
              </w:rPr>
              <w:t>B) Sentimiento se utilidad a la sociedad</w:t>
            </w:r>
          </w:p>
        </w:tc>
      </w:tr>
      <w:tr w:rsidR="00E2336B" w:rsidRPr="005F5A73" w:rsidTr="0092566C">
        <w:trPr>
          <w:trHeight w:val="300"/>
        </w:trPr>
        <w:tc>
          <w:tcPr>
            <w:tcW w:w="350" w:type="dxa"/>
            <w:tcBorders>
              <w:top w:val="nil"/>
              <w:left w:val="single" w:sz="4" w:space="0" w:color="auto"/>
              <w:bottom w:val="nil"/>
              <w:right w:val="nil"/>
            </w:tcBorders>
            <w:shd w:val="clear" w:color="000000" w:fill="BFBFBF"/>
            <w:noWrap/>
            <w:vAlign w:val="bottom"/>
          </w:tcPr>
          <w:p w:rsidR="00E2336B" w:rsidRPr="005F5A73" w:rsidRDefault="00E2336B" w:rsidP="00E237EB">
            <w:pPr>
              <w:jc w:val="center"/>
              <w:rPr>
                <w:rFonts w:ascii="MinionPro-Regular" w:hAnsi="MinionPro-Regular" w:cs="Calibri"/>
                <w:color w:val="000000"/>
                <w:sz w:val="20"/>
                <w:lang w:val="es-ES_tradnl"/>
              </w:rPr>
            </w:pPr>
            <w:r w:rsidRPr="005F5A73">
              <w:rPr>
                <w:rFonts w:ascii="MinionPro-Regular" w:hAnsi="MinionPro-Regular" w:cs="Calibri"/>
                <w:color w:val="000000"/>
                <w:sz w:val="20"/>
                <w:lang w:val="es-ES_tradnl"/>
              </w:rPr>
              <w:t> </w:t>
            </w:r>
          </w:p>
        </w:tc>
        <w:tc>
          <w:tcPr>
            <w:tcW w:w="704" w:type="dxa"/>
            <w:tcBorders>
              <w:top w:val="nil"/>
              <w:left w:val="single" w:sz="4" w:space="0" w:color="auto"/>
              <w:bottom w:val="single" w:sz="4" w:space="0" w:color="auto"/>
              <w:right w:val="single" w:sz="4" w:space="0" w:color="auto"/>
            </w:tcBorders>
            <w:shd w:val="clear" w:color="000000" w:fill="FFFFFF"/>
            <w:noWrap/>
            <w:vAlign w:val="bottom"/>
          </w:tcPr>
          <w:p w:rsidR="00E2336B" w:rsidRPr="005F5A73" w:rsidRDefault="00E2336B" w:rsidP="00E237EB">
            <w:pPr>
              <w:rPr>
                <w:rFonts w:ascii="MinionPro-Regular" w:hAnsi="MinionPro-Regular" w:cs="Calibri"/>
                <w:color w:val="000000"/>
                <w:sz w:val="20"/>
                <w:lang w:val="es-ES_tradnl"/>
              </w:rPr>
            </w:pPr>
            <w:r w:rsidRPr="005F5A73">
              <w:rPr>
                <w:rFonts w:ascii="MinionPro-Regular" w:hAnsi="MinionPro-Regular" w:cs="Calibri"/>
                <w:color w:val="000000"/>
                <w:sz w:val="20"/>
                <w:lang w:val="es-ES_tradnl"/>
              </w:rPr>
              <w:t> </w:t>
            </w:r>
          </w:p>
        </w:tc>
        <w:tc>
          <w:tcPr>
            <w:tcW w:w="6622" w:type="dxa"/>
            <w:tcBorders>
              <w:top w:val="nil"/>
              <w:left w:val="nil"/>
              <w:bottom w:val="single" w:sz="4" w:space="0" w:color="auto"/>
              <w:right w:val="single" w:sz="4" w:space="0" w:color="auto"/>
            </w:tcBorders>
            <w:shd w:val="clear" w:color="000000" w:fill="D8D8D8"/>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C) Responsabilidad</w:t>
            </w:r>
          </w:p>
        </w:tc>
      </w:tr>
      <w:tr w:rsidR="00E2336B" w:rsidRPr="005F5A73" w:rsidTr="0092566C">
        <w:trPr>
          <w:trHeight w:val="300"/>
        </w:trPr>
        <w:tc>
          <w:tcPr>
            <w:tcW w:w="350" w:type="dxa"/>
            <w:tcBorders>
              <w:top w:val="nil"/>
              <w:left w:val="single" w:sz="4" w:space="0" w:color="auto"/>
              <w:bottom w:val="nil"/>
              <w:right w:val="nil"/>
            </w:tcBorders>
            <w:shd w:val="clear" w:color="000000" w:fill="BFBFBF"/>
            <w:noWrap/>
            <w:vAlign w:val="bottom"/>
          </w:tcPr>
          <w:p w:rsidR="00E2336B" w:rsidRPr="005F5A73" w:rsidRDefault="00E2336B" w:rsidP="00E237EB">
            <w:pPr>
              <w:jc w:val="cente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c>
          <w:tcPr>
            <w:tcW w:w="704" w:type="dxa"/>
            <w:tcBorders>
              <w:top w:val="nil"/>
              <w:left w:val="single" w:sz="4" w:space="0" w:color="auto"/>
              <w:bottom w:val="single" w:sz="4" w:space="0" w:color="auto"/>
              <w:right w:val="single" w:sz="4" w:space="0" w:color="auto"/>
            </w:tcBorders>
            <w:shd w:val="clear" w:color="000000" w:fill="FFFFFF"/>
            <w:noWrap/>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c>
          <w:tcPr>
            <w:tcW w:w="6622" w:type="dxa"/>
            <w:tcBorders>
              <w:top w:val="nil"/>
              <w:left w:val="nil"/>
              <w:bottom w:val="single" w:sz="4" w:space="0" w:color="auto"/>
              <w:right w:val="single" w:sz="4" w:space="0" w:color="auto"/>
            </w:tcBorders>
            <w:shd w:val="clear" w:color="000000" w:fill="D8D8D8"/>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D) Posibilidad de aprender</w:t>
            </w:r>
          </w:p>
        </w:tc>
      </w:tr>
      <w:tr w:rsidR="00E2336B" w:rsidRPr="005F5A73" w:rsidTr="0092566C">
        <w:trPr>
          <w:trHeight w:val="300"/>
        </w:trPr>
        <w:tc>
          <w:tcPr>
            <w:tcW w:w="350" w:type="dxa"/>
            <w:tcBorders>
              <w:top w:val="nil"/>
              <w:left w:val="single" w:sz="4" w:space="0" w:color="auto"/>
              <w:bottom w:val="nil"/>
              <w:right w:val="nil"/>
            </w:tcBorders>
            <w:shd w:val="clear" w:color="000000" w:fill="BFBFBF"/>
            <w:noWrap/>
            <w:vAlign w:val="bottom"/>
          </w:tcPr>
          <w:p w:rsidR="00E2336B" w:rsidRPr="005F5A73" w:rsidRDefault="00E2336B" w:rsidP="00E237EB">
            <w:pPr>
              <w:jc w:val="cente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c>
          <w:tcPr>
            <w:tcW w:w="704" w:type="dxa"/>
            <w:tcBorders>
              <w:top w:val="nil"/>
              <w:left w:val="single" w:sz="4" w:space="0" w:color="auto"/>
              <w:bottom w:val="single" w:sz="4" w:space="0" w:color="auto"/>
              <w:right w:val="single" w:sz="4" w:space="0" w:color="auto"/>
            </w:tcBorders>
            <w:shd w:val="clear" w:color="000000" w:fill="FFFFFF"/>
            <w:noWrap/>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c>
          <w:tcPr>
            <w:tcW w:w="6622" w:type="dxa"/>
            <w:tcBorders>
              <w:top w:val="nil"/>
              <w:left w:val="nil"/>
              <w:bottom w:val="single" w:sz="4" w:space="0" w:color="auto"/>
              <w:right w:val="single" w:sz="4" w:space="0" w:color="auto"/>
            </w:tcBorders>
            <w:shd w:val="clear" w:color="000000" w:fill="D8D8D8"/>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E) Reconocimiento social</w:t>
            </w:r>
          </w:p>
        </w:tc>
      </w:tr>
      <w:tr w:rsidR="00E2336B" w:rsidRPr="005F5A73" w:rsidTr="0092566C">
        <w:trPr>
          <w:trHeight w:val="300"/>
        </w:trPr>
        <w:tc>
          <w:tcPr>
            <w:tcW w:w="350" w:type="dxa"/>
            <w:tcBorders>
              <w:top w:val="nil"/>
              <w:left w:val="single" w:sz="4" w:space="0" w:color="auto"/>
              <w:bottom w:val="nil"/>
              <w:right w:val="nil"/>
            </w:tcBorders>
            <w:shd w:val="clear" w:color="000000" w:fill="BFBFBF"/>
            <w:noWrap/>
            <w:vAlign w:val="bottom"/>
          </w:tcPr>
          <w:p w:rsidR="00E2336B" w:rsidRPr="005F5A73" w:rsidRDefault="00E2336B" w:rsidP="00E237EB">
            <w:pPr>
              <w:jc w:val="cente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c>
          <w:tcPr>
            <w:tcW w:w="704" w:type="dxa"/>
            <w:tcBorders>
              <w:top w:val="nil"/>
              <w:left w:val="single" w:sz="4" w:space="0" w:color="auto"/>
              <w:bottom w:val="single" w:sz="4" w:space="0" w:color="auto"/>
              <w:right w:val="single" w:sz="4" w:space="0" w:color="auto"/>
            </w:tcBorders>
            <w:shd w:val="clear" w:color="000000" w:fill="FFFFFF"/>
            <w:noWrap/>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c>
          <w:tcPr>
            <w:tcW w:w="6622" w:type="dxa"/>
            <w:tcBorders>
              <w:top w:val="nil"/>
              <w:left w:val="nil"/>
              <w:bottom w:val="single" w:sz="4" w:space="0" w:color="auto"/>
              <w:right w:val="single" w:sz="4" w:space="0" w:color="auto"/>
            </w:tcBorders>
            <w:shd w:val="clear" w:color="000000" w:fill="D8D8D8"/>
            <w:vAlign w:val="bottom"/>
          </w:tcPr>
          <w:p w:rsidR="00E2336B" w:rsidRPr="005F5A73" w:rsidRDefault="00E2336B" w:rsidP="00E237EB">
            <w:pPr>
              <w:rPr>
                <w:rFonts w:ascii="MinionPro-Regular" w:hAnsi="MinionPro-Regular" w:cs="Calibri"/>
                <w:color w:val="000000"/>
                <w:sz w:val="20"/>
                <w:lang w:val="es-ES_tradnl"/>
              </w:rPr>
            </w:pPr>
            <w:r w:rsidRPr="005F5A73">
              <w:rPr>
                <w:rFonts w:ascii="MinionPro-Regular" w:hAnsi="MinionPro-Regular" w:cs="Calibri"/>
                <w:color w:val="000000"/>
                <w:sz w:val="20"/>
                <w:lang w:val="es-ES_tradnl"/>
              </w:rPr>
              <w:t>F) Disfrutar más del ocio</w:t>
            </w:r>
          </w:p>
        </w:tc>
      </w:tr>
      <w:tr w:rsidR="00E2336B" w:rsidRPr="005F5A73" w:rsidTr="0092566C">
        <w:trPr>
          <w:trHeight w:val="300"/>
        </w:trPr>
        <w:tc>
          <w:tcPr>
            <w:tcW w:w="350" w:type="dxa"/>
            <w:tcBorders>
              <w:top w:val="nil"/>
              <w:left w:val="single" w:sz="4" w:space="0" w:color="auto"/>
              <w:bottom w:val="nil"/>
              <w:right w:val="nil"/>
            </w:tcBorders>
            <w:shd w:val="clear" w:color="000000" w:fill="BFBFBF"/>
            <w:noWrap/>
            <w:vAlign w:val="bottom"/>
          </w:tcPr>
          <w:p w:rsidR="00E2336B" w:rsidRPr="005F5A73" w:rsidRDefault="00E2336B" w:rsidP="00E237EB">
            <w:pPr>
              <w:jc w:val="center"/>
              <w:rPr>
                <w:rFonts w:ascii="MinionPro-Regular" w:hAnsi="MinionPro-Regular" w:cs="Calibri"/>
                <w:color w:val="000000"/>
                <w:sz w:val="20"/>
                <w:lang w:val="es-ES_tradnl"/>
              </w:rPr>
            </w:pPr>
            <w:r w:rsidRPr="005F5A73">
              <w:rPr>
                <w:rFonts w:ascii="MinionPro-Regular" w:hAnsi="MinionPro-Regular" w:cs="Calibri"/>
                <w:color w:val="000000"/>
                <w:sz w:val="20"/>
                <w:lang w:val="es-ES_tradnl"/>
              </w:rPr>
              <w:t> </w:t>
            </w:r>
          </w:p>
        </w:tc>
        <w:tc>
          <w:tcPr>
            <w:tcW w:w="704" w:type="dxa"/>
            <w:tcBorders>
              <w:top w:val="nil"/>
              <w:left w:val="single" w:sz="4" w:space="0" w:color="auto"/>
              <w:bottom w:val="single" w:sz="4" w:space="0" w:color="auto"/>
              <w:right w:val="single" w:sz="4" w:space="0" w:color="auto"/>
            </w:tcBorders>
            <w:shd w:val="clear" w:color="000000" w:fill="FFFFFF"/>
            <w:noWrap/>
            <w:vAlign w:val="bottom"/>
          </w:tcPr>
          <w:p w:rsidR="00E2336B" w:rsidRPr="005F5A73" w:rsidRDefault="00E2336B" w:rsidP="00E237EB">
            <w:pPr>
              <w:rPr>
                <w:rFonts w:ascii="MinionPro-Regular" w:hAnsi="MinionPro-Regular" w:cs="Calibri"/>
                <w:color w:val="000000"/>
                <w:sz w:val="20"/>
                <w:lang w:val="es-ES_tradnl"/>
              </w:rPr>
            </w:pPr>
            <w:r w:rsidRPr="005F5A73">
              <w:rPr>
                <w:rFonts w:ascii="MinionPro-Regular" w:hAnsi="MinionPro-Regular" w:cs="Calibri"/>
                <w:color w:val="000000"/>
                <w:sz w:val="20"/>
                <w:lang w:val="es-ES_tradnl"/>
              </w:rPr>
              <w:t> </w:t>
            </w:r>
          </w:p>
        </w:tc>
        <w:tc>
          <w:tcPr>
            <w:tcW w:w="6622" w:type="dxa"/>
            <w:tcBorders>
              <w:top w:val="nil"/>
              <w:left w:val="nil"/>
              <w:bottom w:val="single" w:sz="4" w:space="0" w:color="auto"/>
              <w:right w:val="single" w:sz="4" w:space="0" w:color="auto"/>
            </w:tcBorders>
            <w:shd w:val="clear" w:color="000000" w:fill="D8D8D8"/>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G) Capacidades sociales</w:t>
            </w:r>
          </w:p>
        </w:tc>
      </w:tr>
      <w:tr w:rsidR="00E2336B" w:rsidRPr="005F5A73" w:rsidTr="0092566C">
        <w:trPr>
          <w:trHeight w:val="300"/>
        </w:trPr>
        <w:tc>
          <w:tcPr>
            <w:tcW w:w="350" w:type="dxa"/>
            <w:tcBorders>
              <w:top w:val="nil"/>
              <w:left w:val="single" w:sz="4" w:space="0" w:color="auto"/>
              <w:bottom w:val="nil"/>
              <w:right w:val="nil"/>
            </w:tcBorders>
            <w:shd w:val="clear" w:color="000000" w:fill="BFBFBF"/>
            <w:noWrap/>
            <w:vAlign w:val="bottom"/>
          </w:tcPr>
          <w:p w:rsidR="00E2336B" w:rsidRPr="005F5A73" w:rsidRDefault="00E2336B" w:rsidP="00E237EB">
            <w:pPr>
              <w:jc w:val="cente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c>
          <w:tcPr>
            <w:tcW w:w="704" w:type="dxa"/>
            <w:tcBorders>
              <w:top w:val="nil"/>
              <w:left w:val="single" w:sz="4" w:space="0" w:color="auto"/>
              <w:bottom w:val="single" w:sz="4" w:space="0" w:color="auto"/>
              <w:right w:val="single" w:sz="4" w:space="0" w:color="auto"/>
            </w:tcBorders>
            <w:shd w:val="clear" w:color="000000" w:fill="FFFFFF"/>
            <w:noWrap/>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c>
          <w:tcPr>
            <w:tcW w:w="6622" w:type="dxa"/>
            <w:tcBorders>
              <w:top w:val="nil"/>
              <w:left w:val="nil"/>
              <w:bottom w:val="single" w:sz="4" w:space="0" w:color="auto"/>
              <w:right w:val="single" w:sz="4" w:space="0" w:color="auto"/>
            </w:tcBorders>
            <w:shd w:val="clear" w:color="000000" w:fill="D8D8D8"/>
            <w:vAlign w:val="bottom"/>
          </w:tcPr>
          <w:p w:rsidR="00E2336B" w:rsidRPr="005F5A73" w:rsidRDefault="00E2336B" w:rsidP="00E237EB">
            <w:pPr>
              <w:rPr>
                <w:rFonts w:ascii="MinionPro-Regular" w:hAnsi="MinionPro-Regular" w:cs="Calibri"/>
                <w:color w:val="000000"/>
                <w:sz w:val="20"/>
                <w:lang w:val="es-ES_tradnl"/>
              </w:rPr>
            </w:pPr>
            <w:r w:rsidRPr="005F5A73">
              <w:rPr>
                <w:rFonts w:ascii="MinionPro-Regular" w:hAnsi="MinionPro-Regular" w:cs="Calibri"/>
                <w:color w:val="000000"/>
                <w:sz w:val="20"/>
                <w:lang w:val="es-ES_tradnl"/>
              </w:rPr>
              <w:t>H) No siento que haya cambiado mi vida</w:t>
            </w:r>
          </w:p>
        </w:tc>
      </w:tr>
      <w:tr w:rsidR="00E2336B" w:rsidRPr="005F5A73" w:rsidTr="0092566C">
        <w:trPr>
          <w:trHeight w:val="300"/>
        </w:trPr>
        <w:tc>
          <w:tcPr>
            <w:tcW w:w="350" w:type="dxa"/>
            <w:tcBorders>
              <w:top w:val="nil"/>
              <w:left w:val="single" w:sz="4" w:space="0" w:color="auto"/>
              <w:bottom w:val="nil"/>
              <w:right w:val="nil"/>
            </w:tcBorders>
            <w:shd w:val="clear" w:color="000000" w:fill="BFBFBF"/>
            <w:noWrap/>
            <w:vAlign w:val="bottom"/>
          </w:tcPr>
          <w:p w:rsidR="00E2336B" w:rsidRPr="005F5A73" w:rsidRDefault="00E2336B" w:rsidP="00E237EB">
            <w:pPr>
              <w:jc w:val="center"/>
              <w:rPr>
                <w:rFonts w:ascii="MinionPro-Regular" w:hAnsi="MinionPro-Regular" w:cs="Calibri"/>
                <w:color w:val="000000"/>
                <w:sz w:val="20"/>
                <w:lang w:val="es-ES_tradnl"/>
              </w:rPr>
            </w:pPr>
            <w:r w:rsidRPr="005F5A73">
              <w:rPr>
                <w:rFonts w:ascii="MinionPro-Regular" w:hAnsi="MinionPro-Regular" w:cs="Calibri"/>
                <w:color w:val="000000"/>
                <w:sz w:val="20"/>
                <w:lang w:val="es-ES_tradnl"/>
              </w:rPr>
              <w:t> </w:t>
            </w:r>
          </w:p>
        </w:tc>
        <w:tc>
          <w:tcPr>
            <w:tcW w:w="7326" w:type="dxa"/>
            <w:gridSpan w:val="2"/>
            <w:tcBorders>
              <w:top w:val="single" w:sz="4" w:space="0" w:color="auto"/>
              <w:left w:val="single" w:sz="4" w:space="0" w:color="auto"/>
              <w:bottom w:val="single" w:sz="4" w:space="0" w:color="auto"/>
              <w:right w:val="single" w:sz="4" w:space="0" w:color="auto"/>
            </w:tcBorders>
            <w:shd w:val="clear" w:color="000000" w:fill="D8D8D8"/>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¿Por qué? - Pregunta abierta</w:t>
            </w:r>
          </w:p>
        </w:tc>
      </w:tr>
      <w:tr w:rsidR="00E2336B" w:rsidRPr="005F5A73" w:rsidTr="0092566C">
        <w:trPr>
          <w:trHeight w:val="300"/>
        </w:trPr>
        <w:tc>
          <w:tcPr>
            <w:tcW w:w="350" w:type="dxa"/>
            <w:tcBorders>
              <w:top w:val="nil"/>
              <w:left w:val="single" w:sz="4" w:space="0" w:color="auto"/>
              <w:bottom w:val="nil"/>
              <w:right w:val="nil"/>
            </w:tcBorders>
            <w:shd w:val="clear" w:color="000000" w:fill="BFBFBF"/>
            <w:noWrap/>
            <w:vAlign w:val="bottom"/>
          </w:tcPr>
          <w:p w:rsidR="00E2336B" w:rsidRPr="005F5A73" w:rsidRDefault="00E2336B" w:rsidP="00E237EB">
            <w:pPr>
              <w:jc w:val="cente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c>
          <w:tcPr>
            <w:tcW w:w="7326" w:type="dxa"/>
            <w:gridSpan w:val="2"/>
            <w:tcBorders>
              <w:top w:val="single" w:sz="4" w:space="0" w:color="auto"/>
              <w:left w:val="single" w:sz="4" w:space="0" w:color="auto"/>
              <w:bottom w:val="single" w:sz="4" w:space="0" w:color="auto"/>
              <w:right w:val="single" w:sz="4" w:space="0" w:color="auto"/>
            </w:tcBorders>
            <w:shd w:val="clear" w:color="000000" w:fill="D8D8D8"/>
            <w:noWrap/>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r>
      <w:tr w:rsidR="00E2336B" w:rsidRPr="005F5A73" w:rsidTr="0092566C">
        <w:trPr>
          <w:trHeight w:val="180"/>
        </w:trPr>
        <w:tc>
          <w:tcPr>
            <w:tcW w:w="350" w:type="dxa"/>
            <w:tcBorders>
              <w:top w:val="nil"/>
              <w:left w:val="single" w:sz="4" w:space="0" w:color="auto"/>
              <w:bottom w:val="nil"/>
              <w:right w:val="nil"/>
            </w:tcBorders>
            <w:shd w:val="clear" w:color="000000" w:fill="BFBFBF"/>
            <w:noWrap/>
            <w:vAlign w:val="bottom"/>
          </w:tcPr>
          <w:p w:rsidR="00E2336B" w:rsidRPr="005F5A73" w:rsidRDefault="00E2336B" w:rsidP="00E237EB">
            <w:pPr>
              <w:jc w:val="cente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c>
          <w:tcPr>
            <w:tcW w:w="704" w:type="dxa"/>
            <w:tcBorders>
              <w:top w:val="nil"/>
              <w:left w:val="nil"/>
              <w:bottom w:val="nil"/>
              <w:right w:val="nil"/>
            </w:tcBorders>
            <w:shd w:val="clear" w:color="000000" w:fill="BFBFBF"/>
            <w:noWrap/>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c>
          <w:tcPr>
            <w:tcW w:w="6622" w:type="dxa"/>
            <w:tcBorders>
              <w:top w:val="nil"/>
              <w:left w:val="nil"/>
              <w:bottom w:val="nil"/>
              <w:right w:val="single" w:sz="4" w:space="0" w:color="auto"/>
            </w:tcBorders>
            <w:shd w:val="clear" w:color="000000" w:fill="BFBFBF"/>
            <w:noWrap/>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r>
      <w:tr w:rsidR="00E2336B" w:rsidRPr="005F5A73" w:rsidTr="0092566C">
        <w:trPr>
          <w:trHeight w:val="825"/>
        </w:trPr>
        <w:tc>
          <w:tcPr>
            <w:tcW w:w="350" w:type="dxa"/>
            <w:tcBorders>
              <w:top w:val="single" w:sz="4" w:space="0" w:color="auto"/>
              <w:left w:val="single" w:sz="4" w:space="0" w:color="auto"/>
              <w:bottom w:val="single" w:sz="4" w:space="0" w:color="auto"/>
              <w:right w:val="single" w:sz="4" w:space="0" w:color="auto"/>
            </w:tcBorders>
            <w:shd w:val="clear" w:color="000000" w:fill="A5A5A5"/>
            <w:noWrap/>
            <w:vAlign w:val="center"/>
          </w:tcPr>
          <w:p w:rsidR="00E2336B" w:rsidRPr="005F5A73" w:rsidRDefault="00E2336B" w:rsidP="00E237EB">
            <w:pPr>
              <w:jc w:val="center"/>
              <w:rPr>
                <w:rFonts w:ascii="MinionPro-Regular" w:hAnsi="MinionPro-Regular" w:cs="Calibri"/>
                <w:color w:val="000000"/>
                <w:sz w:val="20"/>
                <w:lang w:val="en-US"/>
              </w:rPr>
            </w:pPr>
            <w:r w:rsidRPr="005F5A73">
              <w:rPr>
                <w:rFonts w:ascii="MinionPro-Regular" w:hAnsi="MinionPro-Regular" w:cs="Calibri"/>
                <w:color w:val="000000"/>
                <w:sz w:val="20"/>
                <w:lang w:val="en-US"/>
              </w:rPr>
              <w:t>I</w:t>
            </w:r>
          </w:p>
        </w:tc>
        <w:tc>
          <w:tcPr>
            <w:tcW w:w="7326" w:type="dxa"/>
            <w:gridSpan w:val="2"/>
            <w:tcBorders>
              <w:top w:val="nil"/>
              <w:left w:val="nil"/>
              <w:bottom w:val="single" w:sz="4" w:space="0" w:color="auto"/>
              <w:right w:val="single" w:sz="4" w:space="0" w:color="auto"/>
            </w:tcBorders>
            <w:shd w:val="clear" w:color="000000" w:fill="BFBFBF"/>
            <w:vAlign w:val="center"/>
          </w:tcPr>
          <w:p w:rsidR="00E2336B" w:rsidRPr="005F5A73" w:rsidRDefault="00E2336B" w:rsidP="00E237EB">
            <w:pPr>
              <w:rPr>
                <w:rFonts w:ascii="MinionPro-Regular" w:hAnsi="MinionPro-Regular" w:cs="Calibri"/>
                <w:color w:val="000000"/>
                <w:sz w:val="20"/>
                <w:lang w:val="es-ES_tradnl"/>
              </w:rPr>
            </w:pPr>
            <w:r w:rsidRPr="005F5A73">
              <w:rPr>
                <w:rFonts w:ascii="MinionPro-Regular" w:hAnsi="MinionPro-Regular" w:cs="Calibri"/>
                <w:color w:val="000000"/>
                <w:sz w:val="20"/>
                <w:lang w:val="es-ES_tradnl"/>
              </w:rPr>
              <w:t>2.20. ¿Si percibieses una ayuda economica de cuantia similar a la que recibes por tu salario, te seguiria interesando trabajar?, ¿Por qué?</w:t>
            </w:r>
          </w:p>
        </w:tc>
      </w:tr>
      <w:tr w:rsidR="00E2336B" w:rsidRPr="005F5A73" w:rsidTr="0092566C">
        <w:trPr>
          <w:trHeight w:val="330"/>
        </w:trPr>
        <w:tc>
          <w:tcPr>
            <w:tcW w:w="350" w:type="dxa"/>
            <w:tcBorders>
              <w:top w:val="nil"/>
              <w:left w:val="single" w:sz="4" w:space="0" w:color="auto"/>
              <w:bottom w:val="nil"/>
              <w:right w:val="nil"/>
            </w:tcBorders>
            <w:shd w:val="clear" w:color="000000" w:fill="BFBFBF"/>
            <w:noWrap/>
            <w:vAlign w:val="bottom"/>
          </w:tcPr>
          <w:p w:rsidR="00E2336B" w:rsidRPr="005F5A73" w:rsidRDefault="00E2336B" w:rsidP="00E237EB">
            <w:pPr>
              <w:jc w:val="center"/>
              <w:rPr>
                <w:rFonts w:ascii="MinionPro-Regular" w:hAnsi="MinionPro-Regular" w:cs="Calibri"/>
                <w:color w:val="000000"/>
                <w:sz w:val="20"/>
                <w:lang w:val="es-ES_tradnl"/>
              </w:rPr>
            </w:pPr>
            <w:r w:rsidRPr="005F5A73">
              <w:rPr>
                <w:rFonts w:ascii="MinionPro-Regular" w:hAnsi="MinionPro-Regular" w:cs="Calibri"/>
                <w:color w:val="000000"/>
                <w:sz w:val="20"/>
                <w:lang w:val="es-ES_tradnl"/>
              </w:rPr>
              <w:lastRenderedPageBreak/>
              <w:t> </w:t>
            </w:r>
          </w:p>
        </w:tc>
        <w:tc>
          <w:tcPr>
            <w:tcW w:w="704" w:type="dxa"/>
            <w:tcBorders>
              <w:top w:val="nil"/>
              <w:left w:val="single" w:sz="4" w:space="0" w:color="auto"/>
              <w:bottom w:val="single" w:sz="4" w:space="0" w:color="auto"/>
              <w:right w:val="single" w:sz="4" w:space="0" w:color="auto"/>
            </w:tcBorders>
            <w:shd w:val="clear" w:color="000000" w:fill="FFFFFF"/>
            <w:noWrap/>
            <w:vAlign w:val="bottom"/>
          </w:tcPr>
          <w:p w:rsidR="00E2336B" w:rsidRPr="005F5A73" w:rsidRDefault="00E2336B" w:rsidP="00E237EB">
            <w:pPr>
              <w:rPr>
                <w:rFonts w:ascii="MinionPro-Regular" w:hAnsi="MinionPro-Regular" w:cs="Calibri"/>
                <w:color w:val="000000"/>
                <w:sz w:val="20"/>
                <w:lang w:val="es-ES_tradnl"/>
              </w:rPr>
            </w:pPr>
            <w:r w:rsidRPr="005F5A73">
              <w:rPr>
                <w:rFonts w:ascii="MinionPro-Regular" w:hAnsi="MinionPro-Regular" w:cs="Calibri"/>
                <w:color w:val="000000"/>
                <w:sz w:val="20"/>
                <w:lang w:val="es-ES_tradnl"/>
              </w:rPr>
              <w:t> </w:t>
            </w:r>
          </w:p>
        </w:tc>
        <w:tc>
          <w:tcPr>
            <w:tcW w:w="6622" w:type="dxa"/>
            <w:tcBorders>
              <w:top w:val="nil"/>
              <w:left w:val="nil"/>
              <w:bottom w:val="single" w:sz="4" w:space="0" w:color="auto"/>
              <w:right w:val="single" w:sz="4" w:space="0" w:color="auto"/>
            </w:tcBorders>
            <w:shd w:val="clear" w:color="000000" w:fill="D8D8D8"/>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A) Sí</w:t>
            </w:r>
          </w:p>
        </w:tc>
      </w:tr>
      <w:tr w:rsidR="00E2336B" w:rsidRPr="005F5A73" w:rsidTr="0092566C">
        <w:trPr>
          <w:trHeight w:val="345"/>
        </w:trPr>
        <w:tc>
          <w:tcPr>
            <w:tcW w:w="350" w:type="dxa"/>
            <w:tcBorders>
              <w:top w:val="nil"/>
              <w:left w:val="single" w:sz="4" w:space="0" w:color="auto"/>
              <w:bottom w:val="nil"/>
              <w:right w:val="nil"/>
            </w:tcBorders>
            <w:shd w:val="clear" w:color="000000" w:fill="BFBFBF"/>
            <w:noWrap/>
            <w:vAlign w:val="bottom"/>
          </w:tcPr>
          <w:p w:rsidR="00E2336B" w:rsidRPr="005F5A73" w:rsidRDefault="00E2336B" w:rsidP="00E237EB">
            <w:pPr>
              <w:jc w:val="cente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c>
          <w:tcPr>
            <w:tcW w:w="704" w:type="dxa"/>
            <w:tcBorders>
              <w:top w:val="nil"/>
              <w:left w:val="single" w:sz="4" w:space="0" w:color="auto"/>
              <w:bottom w:val="single" w:sz="4" w:space="0" w:color="auto"/>
              <w:right w:val="single" w:sz="4" w:space="0" w:color="auto"/>
            </w:tcBorders>
            <w:shd w:val="clear" w:color="000000" w:fill="FFFFFF"/>
            <w:noWrap/>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c>
          <w:tcPr>
            <w:tcW w:w="6622" w:type="dxa"/>
            <w:tcBorders>
              <w:top w:val="nil"/>
              <w:left w:val="nil"/>
              <w:bottom w:val="single" w:sz="4" w:space="0" w:color="auto"/>
              <w:right w:val="single" w:sz="4" w:space="0" w:color="auto"/>
            </w:tcBorders>
            <w:shd w:val="clear" w:color="000000" w:fill="D8D8D8"/>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B) No</w:t>
            </w:r>
          </w:p>
        </w:tc>
      </w:tr>
      <w:tr w:rsidR="00E2336B" w:rsidRPr="005F5A73" w:rsidTr="0092566C">
        <w:trPr>
          <w:trHeight w:val="330"/>
        </w:trPr>
        <w:tc>
          <w:tcPr>
            <w:tcW w:w="350" w:type="dxa"/>
            <w:tcBorders>
              <w:top w:val="nil"/>
              <w:left w:val="single" w:sz="4" w:space="0" w:color="auto"/>
              <w:bottom w:val="nil"/>
              <w:right w:val="nil"/>
            </w:tcBorders>
            <w:shd w:val="clear" w:color="000000" w:fill="BFBFBF"/>
            <w:noWrap/>
            <w:vAlign w:val="bottom"/>
          </w:tcPr>
          <w:p w:rsidR="00E2336B" w:rsidRPr="005F5A73" w:rsidRDefault="00E2336B" w:rsidP="00E237EB">
            <w:pPr>
              <w:jc w:val="cente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c>
          <w:tcPr>
            <w:tcW w:w="704" w:type="dxa"/>
            <w:tcBorders>
              <w:top w:val="nil"/>
              <w:left w:val="single" w:sz="4" w:space="0" w:color="auto"/>
              <w:bottom w:val="single" w:sz="4" w:space="0" w:color="auto"/>
              <w:right w:val="single" w:sz="4" w:space="0" w:color="auto"/>
            </w:tcBorders>
            <w:shd w:val="clear" w:color="000000" w:fill="FFFFFF"/>
            <w:noWrap/>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c>
          <w:tcPr>
            <w:tcW w:w="6622" w:type="dxa"/>
            <w:tcBorders>
              <w:top w:val="nil"/>
              <w:left w:val="nil"/>
              <w:bottom w:val="single" w:sz="4" w:space="0" w:color="auto"/>
              <w:right w:val="single" w:sz="4" w:space="0" w:color="auto"/>
            </w:tcBorders>
            <w:shd w:val="clear" w:color="000000" w:fill="D8D8D8"/>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 xml:space="preserve">C) Otros (indica cuáles): </w:t>
            </w:r>
          </w:p>
        </w:tc>
      </w:tr>
      <w:tr w:rsidR="00E2336B" w:rsidRPr="005F5A73" w:rsidTr="0092566C">
        <w:trPr>
          <w:trHeight w:val="180"/>
        </w:trPr>
        <w:tc>
          <w:tcPr>
            <w:tcW w:w="350" w:type="dxa"/>
            <w:tcBorders>
              <w:top w:val="nil"/>
              <w:left w:val="single" w:sz="4" w:space="0" w:color="auto"/>
              <w:bottom w:val="nil"/>
              <w:right w:val="nil"/>
            </w:tcBorders>
            <w:shd w:val="clear" w:color="000000" w:fill="BFBFBF"/>
            <w:noWrap/>
            <w:vAlign w:val="bottom"/>
          </w:tcPr>
          <w:p w:rsidR="00E2336B" w:rsidRPr="005F5A73" w:rsidRDefault="00E2336B" w:rsidP="00E237EB">
            <w:pPr>
              <w:jc w:val="cente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c>
          <w:tcPr>
            <w:tcW w:w="704" w:type="dxa"/>
            <w:tcBorders>
              <w:top w:val="nil"/>
              <w:left w:val="nil"/>
              <w:bottom w:val="nil"/>
              <w:right w:val="nil"/>
            </w:tcBorders>
            <w:shd w:val="clear" w:color="000000" w:fill="BFBFBF"/>
            <w:noWrap/>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c>
          <w:tcPr>
            <w:tcW w:w="6622" w:type="dxa"/>
            <w:tcBorders>
              <w:top w:val="nil"/>
              <w:left w:val="nil"/>
              <w:bottom w:val="nil"/>
              <w:right w:val="single" w:sz="4" w:space="0" w:color="auto"/>
            </w:tcBorders>
            <w:shd w:val="clear" w:color="000000" w:fill="BFBFBF"/>
            <w:noWrap/>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r>
      <w:tr w:rsidR="00E2336B" w:rsidRPr="005F5A73" w:rsidTr="0092566C">
        <w:trPr>
          <w:trHeight w:val="720"/>
        </w:trPr>
        <w:tc>
          <w:tcPr>
            <w:tcW w:w="350" w:type="dxa"/>
            <w:tcBorders>
              <w:top w:val="single" w:sz="4" w:space="0" w:color="auto"/>
              <w:left w:val="single" w:sz="4" w:space="0" w:color="auto"/>
              <w:bottom w:val="single" w:sz="4" w:space="0" w:color="auto"/>
              <w:right w:val="single" w:sz="4" w:space="0" w:color="auto"/>
            </w:tcBorders>
            <w:shd w:val="clear" w:color="000000" w:fill="A5A5A5"/>
            <w:noWrap/>
            <w:vAlign w:val="center"/>
          </w:tcPr>
          <w:p w:rsidR="00E2336B" w:rsidRPr="005F5A73" w:rsidRDefault="00E2336B" w:rsidP="00E237EB">
            <w:pPr>
              <w:jc w:val="center"/>
              <w:rPr>
                <w:rFonts w:ascii="MinionPro-Regular" w:hAnsi="MinionPro-Regular" w:cs="Calibri"/>
                <w:color w:val="000000"/>
                <w:sz w:val="20"/>
                <w:lang w:val="en-US"/>
              </w:rPr>
            </w:pPr>
            <w:r w:rsidRPr="005F5A73">
              <w:rPr>
                <w:rFonts w:ascii="MinionPro-Regular" w:hAnsi="MinionPro-Regular" w:cs="Calibri"/>
                <w:color w:val="000000"/>
                <w:sz w:val="20"/>
                <w:lang w:val="en-US"/>
              </w:rPr>
              <w:t>I</w:t>
            </w:r>
          </w:p>
        </w:tc>
        <w:tc>
          <w:tcPr>
            <w:tcW w:w="7326" w:type="dxa"/>
            <w:gridSpan w:val="2"/>
            <w:tcBorders>
              <w:top w:val="nil"/>
              <w:left w:val="nil"/>
              <w:bottom w:val="single" w:sz="4" w:space="0" w:color="auto"/>
              <w:right w:val="single" w:sz="4" w:space="0" w:color="auto"/>
            </w:tcBorders>
            <w:shd w:val="clear" w:color="000000" w:fill="BFBFBF"/>
            <w:vAlign w:val="center"/>
          </w:tcPr>
          <w:p w:rsidR="00E2336B" w:rsidRPr="005F5A73" w:rsidRDefault="00E2336B" w:rsidP="00E237EB">
            <w:pPr>
              <w:rPr>
                <w:rFonts w:ascii="MinionPro-Regular" w:hAnsi="MinionPro-Regular" w:cs="Calibri"/>
                <w:color w:val="000000"/>
                <w:sz w:val="20"/>
                <w:lang w:val="es-ES_tradnl"/>
              </w:rPr>
            </w:pPr>
            <w:r w:rsidRPr="005F5A73">
              <w:rPr>
                <w:rFonts w:ascii="MinionPro-Regular" w:hAnsi="MinionPro-Regular" w:cs="Calibri"/>
                <w:color w:val="000000"/>
                <w:sz w:val="20"/>
                <w:lang w:val="es-ES_tradnl"/>
              </w:rPr>
              <w:t>2.21. ¿Qué aspecto consideras que se podría mejorar en tu puesto de trabajo?</w:t>
            </w:r>
          </w:p>
        </w:tc>
      </w:tr>
      <w:tr w:rsidR="00E2336B" w:rsidRPr="005F5A73" w:rsidTr="0092566C">
        <w:trPr>
          <w:trHeight w:val="300"/>
        </w:trPr>
        <w:tc>
          <w:tcPr>
            <w:tcW w:w="350" w:type="dxa"/>
            <w:tcBorders>
              <w:top w:val="nil"/>
              <w:left w:val="single" w:sz="4" w:space="0" w:color="auto"/>
              <w:bottom w:val="nil"/>
              <w:right w:val="nil"/>
            </w:tcBorders>
            <w:shd w:val="clear" w:color="000000" w:fill="BFBFBF"/>
            <w:noWrap/>
            <w:vAlign w:val="bottom"/>
          </w:tcPr>
          <w:p w:rsidR="00E2336B" w:rsidRPr="005F5A73" w:rsidRDefault="00E2336B" w:rsidP="00E237EB">
            <w:pPr>
              <w:jc w:val="center"/>
              <w:rPr>
                <w:rFonts w:ascii="MinionPro-Regular" w:hAnsi="MinionPro-Regular" w:cs="Calibri"/>
                <w:color w:val="000000"/>
                <w:sz w:val="20"/>
                <w:lang w:val="es-ES_tradnl"/>
              </w:rPr>
            </w:pPr>
            <w:r w:rsidRPr="005F5A73">
              <w:rPr>
                <w:rFonts w:ascii="MinionPro-Regular" w:hAnsi="MinionPro-Regular" w:cs="Calibri"/>
                <w:color w:val="000000"/>
                <w:sz w:val="20"/>
                <w:lang w:val="es-ES_tradnl"/>
              </w:rPr>
              <w:t> </w:t>
            </w:r>
          </w:p>
        </w:tc>
        <w:tc>
          <w:tcPr>
            <w:tcW w:w="704" w:type="dxa"/>
            <w:tcBorders>
              <w:top w:val="nil"/>
              <w:left w:val="single" w:sz="4" w:space="0" w:color="auto"/>
              <w:bottom w:val="single" w:sz="4" w:space="0" w:color="auto"/>
              <w:right w:val="single" w:sz="4" w:space="0" w:color="auto"/>
            </w:tcBorders>
            <w:shd w:val="clear" w:color="000000" w:fill="FFFFFF"/>
            <w:noWrap/>
            <w:vAlign w:val="bottom"/>
          </w:tcPr>
          <w:p w:rsidR="00E2336B" w:rsidRPr="005F5A73" w:rsidRDefault="00E2336B" w:rsidP="00E237EB">
            <w:pPr>
              <w:rPr>
                <w:rFonts w:ascii="MinionPro-Regular" w:hAnsi="MinionPro-Regular" w:cs="Calibri"/>
                <w:color w:val="000000"/>
                <w:sz w:val="20"/>
                <w:lang w:val="es-ES_tradnl"/>
              </w:rPr>
            </w:pPr>
            <w:r w:rsidRPr="005F5A73">
              <w:rPr>
                <w:rFonts w:ascii="MinionPro-Regular" w:hAnsi="MinionPro-Regular" w:cs="Calibri"/>
                <w:color w:val="000000"/>
                <w:sz w:val="20"/>
                <w:lang w:val="es-ES_tradnl"/>
              </w:rPr>
              <w:t> </w:t>
            </w:r>
          </w:p>
        </w:tc>
        <w:tc>
          <w:tcPr>
            <w:tcW w:w="6622" w:type="dxa"/>
            <w:tcBorders>
              <w:top w:val="nil"/>
              <w:left w:val="nil"/>
              <w:bottom w:val="single" w:sz="4" w:space="0" w:color="auto"/>
              <w:right w:val="single" w:sz="4" w:space="0" w:color="auto"/>
            </w:tcBorders>
            <w:shd w:val="clear" w:color="000000" w:fill="D8D8D8"/>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Pregunta abierta</w:t>
            </w:r>
          </w:p>
        </w:tc>
      </w:tr>
      <w:tr w:rsidR="00E2336B" w:rsidRPr="005F5A73" w:rsidTr="0092566C">
        <w:trPr>
          <w:trHeight w:val="180"/>
        </w:trPr>
        <w:tc>
          <w:tcPr>
            <w:tcW w:w="350" w:type="dxa"/>
            <w:tcBorders>
              <w:top w:val="nil"/>
              <w:left w:val="single" w:sz="4" w:space="0" w:color="auto"/>
              <w:bottom w:val="nil"/>
              <w:right w:val="nil"/>
            </w:tcBorders>
            <w:shd w:val="clear" w:color="000000" w:fill="BFBFBF"/>
            <w:noWrap/>
            <w:vAlign w:val="bottom"/>
          </w:tcPr>
          <w:p w:rsidR="00E2336B" w:rsidRPr="005F5A73" w:rsidRDefault="00E2336B" w:rsidP="00E237EB">
            <w:pPr>
              <w:jc w:val="cente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c>
          <w:tcPr>
            <w:tcW w:w="704" w:type="dxa"/>
            <w:tcBorders>
              <w:top w:val="nil"/>
              <w:left w:val="nil"/>
              <w:bottom w:val="nil"/>
              <w:right w:val="nil"/>
            </w:tcBorders>
            <w:shd w:val="clear" w:color="000000" w:fill="BFBFBF"/>
            <w:noWrap/>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c>
          <w:tcPr>
            <w:tcW w:w="6622" w:type="dxa"/>
            <w:tcBorders>
              <w:top w:val="nil"/>
              <w:left w:val="nil"/>
              <w:bottom w:val="nil"/>
              <w:right w:val="single" w:sz="4" w:space="0" w:color="auto"/>
            </w:tcBorders>
            <w:shd w:val="clear" w:color="000000" w:fill="BFBFBF"/>
            <w:noWrap/>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 </w:t>
            </w:r>
          </w:p>
        </w:tc>
      </w:tr>
      <w:tr w:rsidR="00E2336B" w:rsidRPr="005F5A73" w:rsidTr="0092566C">
        <w:trPr>
          <w:trHeight w:val="300"/>
        </w:trPr>
        <w:tc>
          <w:tcPr>
            <w:tcW w:w="350" w:type="dxa"/>
            <w:tcBorders>
              <w:top w:val="single" w:sz="4" w:space="0" w:color="auto"/>
              <w:left w:val="single" w:sz="4" w:space="0" w:color="auto"/>
              <w:bottom w:val="single" w:sz="4" w:space="0" w:color="auto"/>
              <w:right w:val="single" w:sz="4" w:space="0" w:color="auto"/>
            </w:tcBorders>
            <w:shd w:val="clear" w:color="000000" w:fill="A5A5A5"/>
            <w:noWrap/>
            <w:vAlign w:val="bottom"/>
          </w:tcPr>
          <w:p w:rsidR="00E2336B" w:rsidRPr="005F5A73" w:rsidRDefault="00E2336B" w:rsidP="00E237EB">
            <w:pPr>
              <w:jc w:val="center"/>
              <w:rPr>
                <w:rFonts w:ascii="MinionPro-Regular" w:hAnsi="MinionPro-Regular" w:cs="Calibri"/>
                <w:color w:val="000000"/>
                <w:sz w:val="20"/>
                <w:lang w:val="en-US"/>
              </w:rPr>
            </w:pPr>
            <w:r w:rsidRPr="005F5A73">
              <w:rPr>
                <w:rFonts w:ascii="MinionPro-Regular" w:hAnsi="MinionPro-Regular" w:cs="Calibri"/>
                <w:color w:val="000000"/>
                <w:sz w:val="20"/>
                <w:lang w:val="en-US"/>
              </w:rPr>
              <w:t>I</w:t>
            </w:r>
          </w:p>
        </w:tc>
        <w:tc>
          <w:tcPr>
            <w:tcW w:w="7326" w:type="dxa"/>
            <w:gridSpan w:val="2"/>
            <w:tcBorders>
              <w:top w:val="nil"/>
              <w:left w:val="nil"/>
              <w:bottom w:val="nil"/>
              <w:right w:val="single" w:sz="4" w:space="0" w:color="auto"/>
            </w:tcBorders>
            <w:shd w:val="clear" w:color="000000" w:fill="BFBFBF"/>
            <w:noWrap/>
            <w:vAlign w:val="bottom"/>
          </w:tcPr>
          <w:p w:rsidR="00E2336B" w:rsidRPr="005F5A73" w:rsidRDefault="00E2336B" w:rsidP="00E237EB">
            <w:pPr>
              <w:rPr>
                <w:rFonts w:ascii="MinionPro-Regular" w:hAnsi="MinionPro-Regular" w:cs="Calibri"/>
                <w:color w:val="000000"/>
                <w:sz w:val="20"/>
                <w:lang w:val="es-ES_tradnl"/>
              </w:rPr>
            </w:pPr>
            <w:r w:rsidRPr="005F5A73">
              <w:rPr>
                <w:rFonts w:ascii="MinionPro-Regular" w:hAnsi="MinionPro-Regular" w:cs="Calibri"/>
                <w:color w:val="000000"/>
                <w:sz w:val="20"/>
                <w:lang w:val="es-ES_tradnl"/>
              </w:rPr>
              <w:t>2.22. ¿Qué aspecto consideras que se podría mejorar en el CEE?</w:t>
            </w:r>
          </w:p>
        </w:tc>
      </w:tr>
      <w:tr w:rsidR="00E2336B" w:rsidRPr="005F5A73" w:rsidTr="0092566C">
        <w:trPr>
          <w:trHeight w:val="300"/>
        </w:trPr>
        <w:tc>
          <w:tcPr>
            <w:tcW w:w="350" w:type="dxa"/>
            <w:tcBorders>
              <w:top w:val="nil"/>
              <w:left w:val="single" w:sz="4" w:space="0" w:color="auto"/>
              <w:bottom w:val="single" w:sz="4" w:space="0" w:color="auto"/>
              <w:right w:val="nil"/>
            </w:tcBorders>
            <w:shd w:val="clear" w:color="000000" w:fill="BFBFBF"/>
            <w:noWrap/>
            <w:vAlign w:val="bottom"/>
          </w:tcPr>
          <w:p w:rsidR="00E2336B" w:rsidRPr="005F5A73" w:rsidRDefault="00E2336B" w:rsidP="00E237EB">
            <w:pPr>
              <w:jc w:val="center"/>
              <w:rPr>
                <w:rFonts w:ascii="MinionPro-Regular" w:hAnsi="MinionPro-Regular" w:cs="Calibri"/>
                <w:color w:val="000000"/>
                <w:sz w:val="20"/>
                <w:lang w:val="es-ES_tradnl"/>
              </w:rPr>
            </w:pPr>
            <w:r w:rsidRPr="005F5A73">
              <w:rPr>
                <w:rFonts w:ascii="MinionPro-Regular" w:hAnsi="MinionPro-Regular" w:cs="Calibri"/>
                <w:color w:val="000000"/>
                <w:sz w:val="20"/>
                <w:lang w:val="es-ES_tradnl"/>
              </w:rPr>
              <w:t> </w:t>
            </w:r>
          </w:p>
        </w:tc>
        <w:tc>
          <w:tcPr>
            <w:tcW w:w="704"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E2336B" w:rsidRPr="005F5A73" w:rsidRDefault="00E2336B" w:rsidP="00E237EB">
            <w:pPr>
              <w:rPr>
                <w:rFonts w:ascii="MinionPro-Regular" w:hAnsi="MinionPro-Regular" w:cs="Calibri"/>
                <w:color w:val="000000"/>
                <w:sz w:val="20"/>
                <w:lang w:val="es-ES_tradnl"/>
              </w:rPr>
            </w:pPr>
            <w:r w:rsidRPr="005F5A73">
              <w:rPr>
                <w:rFonts w:ascii="MinionPro-Regular" w:hAnsi="MinionPro-Regular" w:cs="Calibri"/>
                <w:color w:val="000000"/>
                <w:sz w:val="20"/>
                <w:lang w:val="es-ES_tradnl"/>
              </w:rPr>
              <w:t> </w:t>
            </w:r>
          </w:p>
        </w:tc>
        <w:tc>
          <w:tcPr>
            <w:tcW w:w="6622" w:type="dxa"/>
            <w:tcBorders>
              <w:top w:val="single" w:sz="4" w:space="0" w:color="auto"/>
              <w:left w:val="nil"/>
              <w:bottom w:val="single" w:sz="4" w:space="0" w:color="auto"/>
              <w:right w:val="single" w:sz="4" w:space="0" w:color="auto"/>
            </w:tcBorders>
            <w:shd w:val="clear" w:color="000000" w:fill="D8D8D8"/>
            <w:vAlign w:val="bottom"/>
          </w:tcPr>
          <w:p w:rsidR="00E2336B" w:rsidRPr="005F5A73" w:rsidRDefault="00E2336B" w:rsidP="00E237EB">
            <w:pPr>
              <w:rPr>
                <w:rFonts w:ascii="MinionPro-Regular" w:hAnsi="MinionPro-Regular" w:cs="Calibri"/>
                <w:color w:val="000000"/>
                <w:sz w:val="20"/>
                <w:lang w:val="en-US"/>
              </w:rPr>
            </w:pPr>
            <w:r w:rsidRPr="005F5A73">
              <w:rPr>
                <w:rFonts w:ascii="MinionPro-Regular" w:hAnsi="MinionPro-Regular" w:cs="Calibri"/>
                <w:color w:val="000000"/>
                <w:sz w:val="20"/>
                <w:lang w:val="en-US"/>
              </w:rPr>
              <w:t>Pregunta abierta</w:t>
            </w:r>
          </w:p>
        </w:tc>
      </w:tr>
    </w:tbl>
    <w:p w:rsidR="00E2336B" w:rsidRPr="00E237EB" w:rsidRDefault="00E2336B" w:rsidP="00E237EB">
      <w:pPr>
        <w:pStyle w:val="Textoindependiente"/>
        <w:rPr>
          <w:lang w:val="es-ES_tradnl"/>
        </w:rPr>
      </w:pPr>
    </w:p>
    <w:tbl>
      <w:tblPr>
        <w:tblW w:w="38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76"/>
        <w:gridCol w:w="2896"/>
      </w:tblGrid>
      <w:tr w:rsidR="00E2336B" w:rsidRPr="00004456" w:rsidTr="005F5A73">
        <w:trPr>
          <w:trHeight w:val="300"/>
        </w:trPr>
        <w:tc>
          <w:tcPr>
            <w:tcW w:w="976" w:type="dxa"/>
            <w:noWrap/>
            <w:vAlign w:val="bottom"/>
          </w:tcPr>
          <w:p w:rsidR="00E2336B" w:rsidRPr="00E2336B" w:rsidRDefault="00F23441" w:rsidP="005F5A73">
            <w:pPr>
              <w:jc w:val="center"/>
              <w:rPr>
                <w:rFonts w:ascii="MinionPro-Regular" w:hAnsi="MinionPro-Regular" w:cs="Calibri"/>
                <w:color w:val="000000"/>
                <w:sz w:val="20"/>
                <w:szCs w:val="22"/>
                <w:lang w:val="en-US"/>
              </w:rPr>
            </w:pPr>
            <w:r w:rsidRPr="00F23441">
              <w:rPr>
                <w:rFonts w:ascii="MinionPro-Regular" w:hAnsi="MinionPro-Regular" w:cs="Calibri"/>
                <w:color w:val="000000"/>
                <w:sz w:val="20"/>
                <w:szCs w:val="22"/>
                <w:lang w:val="en-US"/>
              </w:rPr>
              <w:t>I</w:t>
            </w:r>
          </w:p>
        </w:tc>
        <w:tc>
          <w:tcPr>
            <w:tcW w:w="2896" w:type="dxa"/>
            <w:noWrap/>
            <w:vAlign w:val="center"/>
          </w:tcPr>
          <w:p w:rsidR="00E2336B" w:rsidRPr="00E2336B" w:rsidRDefault="00F23441" w:rsidP="005F5A73">
            <w:pPr>
              <w:rPr>
                <w:rFonts w:ascii="MinionPro-Regular" w:hAnsi="MinionPro-Regular" w:cs="Calibri"/>
                <w:color w:val="000000"/>
                <w:sz w:val="20"/>
                <w:szCs w:val="22"/>
                <w:lang w:val="en-US"/>
              </w:rPr>
            </w:pPr>
            <w:r w:rsidRPr="00F23441">
              <w:rPr>
                <w:rFonts w:ascii="MinionPro-Regular" w:hAnsi="MinionPro-Regular" w:cs="Calibri"/>
                <w:color w:val="000000"/>
                <w:sz w:val="20"/>
                <w:szCs w:val="22"/>
                <w:lang w:val="en-US"/>
              </w:rPr>
              <w:t>Integración Social y Laboral</w:t>
            </w:r>
          </w:p>
        </w:tc>
      </w:tr>
      <w:tr w:rsidR="00E2336B" w:rsidRPr="00004456" w:rsidTr="005F5A73">
        <w:trPr>
          <w:trHeight w:val="300"/>
        </w:trPr>
        <w:tc>
          <w:tcPr>
            <w:tcW w:w="976" w:type="dxa"/>
            <w:noWrap/>
            <w:vAlign w:val="center"/>
          </w:tcPr>
          <w:p w:rsidR="00E2336B" w:rsidRPr="00E2336B" w:rsidRDefault="00F23441" w:rsidP="005F5A73">
            <w:pPr>
              <w:jc w:val="center"/>
              <w:rPr>
                <w:rFonts w:ascii="MinionPro-Regular" w:hAnsi="MinionPro-Regular" w:cs="Calibri"/>
                <w:color w:val="000000"/>
                <w:sz w:val="20"/>
                <w:szCs w:val="22"/>
                <w:lang w:val="en-US"/>
              </w:rPr>
            </w:pPr>
            <w:r w:rsidRPr="00F23441">
              <w:rPr>
                <w:rFonts w:ascii="MinionPro-Regular" w:hAnsi="MinionPro-Regular" w:cs="Calibri"/>
                <w:color w:val="000000"/>
                <w:sz w:val="20"/>
                <w:szCs w:val="22"/>
                <w:lang w:val="en-US"/>
              </w:rPr>
              <w:t>F</w:t>
            </w:r>
          </w:p>
        </w:tc>
        <w:tc>
          <w:tcPr>
            <w:tcW w:w="2896" w:type="dxa"/>
            <w:noWrap/>
            <w:vAlign w:val="center"/>
          </w:tcPr>
          <w:p w:rsidR="00E2336B" w:rsidRPr="00E2336B" w:rsidRDefault="00F23441" w:rsidP="005F5A73">
            <w:pPr>
              <w:rPr>
                <w:rFonts w:ascii="MinionPro-Regular" w:hAnsi="MinionPro-Regular" w:cs="Calibri"/>
                <w:color w:val="000000"/>
                <w:sz w:val="20"/>
                <w:szCs w:val="22"/>
                <w:lang w:val="en-US"/>
              </w:rPr>
            </w:pPr>
            <w:r w:rsidRPr="00F23441">
              <w:rPr>
                <w:rFonts w:ascii="MinionPro-Regular" w:hAnsi="MinionPro-Regular" w:cs="Calibri"/>
                <w:color w:val="000000"/>
                <w:sz w:val="20"/>
                <w:szCs w:val="22"/>
                <w:lang w:val="en-US"/>
              </w:rPr>
              <w:t>Apoyo familiar</w:t>
            </w:r>
          </w:p>
        </w:tc>
      </w:tr>
      <w:tr w:rsidR="00E2336B" w:rsidRPr="00004456" w:rsidTr="005F5A73">
        <w:trPr>
          <w:trHeight w:val="300"/>
        </w:trPr>
        <w:tc>
          <w:tcPr>
            <w:tcW w:w="976" w:type="dxa"/>
            <w:noWrap/>
            <w:vAlign w:val="center"/>
          </w:tcPr>
          <w:p w:rsidR="00E2336B" w:rsidRPr="00E2336B" w:rsidRDefault="00F23441" w:rsidP="005F5A73">
            <w:pPr>
              <w:jc w:val="center"/>
              <w:rPr>
                <w:rFonts w:ascii="MinionPro-Regular" w:hAnsi="MinionPro-Regular" w:cs="Calibri"/>
                <w:color w:val="000000"/>
                <w:sz w:val="20"/>
                <w:szCs w:val="22"/>
                <w:lang w:val="en-US"/>
              </w:rPr>
            </w:pPr>
            <w:r w:rsidRPr="00F23441">
              <w:rPr>
                <w:rFonts w:ascii="MinionPro-Regular" w:hAnsi="MinionPro-Regular" w:cs="Calibri"/>
                <w:color w:val="000000"/>
                <w:sz w:val="20"/>
                <w:szCs w:val="22"/>
                <w:lang w:val="en-US"/>
              </w:rPr>
              <w:t>C</w:t>
            </w:r>
          </w:p>
        </w:tc>
        <w:tc>
          <w:tcPr>
            <w:tcW w:w="2896" w:type="dxa"/>
            <w:noWrap/>
            <w:vAlign w:val="center"/>
          </w:tcPr>
          <w:p w:rsidR="00E2336B" w:rsidRPr="00E2336B" w:rsidRDefault="00F23441" w:rsidP="005F5A73">
            <w:pPr>
              <w:rPr>
                <w:rFonts w:ascii="MinionPro-Regular" w:hAnsi="MinionPro-Regular" w:cs="Calibri"/>
                <w:color w:val="000000"/>
                <w:sz w:val="20"/>
                <w:szCs w:val="22"/>
                <w:lang w:val="en-US"/>
              </w:rPr>
            </w:pPr>
            <w:r w:rsidRPr="00F23441">
              <w:rPr>
                <w:rFonts w:ascii="MinionPro-Regular" w:hAnsi="MinionPro-Regular" w:cs="Calibri"/>
                <w:color w:val="000000"/>
                <w:sz w:val="20"/>
                <w:szCs w:val="22"/>
                <w:lang w:val="en-US"/>
              </w:rPr>
              <w:t>Calidad de vida</w:t>
            </w:r>
          </w:p>
        </w:tc>
      </w:tr>
    </w:tbl>
    <w:p w:rsidR="00E2336B" w:rsidRDefault="00E2336B" w:rsidP="004C24F1">
      <w:pPr>
        <w:pStyle w:val="Textoindependiente"/>
        <w:spacing w:line="360" w:lineRule="auto"/>
        <w:rPr>
          <w:rFonts w:ascii="MinionPro-Regular" w:hAnsi="MinionPro-Regular"/>
          <w:sz w:val="24"/>
          <w:szCs w:val="24"/>
          <w:lang w:val="es-ES_tradnl"/>
        </w:rPr>
      </w:pPr>
    </w:p>
    <w:p w:rsidR="00E2336B" w:rsidRDefault="00E2336B">
      <w:pPr>
        <w:rPr>
          <w:rFonts w:ascii="MinionPro-Regular" w:hAnsi="MinionPro-Regular"/>
          <w:sz w:val="24"/>
          <w:szCs w:val="24"/>
          <w:lang w:val="es-ES_tradnl"/>
        </w:rPr>
      </w:pPr>
      <w:r>
        <w:rPr>
          <w:rFonts w:ascii="MinionPro-Regular" w:hAnsi="MinionPro-Regular"/>
          <w:sz w:val="24"/>
          <w:szCs w:val="24"/>
          <w:lang w:val="es-ES_tradnl"/>
        </w:rPr>
        <w:br w:type="page"/>
      </w:r>
    </w:p>
    <w:p w:rsidR="00E2336B" w:rsidRDefault="00E2336B" w:rsidP="0007541A">
      <w:pPr>
        <w:pStyle w:val="Ttulo2"/>
        <w:numPr>
          <w:ilvl w:val="1"/>
          <w:numId w:val="3"/>
        </w:numPr>
        <w:ind w:left="0"/>
        <w:rPr>
          <w:rFonts w:ascii="MinionPro-Regular" w:hAnsi="MinionPro-Regular"/>
          <w:lang w:val="es-ES_tradnl"/>
        </w:rPr>
      </w:pPr>
      <w:bookmarkStart w:id="606" w:name="_Toc352773628"/>
      <w:r w:rsidRPr="00EA0C09">
        <w:rPr>
          <w:rFonts w:ascii="MinionPro-Regular" w:hAnsi="MinionPro-Regular"/>
          <w:lang w:val="es-ES_tradnl"/>
        </w:rPr>
        <w:lastRenderedPageBreak/>
        <w:t>Anexo I</w:t>
      </w:r>
      <w:r>
        <w:rPr>
          <w:rFonts w:ascii="MinionPro-Regular" w:hAnsi="MinionPro-Regular"/>
          <w:lang w:val="es-ES_tradnl"/>
        </w:rPr>
        <w:t>II</w:t>
      </w:r>
      <w:r w:rsidRPr="00EA0C09">
        <w:rPr>
          <w:rFonts w:ascii="MinionPro-Regular" w:hAnsi="MinionPro-Regular"/>
          <w:lang w:val="es-ES_tradnl"/>
        </w:rPr>
        <w:t xml:space="preserve">: </w:t>
      </w:r>
      <w:r>
        <w:rPr>
          <w:rFonts w:ascii="MinionPro-Regular" w:hAnsi="MinionPro-Regular"/>
          <w:lang w:val="es-ES_tradnl"/>
        </w:rPr>
        <w:t>Encuesta online enviada a los centros especiales de empleo</w:t>
      </w:r>
      <w:bookmarkEnd w:id="606"/>
    </w:p>
    <w:p w:rsidR="00E2336B" w:rsidRDefault="00E2336B" w:rsidP="000123AA">
      <w:pPr>
        <w:pStyle w:val="Textoindependiente"/>
        <w:rPr>
          <w:lang w:val="es-ES_tradnl"/>
        </w:rPr>
      </w:pPr>
    </w:p>
    <w:p w:rsidR="00E2336B" w:rsidRPr="00E2336B" w:rsidRDefault="00F23441" w:rsidP="000123AA">
      <w:pPr>
        <w:pStyle w:val="Textoindependiente"/>
        <w:rPr>
          <w:rFonts w:ascii="MinionPro-Regular" w:hAnsi="MinionPro-Regular"/>
          <w:sz w:val="24"/>
          <w:lang w:val="es-ES_tradnl"/>
        </w:rPr>
      </w:pPr>
      <w:r w:rsidRPr="00F23441">
        <w:rPr>
          <w:rFonts w:ascii="MinionPro-Regular" w:hAnsi="MinionPro-Regular"/>
          <w:sz w:val="24"/>
          <w:lang w:val="es-ES_tradnl"/>
        </w:rPr>
        <w:t>La encuesta online fue enviada a 787 centros especiales de empleo</w:t>
      </w:r>
      <w:r w:rsidR="00E2336B" w:rsidRPr="00CA6ECB">
        <w:rPr>
          <w:rStyle w:val="Refdenotaalpie"/>
          <w:rFonts w:ascii="MinionPro-Regular" w:hAnsi="MinionPro-Regular"/>
          <w:sz w:val="24"/>
          <w:lang w:val="es-ES_tradnl"/>
        </w:rPr>
        <w:footnoteReference w:id="72"/>
      </w:r>
      <w:r w:rsidRPr="00F23441">
        <w:rPr>
          <w:rFonts w:ascii="MinionPro-Regular" w:hAnsi="MinionPro-Regular"/>
          <w:sz w:val="24"/>
          <w:lang w:val="es-ES_tradnl"/>
        </w:rPr>
        <w:t>, de los cuales, se ha registrado respuesta de 207 centros.</w:t>
      </w:r>
    </w:p>
    <w:p w:rsidR="00E2336B" w:rsidRPr="00E2336B" w:rsidRDefault="00F23441" w:rsidP="000123AA">
      <w:pPr>
        <w:pStyle w:val="Textoindependiente"/>
        <w:rPr>
          <w:rFonts w:ascii="MinionPro-Regular" w:hAnsi="MinionPro-Regular"/>
          <w:sz w:val="24"/>
          <w:lang w:val="es-ES_tradnl"/>
        </w:rPr>
      </w:pPr>
      <w:r w:rsidRPr="00F23441">
        <w:rPr>
          <w:rFonts w:ascii="MinionPro-Regular" w:hAnsi="MinionPro-Regular"/>
          <w:sz w:val="24"/>
          <w:lang w:val="es-ES_tradnl"/>
        </w:rPr>
        <w:t>A continuación se muestra el contenido de la encuesta remitida a los gestores de los centros especiales de empleo:</w:t>
      </w:r>
    </w:p>
    <w:p w:rsidR="00E2336B" w:rsidRDefault="00E2336B">
      <w:pPr>
        <w:rPr>
          <w:rFonts w:ascii="MinionPro-Regular" w:hAnsi="MinionPro-Regular"/>
          <w:lang w:val="es-ES_tradnl"/>
        </w:rPr>
      </w:pPr>
    </w:p>
    <w:tbl>
      <w:tblPr>
        <w:tblW w:w="8539" w:type="dxa"/>
        <w:tblInd w:w="94" w:type="dxa"/>
        <w:tblLook w:val="00A0"/>
      </w:tblPr>
      <w:tblGrid>
        <w:gridCol w:w="656"/>
        <w:gridCol w:w="7883"/>
      </w:tblGrid>
      <w:tr w:rsidR="00E2336B" w:rsidRPr="000123AA" w:rsidTr="008466BC">
        <w:trPr>
          <w:trHeight w:val="300"/>
        </w:trPr>
        <w:tc>
          <w:tcPr>
            <w:tcW w:w="8539" w:type="dxa"/>
            <w:gridSpan w:val="2"/>
            <w:tcBorders>
              <w:top w:val="nil"/>
              <w:left w:val="nil"/>
              <w:bottom w:val="nil"/>
              <w:right w:val="nil"/>
            </w:tcBorders>
            <w:shd w:val="clear" w:color="000000" w:fill="BFBFBF"/>
            <w:noWrap/>
          </w:tcPr>
          <w:p w:rsidR="00E2336B" w:rsidRPr="000123AA" w:rsidRDefault="00E2336B" w:rsidP="000123AA">
            <w:pPr>
              <w:rPr>
                <w:rFonts w:ascii="MinionPro-Regular" w:hAnsi="MinionPro-Regular" w:cs="Calibri"/>
                <w:b/>
                <w:bCs/>
                <w:color w:val="000000"/>
                <w:szCs w:val="22"/>
                <w:lang w:val="en-US"/>
              </w:rPr>
            </w:pPr>
            <w:r w:rsidRPr="000123AA">
              <w:rPr>
                <w:rFonts w:ascii="MinionPro-Regular" w:hAnsi="MinionPro-Regular" w:cs="Calibri"/>
                <w:b/>
                <w:bCs/>
                <w:color w:val="000000"/>
                <w:szCs w:val="22"/>
                <w:lang w:val="en-US"/>
              </w:rPr>
              <w:t>1. DATOS GENERALES</w:t>
            </w:r>
          </w:p>
        </w:tc>
      </w:tr>
      <w:tr w:rsidR="00E2336B" w:rsidRPr="000123AA" w:rsidTr="008466BC">
        <w:trPr>
          <w:trHeight w:val="6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bCs/>
                <w:color w:val="000000"/>
                <w:szCs w:val="22"/>
                <w:lang w:val="en-US"/>
              </w:rPr>
            </w:pPr>
            <w:r w:rsidRPr="00224A16">
              <w:rPr>
                <w:rFonts w:ascii="MinionPro-Regular" w:hAnsi="MinionPro-Regular" w:cs="Calibri"/>
                <w:bCs/>
                <w:color w:val="000000"/>
                <w:szCs w:val="22"/>
                <w:lang w:val="en-US"/>
              </w:rPr>
              <w:t>1.1.</w:t>
            </w:r>
          </w:p>
        </w:tc>
        <w:tc>
          <w:tcPr>
            <w:tcW w:w="7883" w:type="dxa"/>
            <w:tcBorders>
              <w:top w:val="nil"/>
              <w:left w:val="nil"/>
              <w:bottom w:val="nil"/>
              <w:right w:val="nil"/>
            </w:tcBorders>
            <w:shd w:val="clear" w:color="000000" w:fill="BFBFBF"/>
            <w:vAlign w:val="center"/>
          </w:tcPr>
          <w:p w:rsidR="00E2336B" w:rsidRPr="00224A16" w:rsidRDefault="00E2336B" w:rsidP="000123AA">
            <w:pPr>
              <w:rPr>
                <w:rFonts w:ascii="MinionPro-Regular" w:hAnsi="MinionPro-Regular" w:cs="Calibri"/>
                <w:bCs/>
                <w:color w:val="000000"/>
                <w:szCs w:val="22"/>
                <w:lang w:val="es-ES_tradnl"/>
              </w:rPr>
            </w:pPr>
            <w:r w:rsidRPr="00224A16">
              <w:rPr>
                <w:rFonts w:ascii="MinionPro-Regular" w:hAnsi="MinionPro-Regular" w:cs="Calibri"/>
                <w:bCs/>
                <w:color w:val="000000"/>
                <w:szCs w:val="22"/>
                <w:lang w:val="es-ES_tradnl"/>
              </w:rPr>
              <w:t xml:space="preserve">Indique la provincia/s dónde se encuentra la mayor actividad (facturación) del CEE </w:t>
            </w:r>
            <w:r w:rsidRPr="00224A16">
              <w:rPr>
                <w:rFonts w:ascii="MinionPro-Regular" w:hAnsi="MinionPro-Regular" w:cs="Calibri"/>
                <w:bCs/>
                <w:color w:val="4F81BD"/>
                <w:szCs w:val="22"/>
                <w:lang w:val="es-ES_tradnl"/>
              </w:rPr>
              <w:t>(opción única)</w:t>
            </w:r>
          </w:p>
        </w:tc>
      </w:tr>
      <w:tr w:rsidR="00E2336B" w:rsidRPr="000123AA" w:rsidTr="008466BC">
        <w:trPr>
          <w:trHeight w:val="3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bCs/>
                <w:color w:val="000000"/>
                <w:szCs w:val="22"/>
                <w:lang w:val="en-US"/>
              </w:rPr>
            </w:pPr>
            <w:r w:rsidRPr="00224A16">
              <w:rPr>
                <w:rFonts w:ascii="MinionPro-Regular" w:hAnsi="MinionPro-Regular" w:cs="Calibri"/>
                <w:bCs/>
                <w:color w:val="000000"/>
                <w:szCs w:val="22"/>
                <w:lang w:val="en-US"/>
              </w:rPr>
              <w:t>1.2.</w:t>
            </w:r>
          </w:p>
        </w:tc>
        <w:tc>
          <w:tcPr>
            <w:tcW w:w="7883" w:type="dxa"/>
            <w:tcBorders>
              <w:top w:val="nil"/>
              <w:left w:val="nil"/>
              <w:bottom w:val="nil"/>
              <w:right w:val="nil"/>
            </w:tcBorders>
            <w:shd w:val="clear" w:color="000000" w:fill="BFBFBF"/>
            <w:vAlign w:val="center"/>
          </w:tcPr>
          <w:p w:rsidR="00E2336B" w:rsidRPr="00224A16" w:rsidRDefault="00E2336B" w:rsidP="000123AA">
            <w:pPr>
              <w:rPr>
                <w:rFonts w:ascii="MinionPro-Regular" w:hAnsi="MinionPro-Regular" w:cs="Calibri"/>
                <w:bCs/>
                <w:color w:val="000000"/>
                <w:szCs w:val="22"/>
                <w:lang w:val="es-ES_tradnl"/>
              </w:rPr>
            </w:pPr>
            <w:r w:rsidRPr="00224A16">
              <w:rPr>
                <w:rFonts w:ascii="MinionPro-Regular" w:hAnsi="MinionPro-Regular" w:cs="Calibri"/>
                <w:bCs/>
                <w:color w:val="000000"/>
                <w:szCs w:val="22"/>
                <w:lang w:val="es-ES_tradnl"/>
              </w:rPr>
              <w:t>Indique el año de comienzo de la actividad:</w:t>
            </w:r>
          </w:p>
        </w:tc>
      </w:tr>
      <w:tr w:rsidR="00E2336B" w:rsidRPr="000123AA" w:rsidTr="008466BC">
        <w:trPr>
          <w:trHeight w:val="3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bCs/>
                <w:color w:val="000000"/>
                <w:szCs w:val="22"/>
                <w:lang w:val="en-US"/>
              </w:rPr>
            </w:pPr>
            <w:r w:rsidRPr="00224A16">
              <w:rPr>
                <w:rFonts w:ascii="MinionPro-Regular" w:hAnsi="MinionPro-Regular" w:cs="Calibri"/>
                <w:bCs/>
                <w:color w:val="000000"/>
                <w:szCs w:val="22"/>
                <w:lang w:val="en-US"/>
              </w:rPr>
              <w:t>1.3.</w:t>
            </w:r>
          </w:p>
        </w:tc>
        <w:tc>
          <w:tcPr>
            <w:tcW w:w="7883" w:type="dxa"/>
            <w:tcBorders>
              <w:top w:val="nil"/>
              <w:left w:val="nil"/>
              <w:bottom w:val="nil"/>
              <w:right w:val="nil"/>
            </w:tcBorders>
            <w:shd w:val="clear" w:color="000000" w:fill="BFBFBF"/>
            <w:vAlign w:val="center"/>
          </w:tcPr>
          <w:p w:rsidR="00E2336B" w:rsidRPr="00224A16" w:rsidRDefault="00E2336B" w:rsidP="000123AA">
            <w:pPr>
              <w:rPr>
                <w:rFonts w:ascii="MinionPro-Regular" w:hAnsi="MinionPro-Regular" w:cs="Calibri"/>
                <w:bCs/>
                <w:color w:val="000000"/>
                <w:szCs w:val="22"/>
                <w:lang w:val="es-ES_tradnl"/>
              </w:rPr>
            </w:pPr>
            <w:r w:rsidRPr="00224A16">
              <w:rPr>
                <w:rFonts w:ascii="MinionPro-Regular" w:hAnsi="MinionPro-Regular" w:cs="Calibri"/>
                <w:bCs/>
                <w:color w:val="000000"/>
                <w:szCs w:val="22"/>
                <w:lang w:val="es-ES_tradnl"/>
              </w:rPr>
              <w:t xml:space="preserve">Seleccione la Actividad/Sector principal  del CEE: </w:t>
            </w:r>
            <w:r w:rsidRPr="00224A16">
              <w:rPr>
                <w:rFonts w:ascii="MinionPro-Regular" w:hAnsi="MinionPro-Regular" w:cs="Calibri"/>
                <w:bCs/>
                <w:color w:val="0070C0"/>
                <w:szCs w:val="22"/>
                <w:lang w:val="es-ES_tradnl"/>
              </w:rPr>
              <w:t>(opción única)</w:t>
            </w:r>
          </w:p>
        </w:tc>
      </w:tr>
      <w:tr w:rsidR="00E2336B" w:rsidRPr="000123AA" w:rsidTr="008466BC">
        <w:trPr>
          <w:trHeight w:val="3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bCs/>
                <w:color w:val="000000"/>
                <w:szCs w:val="22"/>
                <w:lang w:val="es-ES_tradnl"/>
              </w:rPr>
            </w:pPr>
            <w:r w:rsidRPr="00224A16">
              <w:rPr>
                <w:rFonts w:ascii="MinionPro-Regular" w:hAnsi="MinionPro-Regular" w:cs="Calibri"/>
                <w:bCs/>
                <w:color w:val="000000"/>
                <w:szCs w:val="22"/>
                <w:lang w:val="es-ES_tradnl"/>
              </w:rPr>
              <w:t> </w:t>
            </w:r>
          </w:p>
        </w:tc>
        <w:tc>
          <w:tcPr>
            <w:tcW w:w="7883" w:type="dxa"/>
            <w:tcBorders>
              <w:top w:val="nil"/>
              <w:left w:val="nil"/>
              <w:bottom w:val="nil"/>
              <w:right w:val="nil"/>
            </w:tcBorders>
            <w:shd w:val="clear" w:color="000000" w:fill="BFBFBF"/>
            <w:vAlign w:val="center"/>
          </w:tcPr>
          <w:p w:rsidR="002959F0" w:rsidRDefault="00E2336B" w:rsidP="002959F0">
            <w:pPr>
              <w:ind w:firstLineChars="400" w:firstLine="880"/>
              <w:rPr>
                <w:rFonts w:ascii="MinionPro-Regular" w:hAnsi="MinionPro-Regular" w:cs="Calibri"/>
                <w:color w:val="000000"/>
                <w:szCs w:val="22"/>
                <w:lang w:val="es-ES_tradnl"/>
              </w:rPr>
            </w:pPr>
            <w:r w:rsidRPr="00224A16">
              <w:rPr>
                <w:rFonts w:ascii="MinionPro-Regular" w:hAnsi="MinionPro-Regular" w:cs="Calibri"/>
                <w:color w:val="000000"/>
                <w:szCs w:val="22"/>
                <w:lang w:val="es-ES_tradnl"/>
              </w:rPr>
              <w:t>Accesorios y reparación de aparatos electrónicos de consumo</w:t>
            </w:r>
          </w:p>
        </w:tc>
      </w:tr>
      <w:tr w:rsidR="00E2336B" w:rsidRPr="000123AA" w:rsidTr="008466BC">
        <w:trPr>
          <w:trHeight w:val="3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bCs/>
                <w:color w:val="000000"/>
                <w:szCs w:val="22"/>
                <w:lang w:val="es-ES_tradnl"/>
              </w:rPr>
            </w:pPr>
            <w:r w:rsidRPr="00224A16">
              <w:rPr>
                <w:rFonts w:ascii="MinionPro-Regular" w:hAnsi="MinionPro-Regular" w:cs="Calibri"/>
                <w:bCs/>
                <w:color w:val="000000"/>
                <w:szCs w:val="22"/>
                <w:lang w:val="es-ES_tradnl"/>
              </w:rPr>
              <w:t> </w:t>
            </w:r>
          </w:p>
        </w:tc>
        <w:tc>
          <w:tcPr>
            <w:tcW w:w="7883" w:type="dxa"/>
            <w:tcBorders>
              <w:top w:val="nil"/>
              <w:left w:val="nil"/>
              <w:bottom w:val="nil"/>
              <w:right w:val="nil"/>
            </w:tcBorders>
            <w:shd w:val="clear" w:color="000000" w:fill="BFBFBF"/>
            <w:vAlign w:val="center"/>
          </w:tcPr>
          <w:p w:rsidR="002959F0" w:rsidRDefault="00E2336B" w:rsidP="002959F0">
            <w:pPr>
              <w:ind w:firstLineChars="400" w:firstLine="880"/>
              <w:rPr>
                <w:rFonts w:ascii="MinionPro-Regular" w:hAnsi="MinionPro-Regular" w:cs="Calibri"/>
                <w:color w:val="000000"/>
                <w:szCs w:val="22"/>
                <w:lang w:val="es-ES_tradnl"/>
              </w:rPr>
            </w:pPr>
            <w:r w:rsidRPr="00224A16">
              <w:rPr>
                <w:rFonts w:ascii="MinionPro-Regular" w:hAnsi="MinionPro-Regular" w:cs="Calibri"/>
                <w:color w:val="000000"/>
                <w:szCs w:val="22"/>
                <w:lang w:val="es-ES_tradnl"/>
              </w:rPr>
              <w:t>Actividades recreativas, culturales y deportivas</w:t>
            </w:r>
          </w:p>
        </w:tc>
      </w:tr>
      <w:tr w:rsidR="00E2336B" w:rsidRPr="000123AA" w:rsidTr="008466BC">
        <w:trPr>
          <w:trHeight w:val="3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bCs/>
                <w:color w:val="000000"/>
                <w:szCs w:val="22"/>
                <w:lang w:val="es-ES_tradnl"/>
              </w:rPr>
            </w:pPr>
            <w:r w:rsidRPr="00224A16">
              <w:rPr>
                <w:rFonts w:ascii="MinionPro-Regular" w:hAnsi="MinionPro-Regular" w:cs="Calibri"/>
                <w:bCs/>
                <w:color w:val="000000"/>
                <w:szCs w:val="22"/>
                <w:lang w:val="es-ES_tradnl"/>
              </w:rPr>
              <w:t> </w:t>
            </w:r>
          </w:p>
        </w:tc>
        <w:tc>
          <w:tcPr>
            <w:tcW w:w="7883" w:type="dxa"/>
            <w:tcBorders>
              <w:top w:val="nil"/>
              <w:left w:val="nil"/>
              <w:bottom w:val="nil"/>
              <w:right w:val="nil"/>
            </w:tcBorders>
            <w:shd w:val="clear" w:color="000000" w:fill="BFBFBF"/>
            <w:vAlign w:val="center"/>
          </w:tcPr>
          <w:p w:rsidR="002959F0" w:rsidRDefault="00E2336B" w:rsidP="002959F0">
            <w:pPr>
              <w:ind w:firstLineChars="400" w:firstLine="880"/>
              <w:rPr>
                <w:rFonts w:ascii="MinionPro-Regular" w:hAnsi="MinionPro-Regular" w:cs="Calibri"/>
                <w:color w:val="000000"/>
                <w:szCs w:val="22"/>
                <w:lang w:val="en-US"/>
              </w:rPr>
            </w:pPr>
            <w:r w:rsidRPr="00224A16">
              <w:rPr>
                <w:rFonts w:ascii="MinionPro-Regular" w:hAnsi="MinionPro-Regular" w:cs="Calibri"/>
                <w:color w:val="000000"/>
                <w:szCs w:val="22"/>
                <w:lang w:val="en-US"/>
              </w:rPr>
              <w:t>Adaptación de vehículos</w:t>
            </w:r>
          </w:p>
        </w:tc>
      </w:tr>
      <w:tr w:rsidR="00E2336B" w:rsidRPr="000123AA" w:rsidTr="008466BC">
        <w:trPr>
          <w:trHeight w:val="3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bCs/>
                <w:color w:val="000000"/>
                <w:szCs w:val="22"/>
                <w:lang w:val="en-US"/>
              </w:rPr>
            </w:pPr>
            <w:r w:rsidRPr="00224A16">
              <w:rPr>
                <w:rFonts w:ascii="MinionPro-Regular" w:hAnsi="MinionPro-Regular" w:cs="Calibri"/>
                <w:bCs/>
                <w:color w:val="000000"/>
                <w:szCs w:val="22"/>
                <w:lang w:val="en-US"/>
              </w:rPr>
              <w:t> </w:t>
            </w:r>
          </w:p>
        </w:tc>
        <w:tc>
          <w:tcPr>
            <w:tcW w:w="7883" w:type="dxa"/>
            <w:tcBorders>
              <w:top w:val="nil"/>
              <w:left w:val="nil"/>
              <w:bottom w:val="nil"/>
              <w:right w:val="nil"/>
            </w:tcBorders>
            <w:shd w:val="clear" w:color="000000" w:fill="BFBFBF"/>
            <w:vAlign w:val="center"/>
          </w:tcPr>
          <w:p w:rsidR="002959F0" w:rsidRDefault="00E2336B" w:rsidP="002959F0">
            <w:pPr>
              <w:ind w:firstLineChars="400" w:firstLine="880"/>
              <w:rPr>
                <w:rFonts w:ascii="MinionPro-Regular" w:hAnsi="MinionPro-Regular" w:cs="Calibri"/>
                <w:color w:val="000000"/>
                <w:szCs w:val="22"/>
                <w:lang w:val="en-US"/>
              </w:rPr>
            </w:pPr>
            <w:r w:rsidRPr="00224A16">
              <w:rPr>
                <w:rFonts w:ascii="MinionPro-Regular" w:hAnsi="MinionPro-Regular" w:cs="Calibri"/>
                <w:color w:val="000000"/>
                <w:szCs w:val="22"/>
                <w:lang w:val="en-US"/>
              </w:rPr>
              <w:t>Agricultura y ganadería</w:t>
            </w:r>
          </w:p>
        </w:tc>
      </w:tr>
      <w:tr w:rsidR="00E2336B" w:rsidRPr="000123AA" w:rsidTr="008466BC">
        <w:trPr>
          <w:trHeight w:val="3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bCs/>
                <w:color w:val="000000"/>
                <w:szCs w:val="22"/>
                <w:lang w:val="en-US"/>
              </w:rPr>
            </w:pPr>
            <w:r w:rsidRPr="00224A16">
              <w:rPr>
                <w:rFonts w:ascii="MinionPro-Regular" w:hAnsi="MinionPro-Regular" w:cs="Calibri"/>
                <w:bCs/>
                <w:color w:val="000000"/>
                <w:szCs w:val="22"/>
                <w:lang w:val="en-US"/>
              </w:rPr>
              <w:t> </w:t>
            </w:r>
          </w:p>
        </w:tc>
        <w:tc>
          <w:tcPr>
            <w:tcW w:w="7883" w:type="dxa"/>
            <w:tcBorders>
              <w:top w:val="nil"/>
              <w:left w:val="nil"/>
              <w:bottom w:val="nil"/>
              <w:right w:val="nil"/>
            </w:tcBorders>
            <w:shd w:val="clear" w:color="000000" w:fill="BFBFBF"/>
            <w:vAlign w:val="center"/>
          </w:tcPr>
          <w:p w:rsidR="002959F0" w:rsidRDefault="00E2336B" w:rsidP="002959F0">
            <w:pPr>
              <w:ind w:firstLineChars="400" w:firstLine="880"/>
              <w:rPr>
                <w:rFonts w:ascii="MinionPro-Regular" w:hAnsi="MinionPro-Regular" w:cs="Calibri"/>
                <w:color w:val="000000"/>
                <w:szCs w:val="22"/>
                <w:lang w:val="en-US"/>
              </w:rPr>
            </w:pPr>
            <w:r w:rsidRPr="00224A16">
              <w:rPr>
                <w:rFonts w:ascii="MinionPro-Regular" w:hAnsi="MinionPro-Regular" w:cs="Calibri"/>
                <w:color w:val="000000"/>
                <w:szCs w:val="22"/>
                <w:lang w:val="en-US"/>
              </w:rPr>
              <w:t>Alimentación</w:t>
            </w:r>
          </w:p>
        </w:tc>
      </w:tr>
      <w:tr w:rsidR="00E2336B" w:rsidRPr="000123AA" w:rsidTr="008466BC">
        <w:trPr>
          <w:trHeight w:val="3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bCs/>
                <w:color w:val="000000"/>
                <w:szCs w:val="22"/>
                <w:lang w:val="en-US"/>
              </w:rPr>
            </w:pPr>
            <w:r w:rsidRPr="00224A16">
              <w:rPr>
                <w:rFonts w:ascii="MinionPro-Regular" w:hAnsi="MinionPro-Regular" w:cs="Calibri"/>
                <w:bCs/>
                <w:color w:val="000000"/>
                <w:szCs w:val="22"/>
                <w:lang w:val="en-US"/>
              </w:rPr>
              <w:t> </w:t>
            </w:r>
          </w:p>
        </w:tc>
        <w:tc>
          <w:tcPr>
            <w:tcW w:w="7883" w:type="dxa"/>
            <w:tcBorders>
              <w:top w:val="nil"/>
              <w:left w:val="nil"/>
              <w:bottom w:val="nil"/>
              <w:right w:val="nil"/>
            </w:tcBorders>
            <w:shd w:val="clear" w:color="000000" w:fill="BFBFBF"/>
            <w:vAlign w:val="center"/>
          </w:tcPr>
          <w:p w:rsidR="002959F0" w:rsidRDefault="00E2336B" w:rsidP="002959F0">
            <w:pPr>
              <w:ind w:firstLineChars="400" w:firstLine="880"/>
              <w:rPr>
                <w:rFonts w:ascii="MinionPro-Regular" w:hAnsi="MinionPro-Regular" w:cs="Calibri"/>
                <w:color w:val="000000"/>
                <w:szCs w:val="22"/>
                <w:lang w:val="en-US"/>
              </w:rPr>
            </w:pPr>
            <w:r w:rsidRPr="00224A16">
              <w:rPr>
                <w:rFonts w:ascii="MinionPro-Regular" w:hAnsi="MinionPro-Regular" w:cs="Calibri"/>
                <w:color w:val="000000"/>
                <w:szCs w:val="22"/>
                <w:lang w:val="en-US"/>
              </w:rPr>
              <w:t>Artesanía</w:t>
            </w:r>
          </w:p>
        </w:tc>
      </w:tr>
      <w:tr w:rsidR="00E2336B" w:rsidRPr="000123AA" w:rsidTr="008466BC">
        <w:trPr>
          <w:trHeight w:val="3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bCs/>
                <w:color w:val="000000"/>
                <w:szCs w:val="22"/>
                <w:lang w:val="en-US"/>
              </w:rPr>
            </w:pPr>
            <w:r w:rsidRPr="00224A16">
              <w:rPr>
                <w:rFonts w:ascii="MinionPro-Regular" w:hAnsi="MinionPro-Regular" w:cs="Calibri"/>
                <w:bCs/>
                <w:color w:val="000000"/>
                <w:szCs w:val="22"/>
                <w:lang w:val="en-US"/>
              </w:rPr>
              <w:t> </w:t>
            </w:r>
          </w:p>
        </w:tc>
        <w:tc>
          <w:tcPr>
            <w:tcW w:w="7883" w:type="dxa"/>
            <w:tcBorders>
              <w:top w:val="nil"/>
              <w:left w:val="nil"/>
              <w:bottom w:val="nil"/>
              <w:right w:val="nil"/>
            </w:tcBorders>
            <w:shd w:val="clear" w:color="000000" w:fill="BFBFBF"/>
            <w:vAlign w:val="center"/>
          </w:tcPr>
          <w:p w:rsidR="002959F0" w:rsidRDefault="00E2336B" w:rsidP="002959F0">
            <w:pPr>
              <w:ind w:firstLineChars="400" w:firstLine="880"/>
              <w:rPr>
                <w:rFonts w:ascii="MinionPro-Regular" w:hAnsi="MinionPro-Regular" w:cs="Calibri"/>
                <w:color w:val="000000"/>
                <w:szCs w:val="22"/>
                <w:lang w:val="en-US"/>
              </w:rPr>
            </w:pPr>
            <w:r w:rsidRPr="00224A16">
              <w:rPr>
                <w:rFonts w:ascii="MinionPro-Regular" w:hAnsi="MinionPro-Regular" w:cs="Calibri"/>
                <w:color w:val="000000"/>
                <w:szCs w:val="22"/>
                <w:lang w:val="en-US"/>
              </w:rPr>
              <w:t>Asesoría</w:t>
            </w:r>
          </w:p>
        </w:tc>
      </w:tr>
      <w:tr w:rsidR="00E2336B" w:rsidRPr="000123AA" w:rsidTr="008466BC">
        <w:trPr>
          <w:trHeight w:val="3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bCs/>
                <w:color w:val="000000"/>
                <w:szCs w:val="22"/>
                <w:lang w:val="en-US"/>
              </w:rPr>
            </w:pPr>
            <w:r w:rsidRPr="00224A16">
              <w:rPr>
                <w:rFonts w:ascii="MinionPro-Regular" w:hAnsi="MinionPro-Regular" w:cs="Calibri"/>
                <w:bCs/>
                <w:color w:val="000000"/>
                <w:szCs w:val="22"/>
                <w:lang w:val="en-US"/>
              </w:rPr>
              <w:t> </w:t>
            </w:r>
          </w:p>
        </w:tc>
        <w:tc>
          <w:tcPr>
            <w:tcW w:w="7883" w:type="dxa"/>
            <w:tcBorders>
              <w:top w:val="nil"/>
              <w:left w:val="nil"/>
              <w:bottom w:val="nil"/>
              <w:right w:val="nil"/>
            </w:tcBorders>
            <w:shd w:val="clear" w:color="000000" w:fill="BFBFBF"/>
            <w:vAlign w:val="center"/>
          </w:tcPr>
          <w:p w:rsidR="002959F0" w:rsidRDefault="00E2336B" w:rsidP="002959F0">
            <w:pPr>
              <w:ind w:firstLineChars="400" w:firstLine="880"/>
              <w:rPr>
                <w:rFonts w:ascii="MinionPro-Regular" w:hAnsi="MinionPro-Regular" w:cs="Calibri"/>
                <w:color w:val="000000"/>
                <w:szCs w:val="22"/>
                <w:lang w:val="es-ES_tradnl"/>
              </w:rPr>
            </w:pPr>
            <w:r w:rsidRPr="00224A16">
              <w:rPr>
                <w:rFonts w:ascii="MinionPro-Regular" w:hAnsi="MinionPro-Regular" w:cs="Calibri"/>
                <w:color w:val="000000"/>
                <w:szCs w:val="22"/>
                <w:lang w:val="es-ES_tradnl"/>
              </w:rPr>
              <w:t>Asesoría en materia de discapacidad</w:t>
            </w:r>
          </w:p>
        </w:tc>
      </w:tr>
      <w:tr w:rsidR="00E2336B" w:rsidRPr="000123AA" w:rsidTr="008466BC">
        <w:trPr>
          <w:trHeight w:val="3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bCs/>
                <w:color w:val="000000"/>
                <w:szCs w:val="22"/>
                <w:lang w:val="es-ES_tradnl"/>
              </w:rPr>
            </w:pPr>
            <w:r w:rsidRPr="00224A16">
              <w:rPr>
                <w:rFonts w:ascii="MinionPro-Regular" w:hAnsi="MinionPro-Regular" w:cs="Calibri"/>
                <w:bCs/>
                <w:color w:val="000000"/>
                <w:szCs w:val="22"/>
                <w:lang w:val="es-ES_tradnl"/>
              </w:rPr>
              <w:t> </w:t>
            </w:r>
          </w:p>
        </w:tc>
        <w:tc>
          <w:tcPr>
            <w:tcW w:w="7883" w:type="dxa"/>
            <w:tcBorders>
              <w:top w:val="nil"/>
              <w:left w:val="nil"/>
              <w:bottom w:val="nil"/>
              <w:right w:val="nil"/>
            </w:tcBorders>
            <w:shd w:val="clear" w:color="000000" w:fill="BFBFBF"/>
            <w:vAlign w:val="center"/>
          </w:tcPr>
          <w:p w:rsidR="002959F0" w:rsidRDefault="00E2336B" w:rsidP="002959F0">
            <w:pPr>
              <w:ind w:firstLineChars="400" w:firstLine="880"/>
              <w:rPr>
                <w:rFonts w:ascii="MinionPro-Regular" w:hAnsi="MinionPro-Regular" w:cs="Calibri"/>
                <w:color w:val="000000"/>
                <w:szCs w:val="22"/>
                <w:lang w:val="en-US"/>
              </w:rPr>
            </w:pPr>
            <w:r w:rsidRPr="00224A16">
              <w:rPr>
                <w:rFonts w:ascii="MinionPro-Regular" w:hAnsi="MinionPro-Regular" w:cs="Calibri"/>
                <w:color w:val="000000"/>
                <w:szCs w:val="22"/>
                <w:lang w:val="en-US"/>
              </w:rPr>
              <w:t>Asistencia Social</w:t>
            </w:r>
          </w:p>
        </w:tc>
      </w:tr>
      <w:tr w:rsidR="00E2336B" w:rsidRPr="000123AA" w:rsidTr="008466BC">
        <w:trPr>
          <w:trHeight w:val="3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bCs/>
                <w:color w:val="000000"/>
                <w:szCs w:val="22"/>
                <w:lang w:val="en-US"/>
              </w:rPr>
            </w:pPr>
            <w:r w:rsidRPr="00224A16">
              <w:rPr>
                <w:rFonts w:ascii="MinionPro-Regular" w:hAnsi="MinionPro-Regular" w:cs="Calibri"/>
                <w:bCs/>
                <w:color w:val="000000"/>
                <w:szCs w:val="22"/>
                <w:lang w:val="en-US"/>
              </w:rPr>
              <w:t> </w:t>
            </w:r>
          </w:p>
        </w:tc>
        <w:tc>
          <w:tcPr>
            <w:tcW w:w="7883" w:type="dxa"/>
            <w:tcBorders>
              <w:top w:val="nil"/>
              <w:left w:val="nil"/>
              <w:bottom w:val="nil"/>
              <w:right w:val="nil"/>
            </w:tcBorders>
            <w:shd w:val="clear" w:color="000000" w:fill="BFBFBF"/>
            <w:vAlign w:val="center"/>
          </w:tcPr>
          <w:p w:rsidR="002959F0" w:rsidRDefault="00E2336B" w:rsidP="002959F0">
            <w:pPr>
              <w:ind w:firstLineChars="400" w:firstLine="880"/>
              <w:rPr>
                <w:rFonts w:ascii="MinionPro-Regular" w:hAnsi="MinionPro-Regular" w:cs="Calibri"/>
                <w:color w:val="000000"/>
                <w:szCs w:val="22"/>
                <w:lang w:val="en-US"/>
              </w:rPr>
            </w:pPr>
            <w:r w:rsidRPr="00224A16">
              <w:rPr>
                <w:rFonts w:ascii="MinionPro-Regular" w:hAnsi="MinionPro-Regular" w:cs="Calibri"/>
                <w:color w:val="000000"/>
                <w:szCs w:val="22"/>
                <w:lang w:val="en-US"/>
              </w:rPr>
              <w:t>Atención al publico</w:t>
            </w:r>
          </w:p>
        </w:tc>
      </w:tr>
      <w:tr w:rsidR="00E2336B" w:rsidRPr="000123AA" w:rsidTr="008466BC">
        <w:trPr>
          <w:trHeight w:val="3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bCs/>
                <w:color w:val="000000"/>
                <w:szCs w:val="22"/>
                <w:lang w:val="en-US"/>
              </w:rPr>
            </w:pPr>
            <w:r w:rsidRPr="00224A16">
              <w:rPr>
                <w:rFonts w:ascii="MinionPro-Regular" w:hAnsi="MinionPro-Regular" w:cs="Calibri"/>
                <w:bCs/>
                <w:color w:val="000000"/>
                <w:szCs w:val="22"/>
                <w:lang w:val="en-US"/>
              </w:rPr>
              <w:t> </w:t>
            </w:r>
          </w:p>
        </w:tc>
        <w:tc>
          <w:tcPr>
            <w:tcW w:w="7883" w:type="dxa"/>
            <w:tcBorders>
              <w:top w:val="nil"/>
              <w:left w:val="nil"/>
              <w:bottom w:val="nil"/>
              <w:right w:val="nil"/>
            </w:tcBorders>
            <w:shd w:val="clear" w:color="000000" w:fill="BFBFBF"/>
            <w:vAlign w:val="center"/>
          </w:tcPr>
          <w:p w:rsidR="002959F0" w:rsidRDefault="00E2336B" w:rsidP="002959F0">
            <w:pPr>
              <w:ind w:firstLineChars="400" w:firstLine="880"/>
              <w:rPr>
                <w:rFonts w:ascii="MinionPro-Regular" w:hAnsi="MinionPro-Regular" w:cs="Calibri"/>
                <w:color w:val="000000"/>
                <w:szCs w:val="22"/>
                <w:lang w:val="es-ES_tradnl"/>
              </w:rPr>
            </w:pPr>
            <w:r w:rsidRPr="00224A16">
              <w:rPr>
                <w:rFonts w:ascii="MinionPro-Regular" w:hAnsi="MinionPro-Regular" w:cs="Calibri"/>
                <w:color w:val="000000"/>
                <w:szCs w:val="22"/>
                <w:lang w:val="es-ES_tradnl"/>
              </w:rPr>
              <w:t>Autolavado y reparación de vehículos</w:t>
            </w:r>
          </w:p>
        </w:tc>
      </w:tr>
      <w:tr w:rsidR="00E2336B" w:rsidRPr="000123AA" w:rsidTr="008466BC">
        <w:trPr>
          <w:trHeight w:val="3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bCs/>
                <w:color w:val="000000"/>
                <w:szCs w:val="22"/>
                <w:lang w:val="es-ES_tradnl"/>
              </w:rPr>
            </w:pPr>
            <w:r w:rsidRPr="00224A16">
              <w:rPr>
                <w:rFonts w:ascii="MinionPro-Regular" w:hAnsi="MinionPro-Regular" w:cs="Calibri"/>
                <w:bCs/>
                <w:color w:val="000000"/>
                <w:szCs w:val="22"/>
                <w:lang w:val="es-ES_tradnl"/>
              </w:rPr>
              <w:t> </w:t>
            </w:r>
          </w:p>
        </w:tc>
        <w:tc>
          <w:tcPr>
            <w:tcW w:w="7883" w:type="dxa"/>
            <w:tcBorders>
              <w:top w:val="nil"/>
              <w:left w:val="nil"/>
              <w:bottom w:val="nil"/>
              <w:right w:val="nil"/>
            </w:tcBorders>
            <w:shd w:val="clear" w:color="000000" w:fill="BFBFBF"/>
            <w:vAlign w:val="center"/>
          </w:tcPr>
          <w:p w:rsidR="002959F0" w:rsidRDefault="00E2336B" w:rsidP="002959F0">
            <w:pPr>
              <w:ind w:firstLineChars="400" w:firstLine="880"/>
              <w:rPr>
                <w:rFonts w:ascii="MinionPro-Regular" w:hAnsi="MinionPro-Regular" w:cs="Calibri"/>
                <w:color w:val="000000"/>
                <w:szCs w:val="22"/>
                <w:lang w:val="en-US"/>
              </w:rPr>
            </w:pPr>
            <w:r w:rsidRPr="00224A16">
              <w:rPr>
                <w:rFonts w:ascii="MinionPro-Regular" w:hAnsi="MinionPro-Regular" w:cs="Calibri"/>
                <w:color w:val="000000"/>
                <w:szCs w:val="22"/>
                <w:lang w:val="en-US"/>
              </w:rPr>
              <w:t>Ayuda a domicilio</w:t>
            </w:r>
          </w:p>
        </w:tc>
      </w:tr>
      <w:tr w:rsidR="00E2336B" w:rsidRPr="000123AA" w:rsidTr="008466BC">
        <w:trPr>
          <w:trHeight w:val="3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bCs/>
                <w:color w:val="000000"/>
                <w:szCs w:val="22"/>
                <w:lang w:val="en-US"/>
              </w:rPr>
            </w:pPr>
            <w:r w:rsidRPr="00224A16">
              <w:rPr>
                <w:rFonts w:ascii="MinionPro-Regular" w:hAnsi="MinionPro-Regular" w:cs="Calibri"/>
                <w:bCs/>
                <w:color w:val="000000"/>
                <w:szCs w:val="22"/>
                <w:lang w:val="en-US"/>
              </w:rPr>
              <w:t> </w:t>
            </w:r>
          </w:p>
        </w:tc>
        <w:tc>
          <w:tcPr>
            <w:tcW w:w="7883" w:type="dxa"/>
            <w:tcBorders>
              <w:top w:val="nil"/>
              <w:left w:val="nil"/>
              <w:bottom w:val="nil"/>
              <w:right w:val="nil"/>
            </w:tcBorders>
            <w:shd w:val="clear" w:color="000000" w:fill="BFBFBF"/>
            <w:vAlign w:val="center"/>
          </w:tcPr>
          <w:p w:rsidR="002959F0" w:rsidRDefault="00E2336B" w:rsidP="002959F0">
            <w:pPr>
              <w:ind w:firstLineChars="400" w:firstLine="880"/>
              <w:rPr>
                <w:rFonts w:ascii="MinionPro-Regular" w:hAnsi="MinionPro-Regular" w:cs="Calibri"/>
                <w:color w:val="000000"/>
                <w:szCs w:val="22"/>
                <w:lang w:val="en-US"/>
              </w:rPr>
            </w:pPr>
            <w:r w:rsidRPr="00224A16">
              <w:rPr>
                <w:rFonts w:ascii="MinionPro-Regular" w:hAnsi="MinionPro-Regular" w:cs="Calibri"/>
                <w:color w:val="000000"/>
                <w:szCs w:val="22"/>
                <w:lang w:val="en-US"/>
              </w:rPr>
              <w:t>Buzoneo</w:t>
            </w:r>
          </w:p>
        </w:tc>
      </w:tr>
      <w:tr w:rsidR="00E2336B" w:rsidRPr="000123AA" w:rsidTr="008466BC">
        <w:trPr>
          <w:trHeight w:val="3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bCs/>
                <w:color w:val="000000"/>
                <w:szCs w:val="22"/>
                <w:lang w:val="en-US"/>
              </w:rPr>
            </w:pPr>
            <w:r w:rsidRPr="00224A16">
              <w:rPr>
                <w:rFonts w:ascii="MinionPro-Regular" w:hAnsi="MinionPro-Regular" w:cs="Calibri"/>
                <w:bCs/>
                <w:color w:val="000000"/>
                <w:szCs w:val="22"/>
                <w:lang w:val="en-US"/>
              </w:rPr>
              <w:t> </w:t>
            </w:r>
          </w:p>
        </w:tc>
        <w:tc>
          <w:tcPr>
            <w:tcW w:w="7883" w:type="dxa"/>
            <w:tcBorders>
              <w:top w:val="nil"/>
              <w:left w:val="nil"/>
              <w:bottom w:val="nil"/>
              <w:right w:val="nil"/>
            </w:tcBorders>
            <w:shd w:val="clear" w:color="000000" w:fill="BFBFBF"/>
            <w:vAlign w:val="center"/>
          </w:tcPr>
          <w:p w:rsidR="002959F0" w:rsidRDefault="00E2336B" w:rsidP="002959F0">
            <w:pPr>
              <w:ind w:firstLineChars="400" w:firstLine="880"/>
              <w:rPr>
                <w:rFonts w:ascii="MinionPro-Regular" w:hAnsi="MinionPro-Regular" w:cs="Calibri"/>
                <w:color w:val="000000"/>
                <w:szCs w:val="22"/>
                <w:lang w:val="en-US"/>
              </w:rPr>
            </w:pPr>
            <w:r w:rsidRPr="00224A16">
              <w:rPr>
                <w:rFonts w:ascii="MinionPro-Regular" w:hAnsi="MinionPro-Regular" w:cs="Calibri"/>
                <w:color w:val="000000"/>
                <w:szCs w:val="22"/>
                <w:lang w:val="en-US"/>
              </w:rPr>
              <w:t>Cableado</w:t>
            </w:r>
          </w:p>
        </w:tc>
      </w:tr>
      <w:tr w:rsidR="00E2336B" w:rsidRPr="000123AA" w:rsidTr="008466BC">
        <w:trPr>
          <w:trHeight w:val="3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bCs/>
                <w:color w:val="000000"/>
                <w:szCs w:val="22"/>
                <w:lang w:val="en-US"/>
              </w:rPr>
            </w:pPr>
            <w:r w:rsidRPr="00224A16">
              <w:rPr>
                <w:rFonts w:ascii="MinionPro-Regular" w:hAnsi="MinionPro-Regular" w:cs="Calibri"/>
                <w:bCs/>
                <w:color w:val="000000"/>
                <w:szCs w:val="22"/>
                <w:lang w:val="en-US"/>
              </w:rPr>
              <w:t> </w:t>
            </w:r>
          </w:p>
        </w:tc>
        <w:tc>
          <w:tcPr>
            <w:tcW w:w="7883" w:type="dxa"/>
            <w:tcBorders>
              <w:top w:val="nil"/>
              <w:left w:val="nil"/>
              <w:bottom w:val="nil"/>
              <w:right w:val="nil"/>
            </w:tcBorders>
            <w:shd w:val="clear" w:color="000000" w:fill="BFBFBF"/>
            <w:vAlign w:val="center"/>
          </w:tcPr>
          <w:p w:rsidR="002959F0" w:rsidRDefault="00E2336B" w:rsidP="002959F0">
            <w:pPr>
              <w:ind w:firstLineChars="400" w:firstLine="880"/>
              <w:rPr>
                <w:rFonts w:ascii="MinionPro-Regular" w:hAnsi="MinionPro-Regular" w:cs="Calibri"/>
                <w:color w:val="000000"/>
                <w:szCs w:val="22"/>
                <w:lang w:val="en-US"/>
              </w:rPr>
            </w:pPr>
            <w:r w:rsidRPr="00224A16">
              <w:rPr>
                <w:rFonts w:ascii="MinionPro-Regular" w:hAnsi="MinionPro-Regular" w:cs="Calibri"/>
                <w:color w:val="000000"/>
                <w:szCs w:val="22"/>
                <w:lang w:val="en-US"/>
              </w:rPr>
              <w:t>Calderería</w:t>
            </w:r>
          </w:p>
        </w:tc>
      </w:tr>
      <w:tr w:rsidR="00E2336B" w:rsidRPr="000123AA" w:rsidTr="008466BC">
        <w:trPr>
          <w:trHeight w:val="3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bCs/>
                <w:color w:val="000000"/>
                <w:szCs w:val="22"/>
                <w:lang w:val="en-US"/>
              </w:rPr>
            </w:pPr>
            <w:r w:rsidRPr="00224A16">
              <w:rPr>
                <w:rFonts w:ascii="MinionPro-Regular" w:hAnsi="MinionPro-Regular" w:cs="Calibri"/>
                <w:bCs/>
                <w:color w:val="000000"/>
                <w:szCs w:val="22"/>
                <w:lang w:val="en-US"/>
              </w:rPr>
              <w:t> </w:t>
            </w:r>
          </w:p>
        </w:tc>
        <w:tc>
          <w:tcPr>
            <w:tcW w:w="7883" w:type="dxa"/>
            <w:tcBorders>
              <w:top w:val="nil"/>
              <w:left w:val="nil"/>
              <w:bottom w:val="nil"/>
              <w:right w:val="nil"/>
            </w:tcBorders>
            <w:shd w:val="clear" w:color="000000" w:fill="BFBFBF"/>
            <w:vAlign w:val="center"/>
          </w:tcPr>
          <w:p w:rsidR="002959F0" w:rsidRDefault="00E2336B" w:rsidP="002959F0">
            <w:pPr>
              <w:ind w:firstLineChars="400" w:firstLine="880"/>
              <w:rPr>
                <w:rFonts w:ascii="MinionPro-Regular" w:hAnsi="MinionPro-Regular" w:cs="Calibri"/>
                <w:color w:val="000000"/>
                <w:szCs w:val="22"/>
                <w:lang w:val="en-US"/>
              </w:rPr>
            </w:pPr>
            <w:r w:rsidRPr="00224A16">
              <w:rPr>
                <w:rFonts w:ascii="MinionPro-Regular" w:hAnsi="MinionPro-Regular" w:cs="Calibri"/>
                <w:color w:val="000000"/>
                <w:szCs w:val="22"/>
                <w:lang w:val="en-US"/>
              </w:rPr>
              <w:t>Carpintería</w:t>
            </w:r>
          </w:p>
        </w:tc>
      </w:tr>
      <w:tr w:rsidR="00E2336B" w:rsidRPr="000123AA" w:rsidTr="008466BC">
        <w:trPr>
          <w:trHeight w:val="3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bCs/>
                <w:color w:val="000000"/>
                <w:szCs w:val="22"/>
                <w:lang w:val="en-US"/>
              </w:rPr>
            </w:pPr>
            <w:r w:rsidRPr="00224A16">
              <w:rPr>
                <w:rFonts w:ascii="MinionPro-Regular" w:hAnsi="MinionPro-Regular" w:cs="Calibri"/>
                <w:bCs/>
                <w:color w:val="000000"/>
                <w:szCs w:val="22"/>
                <w:lang w:val="en-US"/>
              </w:rPr>
              <w:t> </w:t>
            </w:r>
          </w:p>
        </w:tc>
        <w:tc>
          <w:tcPr>
            <w:tcW w:w="7883" w:type="dxa"/>
            <w:tcBorders>
              <w:top w:val="nil"/>
              <w:left w:val="nil"/>
              <w:bottom w:val="nil"/>
              <w:right w:val="nil"/>
            </w:tcBorders>
            <w:shd w:val="clear" w:color="000000" w:fill="BFBFBF"/>
            <w:vAlign w:val="center"/>
          </w:tcPr>
          <w:p w:rsidR="002959F0" w:rsidRDefault="00E2336B" w:rsidP="002959F0">
            <w:pPr>
              <w:ind w:firstLineChars="400" w:firstLine="880"/>
              <w:rPr>
                <w:rFonts w:ascii="MinionPro-Regular" w:hAnsi="MinionPro-Regular" w:cs="Calibri"/>
                <w:color w:val="000000"/>
                <w:szCs w:val="22"/>
                <w:lang w:val="en-US"/>
              </w:rPr>
            </w:pPr>
            <w:r w:rsidRPr="00224A16">
              <w:rPr>
                <w:rFonts w:ascii="MinionPro-Regular" w:hAnsi="MinionPro-Regular" w:cs="Calibri"/>
                <w:color w:val="000000"/>
                <w:szCs w:val="22"/>
                <w:lang w:val="en-US"/>
              </w:rPr>
              <w:t>Cartelería, pegatinas y rotulación</w:t>
            </w:r>
          </w:p>
        </w:tc>
      </w:tr>
      <w:tr w:rsidR="00E2336B" w:rsidRPr="000123AA" w:rsidTr="008466BC">
        <w:trPr>
          <w:trHeight w:val="3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bCs/>
                <w:color w:val="000000"/>
                <w:szCs w:val="22"/>
                <w:lang w:val="en-US"/>
              </w:rPr>
            </w:pPr>
            <w:r w:rsidRPr="00224A16">
              <w:rPr>
                <w:rFonts w:ascii="MinionPro-Regular" w:hAnsi="MinionPro-Regular" w:cs="Calibri"/>
                <w:bCs/>
                <w:color w:val="000000"/>
                <w:szCs w:val="22"/>
                <w:lang w:val="en-US"/>
              </w:rPr>
              <w:t> </w:t>
            </w:r>
          </w:p>
        </w:tc>
        <w:tc>
          <w:tcPr>
            <w:tcW w:w="7883" w:type="dxa"/>
            <w:tcBorders>
              <w:top w:val="nil"/>
              <w:left w:val="nil"/>
              <w:bottom w:val="nil"/>
              <w:right w:val="nil"/>
            </w:tcBorders>
            <w:shd w:val="clear" w:color="000000" w:fill="BFBFBF"/>
            <w:vAlign w:val="center"/>
          </w:tcPr>
          <w:p w:rsidR="002959F0" w:rsidRDefault="00E2336B" w:rsidP="002959F0">
            <w:pPr>
              <w:ind w:firstLineChars="400" w:firstLine="880"/>
              <w:rPr>
                <w:rFonts w:ascii="MinionPro-Regular" w:hAnsi="MinionPro-Regular" w:cs="Calibri"/>
                <w:color w:val="000000"/>
                <w:szCs w:val="22"/>
                <w:lang w:val="en-US"/>
              </w:rPr>
            </w:pPr>
            <w:r w:rsidRPr="00224A16">
              <w:rPr>
                <w:rFonts w:ascii="MinionPro-Regular" w:hAnsi="MinionPro-Regular" w:cs="Calibri"/>
                <w:color w:val="000000"/>
                <w:szCs w:val="22"/>
                <w:lang w:val="en-US"/>
              </w:rPr>
              <w:t xml:space="preserve">Cerámica </w:t>
            </w:r>
          </w:p>
        </w:tc>
      </w:tr>
      <w:tr w:rsidR="00E2336B" w:rsidRPr="000123AA" w:rsidTr="008466BC">
        <w:trPr>
          <w:trHeight w:val="3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bCs/>
                <w:color w:val="000000"/>
                <w:szCs w:val="22"/>
                <w:lang w:val="en-US"/>
              </w:rPr>
            </w:pPr>
            <w:r w:rsidRPr="00224A16">
              <w:rPr>
                <w:rFonts w:ascii="MinionPro-Regular" w:hAnsi="MinionPro-Regular" w:cs="Calibri"/>
                <w:bCs/>
                <w:color w:val="000000"/>
                <w:szCs w:val="22"/>
                <w:lang w:val="en-US"/>
              </w:rPr>
              <w:t> </w:t>
            </w:r>
          </w:p>
        </w:tc>
        <w:tc>
          <w:tcPr>
            <w:tcW w:w="7883" w:type="dxa"/>
            <w:tcBorders>
              <w:top w:val="nil"/>
              <w:left w:val="nil"/>
              <w:bottom w:val="nil"/>
              <w:right w:val="nil"/>
            </w:tcBorders>
            <w:shd w:val="clear" w:color="000000" w:fill="BFBFBF"/>
            <w:vAlign w:val="center"/>
          </w:tcPr>
          <w:p w:rsidR="002959F0" w:rsidRDefault="00E2336B" w:rsidP="002959F0">
            <w:pPr>
              <w:ind w:firstLineChars="400" w:firstLine="880"/>
              <w:rPr>
                <w:rFonts w:ascii="MinionPro-Regular" w:hAnsi="MinionPro-Regular" w:cs="Calibri"/>
                <w:color w:val="000000"/>
                <w:szCs w:val="22"/>
                <w:lang w:val="en-US"/>
              </w:rPr>
            </w:pPr>
            <w:r w:rsidRPr="00224A16">
              <w:rPr>
                <w:rFonts w:ascii="MinionPro-Regular" w:hAnsi="MinionPro-Regular" w:cs="Calibri"/>
                <w:color w:val="000000"/>
                <w:szCs w:val="22"/>
                <w:lang w:val="en-US"/>
              </w:rPr>
              <w:t>Comercio al por menor</w:t>
            </w:r>
          </w:p>
        </w:tc>
      </w:tr>
      <w:tr w:rsidR="00E2336B" w:rsidRPr="000123AA" w:rsidTr="008466BC">
        <w:trPr>
          <w:trHeight w:val="3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bCs/>
                <w:color w:val="000000"/>
                <w:szCs w:val="22"/>
                <w:lang w:val="en-US"/>
              </w:rPr>
            </w:pPr>
            <w:r w:rsidRPr="00224A16">
              <w:rPr>
                <w:rFonts w:ascii="MinionPro-Regular" w:hAnsi="MinionPro-Regular" w:cs="Calibri"/>
                <w:bCs/>
                <w:color w:val="000000"/>
                <w:szCs w:val="22"/>
                <w:lang w:val="en-US"/>
              </w:rPr>
              <w:t> </w:t>
            </w:r>
          </w:p>
        </w:tc>
        <w:tc>
          <w:tcPr>
            <w:tcW w:w="7883" w:type="dxa"/>
            <w:tcBorders>
              <w:top w:val="nil"/>
              <w:left w:val="nil"/>
              <w:bottom w:val="nil"/>
              <w:right w:val="nil"/>
            </w:tcBorders>
            <w:shd w:val="clear" w:color="000000" w:fill="BFBFBF"/>
            <w:vAlign w:val="center"/>
          </w:tcPr>
          <w:p w:rsidR="002959F0" w:rsidRDefault="00E2336B" w:rsidP="002959F0">
            <w:pPr>
              <w:ind w:firstLineChars="400" w:firstLine="880"/>
              <w:rPr>
                <w:rFonts w:ascii="MinionPro-Regular" w:hAnsi="MinionPro-Regular" w:cs="Calibri"/>
                <w:color w:val="000000"/>
                <w:szCs w:val="22"/>
                <w:lang w:val="en-US"/>
              </w:rPr>
            </w:pPr>
            <w:r w:rsidRPr="00224A16">
              <w:rPr>
                <w:rFonts w:ascii="MinionPro-Regular" w:hAnsi="MinionPro-Regular" w:cs="Calibri"/>
                <w:color w:val="000000"/>
                <w:szCs w:val="22"/>
                <w:lang w:val="en-US"/>
              </w:rPr>
              <w:t>Comercio al por mayor</w:t>
            </w:r>
          </w:p>
        </w:tc>
      </w:tr>
      <w:tr w:rsidR="00E2336B" w:rsidRPr="000123AA" w:rsidTr="008466BC">
        <w:trPr>
          <w:trHeight w:val="3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bCs/>
                <w:color w:val="000000"/>
                <w:szCs w:val="22"/>
                <w:lang w:val="en-US"/>
              </w:rPr>
            </w:pPr>
            <w:r w:rsidRPr="00224A16">
              <w:rPr>
                <w:rFonts w:ascii="MinionPro-Regular" w:hAnsi="MinionPro-Regular" w:cs="Calibri"/>
                <w:bCs/>
                <w:color w:val="000000"/>
                <w:szCs w:val="22"/>
                <w:lang w:val="en-US"/>
              </w:rPr>
              <w:t> </w:t>
            </w:r>
          </w:p>
        </w:tc>
        <w:tc>
          <w:tcPr>
            <w:tcW w:w="7883" w:type="dxa"/>
            <w:tcBorders>
              <w:top w:val="nil"/>
              <w:left w:val="nil"/>
              <w:bottom w:val="nil"/>
              <w:right w:val="nil"/>
            </w:tcBorders>
            <w:shd w:val="clear" w:color="000000" w:fill="BFBFBF"/>
            <w:vAlign w:val="center"/>
          </w:tcPr>
          <w:p w:rsidR="002959F0" w:rsidRDefault="00E2336B" w:rsidP="002959F0">
            <w:pPr>
              <w:ind w:firstLineChars="400" w:firstLine="880"/>
              <w:rPr>
                <w:rFonts w:ascii="MinionPro-Regular" w:hAnsi="MinionPro-Regular" w:cs="Calibri"/>
                <w:color w:val="000000"/>
                <w:szCs w:val="22"/>
                <w:lang w:val="en-US"/>
              </w:rPr>
            </w:pPr>
            <w:r w:rsidRPr="00224A16">
              <w:rPr>
                <w:rFonts w:ascii="MinionPro-Regular" w:hAnsi="MinionPro-Regular" w:cs="Calibri"/>
                <w:color w:val="000000"/>
                <w:szCs w:val="22"/>
                <w:lang w:val="en-US"/>
              </w:rPr>
              <w:t>Conductor</w:t>
            </w:r>
          </w:p>
        </w:tc>
      </w:tr>
      <w:tr w:rsidR="00E2336B" w:rsidRPr="000123AA" w:rsidTr="008466BC">
        <w:trPr>
          <w:trHeight w:val="3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bCs/>
                <w:color w:val="000000"/>
                <w:szCs w:val="22"/>
                <w:lang w:val="en-US"/>
              </w:rPr>
            </w:pPr>
            <w:r w:rsidRPr="00224A16">
              <w:rPr>
                <w:rFonts w:ascii="MinionPro-Regular" w:hAnsi="MinionPro-Regular" w:cs="Calibri"/>
                <w:bCs/>
                <w:color w:val="000000"/>
                <w:szCs w:val="22"/>
                <w:lang w:val="en-US"/>
              </w:rPr>
              <w:t> </w:t>
            </w:r>
          </w:p>
        </w:tc>
        <w:tc>
          <w:tcPr>
            <w:tcW w:w="7883" w:type="dxa"/>
            <w:tcBorders>
              <w:top w:val="nil"/>
              <w:left w:val="nil"/>
              <w:bottom w:val="nil"/>
              <w:right w:val="nil"/>
            </w:tcBorders>
            <w:shd w:val="clear" w:color="000000" w:fill="BFBFBF"/>
            <w:vAlign w:val="center"/>
          </w:tcPr>
          <w:p w:rsidR="002959F0" w:rsidRDefault="00E2336B" w:rsidP="002959F0">
            <w:pPr>
              <w:ind w:firstLineChars="400" w:firstLine="880"/>
              <w:rPr>
                <w:rFonts w:ascii="MinionPro-Regular" w:hAnsi="MinionPro-Regular" w:cs="Calibri"/>
                <w:color w:val="000000"/>
                <w:szCs w:val="22"/>
                <w:lang w:val="en-US"/>
              </w:rPr>
            </w:pPr>
            <w:r w:rsidRPr="00224A16">
              <w:rPr>
                <w:rFonts w:ascii="MinionPro-Regular" w:hAnsi="MinionPro-Regular" w:cs="Calibri"/>
                <w:color w:val="000000"/>
                <w:szCs w:val="22"/>
                <w:lang w:val="en-US"/>
              </w:rPr>
              <w:t>Confección textil</w:t>
            </w:r>
          </w:p>
        </w:tc>
      </w:tr>
      <w:tr w:rsidR="00E2336B" w:rsidRPr="000123AA" w:rsidTr="008466BC">
        <w:trPr>
          <w:trHeight w:val="3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bCs/>
                <w:color w:val="000000"/>
                <w:szCs w:val="22"/>
                <w:lang w:val="en-US"/>
              </w:rPr>
            </w:pPr>
            <w:r w:rsidRPr="00224A16">
              <w:rPr>
                <w:rFonts w:ascii="MinionPro-Regular" w:hAnsi="MinionPro-Regular" w:cs="Calibri"/>
                <w:bCs/>
                <w:color w:val="000000"/>
                <w:szCs w:val="22"/>
                <w:lang w:val="en-US"/>
              </w:rPr>
              <w:t> </w:t>
            </w:r>
          </w:p>
        </w:tc>
        <w:tc>
          <w:tcPr>
            <w:tcW w:w="7883" w:type="dxa"/>
            <w:tcBorders>
              <w:top w:val="nil"/>
              <w:left w:val="nil"/>
              <w:bottom w:val="nil"/>
              <w:right w:val="nil"/>
            </w:tcBorders>
            <w:shd w:val="clear" w:color="000000" w:fill="BFBFBF"/>
            <w:vAlign w:val="center"/>
          </w:tcPr>
          <w:p w:rsidR="002959F0" w:rsidRDefault="00E2336B" w:rsidP="002959F0">
            <w:pPr>
              <w:ind w:firstLineChars="400" w:firstLine="880"/>
              <w:rPr>
                <w:rFonts w:ascii="MinionPro-Regular" w:hAnsi="MinionPro-Regular" w:cs="Calibri"/>
                <w:color w:val="000000"/>
                <w:szCs w:val="22"/>
                <w:lang w:val="en-US"/>
              </w:rPr>
            </w:pPr>
            <w:r w:rsidRPr="00224A16">
              <w:rPr>
                <w:rFonts w:ascii="MinionPro-Regular" w:hAnsi="MinionPro-Regular" w:cs="Calibri"/>
                <w:color w:val="000000"/>
                <w:szCs w:val="22"/>
                <w:lang w:val="en-US"/>
              </w:rPr>
              <w:t>Conserjería</w:t>
            </w:r>
          </w:p>
        </w:tc>
      </w:tr>
      <w:tr w:rsidR="00E2336B" w:rsidRPr="000123AA" w:rsidTr="008466BC">
        <w:trPr>
          <w:trHeight w:val="3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bCs/>
                <w:color w:val="000000"/>
                <w:szCs w:val="22"/>
                <w:lang w:val="en-US"/>
              </w:rPr>
            </w:pPr>
            <w:r w:rsidRPr="00224A16">
              <w:rPr>
                <w:rFonts w:ascii="MinionPro-Regular" w:hAnsi="MinionPro-Regular" w:cs="Calibri"/>
                <w:bCs/>
                <w:color w:val="000000"/>
                <w:szCs w:val="22"/>
                <w:lang w:val="en-US"/>
              </w:rPr>
              <w:lastRenderedPageBreak/>
              <w:t> </w:t>
            </w:r>
          </w:p>
        </w:tc>
        <w:tc>
          <w:tcPr>
            <w:tcW w:w="7883" w:type="dxa"/>
            <w:tcBorders>
              <w:top w:val="nil"/>
              <w:left w:val="nil"/>
              <w:bottom w:val="nil"/>
              <w:right w:val="nil"/>
            </w:tcBorders>
            <w:shd w:val="clear" w:color="000000" w:fill="BFBFBF"/>
            <w:vAlign w:val="center"/>
          </w:tcPr>
          <w:p w:rsidR="002959F0" w:rsidRDefault="00E2336B" w:rsidP="002959F0">
            <w:pPr>
              <w:ind w:firstLineChars="400" w:firstLine="880"/>
              <w:rPr>
                <w:rFonts w:ascii="MinionPro-Regular" w:hAnsi="MinionPro-Regular" w:cs="Calibri"/>
                <w:color w:val="000000"/>
                <w:szCs w:val="22"/>
                <w:lang w:val="en-US"/>
              </w:rPr>
            </w:pPr>
            <w:r w:rsidRPr="00224A16">
              <w:rPr>
                <w:rFonts w:ascii="MinionPro-Regular" w:hAnsi="MinionPro-Regular" w:cs="Calibri"/>
                <w:color w:val="000000"/>
                <w:szCs w:val="22"/>
                <w:lang w:val="en-US"/>
              </w:rPr>
              <w:t>Consultoría IT</w:t>
            </w:r>
          </w:p>
        </w:tc>
      </w:tr>
      <w:tr w:rsidR="00E2336B" w:rsidRPr="000123AA" w:rsidTr="008466BC">
        <w:trPr>
          <w:trHeight w:val="3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bCs/>
                <w:color w:val="000000"/>
                <w:szCs w:val="22"/>
                <w:lang w:val="en-US"/>
              </w:rPr>
            </w:pPr>
            <w:r w:rsidRPr="00224A16">
              <w:rPr>
                <w:rFonts w:ascii="MinionPro-Regular" w:hAnsi="MinionPro-Regular" w:cs="Calibri"/>
                <w:bCs/>
                <w:color w:val="000000"/>
                <w:szCs w:val="22"/>
                <w:lang w:val="en-US"/>
              </w:rPr>
              <w:t> </w:t>
            </w:r>
          </w:p>
        </w:tc>
        <w:tc>
          <w:tcPr>
            <w:tcW w:w="7883" w:type="dxa"/>
            <w:tcBorders>
              <w:top w:val="nil"/>
              <w:left w:val="nil"/>
              <w:bottom w:val="nil"/>
              <w:right w:val="nil"/>
            </w:tcBorders>
            <w:shd w:val="clear" w:color="000000" w:fill="BFBFBF"/>
            <w:vAlign w:val="center"/>
          </w:tcPr>
          <w:p w:rsidR="002959F0" w:rsidRDefault="00E2336B" w:rsidP="002959F0">
            <w:pPr>
              <w:ind w:firstLineChars="400" w:firstLine="880"/>
              <w:rPr>
                <w:rFonts w:ascii="MinionPro-Regular" w:hAnsi="MinionPro-Regular" w:cs="Calibri"/>
                <w:color w:val="000000"/>
                <w:szCs w:val="22"/>
                <w:lang w:val="en-US"/>
              </w:rPr>
            </w:pPr>
            <w:r w:rsidRPr="00224A16">
              <w:rPr>
                <w:rFonts w:ascii="MinionPro-Regular" w:hAnsi="MinionPro-Regular" w:cs="Calibri"/>
                <w:color w:val="000000"/>
                <w:szCs w:val="22"/>
                <w:lang w:val="en-US"/>
              </w:rPr>
              <w:t xml:space="preserve">Consultoría otros </w:t>
            </w:r>
          </w:p>
        </w:tc>
      </w:tr>
      <w:tr w:rsidR="00E2336B" w:rsidRPr="000123AA" w:rsidTr="008466BC">
        <w:trPr>
          <w:trHeight w:val="3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bCs/>
                <w:color w:val="000000"/>
                <w:szCs w:val="22"/>
                <w:lang w:val="en-US"/>
              </w:rPr>
            </w:pPr>
            <w:r w:rsidRPr="00224A16">
              <w:rPr>
                <w:rFonts w:ascii="MinionPro-Regular" w:hAnsi="MinionPro-Regular" w:cs="Calibri"/>
                <w:bCs/>
                <w:color w:val="000000"/>
                <w:szCs w:val="22"/>
                <w:lang w:val="en-US"/>
              </w:rPr>
              <w:t> </w:t>
            </w:r>
          </w:p>
        </w:tc>
        <w:tc>
          <w:tcPr>
            <w:tcW w:w="7883" w:type="dxa"/>
            <w:tcBorders>
              <w:top w:val="nil"/>
              <w:left w:val="nil"/>
              <w:bottom w:val="nil"/>
              <w:right w:val="nil"/>
            </w:tcBorders>
            <w:shd w:val="clear" w:color="000000" w:fill="BFBFBF"/>
            <w:vAlign w:val="center"/>
          </w:tcPr>
          <w:p w:rsidR="002959F0" w:rsidRDefault="00E2336B" w:rsidP="002959F0">
            <w:pPr>
              <w:ind w:firstLineChars="400" w:firstLine="880"/>
              <w:rPr>
                <w:rFonts w:ascii="MinionPro-Regular" w:hAnsi="MinionPro-Regular" w:cs="Calibri"/>
                <w:color w:val="000000"/>
                <w:szCs w:val="22"/>
                <w:lang w:val="en-US"/>
              </w:rPr>
            </w:pPr>
            <w:r w:rsidRPr="00224A16">
              <w:rPr>
                <w:rFonts w:ascii="MinionPro-Regular" w:hAnsi="MinionPro-Regular" w:cs="Calibri"/>
                <w:color w:val="000000"/>
                <w:szCs w:val="22"/>
                <w:lang w:val="en-US"/>
              </w:rPr>
              <w:t>Consumibles informáticos</w:t>
            </w:r>
          </w:p>
        </w:tc>
      </w:tr>
      <w:tr w:rsidR="00E2336B" w:rsidRPr="000123AA" w:rsidTr="008466BC">
        <w:trPr>
          <w:trHeight w:val="3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bCs/>
                <w:color w:val="000000"/>
                <w:szCs w:val="22"/>
                <w:lang w:val="en-US"/>
              </w:rPr>
            </w:pPr>
            <w:r w:rsidRPr="00224A16">
              <w:rPr>
                <w:rFonts w:ascii="MinionPro-Regular" w:hAnsi="MinionPro-Regular" w:cs="Calibri"/>
                <w:bCs/>
                <w:color w:val="000000"/>
                <w:szCs w:val="22"/>
                <w:lang w:val="en-US"/>
              </w:rPr>
              <w:t> </w:t>
            </w:r>
          </w:p>
        </w:tc>
        <w:tc>
          <w:tcPr>
            <w:tcW w:w="7883" w:type="dxa"/>
            <w:tcBorders>
              <w:top w:val="nil"/>
              <w:left w:val="nil"/>
              <w:bottom w:val="nil"/>
              <w:right w:val="nil"/>
            </w:tcBorders>
            <w:shd w:val="clear" w:color="000000" w:fill="BFBFBF"/>
            <w:vAlign w:val="center"/>
          </w:tcPr>
          <w:p w:rsidR="002959F0" w:rsidRDefault="00E2336B" w:rsidP="002959F0">
            <w:pPr>
              <w:ind w:firstLineChars="400" w:firstLine="880"/>
              <w:rPr>
                <w:rFonts w:ascii="MinionPro-Regular" w:hAnsi="MinionPro-Regular" w:cs="Calibri"/>
                <w:color w:val="000000"/>
                <w:szCs w:val="22"/>
                <w:lang w:val="en-US"/>
              </w:rPr>
            </w:pPr>
            <w:r w:rsidRPr="00224A16">
              <w:rPr>
                <w:rFonts w:ascii="MinionPro-Regular" w:hAnsi="MinionPro-Regular" w:cs="Calibri"/>
                <w:color w:val="000000"/>
                <w:szCs w:val="22"/>
                <w:lang w:val="en-US"/>
              </w:rPr>
              <w:t>Contact center</w:t>
            </w:r>
          </w:p>
        </w:tc>
      </w:tr>
      <w:tr w:rsidR="00E2336B" w:rsidRPr="000123AA" w:rsidTr="008466BC">
        <w:trPr>
          <w:trHeight w:val="3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bCs/>
                <w:color w:val="000000"/>
                <w:szCs w:val="22"/>
                <w:lang w:val="en-US"/>
              </w:rPr>
            </w:pPr>
            <w:r w:rsidRPr="00224A16">
              <w:rPr>
                <w:rFonts w:ascii="MinionPro-Regular" w:hAnsi="MinionPro-Regular" w:cs="Calibri"/>
                <w:bCs/>
                <w:color w:val="000000"/>
                <w:szCs w:val="22"/>
                <w:lang w:val="en-US"/>
              </w:rPr>
              <w:t> </w:t>
            </w:r>
          </w:p>
        </w:tc>
        <w:tc>
          <w:tcPr>
            <w:tcW w:w="7883" w:type="dxa"/>
            <w:tcBorders>
              <w:top w:val="nil"/>
              <w:left w:val="nil"/>
              <w:bottom w:val="nil"/>
              <w:right w:val="nil"/>
            </w:tcBorders>
            <w:shd w:val="clear" w:color="000000" w:fill="BFBFBF"/>
            <w:vAlign w:val="center"/>
          </w:tcPr>
          <w:p w:rsidR="002959F0" w:rsidRDefault="00E2336B" w:rsidP="002959F0">
            <w:pPr>
              <w:ind w:firstLineChars="400" w:firstLine="880"/>
              <w:rPr>
                <w:rFonts w:ascii="MinionPro-Regular" w:hAnsi="MinionPro-Regular" w:cs="Calibri"/>
                <w:color w:val="000000"/>
                <w:szCs w:val="22"/>
                <w:lang w:val="es-ES_tradnl"/>
              </w:rPr>
            </w:pPr>
            <w:r w:rsidRPr="00224A16">
              <w:rPr>
                <w:rFonts w:ascii="MinionPro-Regular" w:hAnsi="MinionPro-Regular" w:cs="Calibri"/>
                <w:color w:val="000000"/>
                <w:szCs w:val="22"/>
                <w:lang w:val="es-ES_tradnl"/>
              </w:rPr>
              <w:t>Control de calidad de productos</w:t>
            </w:r>
          </w:p>
        </w:tc>
      </w:tr>
      <w:tr w:rsidR="00E2336B" w:rsidRPr="000123AA" w:rsidTr="008466BC">
        <w:trPr>
          <w:trHeight w:val="3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bCs/>
                <w:color w:val="000000"/>
                <w:szCs w:val="22"/>
                <w:lang w:val="es-ES_tradnl"/>
              </w:rPr>
            </w:pPr>
            <w:r w:rsidRPr="00224A16">
              <w:rPr>
                <w:rFonts w:ascii="MinionPro-Regular" w:hAnsi="MinionPro-Regular" w:cs="Calibri"/>
                <w:bCs/>
                <w:color w:val="000000"/>
                <w:szCs w:val="22"/>
                <w:lang w:val="es-ES_tradnl"/>
              </w:rPr>
              <w:t> </w:t>
            </w:r>
          </w:p>
        </w:tc>
        <w:tc>
          <w:tcPr>
            <w:tcW w:w="7883" w:type="dxa"/>
            <w:tcBorders>
              <w:top w:val="nil"/>
              <w:left w:val="nil"/>
              <w:bottom w:val="nil"/>
              <w:right w:val="nil"/>
            </w:tcBorders>
            <w:shd w:val="clear" w:color="000000" w:fill="BFBFBF"/>
            <w:vAlign w:val="center"/>
          </w:tcPr>
          <w:p w:rsidR="002959F0" w:rsidRDefault="00E2336B" w:rsidP="002959F0">
            <w:pPr>
              <w:ind w:firstLineChars="400" w:firstLine="880"/>
              <w:rPr>
                <w:rFonts w:ascii="MinionPro-Regular" w:hAnsi="MinionPro-Regular" w:cs="Calibri"/>
                <w:color w:val="000000"/>
                <w:szCs w:val="22"/>
                <w:lang w:val="es-ES_tradnl"/>
              </w:rPr>
            </w:pPr>
            <w:r w:rsidRPr="00224A16">
              <w:rPr>
                <w:rFonts w:ascii="MinionPro-Regular" w:hAnsi="MinionPro-Regular" w:cs="Calibri"/>
                <w:color w:val="000000"/>
                <w:szCs w:val="22"/>
                <w:lang w:val="es-ES_tradnl"/>
              </w:rPr>
              <w:t>Copistería, imprenta y/o reprografía</w:t>
            </w:r>
          </w:p>
        </w:tc>
      </w:tr>
      <w:tr w:rsidR="00E2336B" w:rsidRPr="000123AA" w:rsidTr="008466BC">
        <w:trPr>
          <w:trHeight w:val="3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bCs/>
                <w:color w:val="000000"/>
                <w:szCs w:val="22"/>
                <w:lang w:val="es-ES_tradnl"/>
              </w:rPr>
            </w:pPr>
            <w:r w:rsidRPr="00224A16">
              <w:rPr>
                <w:rFonts w:ascii="MinionPro-Regular" w:hAnsi="MinionPro-Regular" w:cs="Calibri"/>
                <w:bCs/>
                <w:color w:val="000000"/>
                <w:szCs w:val="22"/>
                <w:lang w:val="es-ES_tradnl"/>
              </w:rPr>
              <w:t> </w:t>
            </w:r>
          </w:p>
        </w:tc>
        <w:tc>
          <w:tcPr>
            <w:tcW w:w="7883" w:type="dxa"/>
            <w:tcBorders>
              <w:top w:val="nil"/>
              <w:left w:val="nil"/>
              <w:bottom w:val="nil"/>
              <w:right w:val="nil"/>
            </w:tcBorders>
            <w:shd w:val="clear" w:color="000000" w:fill="BFBFBF"/>
            <w:vAlign w:val="center"/>
          </w:tcPr>
          <w:p w:rsidR="002959F0" w:rsidRDefault="00E2336B" w:rsidP="002959F0">
            <w:pPr>
              <w:ind w:firstLineChars="400" w:firstLine="880"/>
              <w:rPr>
                <w:rFonts w:ascii="MinionPro-Regular" w:hAnsi="MinionPro-Regular" w:cs="Calibri"/>
                <w:color w:val="000000"/>
                <w:szCs w:val="22"/>
                <w:lang w:val="en-US"/>
              </w:rPr>
            </w:pPr>
            <w:r w:rsidRPr="00224A16">
              <w:rPr>
                <w:rFonts w:ascii="MinionPro-Regular" w:hAnsi="MinionPro-Regular" w:cs="Calibri"/>
                <w:color w:val="000000"/>
                <w:szCs w:val="22"/>
                <w:lang w:val="en-US"/>
              </w:rPr>
              <w:t>Destrucción de documentos</w:t>
            </w:r>
          </w:p>
        </w:tc>
      </w:tr>
      <w:tr w:rsidR="00E2336B" w:rsidRPr="000123AA" w:rsidTr="008466BC">
        <w:trPr>
          <w:trHeight w:val="3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bCs/>
                <w:color w:val="000000"/>
                <w:szCs w:val="22"/>
                <w:lang w:val="en-US"/>
              </w:rPr>
            </w:pPr>
            <w:r w:rsidRPr="00224A16">
              <w:rPr>
                <w:rFonts w:ascii="MinionPro-Regular" w:hAnsi="MinionPro-Regular" w:cs="Calibri"/>
                <w:bCs/>
                <w:color w:val="000000"/>
                <w:szCs w:val="22"/>
                <w:lang w:val="en-US"/>
              </w:rPr>
              <w:t> </w:t>
            </w:r>
          </w:p>
        </w:tc>
        <w:tc>
          <w:tcPr>
            <w:tcW w:w="7883" w:type="dxa"/>
            <w:tcBorders>
              <w:top w:val="nil"/>
              <w:left w:val="nil"/>
              <w:bottom w:val="nil"/>
              <w:right w:val="nil"/>
            </w:tcBorders>
            <w:shd w:val="clear" w:color="000000" w:fill="BFBFBF"/>
            <w:vAlign w:val="center"/>
          </w:tcPr>
          <w:p w:rsidR="002959F0" w:rsidRDefault="00E2336B" w:rsidP="002959F0">
            <w:pPr>
              <w:ind w:firstLineChars="400" w:firstLine="880"/>
              <w:rPr>
                <w:rFonts w:ascii="MinionPro-Regular" w:hAnsi="MinionPro-Regular" w:cs="Calibri"/>
                <w:color w:val="000000"/>
                <w:szCs w:val="22"/>
                <w:lang w:val="es-ES_tradnl"/>
              </w:rPr>
            </w:pPr>
            <w:r w:rsidRPr="00224A16">
              <w:rPr>
                <w:rFonts w:ascii="MinionPro-Regular" w:hAnsi="MinionPro-Regular" w:cs="Calibri"/>
                <w:color w:val="000000"/>
                <w:szCs w:val="22"/>
                <w:lang w:val="es-ES_tradnl"/>
              </w:rPr>
              <w:t>Distribución de alimentos y otros artículos</w:t>
            </w:r>
          </w:p>
        </w:tc>
      </w:tr>
      <w:tr w:rsidR="00E2336B" w:rsidRPr="000123AA" w:rsidTr="008466BC">
        <w:trPr>
          <w:trHeight w:val="3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bCs/>
                <w:color w:val="000000"/>
                <w:szCs w:val="22"/>
                <w:lang w:val="es-ES_tradnl"/>
              </w:rPr>
            </w:pPr>
            <w:r w:rsidRPr="00224A16">
              <w:rPr>
                <w:rFonts w:ascii="MinionPro-Regular" w:hAnsi="MinionPro-Regular" w:cs="Calibri"/>
                <w:bCs/>
                <w:color w:val="000000"/>
                <w:szCs w:val="22"/>
                <w:lang w:val="es-ES_tradnl"/>
              </w:rPr>
              <w:t> </w:t>
            </w:r>
          </w:p>
        </w:tc>
        <w:tc>
          <w:tcPr>
            <w:tcW w:w="7883" w:type="dxa"/>
            <w:tcBorders>
              <w:top w:val="nil"/>
              <w:left w:val="nil"/>
              <w:bottom w:val="nil"/>
              <w:right w:val="nil"/>
            </w:tcBorders>
            <w:shd w:val="clear" w:color="000000" w:fill="BFBFBF"/>
            <w:vAlign w:val="center"/>
          </w:tcPr>
          <w:p w:rsidR="002959F0" w:rsidRDefault="00E2336B" w:rsidP="002959F0">
            <w:pPr>
              <w:ind w:firstLineChars="400" w:firstLine="880"/>
              <w:rPr>
                <w:rFonts w:ascii="MinionPro-Regular" w:hAnsi="MinionPro-Regular" w:cs="Calibri"/>
                <w:color w:val="000000"/>
                <w:szCs w:val="22"/>
                <w:lang w:val="en-US"/>
              </w:rPr>
            </w:pPr>
            <w:r w:rsidRPr="00224A16">
              <w:rPr>
                <w:rFonts w:ascii="MinionPro-Regular" w:hAnsi="MinionPro-Regular" w:cs="Calibri"/>
                <w:color w:val="000000"/>
                <w:szCs w:val="22"/>
                <w:lang w:val="en-US"/>
              </w:rPr>
              <w:t>E-business</w:t>
            </w:r>
          </w:p>
        </w:tc>
      </w:tr>
      <w:tr w:rsidR="00E2336B" w:rsidRPr="000123AA" w:rsidTr="008466BC">
        <w:trPr>
          <w:trHeight w:val="3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bCs/>
                <w:color w:val="000000"/>
                <w:szCs w:val="22"/>
                <w:lang w:val="en-US"/>
              </w:rPr>
            </w:pPr>
            <w:r w:rsidRPr="00224A16">
              <w:rPr>
                <w:rFonts w:ascii="MinionPro-Regular" w:hAnsi="MinionPro-Regular" w:cs="Calibri"/>
                <w:bCs/>
                <w:color w:val="000000"/>
                <w:szCs w:val="22"/>
                <w:lang w:val="en-US"/>
              </w:rPr>
              <w:t> </w:t>
            </w:r>
          </w:p>
        </w:tc>
        <w:tc>
          <w:tcPr>
            <w:tcW w:w="7883" w:type="dxa"/>
            <w:tcBorders>
              <w:top w:val="nil"/>
              <w:left w:val="nil"/>
              <w:bottom w:val="nil"/>
              <w:right w:val="nil"/>
            </w:tcBorders>
            <w:shd w:val="clear" w:color="000000" w:fill="BFBFBF"/>
            <w:vAlign w:val="center"/>
          </w:tcPr>
          <w:p w:rsidR="002959F0" w:rsidRDefault="00E2336B" w:rsidP="002959F0">
            <w:pPr>
              <w:ind w:firstLineChars="400" w:firstLine="880"/>
              <w:rPr>
                <w:rFonts w:ascii="MinionPro-Regular" w:hAnsi="MinionPro-Regular" w:cs="Calibri"/>
                <w:color w:val="000000"/>
                <w:szCs w:val="22"/>
                <w:lang w:val="en-US"/>
              </w:rPr>
            </w:pPr>
            <w:r w:rsidRPr="00224A16">
              <w:rPr>
                <w:rFonts w:ascii="MinionPro-Regular" w:hAnsi="MinionPro-Regular" w:cs="Calibri"/>
                <w:color w:val="000000"/>
                <w:szCs w:val="22"/>
                <w:lang w:val="en-US"/>
              </w:rPr>
              <w:t>Educación/ Formación</w:t>
            </w:r>
          </w:p>
        </w:tc>
      </w:tr>
      <w:tr w:rsidR="00E2336B" w:rsidRPr="000123AA" w:rsidTr="008466BC">
        <w:trPr>
          <w:trHeight w:val="3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bCs/>
                <w:color w:val="000000"/>
                <w:szCs w:val="22"/>
                <w:lang w:val="en-US"/>
              </w:rPr>
            </w:pPr>
            <w:r w:rsidRPr="00224A16">
              <w:rPr>
                <w:rFonts w:ascii="MinionPro-Regular" w:hAnsi="MinionPro-Regular" w:cs="Calibri"/>
                <w:bCs/>
                <w:color w:val="000000"/>
                <w:szCs w:val="22"/>
                <w:lang w:val="en-US"/>
              </w:rPr>
              <w:t> </w:t>
            </w:r>
          </w:p>
        </w:tc>
        <w:tc>
          <w:tcPr>
            <w:tcW w:w="7883" w:type="dxa"/>
            <w:tcBorders>
              <w:top w:val="nil"/>
              <w:left w:val="nil"/>
              <w:bottom w:val="nil"/>
              <w:right w:val="nil"/>
            </w:tcBorders>
            <w:shd w:val="clear" w:color="000000" w:fill="BFBFBF"/>
            <w:vAlign w:val="center"/>
          </w:tcPr>
          <w:p w:rsidR="002959F0" w:rsidRDefault="00E2336B" w:rsidP="002959F0">
            <w:pPr>
              <w:ind w:firstLineChars="400" w:firstLine="880"/>
              <w:rPr>
                <w:rFonts w:ascii="MinionPro-Regular" w:hAnsi="MinionPro-Regular" w:cs="Calibri"/>
                <w:color w:val="000000"/>
                <w:szCs w:val="22"/>
                <w:lang w:val="es-ES_tradnl"/>
              </w:rPr>
            </w:pPr>
            <w:r w:rsidRPr="00224A16">
              <w:rPr>
                <w:rFonts w:ascii="MinionPro-Regular" w:hAnsi="MinionPro-Regular" w:cs="Calibri"/>
                <w:color w:val="000000"/>
                <w:szCs w:val="22"/>
                <w:lang w:val="es-ES_tradnl"/>
              </w:rPr>
              <w:t>Elaboración distribución y venta de prensa</w:t>
            </w:r>
          </w:p>
        </w:tc>
      </w:tr>
      <w:tr w:rsidR="00E2336B" w:rsidRPr="000123AA" w:rsidTr="008466BC">
        <w:trPr>
          <w:trHeight w:val="3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bCs/>
                <w:color w:val="000000"/>
                <w:szCs w:val="22"/>
                <w:lang w:val="es-ES_tradnl"/>
              </w:rPr>
            </w:pPr>
            <w:r w:rsidRPr="00224A16">
              <w:rPr>
                <w:rFonts w:ascii="MinionPro-Regular" w:hAnsi="MinionPro-Regular" w:cs="Calibri"/>
                <w:bCs/>
                <w:color w:val="000000"/>
                <w:szCs w:val="22"/>
                <w:lang w:val="es-ES_tradnl"/>
              </w:rPr>
              <w:t> </w:t>
            </w:r>
          </w:p>
        </w:tc>
        <w:tc>
          <w:tcPr>
            <w:tcW w:w="7883" w:type="dxa"/>
            <w:tcBorders>
              <w:top w:val="nil"/>
              <w:left w:val="nil"/>
              <w:bottom w:val="nil"/>
              <w:right w:val="nil"/>
            </w:tcBorders>
            <w:shd w:val="clear" w:color="000000" w:fill="BFBFBF"/>
            <w:vAlign w:val="center"/>
          </w:tcPr>
          <w:p w:rsidR="002959F0" w:rsidRDefault="00E2336B" w:rsidP="002959F0">
            <w:pPr>
              <w:ind w:firstLineChars="400" w:firstLine="880"/>
              <w:rPr>
                <w:rFonts w:ascii="MinionPro-Regular" w:hAnsi="MinionPro-Regular" w:cs="Calibri"/>
                <w:color w:val="000000"/>
                <w:szCs w:val="22"/>
                <w:lang w:val="es-ES_tradnl"/>
              </w:rPr>
            </w:pPr>
            <w:r w:rsidRPr="00224A16">
              <w:rPr>
                <w:rFonts w:ascii="MinionPro-Regular" w:hAnsi="MinionPro-Regular" w:cs="Calibri"/>
                <w:color w:val="000000"/>
                <w:szCs w:val="22"/>
                <w:lang w:val="es-ES_tradnl"/>
              </w:rPr>
              <w:t>Eliminación de barreras arquitectónicas y urbanísticas</w:t>
            </w:r>
          </w:p>
        </w:tc>
      </w:tr>
      <w:tr w:rsidR="00E2336B" w:rsidRPr="000123AA" w:rsidTr="008466BC">
        <w:trPr>
          <w:trHeight w:val="3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bCs/>
                <w:color w:val="000000"/>
                <w:szCs w:val="22"/>
                <w:lang w:val="es-ES_tradnl"/>
              </w:rPr>
            </w:pPr>
            <w:r w:rsidRPr="00224A16">
              <w:rPr>
                <w:rFonts w:ascii="MinionPro-Regular" w:hAnsi="MinionPro-Regular" w:cs="Calibri"/>
                <w:bCs/>
                <w:color w:val="000000"/>
                <w:szCs w:val="22"/>
                <w:lang w:val="es-ES_tradnl"/>
              </w:rPr>
              <w:t> </w:t>
            </w:r>
          </w:p>
        </w:tc>
        <w:tc>
          <w:tcPr>
            <w:tcW w:w="7883" w:type="dxa"/>
            <w:tcBorders>
              <w:top w:val="nil"/>
              <w:left w:val="nil"/>
              <w:bottom w:val="nil"/>
              <w:right w:val="nil"/>
            </w:tcBorders>
            <w:shd w:val="clear" w:color="000000" w:fill="BFBFBF"/>
            <w:vAlign w:val="center"/>
          </w:tcPr>
          <w:p w:rsidR="002959F0" w:rsidRDefault="00E2336B" w:rsidP="002959F0">
            <w:pPr>
              <w:ind w:firstLineChars="400" w:firstLine="880"/>
              <w:rPr>
                <w:rFonts w:ascii="MinionPro-Regular" w:hAnsi="MinionPro-Regular" w:cs="Calibri"/>
                <w:color w:val="000000"/>
                <w:szCs w:val="22"/>
                <w:lang w:val="es-ES_tradnl"/>
              </w:rPr>
            </w:pPr>
            <w:r w:rsidRPr="00224A16">
              <w:rPr>
                <w:rFonts w:ascii="MinionPro-Regular" w:hAnsi="MinionPro-Regular" w:cs="Calibri"/>
                <w:color w:val="000000"/>
                <w:szCs w:val="22"/>
                <w:lang w:val="es-ES_tradnl"/>
              </w:rPr>
              <w:t>Embalaje (embolsado, empaquetado y almacenaje)</w:t>
            </w:r>
          </w:p>
        </w:tc>
      </w:tr>
      <w:tr w:rsidR="00E2336B" w:rsidRPr="000123AA" w:rsidTr="008466BC">
        <w:trPr>
          <w:trHeight w:val="3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bCs/>
                <w:color w:val="000000"/>
                <w:szCs w:val="22"/>
                <w:lang w:val="es-ES_tradnl"/>
              </w:rPr>
            </w:pPr>
            <w:r w:rsidRPr="00224A16">
              <w:rPr>
                <w:rFonts w:ascii="MinionPro-Regular" w:hAnsi="MinionPro-Regular" w:cs="Calibri"/>
                <w:bCs/>
                <w:color w:val="000000"/>
                <w:szCs w:val="22"/>
                <w:lang w:val="es-ES_tradnl"/>
              </w:rPr>
              <w:t> </w:t>
            </w:r>
          </w:p>
        </w:tc>
        <w:tc>
          <w:tcPr>
            <w:tcW w:w="7883" w:type="dxa"/>
            <w:tcBorders>
              <w:top w:val="nil"/>
              <w:left w:val="nil"/>
              <w:bottom w:val="nil"/>
              <w:right w:val="nil"/>
            </w:tcBorders>
            <w:shd w:val="clear" w:color="000000" w:fill="BFBFBF"/>
            <w:vAlign w:val="center"/>
          </w:tcPr>
          <w:p w:rsidR="002959F0" w:rsidRDefault="00E2336B" w:rsidP="002959F0">
            <w:pPr>
              <w:ind w:firstLineChars="400" w:firstLine="880"/>
              <w:rPr>
                <w:rFonts w:ascii="MinionPro-Regular" w:hAnsi="MinionPro-Regular" w:cs="Calibri"/>
                <w:color w:val="000000"/>
                <w:szCs w:val="22"/>
                <w:lang w:val="es-ES_tradnl"/>
              </w:rPr>
            </w:pPr>
            <w:r w:rsidRPr="00224A16">
              <w:rPr>
                <w:rFonts w:ascii="MinionPro-Regular" w:hAnsi="MinionPro-Regular" w:cs="Calibri"/>
                <w:color w:val="000000"/>
                <w:szCs w:val="22"/>
                <w:lang w:val="es-ES_tradnl"/>
              </w:rPr>
              <w:t>Fabricación de productos de caucho y plásticos</w:t>
            </w:r>
          </w:p>
        </w:tc>
      </w:tr>
      <w:tr w:rsidR="00E2336B" w:rsidRPr="000123AA" w:rsidTr="008466BC">
        <w:trPr>
          <w:trHeight w:val="3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bCs/>
                <w:color w:val="000000"/>
                <w:szCs w:val="22"/>
                <w:lang w:val="es-ES_tradnl"/>
              </w:rPr>
            </w:pPr>
            <w:r w:rsidRPr="00224A16">
              <w:rPr>
                <w:rFonts w:ascii="MinionPro-Regular" w:hAnsi="MinionPro-Regular" w:cs="Calibri"/>
                <w:bCs/>
                <w:color w:val="000000"/>
                <w:szCs w:val="22"/>
                <w:lang w:val="es-ES_tradnl"/>
              </w:rPr>
              <w:t> </w:t>
            </w:r>
          </w:p>
        </w:tc>
        <w:tc>
          <w:tcPr>
            <w:tcW w:w="7883" w:type="dxa"/>
            <w:tcBorders>
              <w:top w:val="nil"/>
              <w:left w:val="nil"/>
              <w:bottom w:val="nil"/>
              <w:right w:val="nil"/>
            </w:tcBorders>
            <w:shd w:val="clear" w:color="000000" w:fill="BFBFBF"/>
            <w:vAlign w:val="center"/>
          </w:tcPr>
          <w:p w:rsidR="002959F0" w:rsidRDefault="00E2336B" w:rsidP="002959F0">
            <w:pPr>
              <w:ind w:firstLineChars="400" w:firstLine="880"/>
              <w:rPr>
                <w:rFonts w:ascii="MinionPro-Regular" w:hAnsi="MinionPro-Regular" w:cs="Calibri"/>
                <w:color w:val="000000"/>
                <w:szCs w:val="22"/>
                <w:lang w:val="es-ES_tradnl"/>
              </w:rPr>
            </w:pPr>
            <w:r w:rsidRPr="00224A16">
              <w:rPr>
                <w:rFonts w:ascii="MinionPro-Regular" w:hAnsi="MinionPro-Regular" w:cs="Calibri"/>
                <w:color w:val="000000"/>
                <w:szCs w:val="22"/>
                <w:lang w:val="es-ES_tradnl"/>
              </w:rPr>
              <w:t>Fabricación de productos de hierro, acero y ferroaleaciones</w:t>
            </w:r>
          </w:p>
        </w:tc>
      </w:tr>
      <w:tr w:rsidR="00E2336B" w:rsidRPr="000123AA" w:rsidTr="008466BC">
        <w:trPr>
          <w:trHeight w:val="3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bCs/>
                <w:color w:val="000000"/>
                <w:szCs w:val="22"/>
                <w:lang w:val="es-ES_tradnl"/>
              </w:rPr>
            </w:pPr>
            <w:r w:rsidRPr="00224A16">
              <w:rPr>
                <w:rFonts w:ascii="MinionPro-Regular" w:hAnsi="MinionPro-Regular" w:cs="Calibri"/>
                <w:bCs/>
                <w:color w:val="000000"/>
                <w:szCs w:val="22"/>
                <w:lang w:val="es-ES_tradnl"/>
              </w:rPr>
              <w:t> </w:t>
            </w:r>
          </w:p>
        </w:tc>
        <w:tc>
          <w:tcPr>
            <w:tcW w:w="7883" w:type="dxa"/>
            <w:tcBorders>
              <w:top w:val="nil"/>
              <w:left w:val="nil"/>
              <w:bottom w:val="nil"/>
              <w:right w:val="nil"/>
            </w:tcBorders>
            <w:shd w:val="clear" w:color="000000" w:fill="BFBFBF"/>
            <w:vAlign w:val="center"/>
          </w:tcPr>
          <w:p w:rsidR="002959F0" w:rsidRDefault="00E2336B" w:rsidP="002959F0">
            <w:pPr>
              <w:ind w:firstLineChars="400" w:firstLine="880"/>
              <w:rPr>
                <w:rFonts w:ascii="MinionPro-Regular" w:hAnsi="MinionPro-Regular" w:cs="Calibri"/>
                <w:color w:val="000000"/>
                <w:szCs w:val="22"/>
                <w:lang w:val="en-US"/>
              </w:rPr>
            </w:pPr>
            <w:r w:rsidRPr="00224A16">
              <w:rPr>
                <w:rFonts w:ascii="MinionPro-Regular" w:hAnsi="MinionPro-Regular" w:cs="Calibri"/>
                <w:color w:val="000000"/>
                <w:szCs w:val="22"/>
                <w:lang w:val="en-US"/>
              </w:rPr>
              <w:t>Fabricación de productos metálicos</w:t>
            </w:r>
          </w:p>
        </w:tc>
      </w:tr>
      <w:tr w:rsidR="00E2336B" w:rsidRPr="000123AA" w:rsidTr="008466BC">
        <w:trPr>
          <w:trHeight w:val="3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bCs/>
                <w:color w:val="000000"/>
                <w:szCs w:val="22"/>
                <w:lang w:val="en-US"/>
              </w:rPr>
            </w:pPr>
            <w:r w:rsidRPr="00224A16">
              <w:rPr>
                <w:rFonts w:ascii="MinionPro-Regular" w:hAnsi="MinionPro-Regular" w:cs="Calibri"/>
                <w:bCs/>
                <w:color w:val="000000"/>
                <w:szCs w:val="22"/>
                <w:lang w:val="en-US"/>
              </w:rPr>
              <w:t> </w:t>
            </w:r>
          </w:p>
        </w:tc>
        <w:tc>
          <w:tcPr>
            <w:tcW w:w="7883" w:type="dxa"/>
            <w:tcBorders>
              <w:top w:val="nil"/>
              <w:left w:val="nil"/>
              <w:bottom w:val="nil"/>
              <w:right w:val="nil"/>
            </w:tcBorders>
            <w:shd w:val="clear" w:color="000000" w:fill="BFBFBF"/>
            <w:vAlign w:val="center"/>
          </w:tcPr>
          <w:p w:rsidR="002959F0" w:rsidRDefault="00E2336B" w:rsidP="002959F0">
            <w:pPr>
              <w:ind w:firstLineChars="400" w:firstLine="880"/>
              <w:rPr>
                <w:rFonts w:ascii="MinionPro-Regular" w:hAnsi="MinionPro-Regular" w:cs="Calibri"/>
                <w:color w:val="000000"/>
                <w:szCs w:val="22"/>
                <w:lang w:val="es-ES_tradnl"/>
              </w:rPr>
            </w:pPr>
            <w:r w:rsidRPr="00224A16">
              <w:rPr>
                <w:rFonts w:ascii="MinionPro-Regular" w:hAnsi="MinionPro-Regular" w:cs="Calibri"/>
                <w:color w:val="000000"/>
                <w:szCs w:val="22"/>
                <w:lang w:val="es-ES_tradnl"/>
              </w:rPr>
              <w:t>Fabricación de productos informáticos, electrónicos y ópticos</w:t>
            </w:r>
          </w:p>
        </w:tc>
      </w:tr>
      <w:tr w:rsidR="00E2336B" w:rsidRPr="000123AA" w:rsidTr="008466BC">
        <w:trPr>
          <w:trHeight w:val="3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bCs/>
                <w:color w:val="000000"/>
                <w:szCs w:val="22"/>
                <w:lang w:val="es-ES_tradnl"/>
              </w:rPr>
            </w:pPr>
            <w:r w:rsidRPr="00224A16">
              <w:rPr>
                <w:rFonts w:ascii="MinionPro-Regular" w:hAnsi="MinionPro-Regular" w:cs="Calibri"/>
                <w:bCs/>
                <w:color w:val="000000"/>
                <w:szCs w:val="22"/>
                <w:lang w:val="es-ES_tradnl"/>
              </w:rPr>
              <w:t> </w:t>
            </w:r>
          </w:p>
        </w:tc>
        <w:tc>
          <w:tcPr>
            <w:tcW w:w="7883" w:type="dxa"/>
            <w:tcBorders>
              <w:top w:val="nil"/>
              <w:left w:val="nil"/>
              <w:bottom w:val="nil"/>
              <w:right w:val="nil"/>
            </w:tcBorders>
            <w:shd w:val="clear" w:color="000000" w:fill="BFBFBF"/>
            <w:vAlign w:val="center"/>
          </w:tcPr>
          <w:p w:rsidR="002959F0" w:rsidRDefault="00E2336B" w:rsidP="002959F0">
            <w:pPr>
              <w:ind w:firstLineChars="400" w:firstLine="880"/>
              <w:rPr>
                <w:rFonts w:ascii="MinionPro-Regular" w:hAnsi="MinionPro-Regular" w:cs="Calibri"/>
                <w:color w:val="000000"/>
                <w:szCs w:val="22"/>
                <w:lang w:val="es-ES_tradnl"/>
              </w:rPr>
            </w:pPr>
            <w:r w:rsidRPr="00224A16">
              <w:rPr>
                <w:rFonts w:ascii="MinionPro-Regular" w:hAnsi="MinionPro-Regular" w:cs="Calibri"/>
                <w:color w:val="000000"/>
                <w:szCs w:val="22"/>
                <w:lang w:val="es-ES_tradnl"/>
              </w:rPr>
              <w:t>Fabricación de material y equipo eléctrico</w:t>
            </w:r>
          </w:p>
        </w:tc>
      </w:tr>
      <w:tr w:rsidR="00E2336B" w:rsidRPr="000123AA" w:rsidTr="008466BC">
        <w:trPr>
          <w:trHeight w:val="3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bCs/>
                <w:color w:val="000000"/>
                <w:szCs w:val="22"/>
                <w:lang w:val="es-ES_tradnl"/>
              </w:rPr>
            </w:pPr>
            <w:r w:rsidRPr="00224A16">
              <w:rPr>
                <w:rFonts w:ascii="MinionPro-Regular" w:hAnsi="MinionPro-Regular" w:cs="Calibri"/>
                <w:bCs/>
                <w:color w:val="000000"/>
                <w:szCs w:val="22"/>
                <w:lang w:val="es-ES_tradnl"/>
              </w:rPr>
              <w:t> </w:t>
            </w:r>
          </w:p>
        </w:tc>
        <w:tc>
          <w:tcPr>
            <w:tcW w:w="7883" w:type="dxa"/>
            <w:tcBorders>
              <w:top w:val="nil"/>
              <w:left w:val="nil"/>
              <w:bottom w:val="nil"/>
              <w:right w:val="nil"/>
            </w:tcBorders>
            <w:shd w:val="clear" w:color="000000" w:fill="BFBFBF"/>
            <w:vAlign w:val="center"/>
          </w:tcPr>
          <w:p w:rsidR="002959F0" w:rsidRDefault="00E2336B" w:rsidP="002959F0">
            <w:pPr>
              <w:ind w:firstLineChars="400" w:firstLine="880"/>
              <w:rPr>
                <w:rFonts w:ascii="MinionPro-Regular" w:hAnsi="MinionPro-Regular" w:cs="Calibri"/>
                <w:color w:val="000000"/>
                <w:szCs w:val="22"/>
                <w:lang w:val="en-US"/>
              </w:rPr>
            </w:pPr>
            <w:r w:rsidRPr="00224A16">
              <w:rPr>
                <w:rFonts w:ascii="MinionPro-Regular" w:hAnsi="MinionPro-Regular" w:cs="Calibri"/>
                <w:color w:val="000000"/>
                <w:szCs w:val="22"/>
                <w:lang w:val="en-US"/>
              </w:rPr>
              <w:t>Fabricación de muebles</w:t>
            </w:r>
          </w:p>
        </w:tc>
      </w:tr>
      <w:tr w:rsidR="00E2336B" w:rsidRPr="000123AA" w:rsidTr="008466BC">
        <w:trPr>
          <w:trHeight w:val="3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bCs/>
                <w:color w:val="000000"/>
                <w:szCs w:val="22"/>
                <w:lang w:val="en-US"/>
              </w:rPr>
            </w:pPr>
            <w:r w:rsidRPr="00224A16">
              <w:rPr>
                <w:rFonts w:ascii="MinionPro-Regular" w:hAnsi="MinionPro-Regular" w:cs="Calibri"/>
                <w:bCs/>
                <w:color w:val="000000"/>
                <w:szCs w:val="22"/>
                <w:lang w:val="en-US"/>
              </w:rPr>
              <w:t> </w:t>
            </w:r>
          </w:p>
        </w:tc>
        <w:tc>
          <w:tcPr>
            <w:tcW w:w="7883" w:type="dxa"/>
            <w:tcBorders>
              <w:top w:val="nil"/>
              <w:left w:val="nil"/>
              <w:bottom w:val="nil"/>
              <w:right w:val="nil"/>
            </w:tcBorders>
            <w:shd w:val="clear" w:color="000000" w:fill="BFBFBF"/>
            <w:vAlign w:val="center"/>
          </w:tcPr>
          <w:p w:rsidR="002959F0" w:rsidRDefault="00E2336B" w:rsidP="002959F0">
            <w:pPr>
              <w:ind w:firstLineChars="400" w:firstLine="880"/>
              <w:rPr>
                <w:rFonts w:ascii="MinionPro-Regular" w:hAnsi="MinionPro-Regular" w:cs="Calibri"/>
                <w:color w:val="000000"/>
                <w:szCs w:val="22"/>
                <w:lang w:val="en-US"/>
              </w:rPr>
            </w:pPr>
            <w:r w:rsidRPr="00224A16">
              <w:rPr>
                <w:rFonts w:ascii="MinionPro-Regular" w:hAnsi="MinionPro-Regular" w:cs="Calibri"/>
                <w:color w:val="000000"/>
                <w:szCs w:val="22"/>
                <w:lang w:val="en-US"/>
              </w:rPr>
              <w:t>Hostelería y Catering</w:t>
            </w:r>
          </w:p>
        </w:tc>
      </w:tr>
      <w:tr w:rsidR="00E2336B" w:rsidRPr="000123AA" w:rsidTr="008466BC">
        <w:trPr>
          <w:trHeight w:val="3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bCs/>
                <w:color w:val="000000"/>
                <w:szCs w:val="22"/>
                <w:lang w:val="en-US"/>
              </w:rPr>
            </w:pPr>
            <w:r w:rsidRPr="00224A16">
              <w:rPr>
                <w:rFonts w:ascii="MinionPro-Regular" w:hAnsi="MinionPro-Regular" w:cs="Calibri"/>
                <w:bCs/>
                <w:color w:val="000000"/>
                <w:szCs w:val="22"/>
                <w:lang w:val="en-US"/>
              </w:rPr>
              <w:t> </w:t>
            </w:r>
          </w:p>
        </w:tc>
        <w:tc>
          <w:tcPr>
            <w:tcW w:w="7883" w:type="dxa"/>
            <w:tcBorders>
              <w:top w:val="nil"/>
              <w:left w:val="nil"/>
              <w:bottom w:val="nil"/>
              <w:right w:val="nil"/>
            </w:tcBorders>
            <w:shd w:val="clear" w:color="000000" w:fill="BFBFBF"/>
            <w:vAlign w:val="center"/>
          </w:tcPr>
          <w:p w:rsidR="002959F0" w:rsidRDefault="00E2336B" w:rsidP="002959F0">
            <w:pPr>
              <w:ind w:firstLineChars="400" w:firstLine="880"/>
              <w:rPr>
                <w:rFonts w:ascii="MinionPro-Regular" w:hAnsi="MinionPro-Regular" w:cs="Calibri"/>
                <w:color w:val="000000"/>
                <w:szCs w:val="22"/>
                <w:lang w:val="en-US"/>
              </w:rPr>
            </w:pPr>
            <w:r w:rsidRPr="00224A16">
              <w:rPr>
                <w:rFonts w:ascii="MinionPro-Regular" w:hAnsi="MinionPro-Regular" w:cs="Calibri"/>
                <w:color w:val="000000"/>
                <w:szCs w:val="22"/>
                <w:lang w:val="en-US"/>
              </w:rPr>
              <w:t>Jardinería</w:t>
            </w:r>
          </w:p>
        </w:tc>
      </w:tr>
      <w:tr w:rsidR="00E2336B" w:rsidRPr="000123AA" w:rsidTr="008466BC">
        <w:trPr>
          <w:trHeight w:val="3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bCs/>
                <w:color w:val="000000"/>
                <w:szCs w:val="22"/>
                <w:lang w:val="en-US"/>
              </w:rPr>
            </w:pPr>
            <w:r w:rsidRPr="00224A16">
              <w:rPr>
                <w:rFonts w:ascii="MinionPro-Regular" w:hAnsi="MinionPro-Regular" w:cs="Calibri"/>
                <w:bCs/>
                <w:color w:val="000000"/>
                <w:szCs w:val="22"/>
                <w:lang w:val="en-US"/>
              </w:rPr>
              <w:t> </w:t>
            </w:r>
          </w:p>
        </w:tc>
        <w:tc>
          <w:tcPr>
            <w:tcW w:w="7883" w:type="dxa"/>
            <w:tcBorders>
              <w:top w:val="nil"/>
              <w:left w:val="nil"/>
              <w:bottom w:val="nil"/>
              <w:right w:val="nil"/>
            </w:tcBorders>
            <w:shd w:val="clear" w:color="000000" w:fill="BFBFBF"/>
            <w:vAlign w:val="center"/>
          </w:tcPr>
          <w:p w:rsidR="002959F0" w:rsidRDefault="00E2336B" w:rsidP="002959F0">
            <w:pPr>
              <w:ind w:firstLineChars="400" w:firstLine="880"/>
              <w:rPr>
                <w:rFonts w:ascii="MinionPro-Regular" w:hAnsi="MinionPro-Regular" w:cs="Calibri"/>
                <w:color w:val="000000"/>
                <w:szCs w:val="22"/>
                <w:lang w:val="en-US"/>
              </w:rPr>
            </w:pPr>
            <w:r w:rsidRPr="00224A16">
              <w:rPr>
                <w:rFonts w:ascii="MinionPro-Regular" w:hAnsi="MinionPro-Regular" w:cs="Calibri"/>
                <w:color w:val="000000"/>
                <w:szCs w:val="22"/>
                <w:lang w:val="en-US"/>
              </w:rPr>
              <w:t>Lavandería</w:t>
            </w:r>
          </w:p>
        </w:tc>
      </w:tr>
      <w:tr w:rsidR="00E2336B" w:rsidRPr="000123AA" w:rsidTr="008466BC">
        <w:trPr>
          <w:trHeight w:val="3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bCs/>
                <w:color w:val="000000"/>
                <w:szCs w:val="22"/>
                <w:lang w:val="en-US"/>
              </w:rPr>
            </w:pPr>
            <w:r w:rsidRPr="00224A16">
              <w:rPr>
                <w:rFonts w:ascii="MinionPro-Regular" w:hAnsi="MinionPro-Regular" w:cs="Calibri"/>
                <w:bCs/>
                <w:color w:val="000000"/>
                <w:szCs w:val="22"/>
                <w:lang w:val="en-US"/>
              </w:rPr>
              <w:t> </w:t>
            </w:r>
          </w:p>
        </w:tc>
        <w:tc>
          <w:tcPr>
            <w:tcW w:w="7883" w:type="dxa"/>
            <w:tcBorders>
              <w:top w:val="nil"/>
              <w:left w:val="nil"/>
              <w:bottom w:val="nil"/>
              <w:right w:val="nil"/>
            </w:tcBorders>
            <w:shd w:val="clear" w:color="000000" w:fill="BFBFBF"/>
            <w:vAlign w:val="center"/>
          </w:tcPr>
          <w:p w:rsidR="002959F0" w:rsidRDefault="00E2336B" w:rsidP="002959F0">
            <w:pPr>
              <w:ind w:firstLineChars="400" w:firstLine="880"/>
              <w:rPr>
                <w:rFonts w:ascii="MinionPro-Regular" w:hAnsi="MinionPro-Regular" w:cs="Calibri"/>
                <w:color w:val="000000"/>
                <w:szCs w:val="22"/>
                <w:lang w:val="en-US"/>
              </w:rPr>
            </w:pPr>
            <w:r w:rsidRPr="00224A16">
              <w:rPr>
                <w:rFonts w:ascii="MinionPro-Regular" w:hAnsi="MinionPro-Regular" w:cs="Calibri"/>
                <w:color w:val="000000"/>
                <w:szCs w:val="22"/>
                <w:lang w:val="en-US"/>
              </w:rPr>
              <w:t>Limpieza</w:t>
            </w:r>
          </w:p>
        </w:tc>
      </w:tr>
      <w:tr w:rsidR="00E2336B" w:rsidRPr="000123AA" w:rsidTr="008466BC">
        <w:trPr>
          <w:trHeight w:val="3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bCs/>
                <w:color w:val="000000"/>
                <w:szCs w:val="22"/>
                <w:lang w:val="en-US"/>
              </w:rPr>
            </w:pPr>
            <w:r w:rsidRPr="00224A16">
              <w:rPr>
                <w:rFonts w:ascii="MinionPro-Regular" w:hAnsi="MinionPro-Regular" w:cs="Calibri"/>
                <w:bCs/>
                <w:color w:val="000000"/>
                <w:szCs w:val="22"/>
                <w:lang w:val="en-US"/>
              </w:rPr>
              <w:t> </w:t>
            </w:r>
          </w:p>
        </w:tc>
        <w:tc>
          <w:tcPr>
            <w:tcW w:w="7883" w:type="dxa"/>
            <w:tcBorders>
              <w:top w:val="nil"/>
              <w:left w:val="nil"/>
              <w:bottom w:val="nil"/>
              <w:right w:val="nil"/>
            </w:tcBorders>
            <w:shd w:val="clear" w:color="000000" w:fill="BFBFBF"/>
            <w:vAlign w:val="center"/>
          </w:tcPr>
          <w:p w:rsidR="002959F0" w:rsidRDefault="00E2336B" w:rsidP="002959F0">
            <w:pPr>
              <w:ind w:firstLineChars="400" w:firstLine="880"/>
              <w:rPr>
                <w:rFonts w:ascii="MinionPro-Regular" w:hAnsi="MinionPro-Regular" w:cs="Calibri"/>
                <w:color w:val="000000"/>
                <w:szCs w:val="22"/>
                <w:lang w:val="en-US"/>
              </w:rPr>
            </w:pPr>
            <w:r w:rsidRPr="00224A16">
              <w:rPr>
                <w:rFonts w:ascii="MinionPro-Regular" w:hAnsi="MinionPro-Regular" w:cs="Calibri"/>
                <w:color w:val="000000"/>
                <w:szCs w:val="22"/>
                <w:lang w:val="en-US"/>
              </w:rPr>
              <w:t>Limpieza pública</w:t>
            </w:r>
          </w:p>
        </w:tc>
      </w:tr>
      <w:tr w:rsidR="00E2336B" w:rsidRPr="000123AA" w:rsidTr="008466BC">
        <w:trPr>
          <w:trHeight w:val="3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bCs/>
                <w:color w:val="000000"/>
                <w:szCs w:val="22"/>
                <w:lang w:val="en-US"/>
              </w:rPr>
            </w:pPr>
            <w:r w:rsidRPr="00224A16">
              <w:rPr>
                <w:rFonts w:ascii="MinionPro-Regular" w:hAnsi="MinionPro-Regular" w:cs="Calibri"/>
                <w:bCs/>
                <w:color w:val="000000"/>
                <w:szCs w:val="22"/>
                <w:lang w:val="en-US"/>
              </w:rPr>
              <w:t> </w:t>
            </w:r>
          </w:p>
        </w:tc>
        <w:tc>
          <w:tcPr>
            <w:tcW w:w="7883" w:type="dxa"/>
            <w:tcBorders>
              <w:top w:val="nil"/>
              <w:left w:val="nil"/>
              <w:bottom w:val="nil"/>
              <w:right w:val="nil"/>
            </w:tcBorders>
            <w:shd w:val="clear" w:color="000000" w:fill="BFBFBF"/>
            <w:vAlign w:val="center"/>
          </w:tcPr>
          <w:p w:rsidR="002959F0" w:rsidRDefault="00E2336B" w:rsidP="002959F0">
            <w:pPr>
              <w:ind w:firstLineChars="400" w:firstLine="880"/>
              <w:rPr>
                <w:rFonts w:ascii="MinionPro-Regular" w:hAnsi="MinionPro-Regular" w:cs="Calibri"/>
                <w:color w:val="000000"/>
                <w:szCs w:val="22"/>
                <w:lang w:val="en-US"/>
              </w:rPr>
            </w:pPr>
            <w:r w:rsidRPr="00224A16">
              <w:rPr>
                <w:rFonts w:ascii="MinionPro-Regular" w:hAnsi="MinionPro-Regular" w:cs="Calibri"/>
                <w:color w:val="000000"/>
                <w:szCs w:val="22"/>
                <w:lang w:val="en-US"/>
              </w:rPr>
              <w:t>Manufactura (otras industrias)</w:t>
            </w:r>
          </w:p>
        </w:tc>
      </w:tr>
      <w:tr w:rsidR="00E2336B" w:rsidRPr="000123AA" w:rsidTr="008466BC">
        <w:trPr>
          <w:trHeight w:val="3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bCs/>
                <w:color w:val="000000"/>
                <w:szCs w:val="22"/>
                <w:lang w:val="en-US"/>
              </w:rPr>
            </w:pPr>
            <w:r w:rsidRPr="00224A16">
              <w:rPr>
                <w:rFonts w:ascii="MinionPro-Regular" w:hAnsi="MinionPro-Regular" w:cs="Calibri"/>
                <w:bCs/>
                <w:color w:val="000000"/>
                <w:szCs w:val="22"/>
                <w:lang w:val="en-US"/>
              </w:rPr>
              <w:t> </w:t>
            </w:r>
          </w:p>
        </w:tc>
        <w:tc>
          <w:tcPr>
            <w:tcW w:w="7883" w:type="dxa"/>
            <w:tcBorders>
              <w:top w:val="nil"/>
              <w:left w:val="nil"/>
              <w:bottom w:val="nil"/>
              <w:right w:val="nil"/>
            </w:tcBorders>
            <w:shd w:val="clear" w:color="000000" w:fill="BFBFBF"/>
            <w:vAlign w:val="center"/>
          </w:tcPr>
          <w:p w:rsidR="002959F0" w:rsidRDefault="00E2336B" w:rsidP="002959F0">
            <w:pPr>
              <w:ind w:firstLineChars="400" w:firstLine="880"/>
              <w:rPr>
                <w:rFonts w:ascii="MinionPro-Regular" w:hAnsi="MinionPro-Regular" w:cs="Calibri"/>
                <w:color w:val="000000"/>
                <w:szCs w:val="22"/>
                <w:lang w:val="en-US"/>
              </w:rPr>
            </w:pPr>
            <w:r w:rsidRPr="00224A16">
              <w:rPr>
                <w:rFonts w:ascii="MinionPro-Regular" w:hAnsi="MinionPro-Regular" w:cs="Calibri"/>
                <w:color w:val="000000"/>
                <w:szCs w:val="22"/>
                <w:lang w:val="en-US"/>
              </w:rPr>
              <w:t>Mensajería</w:t>
            </w:r>
          </w:p>
        </w:tc>
      </w:tr>
      <w:tr w:rsidR="00E2336B" w:rsidRPr="000123AA" w:rsidTr="008466BC">
        <w:trPr>
          <w:trHeight w:val="3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bCs/>
                <w:color w:val="000000"/>
                <w:szCs w:val="22"/>
                <w:lang w:val="en-US"/>
              </w:rPr>
            </w:pPr>
            <w:r w:rsidRPr="00224A16">
              <w:rPr>
                <w:rFonts w:ascii="MinionPro-Regular" w:hAnsi="MinionPro-Regular" w:cs="Calibri"/>
                <w:bCs/>
                <w:color w:val="000000"/>
                <w:szCs w:val="22"/>
                <w:lang w:val="en-US"/>
              </w:rPr>
              <w:t> </w:t>
            </w:r>
          </w:p>
        </w:tc>
        <w:tc>
          <w:tcPr>
            <w:tcW w:w="7883" w:type="dxa"/>
            <w:tcBorders>
              <w:top w:val="nil"/>
              <w:left w:val="nil"/>
              <w:bottom w:val="nil"/>
              <w:right w:val="nil"/>
            </w:tcBorders>
            <w:shd w:val="clear" w:color="000000" w:fill="BFBFBF"/>
            <w:vAlign w:val="center"/>
          </w:tcPr>
          <w:p w:rsidR="002959F0" w:rsidRDefault="00E2336B" w:rsidP="002959F0">
            <w:pPr>
              <w:ind w:firstLineChars="400" w:firstLine="880"/>
              <w:rPr>
                <w:rFonts w:ascii="MinionPro-Regular" w:hAnsi="MinionPro-Regular" w:cs="Calibri"/>
                <w:color w:val="000000"/>
                <w:szCs w:val="22"/>
                <w:lang w:val="en-US"/>
              </w:rPr>
            </w:pPr>
            <w:r w:rsidRPr="00224A16">
              <w:rPr>
                <w:rFonts w:ascii="MinionPro-Regular" w:hAnsi="MinionPro-Regular" w:cs="Calibri"/>
                <w:color w:val="000000"/>
                <w:szCs w:val="22"/>
                <w:lang w:val="en-US"/>
              </w:rPr>
              <w:t>Montaje en cadena</w:t>
            </w:r>
          </w:p>
        </w:tc>
      </w:tr>
      <w:tr w:rsidR="00E2336B" w:rsidRPr="000123AA" w:rsidTr="008466BC">
        <w:trPr>
          <w:trHeight w:val="3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bCs/>
                <w:color w:val="000000"/>
                <w:szCs w:val="22"/>
                <w:lang w:val="en-US"/>
              </w:rPr>
            </w:pPr>
            <w:r w:rsidRPr="00224A16">
              <w:rPr>
                <w:rFonts w:ascii="MinionPro-Regular" w:hAnsi="MinionPro-Regular" w:cs="Calibri"/>
                <w:bCs/>
                <w:color w:val="000000"/>
                <w:szCs w:val="22"/>
                <w:lang w:val="en-US"/>
              </w:rPr>
              <w:t> </w:t>
            </w:r>
          </w:p>
        </w:tc>
        <w:tc>
          <w:tcPr>
            <w:tcW w:w="7883" w:type="dxa"/>
            <w:tcBorders>
              <w:top w:val="nil"/>
              <w:left w:val="nil"/>
              <w:bottom w:val="nil"/>
              <w:right w:val="nil"/>
            </w:tcBorders>
            <w:shd w:val="clear" w:color="000000" w:fill="BFBFBF"/>
            <w:vAlign w:val="center"/>
          </w:tcPr>
          <w:p w:rsidR="002959F0" w:rsidRDefault="00E2336B" w:rsidP="002959F0">
            <w:pPr>
              <w:ind w:firstLineChars="400" w:firstLine="880"/>
              <w:rPr>
                <w:rFonts w:ascii="MinionPro-Regular" w:hAnsi="MinionPro-Regular" w:cs="Calibri"/>
                <w:color w:val="000000"/>
                <w:szCs w:val="22"/>
                <w:lang w:val="en-US"/>
              </w:rPr>
            </w:pPr>
            <w:r w:rsidRPr="00224A16">
              <w:rPr>
                <w:rFonts w:ascii="MinionPro-Regular" w:hAnsi="MinionPro-Regular" w:cs="Calibri"/>
                <w:color w:val="000000"/>
                <w:szCs w:val="22"/>
                <w:lang w:val="en-US"/>
              </w:rPr>
              <w:t>Personal de servicio domestico</w:t>
            </w:r>
          </w:p>
        </w:tc>
      </w:tr>
      <w:tr w:rsidR="00E2336B" w:rsidRPr="000123AA" w:rsidTr="008466BC">
        <w:trPr>
          <w:trHeight w:val="3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bCs/>
                <w:color w:val="000000"/>
                <w:szCs w:val="22"/>
                <w:lang w:val="en-US"/>
              </w:rPr>
            </w:pPr>
            <w:r w:rsidRPr="00224A16">
              <w:rPr>
                <w:rFonts w:ascii="MinionPro-Regular" w:hAnsi="MinionPro-Regular" w:cs="Calibri"/>
                <w:bCs/>
                <w:color w:val="000000"/>
                <w:szCs w:val="22"/>
                <w:lang w:val="en-US"/>
              </w:rPr>
              <w:t> </w:t>
            </w:r>
          </w:p>
        </w:tc>
        <w:tc>
          <w:tcPr>
            <w:tcW w:w="7883" w:type="dxa"/>
            <w:tcBorders>
              <w:top w:val="nil"/>
              <w:left w:val="nil"/>
              <w:bottom w:val="nil"/>
              <w:right w:val="nil"/>
            </w:tcBorders>
            <w:shd w:val="clear" w:color="000000" w:fill="BFBFBF"/>
            <w:vAlign w:val="center"/>
          </w:tcPr>
          <w:p w:rsidR="002959F0" w:rsidRDefault="00E2336B" w:rsidP="002959F0">
            <w:pPr>
              <w:ind w:firstLineChars="400" w:firstLine="880"/>
              <w:rPr>
                <w:rFonts w:ascii="MinionPro-Regular" w:hAnsi="MinionPro-Regular" w:cs="Calibri"/>
                <w:color w:val="000000"/>
                <w:szCs w:val="22"/>
                <w:lang w:val="en-US"/>
              </w:rPr>
            </w:pPr>
            <w:r w:rsidRPr="00224A16">
              <w:rPr>
                <w:rFonts w:ascii="MinionPro-Regular" w:hAnsi="MinionPro-Regular" w:cs="Calibri"/>
                <w:color w:val="000000"/>
                <w:szCs w:val="22"/>
                <w:lang w:val="en-US"/>
              </w:rPr>
              <w:t>Recepcionista</w:t>
            </w:r>
          </w:p>
        </w:tc>
      </w:tr>
      <w:tr w:rsidR="00E2336B" w:rsidRPr="000123AA" w:rsidTr="008466BC">
        <w:trPr>
          <w:trHeight w:val="3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bCs/>
                <w:color w:val="000000"/>
                <w:szCs w:val="22"/>
                <w:lang w:val="en-US"/>
              </w:rPr>
            </w:pPr>
            <w:r w:rsidRPr="00224A16">
              <w:rPr>
                <w:rFonts w:ascii="MinionPro-Regular" w:hAnsi="MinionPro-Regular" w:cs="Calibri"/>
                <w:bCs/>
                <w:color w:val="000000"/>
                <w:szCs w:val="22"/>
                <w:lang w:val="en-US"/>
              </w:rPr>
              <w:t> </w:t>
            </w:r>
          </w:p>
        </w:tc>
        <w:tc>
          <w:tcPr>
            <w:tcW w:w="7883" w:type="dxa"/>
            <w:tcBorders>
              <w:top w:val="nil"/>
              <w:left w:val="nil"/>
              <w:bottom w:val="nil"/>
              <w:right w:val="nil"/>
            </w:tcBorders>
            <w:shd w:val="clear" w:color="000000" w:fill="BFBFBF"/>
            <w:vAlign w:val="center"/>
          </w:tcPr>
          <w:p w:rsidR="002959F0" w:rsidRDefault="00E2336B" w:rsidP="002959F0">
            <w:pPr>
              <w:ind w:firstLineChars="400" w:firstLine="880"/>
              <w:rPr>
                <w:rFonts w:ascii="MinionPro-Regular" w:hAnsi="MinionPro-Regular" w:cs="Calibri"/>
                <w:color w:val="000000"/>
                <w:szCs w:val="22"/>
                <w:lang w:val="es-ES_tradnl"/>
              </w:rPr>
            </w:pPr>
            <w:r w:rsidRPr="00224A16">
              <w:rPr>
                <w:rFonts w:ascii="MinionPro-Regular" w:hAnsi="MinionPro-Regular" w:cs="Calibri"/>
                <w:color w:val="000000"/>
                <w:szCs w:val="22"/>
                <w:lang w:val="es-ES_tradnl"/>
              </w:rPr>
              <w:t>Reciclado (papel cartón, punto limpio, RAEEs, residuos sanitarios...)</w:t>
            </w:r>
          </w:p>
        </w:tc>
      </w:tr>
      <w:tr w:rsidR="00E2336B" w:rsidRPr="000123AA" w:rsidTr="008466BC">
        <w:trPr>
          <w:trHeight w:val="3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bCs/>
                <w:color w:val="000000"/>
                <w:szCs w:val="22"/>
                <w:lang w:val="es-ES_tradnl"/>
              </w:rPr>
            </w:pPr>
            <w:r w:rsidRPr="00224A16">
              <w:rPr>
                <w:rFonts w:ascii="MinionPro-Regular" w:hAnsi="MinionPro-Regular" w:cs="Calibri"/>
                <w:bCs/>
                <w:color w:val="000000"/>
                <w:szCs w:val="22"/>
                <w:lang w:val="es-ES_tradnl"/>
              </w:rPr>
              <w:t> </w:t>
            </w:r>
          </w:p>
        </w:tc>
        <w:tc>
          <w:tcPr>
            <w:tcW w:w="7883" w:type="dxa"/>
            <w:tcBorders>
              <w:top w:val="nil"/>
              <w:left w:val="nil"/>
              <w:bottom w:val="nil"/>
              <w:right w:val="nil"/>
            </w:tcBorders>
            <w:shd w:val="clear" w:color="000000" w:fill="BFBFBF"/>
            <w:vAlign w:val="center"/>
          </w:tcPr>
          <w:p w:rsidR="002959F0" w:rsidRDefault="00E2336B" w:rsidP="002959F0">
            <w:pPr>
              <w:ind w:firstLineChars="400" w:firstLine="880"/>
              <w:rPr>
                <w:rFonts w:ascii="MinionPro-Regular" w:hAnsi="MinionPro-Regular" w:cs="Calibri"/>
                <w:color w:val="000000"/>
                <w:szCs w:val="22"/>
                <w:lang w:val="es-ES_tradnl"/>
              </w:rPr>
            </w:pPr>
            <w:r w:rsidRPr="00224A16">
              <w:rPr>
                <w:rFonts w:ascii="MinionPro-Regular" w:hAnsi="MinionPro-Regular" w:cs="Calibri"/>
                <w:color w:val="000000"/>
                <w:szCs w:val="22"/>
                <w:lang w:val="es-ES_tradnl"/>
              </w:rPr>
              <w:t>Regalos (promocional, cestas de navidad,)</w:t>
            </w:r>
          </w:p>
        </w:tc>
      </w:tr>
      <w:tr w:rsidR="00E2336B" w:rsidRPr="000123AA" w:rsidTr="008466BC">
        <w:trPr>
          <w:trHeight w:val="3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bCs/>
                <w:color w:val="000000"/>
                <w:szCs w:val="22"/>
                <w:lang w:val="es-ES_tradnl"/>
              </w:rPr>
            </w:pPr>
            <w:r w:rsidRPr="00224A16">
              <w:rPr>
                <w:rFonts w:ascii="MinionPro-Regular" w:hAnsi="MinionPro-Regular" w:cs="Calibri"/>
                <w:bCs/>
                <w:color w:val="000000"/>
                <w:szCs w:val="22"/>
                <w:lang w:val="es-ES_tradnl"/>
              </w:rPr>
              <w:t> </w:t>
            </w:r>
          </w:p>
        </w:tc>
        <w:tc>
          <w:tcPr>
            <w:tcW w:w="7883" w:type="dxa"/>
            <w:tcBorders>
              <w:top w:val="nil"/>
              <w:left w:val="nil"/>
              <w:bottom w:val="nil"/>
              <w:right w:val="nil"/>
            </w:tcBorders>
            <w:shd w:val="clear" w:color="000000" w:fill="BFBFBF"/>
            <w:vAlign w:val="center"/>
          </w:tcPr>
          <w:p w:rsidR="002959F0" w:rsidRDefault="00E2336B" w:rsidP="002959F0">
            <w:pPr>
              <w:ind w:firstLineChars="400" w:firstLine="880"/>
              <w:rPr>
                <w:rFonts w:ascii="MinionPro-Regular" w:hAnsi="MinionPro-Regular" w:cs="Calibri"/>
                <w:color w:val="000000"/>
                <w:szCs w:val="22"/>
                <w:lang w:val="en-US"/>
              </w:rPr>
            </w:pPr>
            <w:r w:rsidRPr="00224A16">
              <w:rPr>
                <w:rFonts w:ascii="MinionPro-Regular" w:hAnsi="MinionPro-Regular" w:cs="Calibri"/>
                <w:color w:val="000000"/>
                <w:szCs w:val="22"/>
                <w:lang w:val="en-US"/>
              </w:rPr>
              <w:t>Servicios administrativos</w:t>
            </w:r>
          </w:p>
        </w:tc>
      </w:tr>
      <w:tr w:rsidR="00E2336B" w:rsidRPr="000123AA" w:rsidTr="008466BC">
        <w:trPr>
          <w:trHeight w:val="3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bCs/>
                <w:color w:val="000000"/>
                <w:szCs w:val="22"/>
                <w:lang w:val="en-US"/>
              </w:rPr>
            </w:pPr>
            <w:r w:rsidRPr="00224A16">
              <w:rPr>
                <w:rFonts w:ascii="MinionPro-Regular" w:hAnsi="MinionPro-Regular" w:cs="Calibri"/>
                <w:bCs/>
                <w:color w:val="000000"/>
                <w:szCs w:val="22"/>
                <w:lang w:val="en-US"/>
              </w:rPr>
              <w:t> </w:t>
            </w:r>
          </w:p>
        </w:tc>
        <w:tc>
          <w:tcPr>
            <w:tcW w:w="7883" w:type="dxa"/>
            <w:tcBorders>
              <w:top w:val="nil"/>
              <w:left w:val="nil"/>
              <w:bottom w:val="nil"/>
              <w:right w:val="nil"/>
            </w:tcBorders>
            <w:shd w:val="clear" w:color="000000" w:fill="BFBFBF"/>
            <w:vAlign w:val="center"/>
          </w:tcPr>
          <w:p w:rsidR="002959F0" w:rsidRDefault="00E2336B" w:rsidP="002959F0">
            <w:pPr>
              <w:ind w:firstLineChars="400" w:firstLine="880"/>
              <w:rPr>
                <w:rFonts w:ascii="MinionPro-Regular" w:hAnsi="MinionPro-Regular" w:cs="Calibri"/>
                <w:color w:val="000000"/>
                <w:szCs w:val="22"/>
                <w:lang w:val="en-US"/>
              </w:rPr>
            </w:pPr>
            <w:r w:rsidRPr="00224A16">
              <w:rPr>
                <w:rFonts w:ascii="MinionPro-Regular" w:hAnsi="MinionPro-Regular" w:cs="Calibri"/>
                <w:color w:val="000000"/>
                <w:szCs w:val="22"/>
                <w:lang w:val="en-US"/>
              </w:rPr>
              <w:t xml:space="preserve">Telecomunicaciones </w:t>
            </w:r>
          </w:p>
        </w:tc>
      </w:tr>
      <w:tr w:rsidR="00E2336B" w:rsidRPr="000123AA" w:rsidTr="008466BC">
        <w:trPr>
          <w:trHeight w:val="3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bCs/>
                <w:color w:val="000000"/>
                <w:szCs w:val="22"/>
                <w:lang w:val="en-US"/>
              </w:rPr>
            </w:pPr>
            <w:r w:rsidRPr="00224A16">
              <w:rPr>
                <w:rFonts w:ascii="MinionPro-Regular" w:hAnsi="MinionPro-Regular" w:cs="Calibri"/>
                <w:bCs/>
                <w:color w:val="000000"/>
                <w:szCs w:val="22"/>
                <w:lang w:val="en-US"/>
              </w:rPr>
              <w:t> </w:t>
            </w:r>
          </w:p>
        </w:tc>
        <w:tc>
          <w:tcPr>
            <w:tcW w:w="7883" w:type="dxa"/>
            <w:tcBorders>
              <w:top w:val="nil"/>
              <w:left w:val="nil"/>
              <w:bottom w:val="nil"/>
              <w:right w:val="nil"/>
            </w:tcBorders>
            <w:shd w:val="clear" w:color="000000" w:fill="BFBFBF"/>
            <w:vAlign w:val="center"/>
          </w:tcPr>
          <w:p w:rsidR="002959F0" w:rsidRDefault="00E2336B" w:rsidP="002959F0">
            <w:pPr>
              <w:ind w:firstLineChars="400" w:firstLine="880"/>
              <w:rPr>
                <w:rFonts w:ascii="MinionPro-Regular" w:hAnsi="MinionPro-Regular" w:cs="Calibri"/>
                <w:color w:val="000000"/>
                <w:szCs w:val="22"/>
                <w:lang w:val="en-US"/>
              </w:rPr>
            </w:pPr>
            <w:r w:rsidRPr="00224A16">
              <w:rPr>
                <w:rFonts w:ascii="MinionPro-Regular" w:hAnsi="MinionPro-Regular" w:cs="Calibri"/>
                <w:color w:val="000000"/>
                <w:szCs w:val="22"/>
                <w:lang w:val="en-US"/>
              </w:rPr>
              <w:t>Telefonía</w:t>
            </w:r>
          </w:p>
        </w:tc>
      </w:tr>
      <w:tr w:rsidR="00E2336B" w:rsidRPr="000123AA" w:rsidTr="008466BC">
        <w:trPr>
          <w:trHeight w:val="3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bCs/>
                <w:color w:val="000000"/>
                <w:szCs w:val="22"/>
                <w:lang w:val="en-US"/>
              </w:rPr>
            </w:pPr>
            <w:r w:rsidRPr="00224A16">
              <w:rPr>
                <w:rFonts w:ascii="MinionPro-Regular" w:hAnsi="MinionPro-Regular" w:cs="Calibri"/>
                <w:bCs/>
                <w:color w:val="000000"/>
                <w:szCs w:val="22"/>
                <w:lang w:val="en-US"/>
              </w:rPr>
              <w:t> </w:t>
            </w:r>
          </w:p>
        </w:tc>
        <w:tc>
          <w:tcPr>
            <w:tcW w:w="7883" w:type="dxa"/>
            <w:tcBorders>
              <w:top w:val="nil"/>
              <w:left w:val="nil"/>
              <w:bottom w:val="nil"/>
              <w:right w:val="nil"/>
            </w:tcBorders>
            <w:shd w:val="clear" w:color="000000" w:fill="BFBFBF"/>
            <w:vAlign w:val="center"/>
          </w:tcPr>
          <w:p w:rsidR="002959F0" w:rsidRDefault="00E2336B" w:rsidP="002959F0">
            <w:pPr>
              <w:ind w:firstLineChars="400" w:firstLine="880"/>
              <w:rPr>
                <w:rFonts w:ascii="MinionPro-Regular" w:hAnsi="MinionPro-Regular" w:cs="Calibri"/>
                <w:color w:val="000000"/>
                <w:szCs w:val="22"/>
                <w:lang w:val="en-US"/>
              </w:rPr>
            </w:pPr>
            <w:r w:rsidRPr="00224A16">
              <w:rPr>
                <w:rFonts w:ascii="MinionPro-Regular" w:hAnsi="MinionPro-Regular" w:cs="Calibri"/>
                <w:color w:val="000000"/>
                <w:szCs w:val="22"/>
                <w:lang w:val="en-US"/>
              </w:rPr>
              <w:t>Telemarketing</w:t>
            </w:r>
          </w:p>
        </w:tc>
      </w:tr>
      <w:tr w:rsidR="00E2336B" w:rsidRPr="000123AA" w:rsidTr="008466BC">
        <w:trPr>
          <w:trHeight w:val="3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color w:val="000000"/>
                <w:szCs w:val="22"/>
                <w:lang w:val="en-US"/>
              </w:rPr>
            </w:pPr>
            <w:r w:rsidRPr="00224A16">
              <w:rPr>
                <w:rFonts w:ascii="MinionPro-Regular" w:hAnsi="MinionPro-Regular" w:cs="Calibri"/>
                <w:color w:val="000000"/>
                <w:szCs w:val="22"/>
                <w:lang w:val="en-US"/>
              </w:rPr>
              <w:t> </w:t>
            </w:r>
          </w:p>
        </w:tc>
        <w:tc>
          <w:tcPr>
            <w:tcW w:w="7883" w:type="dxa"/>
            <w:tcBorders>
              <w:top w:val="nil"/>
              <w:left w:val="nil"/>
              <w:bottom w:val="nil"/>
              <w:right w:val="nil"/>
            </w:tcBorders>
            <w:shd w:val="clear" w:color="000000" w:fill="BFBFBF"/>
            <w:vAlign w:val="center"/>
          </w:tcPr>
          <w:p w:rsidR="002959F0" w:rsidRDefault="00E2336B" w:rsidP="002959F0">
            <w:pPr>
              <w:ind w:firstLineChars="400" w:firstLine="880"/>
              <w:rPr>
                <w:rFonts w:ascii="MinionPro-Regular" w:hAnsi="MinionPro-Regular" w:cs="Calibri"/>
                <w:color w:val="000000"/>
                <w:szCs w:val="22"/>
                <w:lang w:val="es-ES_tradnl"/>
              </w:rPr>
            </w:pPr>
            <w:r w:rsidRPr="00224A16">
              <w:rPr>
                <w:rFonts w:ascii="MinionPro-Regular" w:hAnsi="MinionPro-Regular" w:cs="Calibri"/>
                <w:color w:val="000000"/>
                <w:szCs w:val="22"/>
                <w:lang w:val="es-ES_tradnl"/>
              </w:rPr>
              <w:t xml:space="preserve">Transcripción Braille, sonora y otras </w:t>
            </w:r>
          </w:p>
        </w:tc>
      </w:tr>
      <w:tr w:rsidR="00E2336B" w:rsidRPr="000123AA" w:rsidTr="008466BC">
        <w:trPr>
          <w:trHeight w:val="3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color w:val="000000"/>
                <w:szCs w:val="22"/>
                <w:lang w:val="es-ES_tradnl"/>
              </w:rPr>
            </w:pPr>
            <w:r w:rsidRPr="00224A16">
              <w:rPr>
                <w:rFonts w:ascii="MinionPro-Regular" w:hAnsi="MinionPro-Regular" w:cs="Calibri"/>
                <w:color w:val="000000"/>
                <w:szCs w:val="22"/>
                <w:lang w:val="es-ES_tradnl"/>
              </w:rPr>
              <w:t> </w:t>
            </w:r>
          </w:p>
        </w:tc>
        <w:tc>
          <w:tcPr>
            <w:tcW w:w="7883" w:type="dxa"/>
            <w:tcBorders>
              <w:top w:val="nil"/>
              <w:left w:val="nil"/>
              <w:bottom w:val="nil"/>
              <w:right w:val="nil"/>
            </w:tcBorders>
            <w:shd w:val="clear" w:color="000000" w:fill="BFBFBF"/>
            <w:vAlign w:val="center"/>
          </w:tcPr>
          <w:p w:rsidR="002959F0" w:rsidRDefault="00E2336B" w:rsidP="002959F0">
            <w:pPr>
              <w:ind w:firstLineChars="400" w:firstLine="880"/>
              <w:rPr>
                <w:rFonts w:ascii="MinionPro-Regular" w:hAnsi="MinionPro-Regular" w:cs="Calibri"/>
                <w:color w:val="000000"/>
                <w:szCs w:val="22"/>
                <w:lang w:val="en-US"/>
              </w:rPr>
            </w:pPr>
            <w:r w:rsidRPr="00224A16">
              <w:rPr>
                <w:rFonts w:ascii="MinionPro-Regular" w:hAnsi="MinionPro-Regular" w:cs="Calibri"/>
                <w:color w:val="000000"/>
                <w:szCs w:val="22"/>
                <w:lang w:val="en-US"/>
              </w:rPr>
              <w:t>Transporte adaptado</w:t>
            </w:r>
          </w:p>
        </w:tc>
      </w:tr>
      <w:tr w:rsidR="00E2336B" w:rsidRPr="000123AA" w:rsidTr="008466BC">
        <w:trPr>
          <w:trHeight w:val="3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color w:val="000000"/>
                <w:szCs w:val="22"/>
                <w:lang w:val="en-US"/>
              </w:rPr>
            </w:pPr>
            <w:r w:rsidRPr="00224A16">
              <w:rPr>
                <w:rFonts w:ascii="MinionPro-Regular" w:hAnsi="MinionPro-Regular" w:cs="Calibri"/>
                <w:color w:val="000000"/>
                <w:szCs w:val="22"/>
                <w:lang w:val="en-US"/>
              </w:rPr>
              <w:t> </w:t>
            </w:r>
          </w:p>
        </w:tc>
        <w:tc>
          <w:tcPr>
            <w:tcW w:w="7883" w:type="dxa"/>
            <w:tcBorders>
              <w:top w:val="nil"/>
              <w:left w:val="nil"/>
              <w:bottom w:val="nil"/>
              <w:right w:val="nil"/>
            </w:tcBorders>
            <w:shd w:val="clear" w:color="000000" w:fill="BFBFBF"/>
            <w:vAlign w:val="center"/>
          </w:tcPr>
          <w:p w:rsidR="002959F0" w:rsidRDefault="00E2336B" w:rsidP="002959F0">
            <w:pPr>
              <w:ind w:firstLineChars="400" w:firstLine="880"/>
              <w:rPr>
                <w:rFonts w:ascii="MinionPro-Regular" w:hAnsi="MinionPro-Regular" w:cs="Calibri"/>
                <w:color w:val="000000"/>
                <w:szCs w:val="22"/>
                <w:lang w:val="en-US"/>
              </w:rPr>
            </w:pPr>
            <w:r w:rsidRPr="00224A16">
              <w:rPr>
                <w:rFonts w:ascii="MinionPro-Regular" w:hAnsi="MinionPro-Regular" w:cs="Calibri"/>
                <w:color w:val="000000"/>
                <w:szCs w:val="22"/>
                <w:lang w:val="en-US"/>
              </w:rPr>
              <w:t>Vending</w:t>
            </w:r>
          </w:p>
        </w:tc>
      </w:tr>
      <w:tr w:rsidR="00E2336B" w:rsidRPr="000123AA" w:rsidTr="008466BC">
        <w:trPr>
          <w:trHeight w:val="3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color w:val="000000"/>
                <w:szCs w:val="22"/>
                <w:lang w:val="en-US"/>
              </w:rPr>
            </w:pPr>
            <w:r w:rsidRPr="00224A16">
              <w:rPr>
                <w:rFonts w:ascii="MinionPro-Regular" w:hAnsi="MinionPro-Regular" w:cs="Calibri"/>
                <w:color w:val="000000"/>
                <w:szCs w:val="22"/>
                <w:lang w:val="en-US"/>
              </w:rPr>
              <w:t> </w:t>
            </w:r>
          </w:p>
        </w:tc>
        <w:tc>
          <w:tcPr>
            <w:tcW w:w="7883" w:type="dxa"/>
            <w:tcBorders>
              <w:top w:val="nil"/>
              <w:left w:val="nil"/>
              <w:bottom w:val="nil"/>
              <w:right w:val="nil"/>
            </w:tcBorders>
            <w:shd w:val="clear" w:color="000000" w:fill="BFBFBF"/>
            <w:vAlign w:val="center"/>
          </w:tcPr>
          <w:p w:rsidR="002959F0" w:rsidRDefault="00E2336B" w:rsidP="002959F0">
            <w:pPr>
              <w:ind w:firstLineChars="400" w:firstLine="880"/>
              <w:rPr>
                <w:rFonts w:ascii="MinionPro-Regular" w:hAnsi="MinionPro-Regular" w:cs="Calibri"/>
                <w:color w:val="000000"/>
                <w:szCs w:val="22"/>
                <w:lang w:val="es-ES_tradnl"/>
              </w:rPr>
            </w:pPr>
            <w:r w:rsidRPr="00224A16">
              <w:rPr>
                <w:rFonts w:ascii="MinionPro-Regular" w:hAnsi="MinionPro-Regular" w:cs="Calibri"/>
                <w:color w:val="000000"/>
                <w:szCs w:val="22"/>
                <w:lang w:val="es-ES_tradnl"/>
              </w:rPr>
              <w:t>Otros (Especificar en el recuadro)</w:t>
            </w:r>
          </w:p>
        </w:tc>
      </w:tr>
      <w:tr w:rsidR="00E2336B" w:rsidRPr="000123AA" w:rsidTr="008466BC">
        <w:trPr>
          <w:trHeight w:val="300"/>
        </w:trPr>
        <w:tc>
          <w:tcPr>
            <w:tcW w:w="656" w:type="dxa"/>
            <w:tcBorders>
              <w:top w:val="nil"/>
              <w:left w:val="nil"/>
              <w:bottom w:val="nil"/>
              <w:right w:val="nil"/>
            </w:tcBorders>
            <w:shd w:val="clear" w:color="000000" w:fill="BFBFBF"/>
            <w:noWrap/>
            <w:vAlign w:val="bottom"/>
          </w:tcPr>
          <w:p w:rsidR="00E2336B" w:rsidRPr="00224A16" w:rsidRDefault="00E2336B" w:rsidP="000123AA">
            <w:pPr>
              <w:rPr>
                <w:rFonts w:ascii="MinionPro-Regular" w:hAnsi="MinionPro-Regular" w:cs="Calibri"/>
                <w:color w:val="000000"/>
                <w:szCs w:val="22"/>
                <w:lang w:val="es-ES_tradnl"/>
              </w:rPr>
            </w:pPr>
            <w:r w:rsidRPr="00224A16">
              <w:rPr>
                <w:rFonts w:ascii="MinionPro-Regular" w:hAnsi="MinionPro-Regular" w:cs="Calibri"/>
                <w:color w:val="000000"/>
                <w:szCs w:val="22"/>
                <w:lang w:val="es-ES_tradnl"/>
              </w:rPr>
              <w:t> </w:t>
            </w:r>
          </w:p>
        </w:tc>
        <w:tc>
          <w:tcPr>
            <w:tcW w:w="7883" w:type="dxa"/>
            <w:tcBorders>
              <w:top w:val="nil"/>
              <w:left w:val="nil"/>
              <w:bottom w:val="nil"/>
              <w:right w:val="nil"/>
            </w:tcBorders>
            <w:shd w:val="clear" w:color="000000" w:fill="BFBFBF"/>
            <w:vAlign w:val="center"/>
          </w:tcPr>
          <w:p w:rsidR="002959F0" w:rsidRDefault="00E2336B" w:rsidP="002959F0">
            <w:pPr>
              <w:ind w:firstLineChars="400" w:firstLine="880"/>
              <w:rPr>
                <w:rFonts w:ascii="MinionPro-Regular" w:hAnsi="MinionPro-Regular" w:cs="Calibri"/>
                <w:color w:val="000000"/>
                <w:szCs w:val="22"/>
                <w:lang w:val="es-ES_tradnl"/>
              </w:rPr>
            </w:pPr>
            <w:r w:rsidRPr="00224A16">
              <w:rPr>
                <w:rFonts w:ascii="MinionPro-Regular" w:hAnsi="MinionPro-Regular" w:cs="Calibri"/>
                <w:color w:val="000000"/>
                <w:szCs w:val="22"/>
                <w:lang w:val="es-ES_tradnl"/>
              </w:rPr>
              <w:t> </w:t>
            </w:r>
          </w:p>
        </w:tc>
      </w:tr>
      <w:tr w:rsidR="00E2336B" w:rsidRPr="000123AA" w:rsidTr="008466BC">
        <w:trPr>
          <w:trHeight w:val="132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bCs/>
                <w:color w:val="000000"/>
                <w:szCs w:val="22"/>
                <w:lang w:val="en-US"/>
              </w:rPr>
            </w:pPr>
            <w:r w:rsidRPr="00224A16">
              <w:rPr>
                <w:rFonts w:ascii="MinionPro-Regular" w:hAnsi="MinionPro-Regular" w:cs="Calibri"/>
                <w:bCs/>
                <w:color w:val="000000"/>
                <w:szCs w:val="22"/>
                <w:lang w:val="en-US"/>
              </w:rPr>
              <w:lastRenderedPageBreak/>
              <w:t>1.3.1</w:t>
            </w:r>
          </w:p>
        </w:tc>
        <w:tc>
          <w:tcPr>
            <w:tcW w:w="7883" w:type="dxa"/>
            <w:tcBorders>
              <w:top w:val="nil"/>
              <w:left w:val="nil"/>
              <w:bottom w:val="nil"/>
              <w:right w:val="nil"/>
            </w:tcBorders>
            <w:shd w:val="clear" w:color="000000" w:fill="BFBFBF"/>
            <w:vAlign w:val="center"/>
          </w:tcPr>
          <w:p w:rsidR="00E2336B" w:rsidRPr="00224A16" w:rsidRDefault="00E2336B" w:rsidP="00224A16">
            <w:pPr>
              <w:rPr>
                <w:rFonts w:ascii="MinionPro-Regular" w:hAnsi="MinionPro-Regular" w:cs="Calibri"/>
                <w:color w:val="000000"/>
                <w:szCs w:val="22"/>
                <w:lang w:val="es-ES_tradnl"/>
              </w:rPr>
            </w:pPr>
            <w:r w:rsidRPr="00224A16">
              <w:rPr>
                <w:rFonts w:ascii="MinionPro-Regular" w:hAnsi="MinionPro-Regular" w:cs="Calibri"/>
                <w:color w:val="000000"/>
                <w:szCs w:val="22"/>
                <w:lang w:val="es-ES_tradnl"/>
              </w:rPr>
              <w:t xml:space="preserve">Indique aproximadamente el porcentaje que supone esta actividad con respecto a su facturación total. </w:t>
            </w:r>
            <w:r w:rsidRPr="00224A16">
              <w:rPr>
                <w:rFonts w:ascii="MinionPro-Regular" w:hAnsi="MinionPro-Regular" w:cs="Calibri"/>
                <w:color w:val="0070C0"/>
                <w:szCs w:val="22"/>
                <w:lang w:val="es-ES_tradnl"/>
              </w:rPr>
              <w:t>(respuesta cuantitativa abierta) - Nota: Se intentará restringir el valor para que la 1.3.1 y la 1.4.1 no sumen más de 100</w:t>
            </w:r>
          </w:p>
        </w:tc>
      </w:tr>
      <w:tr w:rsidR="00E2336B" w:rsidRPr="000123AA" w:rsidTr="008466BC">
        <w:trPr>
          <w:trHeight w:val="6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bCs/>
                <w:color w:val="000000"/>
                <w:szCs w:val="22"/>
                <w:lang w:val="en-US"/>
              </w:rPr>
            </w:pPr>
            <w:r w:rsidRPr="00224A16">
              <w:rPr>
                <w:rFonts w:ascii="MinionPro-Regular" w:hAnsi="MinionPro-Regular" w:cs="Calibri"/>
                <w:bCs/>
                <w:color w:val="000000"/>
                <w:szCs w:val="22"/>
                <w:lang w:val="en-US"/>
              </w:rPr>
              <w:t>1.4.</w:t>
            </w:r>
          </w:p>
        </w:tc>
        <w:tc>
          <w:tcPr>
            <w:tcW w:w="7883" w:type="dxa"/>
            <w:tcBorders>
              <w:top w:val="nil"/>
              <w:left w:val="nil"/>
              <w:bottom w:val="nil"/>
              <w:right w:val="nil"/>
            </w:tcBorders>
            <w:shd w:val="clear" w:color="000000" w:fill="BFBFBF"/>
            <w:vAlign w:val="center"/>
          </w:tcPr>
          <w:p w:rsidR="00E2336B" w:rsidRPr="00224A16" w:rsidRDefault="00E2336B" w:rsidP="000123AA">
            <w:pPr>
              <w:rPr>
                <w:rFonts w:ascii="MinionPro-Regular" w:hAnsi="MinionPro-Regular" w:cs="Calibri"/>
                <w:bCs/>
                <w:color w:val="000000"/>
                <w:szCs w:val="22"/>
                <w:lang w:val="es-ES_tradnl"/>
              </w:rPr>
            </w:pPr>
            <w:r w:rsidRPr="00224A16">
              <w:rPr>
                <w:rFonts w:ascii="MinionPro-Regular" w:hAnsi="MinionPro-Regular" w:cs="Calibri"/>
                <w:bCs/>
                <w:color w:val="000000"/>
                <w:szCs w:val="22"/>
                <w:lang w:val="es-ES_tradnl"/>
              </w:rPr>
              <w:t xml:space="preserve">Seleccione otra Actividad/Sector principal  del CEE (no considerar actividades con porcentajes de facturación menores del 10% del total del CEE): </w:t>
            </w:r>
            <w:r w:rsidRPr="00224A16">
              <w:rPr>
                <w:rFonts w:ascii="MinionPro-Regular" w:hAnsi="MinionPro-Regular" w:cs="Calibri"/>
                <w:bCs/>
                <w:color w:val="0070C0"/>
                <w:szCs w:val="22"/>
                <w:lang w:val="es-ES_tradnl"/>
              </w:rPr>
              <w:t>(opción única)</w:t>
            </w:r>
          </w:p>
        </w:tc>
      </w:tr>
      <w:tr w:rsidR="00E2336B" w:rsidRPr="000123AA" w:rsidTr="008466BC">
        <w:trPr>
          <w:trHeight w:val="3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bCs/>
                <w:color w:val="000000"/>
                <w:szCs w:val="22"/>
                <w:lang w:val="es-ES_tradnl"/>
              </w:rPr>
            </w:pPr>
            <w:r w:rsidRPr="00224A16">
              <w:rPr>
                <w:rFonts w:ascii="MinionPro-Regular" w:hAnsi="MinionPro-Regular" w:cs="Calibri"/>
                <w:bCs/>
                <w:color w:val="000000"/>
                <w:szCs w:val="22"/>
                <w:lang w:val="es-ES_tradnl"/>
              </w:rPr>
              <w:t> </w:t>
            </w:r>
          </w:p>
        </w:tc>
        <w:tc>
          <w:tcPr>
            <w:tcW w:w="7883" w:type="dxa"/>
            <w:tcBorders>
              <w:top w:val="nil"/>
              <w:left w:val="nil"/>
              <w:bottom w:val="nil"/>
              <w:right w:val="nil"/>
            </w:tcBorders>
            <w:shd w:val="clear" w:color="000000" w:fill="BFBFBF"/>
            <w:vAlign w:val="center"/>
          </w:tcPr>
          <w:p w:rsidR="002959F0" w:rsidRDefault="00E2336B" w:rsidP="002959F0">
            <w:pPr>
              <w:ind w:firstLineChars="400" w:firstLine="880"/>
              <w:rPr>
                <w:rFonts w:ascii="MinionPro-Regular" w:hAnsi="MinionPro-Regular" w:cs="Calibri"/>
                <w:color w:val="000000"/>
                <w:szCs w:val="22"/>
                <w:lang w:val="es-ES_tradnl"/>
              </w:rPr>
            </w:pPr>
            <w:r w:rsidRPr="00224A16">
              <w:rPr>
                <w:rFonts w:ascii="MinionPro-Regular" w:hAnsi="MinionPro-Regular" w:cs="Calibri"/>
                <w:color w:val="000000"/>
                <w:szCs w:val="22"/>
                <w:lang w:val="es-ES_tradnl"/>
              </w:rPr>
              <w:t>Accesorios y reparación de aparatos electrónicos de consumo</w:t>
            </w:r>
          </w:p>
        </w:tc>
      </w:tr>
      <w:tr w:rsidR="00E2336B" w:rsidRPr="000123AA" w:rsidTr="008466BC">
        <w:trPr>
          <w:trHeight w:val="3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bCs/>
                <w:color w:val="000000"/>
                <w:szCs w:val="22"/>
                <w:lang w:val="es-ES_tradnl"/>
              </w:rPr>
            </w:pPr>
            <w:r w:rsidRPr="00224A16">
              <w:rPr>
                <w:rFonts w:ascii="MinionPro-Regular" w:hAnsi="MinionPro-Regular" w:cs="Calibri"/>
                <w:bCs/>
                <w:color w:val="000000"/>
                <w:szCs w:val="22"/>
                <w:lang w:val="es-ES_tradnl"/>
              </w:rPr>
              <w:t> </w:t>
            </w:r>
          </w:p>
        </w:tc>
        <w:tc>
          <w:tcPr>
            <w:tcW w:w="7883" w:type="dxa"/>
            <w:tcBorders>
              <w:top w:val="nil"/>
              <w:left w:val="nil"/>
              <w:bottom w:val="nil"/>
              <w:right w:val="nil"/>
            </w:tcBorders>
            <w:shd w:val="clear" w:color="000000" w:fill="BFBFBF"/>
            <w:vAlign w:val="center"/>
          </w:tcPr>
          <w:p w:rsidR="002959F0" w:rsidRDefault="00E2336B" w:rsidP="002959F0">
            <w:pPr>
              <w:ind w:firstLineChars="400" w:firstLine="880"/>
              <w:rPr>
                <w:rFonts w:ascii="MinionPro-Regular" w:hAnsi="MinionPro-Regular" w:cs="Calibri"/>
                <w:color w:val="000000"/>
                <w:szCs w:val="22"/>
                <w:lang w:val="es-ES_tradnl"/>
              </w:rPr>
            </w:pPr>
            <w:r w:rsidRPr="00224A16">
              <w:rPr>
                <w:rFonts w:ascii="MinionPro-Regular" w:hAnsi="MinionPro-Regular" w:cs="Calibri"/>
                <w:color w:val="000000"/>
                <w:szCs w:val="22"/>
                <w:lang w:val="es-ES_tradnl"/>
              </w:rPr>
              <w:t>Actividades recreativas, culturales y deportivas</w:t>
            </w:r>
          </w:p>
        </w:tc>
      </w:tr>
      <w:tr w:rsidR="00E2336B" w:rsidRPr="000123AA" w:rsidTr="008466BC">
        <w:trPr>
          <w:trHeight w:val="3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bCs/>
                <w:color w:val="000000"/>
                <w:szCs w:val="22"/>
                <w:lang w:val="es-ES_tradnl"/>
              </w:rPr>
            </w:pPr>
            <w:r w:rsidRPr="00224A16">
              <w:rPr>
                <w:rFonts w:ascii="MinionPro-Regular" w:hAnsi="MinionPro-Regular" w:cs="Calibri"/>
                <w:bCs/>
                <w:color w:val="000000"/>
                <w:szCs w:val="22"/>
                <w:lang w:val="es-ES_tradnl"/>
              </w:rPr>
              <w:t> </w:t>
            </w:r>
          </w:p>
        </w:tc>
        <w:tc>
          <w:tcPr>
            <w:tcW w:w="7883" w:type="dxa"/>
            <w:tcBorders>
              <w:top w:val="nil"/>
              <w:left w:val="nil"/>
              <w:bottom w:val="nil"/>
              <w:right w:val="nil"/>
            </w:tcBorders>
            <w:shd w:val="clear" w:color="000000" w:fill="BFBFBF"/>
            <w:vAlign w:val="center"/>
          </w:tcPr>
          <w:p w:rsidR="002959F0" w:rsidRDefault="00E2336B" w:rsidP="002959F0">
            <w:pPr>
              <w:ind w:firstLineChars="400" w:firstLine="880"/>
              <w:rPr>
                <w:rFonts w:ascii="MinionPro-Regular" w:hAnsi="MinionPro-Regular" w:cs="Calibri"/>
                <w:color w:val="000000"/>
                <w:szCs w:val="22"/>
                <w:lang w:val="en-US"/>
              </w:rPr>
            </w:pPr>
            <w:r w:rsidRPr="00224A16">
              <w:rPr>
                <w:rFonts w:ascii="MinionPro-Regular" w:hAnsi="MinionPro-Regular" w:cs="Calibri"/>
                <w:color w:val="000000"/>
                <w:szCs w:val="22"/>
                <w:lang w:val="en-US"/>
              </w:rPr>
              <w:t>Adaptación de vehículos</w:t>
            </w:r>
          </w:p>
        </w:tc>
      </w:tr>
      <w:tr w:rsidR="00E2336B" w:rsidRPr="000123AA" w:rsidTr="008466BC">
        <w:trPr>
          <w:trHeight w:val="3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bCs/>
                <w:color w:val="000000"/>
                <w:szCs w:val="22"/>
                <w:lang w:val="en-US"/>
              </w:rPr>
            </w:pPr>
            <w:r w:rsidRPr="00224A16">
              <w:rPr>
                <w:rFonts w:ascii="MinionPro-Regular" w:hAnsi="MinionPro-Regular" w:cs="Calibri"/>
                <w:bCs/>
                <w:color w:val="000000"/>
                <w:szCs w:val="22"/>
                <w:lang w:val="en-US"/>
              </w:rPr>
              <w:t> </w:t>
            </w:r>
          </w:p>
        </w:tc>
        <w:tc>
          <w:tcPr>
            <w:tcW w:w="7883" w:type="dxa"/>
            <w:tcBorders>
              <w:top w:val="nil"/>
              <w:left w:val="nil"/>
              <w:bottom w:val="nil"/>
              <w:right w:val="nil"/>
            </w:tcBorders>
            <w:shd w:val="clear" w:color="000000" w:fill="BFBFBF"/>
            <w:vAlign w:val="center"/>
          </w:tcPr>
          <w:p w:rsidR="002959F0" w:rsidRDefault="00E2336B" w:rsidP="002959F0">
            <w:pPr>
              <w:ind w:firstLineChars="400" w:firstLine="880"/>
              <w:rPr>
                <w:rFonts w:ascii="MinionPro-Regular" w:hAnsi="MinionPro-Regular" w:cs="Calibri"/>
                <w:color w:val="000000"/>
                <w:szCs w:val="22"/>
                <w:lang w:val="en-US"/>
              </w:rPr>
            </w:pPr>
            <w:r w:rsidRPr="00224A16">
              <w:rPr>
                <w:rFonts w:ascii="MinionPro-Regular" w:hAnsi="MinionPro-Regular" w:cs="Calibri"/>
                <w:color w:val="000000"/>
                <w:szCs w:val="22"/>
                <w:lang w:val="en-US"/>
              </w:rPr>
              <w:t>Agricultura y ganadería</w:t>
            </w:r>
          </w:p>
        </w:tc>
      </w:tr>
      <w:tr w:rsidR="00E2336B" w:rsidRPr="000123AA" w:rsidTr="008466BC">
        <w:trPr>
          <w:trHeight w:val="3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bCs/>
                <w:color w:val="000000"/>
                <w:szCs w:val="22"/>
                <w:lang w:val="en-US"/>
              </w:rPr>
            </w:pPr>
            <w:r w:rsidRPr="00224A16">
              <w:rPr>
                <w:rFonts w:ascii="MinionPro-Regular" w:hAnsi="MinionPro-Regular" w:cs="Calibri"/>
                <w:bCs/>
                <w:color w:val="000000"/>
                <w:szCs w:val="22"/>
                <w:lang w:val="en-US"/>
              </w:rPr>
              <w:t> </w:t>
            </w:r>
          </w:p>
        </w:tc>
        <w:tc>
          <w:tcPr>
            <w:tcW w:w="7883" w:type="dxa"/>
            <w:tcBorders>
              <w:top w:val="nil"/>
              <w:left w:val="nil"/>
              <w:bottom w:val="nil"/>
              <w:right w:val="nil"/>
            </w:tcBorders>
            <w:shd w:val="clear" w:color="000000" w:fill="BFBFBF"/>
            <w:vAlign w:val="center"/>
          </w:tcPr>
          <w:p w:rsidR="002959F0" w:rsidRDefault="00E2336B" w:rsidP="002959F0">
            <w:pPr>
              <w:ind w:firstLineChars="400" w:firstLine="880"/>
              <w:rPr>
                <w:rFonts w:ascii="MinionPro-Regular" w:hAnsi="MinionPro-Regular" w:cs="Calibri"/>
                <w:color w:val="000000"/>
                <w:szCs w:val="22"/>
                <w:lang w:val="en-US"/>
              </w:rPr>
            </w:pPr>
            <w:r w:rsidRPr="00224A16">
              <w:rPr>
                <w:rFonts w:ascii="MinionPro-Regular" w:hAnsi="MinionPro-Regular" w:cs="Calibri"/>
                <w:color w:val="000000"/>
                <w:szCs w:val="22"/>
                <w:lang w:val="en-US"/>
              </w:rPr>
              <w:t>Alimentación</w:t>
            </w:r>
          </w:p>
        </w:tc>
      </w:tr>
      <w:tr w:rsidR="00E2336B" w:rsidRPr="000123AA" w:rsidTr="008466BC">
        <w:trPr>
          <w:trHeight w:val="3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bCs/>
                <w:color w:val="000000"/>
                <w:szCs w:val="22"/>
                <w:lang w:val="en-US"/>
              </w:rPr>
            </w:pPr>
            <w:r w:rsidRPr="00224A16">
              <w:rPr>
                <w:rFonts w:ascii="MinionPro-Regular" w:hAnsi="MinionPro-Regular" w:cs="Calibri"/>
                <w:bCs/>
                <w:color w:val="000000"/>
                <w:szCs w:val="22"/>
                <w:lang w:val="en-US"/>
              </w:rPr>
              <w:t> </w:t>
            </w:r>
          </w:p>
        </w:tc>
        <w:tc>
          <w:tcPr>
            <w:tcW w:w="7883" w:type="dxa"/>
            <w:tcBorders>
              <w:top w:val="nil"/>
              <w:left w:val="nil"/>
              <w:bottom w:val="nil"/>
              <w:right w:val="nil"/>
            </w:tcBorders>
            <w:shd w:val="clear" w:color="000000" w:fill="BFBFBF"/>
            <w:vAlign w:val="center"/>
          </w:tcPr>
          <w:p w:rsidR="002959F0" w:rsidRDefault="00E2336B" w:rsidP="002959F0">
            <w:pPr>
              <w:ind w:firstLineChars="400" w:firstLine="880"/>
              <w:rPr>
                <w:rFonts w:ascii="MinionPro-Regular" w:hAnsi="MinionPro-Regular" w:cs="Calibri"/>
                <w:color w:val="000000"/>
                <w:szCs w:val="22"/>
                <w:lang w:val="en-US"/>
              </w:rPr>
            </w:pPr>
            <w:r w:rsidRPr="00224A16">
              <w:rPr>
                <w:rFonts w:ascii="MinionPro-Regular" w:hAnsi="MinionPro-Regular" w:cs="Calibri"/>
                <w:color w:val="000000"/>
                <w:szCs w:val="22"/>
                <w:lang w:val="en-US"/>
              </w:rPr>
              <w:t>Artesanía</w:t>
            </w:r>
          </w:p>
        </w:tc>
      </w:tr>
      <w:tr w:rsidR="00E2336B" w:rsidRPr="000123AA" w:rsidTr="008466BC">
        <w:trPr>
          <w:trHeight w:val="3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bCs/>
                <w:color w:val="000000"/>
                <w:szCs w:val="22"/>
                <w:lang w:val="en-US"/>
              </w:rPr>
            </w:pPr>
            <w:r w:rsidRPr="00224A16">
              <w:rPr>
                <w:rFonts w:ascii="MinionPro-Regular" w:hAnsi="MinionPro-Regular" w:cs="Calibri"/>
                <w:bCs/>
                <w:color w:val="000000"/>
                <w:szCs w:val="22"/>
                <w:lang w:val="en-US"/>
              </w:rPr>
              <w:t> </w:t>
            </w:r>
          </w:p>
        </w:tc>
        <w:tc>
          <w:tcPr>
            <w:tcW w:w="7883" w:type="dxa"/>
            <w:tcBorders>
              <w:top w:val="nil"/>
              <w:left w:val="nil"/>
              <w:bottom w:val="nil"/>
              <w:right w:val="nil"/>
            </w:tcBorders>
            <w:shd w:val="clear" w:color="000000" w:fill="BFBFBF"/>
            <w:vAlign w:val="center"/>
          </w:tcPr>
          <w:p w:rsidR="002959F0" w:rsidRDefault="00E2336B" w:rsidP="002959F0">
            <w:pPr>
              <w:ind w:firstLineChars="400" w:firstLine="880"/>
              <w:rPr>
                <w:rFonts w:ascii="MinionPro-Regular" w:hAnsi="MinionPro-Regular" w:cs="Calibri"/>
                <w:color w:val="000000"/>
                <w:szCs w:val="22"/>
                <w:lang w:val="en-US"/>
              </w:rPr>
            </w:pPr>
            <w:r w:rsidRPr="00224A16">
              <w:rPr>
                <w:rFonts w:ascii="MinionPro-Regular" w:hAnsi="MinionPro-Regular" w:cs="Calibri"/>
                <w:color w:val="000000"/>
                <w:szCs w:val="22"/>
                <w:lang w:val="en-US"/>
              </w:rPr>
              <w:t>Asesoría</w:t>
            </w:r>
          </w:p>
        </w:tc>
      </w:tr>
      <w:tr w:rsidR="00E2336B" w:rsidRPr="000123AA" w:rsidTr="008466BC">
        <w:trPr>
          <w:trHeight w:val="3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bCs/>
                <w:color w:val="000000"/>
                <w:szCs w:val="22"/>
                <w:lang w:val="en-US"/>
              </w:rPr>
            </w:pPr>
            <w:r w:rsidRPr="00224A16">
              <w:rPr>
                <w:rFonts w:ascii="MinionPro-Regular" w:hAnsi="MinionPro-Regular" w:cs="Calibri"/>
                <w:bCs/>
                <w:color w:val="000000"/>
                <w:szCs w:val="22"/>
                <w:lang w:val="en-US"/>
              </w:rPr>
              <w:t> </w:t>
            </w:r>
          </w:p>
        </w:tc>
        <w:tc>
          <w:tcPr>
            <w:tcW w:w="7883" w:type="dxa"/>
            <w:tcBorders>
              <w:top w:val="nil"/>
              <w:left w:val="nil"/>
              <w:bottom w:val="nil"/>
              <w:right w:val="nil"/>
            </w:tcBorders>
            <w:shd w:val="clear" w:color="000000" w:fill="BFBFBF"/>
            <w:vAlign w:val="center"/>
          </w:tcPr>
          <w:p w:rsidR="002959F0" w:rsidRDefault="00E2336B" w:rsidP="002959F0">
            <w:pPr>
              <w:ind w:firstLineChars="400" w:firstLine="880"/>
              <w:rPr>
                <w:rFonts w:ascii="MinionPro-Regular" w:hAnsi="MinionPro-Regular" w:cs="Calibri"/>
                <w:color w:val="000000"/>
                <w:szCs w:val="22"/>
                <w:lang w:val="es-ES_tradnl"/>
              </w:rPr>
            </w:pPr>
            <w:r w:rsidRPr="00224A16">
              <w:rPr>
                <w:rFonts w:ascii="MinionPro-Regular" w:hAnsi="MinionPro-Regular" w:cs="Calibri"/>
                <w:color w:val="000000"/>
                <w:szCs w:val="22"/>
                <w:lang w:val="es-ES_tradnl"/>
              </w:rPr>
              <w:t>Asesoría en materia de discapacidad</w:t>
            </w:r>
          </w:p>
        </w:tc>
      </w:tr>
      <w:tr w:rsidR="00E2336B" w:rsidRPr="000123AA" w:rsidTr="008466BC">
        <w:trPr>
          <w:trHeight w:val="3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bCs/>
                <w:color w:val="000000"/>
                <w:szCs w:val="22"/>
                <w:lang w:val="es-ES_tradnl"/>
              </w:rPr>
            </w:pPr>
            <w:r w:rsidRPr="00224A16">
              <w:rPr>
                <w:rFonts w:ascii="MinionPro-Regular" w:hAnsi="MinionPro-Regular" w:cs="Calibri"/>
                <w:bCs/>
                <w:color w:val="000000"/>
                <w:szCs w:val="22"/>
                <w:lang w:val="es-ES_tradnl"/>
              </w:rPr>
              <w:t> </w:t>
            </w:r>
          </w:p>
        </w:tc>
        <w:tc>
          <w:tcPr>
            <w:tcW w:w="7883" w:type="dxa"/>
            <w:tcBorders>
              <w:top w:val="nil"/>
              <w:left w:val="nil"/>
              <w:bottom w:val="nil"/>
              <w:right w:val="nil"/>
            </w:tcBorders>
            <w:shd w:val="clear" w:color="000000" w:fill="BFBFBF"/>
            <w:vAlign w:val="center"/>
          </w:tcPr>
          <w:p w:rsidR="002959F0" w:rsidRDefault="00E2336B" w:rsidP="002959F0">
            <w:pPr>
              <w:ind w:firstLineChars="400" w:firstLine="880"/>
              <w:rPr>
                <w:rFonts w:ascii="MinionPro-Regular" w:hAnsi="MinionPro-Regular" w:cs="Calibri"/>
                <w:color w:val="000000"/>
                <w:szCs w:val="22"/>
                <w:lang w:val="en-US"/>
              </w:rPr>
            </w:pPr>
            <w:r w:rsidRPr="00224A16">
              <w:rPr>
                <w:rFonts w:ascii="MinionPro-Regular" w:hAnsi="MinionPro-Regular" w:cs="Calibri"/>
                <w:color w:val="000000"/>
                <w:szCs w:val="22"/>
                <w:lang w:val="en-US"/>
              </w:rPr>
              <w:t>Asistencia Social</w:t>
            </w:r>
          </w:p>
        </w:tc>
      </w:tr>
      <w:tr w:rsidR="00E2336B" w:rsidRPr="000123AA" w:rsidTr="008466BC">
        <w:trPr>
          <w:trHeight w:val="3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bCs/>
                <w:color w:val="000000"/>
                <w:szCs w:val="22"/>
                <w:lang w:val="en-US"/>
              </w:rPr>
            </w:pPr>
            <w:r w:rsidRPr="00224A16">
              <w:rPr>
                <w:rFonts w:ascii="MinionPro-Regular" w:hAnsi="MinionPro-Regular" w:cs="Calibri"/>
                <w:bCs/>
                <w:color w:val="000000"/>
                <w:szCs w:val="22"/>
                <w:lang w:val="en-US"/>
              </w:rPr>
              <w:t> </w:t>
            </w:r>
          </w:p>
        </w:tc>
        <w:tc>
          <w:tcPr>
            <w:tcW w:w="7883" w:type="dxa"/>
            <w:tcBorders>
              <w:top w:val="nil"/>
              <w:left w:val="nil"/>
              <w:bottom w:val="nil"/>
              <w:right w:val="nil"/>
            </w:tcBorders>
            <w:shd w:val="clear" w:color="000000" w:fill="BFBFBF"/>
            <w:vAlign w:val="center"/>
          </w:tcPr>
          <w:p w:rsidR="002959F0" w:rsidRDefault="00E2336B" w:rsidP="002959F0">
            <w:pPr>
              <w:ind w:firstLineChars="400" w:firstLine="880"/>
              <w:rPr>
                <w:rFonts w:ascii="MinionPro-Regular" w:hAnsi="MinionPro-Regular" w:cs="Calibri"/>
                <w:color w:val="000000"/>
                <w:szCs w:val="22"/>
                <w:lang w:val="en-US"/>
              </w:rPr>
            </w:pPr>
            <w:r w:rsidRPr="00224A16">
              <w:rPr>
                <w:rFonts w:ascii="MinionPro-Regular" w:hAnsi="MinionPro-Regular" w:cs="Calibri"/>
                <w:color w:val="000000"/>
                <w:szCs w:val="22"/>
                <w:lang w:val="en-US"/>
              </w:rPr>
              <w:t>Atención al publico</w:t>
            </w:r>
          </w:p>
        </w:tc>
      </w:tr>
      <w:tr w:rsidR="00E2336B" w:rsidRPr="000123AA" w:rsidTr="008466BC">
        <w:trPr>
          <w:trHeight w:val="3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bCs/>
                <w:color w:val="000000"/>
                <w:szCs w:val="22"/>
                <w:lang w:val="en-US"/>
              </w:rPr>
            </w:pPr>
            <w:r w:rsidRPr="00224A16">
              <w:rPr>
                <w:rFonts w:ascii="MinionPro-Regular" w:hAnsi="MinionPro-Regular" w:cs="Calibri"/>
                <w:bCs/>
                <w:color w:val="000000"/>
                <w:szCs w:val="22"/>
                <w:lang w:val="en-US"/>
              </w:rPr>
              <w:t> </w:t>
            </w:r>
          </w:p>
        </w:tc>
        <w:tc>
          <w:tcPr>
            <w:tcW w:w="7883" w:type="dxa"/>
            <w:tcBorders>
              <w:top w:val="nil"/>
              <w:left w:val="nil"/>
              <w:bottom w:val="nil"/>
              <w:right w:val="nil"/>
            </w:tcBorders>
            <w:shd w:val="clear" w:color="000000" w:fill="BFBFBF"/>
            <w:vAlign w:val="center"/>
          </w:tcPr>
          <w:p w:rsidR="002959F0" w:rsidRDefault="00E2336B" w:rsidP="002959F0">
            <w:pPr>
              <w:ind w:firstLineChars="400" w:firstLine="880"/>
              <w:rPr>
                <w:rFonts w:ascii="MinionPro-Regular" w:hAnsi="MinionPro-Regular" w:cs="Calibri"/>
                <w:color w:val="000000"/>
                <w:szCs w:val="22"/>
                <w:lang w:val="es-ES_tradnl"/>
              </w:rPr>
            </w:pPr>
            <w:r w:rsidRPr="00224A16">
              <w:rPr>
                <w:rFonts w:ascii="MinionPro-Regular" w:hAnsi="MinionPro-Regular" w:cs="Calibri"/>
                <w:color w:val="000000"/>
                <w:szCs w:val="22"/>
                <w:lang w:val="es-ES_tradnl"/>
              </w:rPr>
              <w:t>Autolavado y reparación de vehículos</w:t>
            </w:r>
          </w:p>
        </w:tc>
      </w:tr>
      <w:tr w:rsidR="00E2336B" w:rsidRPr="000123AA" w:rsidTr="008466BC">
        <w:trPr>
          <w:trHeight w:val="3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bCs/>
                <w:color w:val="000000"/>
                <w:szCs w:val="22"/>
                <w:lang w:val="es-ES_tradnl"/>
              </w:rPr>
            </w:pPr>
            <w:r w:rsidRPr="00224A16">
              <w:rPr>
                <w:rFonts w:ascii="MinionPro-Regular" w:hAnsi="MinionPro-Regular" w:cs="Calibri"/>
                <w:bCs/>
                <w:color w:val="000000"/>
                <w:szCs w:val="22"/>
                <w:lang w:val="es-ES_tradnl"/>
              </w:rPr>
              <w:t> </w:t>
            </w:r>
          </w:p>
        </w:tc>
        <w:tc>
          <w:tcPr>
            <w:tcW w:w="7883" w:type="dxa"/>
            <w:tcBorders>
              <w:top w:val="nil"/>
              <w:left w:val="nil"/>
              <w:bottom w:val="nil"/>
              <w:right w:val="nil"/>
            </w:tcBorders>
            <w:shd w:val="clear" w:color="000000" w:fill="BFBFBF"/>
            <w:vAlign w:val="center"/>
          </w:tcPr>
          <w:p w:rsidR="002959F0" w:rsidRDefault="00E2336B" w:rsidP="002959F0">
            <w:pPr>
              <w:ind w:firstLineChars="400" w:firstLine="880"/>
              <w:rPr>
                <w:rFonts w:ascii="MinionPro-Regular" w:hAnsi="MinionPro-Regular" w:cs="Calibri"/>
                <w:color w:val="000000"/>
                <w:szCs w:val="22"/>
                <w:lang w:val="en-US"/>
              </w:rPr>
            </w:pPr>
            <w:r w:rsidRPr="00224A16">
              <w:rPr>
                <w:rFonts w:ascii="MinionPro-Regular" w:hAnsi="MinionPro-Regular" w:cs="Calibri"/>
                <w:color w:val="000000"/>
                <w:szCs w:val="22"/>
                <w:lang w:val="en-US"/>
              </w:rPr>
              <w:t>Ayuda a domicilio</w:t>
            </w:r>
          </w:p>
        </w:tc>
      </w:tr>
      <w:tr w:rsidR="00E2336B" w:rsidRPr="000123AA" w:rsidTr="008466BC">
        <w:trPr>
          <w:trHeight w:val="3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bCs/>
                <w:color w:val="000000"/>
                <w:szCs w:val="22"/>
                <w:lang w:val="en-US"/>
              </w:rPr>
            </w:pPr>
            <w:r w:rsidRPr="00224A16">
              <w:rPr>
                <w:rFonts w:ascii="MinionPro-Regular" w:hAnsi="MinionPro-Regular" w:cs="Calibri"/>
                <w:bCs/>
                <w:color w:val="000000"/>
                <w:szCs w:val="22"/>
                <w:lang w:val="en-US"/>
              </w:rPr>
              <w:t> </w:t>
            </w:r>
          </w:p>
        </w:tc>
        <w:tc>
          <w:tcPr>
            <w:tcW w:w="7883" w:type="dxa"/>
            <w:tcBorders>
              <w:top w:val="nil"/>
              <w:left w:val="nil"/>
              <w:bottom w:val="nil"/>
              <w:right w:val="nil"/>
            </w:tcBorders>
            <w:shd w:val="clear" w:color="000000" w:fill="BFBFBF"/>
            <w:vAlign w:val="center"/>
          </w:tcPr>
          <w:p w:rsidR="002959F0" w:rsidRDefault="00E2336B" w:rsidP="002959F0">
            <w:pPr>
              <w:ind w:firstLineChars="400" w:firstLine="880"/>
              <w:rPr>
                <w:rFonts w:ascii="MinionPro-Regular" w:hAnsi="MinionPro-Regular" w:cs="Calibri"/>
                <w:color w:val="000000"/>
                <w:szCs w:val="22"/>
                <w:lang w:val="en-US"/>
              </w:rPr>
            </w:pPr>
            <w:r w:rsidRPr="00224A16">
              <w:rPr>
                <w:rFonts w:ascii="MinionPro-Regular" w:hAnsi="MinionPro-Regular" w:cs="Calibri"/>
                <w:color w:val="000000"/>
                <w:szCs w:val="22"/>
                <w:lang w:val="en-US"/>
              </w:rPr>
              <w:t>Buzoneo</w:t>
            </w:r>
          </w:p>
        </w:tc>
      </w:tr>
      <w:tr w:rsidR="00E2336B" w:rsidRPr="000123AA" w:rsidTr="008466BC">
        <w:trPr>
          <w:trHeight w:val="3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bCs/>
                <w:color w:val="000000"/>
                <w:szCs w:val="22"/>
                <w:lang w:val="en-US"/>
              </w:rPr>
            </w:pPr>
            <w:r w:rsidRPr="00224A16">
              <w:rPr>
                <w:rFonts w:ascii="MinionPro-Regular" w:hAnsi="MinionPro-Regular" w:cs="Calibri"/>
                <w:bCs/>
                <w:color w:val="000000"/>
                <w:szCs w:val="22"/>
                <w:lang w:val="en-US"/>
              </w:rPr>
              <w:t> </w:t>
            </w:r>
          </w:p>
        </w:tc>
        <w:tc>
          <w:tcPr>
            <w:tcW w:w="7883" w:type="dxa"/>
            <w:tcBorders>
              <w:top w:val="nil"/>
              <w:left w:val="nil"/>
              <w:bottom w:val="nil"/>
              <w:right w:val="nil"/>
            </w:tcBorders>
            <w:shd w:val="clear" w:color="000000" w:fill="BFBFBF"/>
            <w:vAlign w:val="center"/>
          </w:tcPr>
          <w:p w:rsidR="002959F0" w:rsidRDefault="00E2336B" w:rsidP="002959F0">
            <w:pPr>
              <w:ind w:firstLineChars="400" w:firstLine="880"/>
              <w:rPr>
                <w:rFonts w:ascii="MinionPro-Regular" w:hAnsi="MinionPro-Regular" w:cs="Calibri"/>
                <w:color w:val="000000"/>
                <w:szCs w:val="22"/>
                <w:lang w:val="en-US"/>
              </w:rPr>
            </w:pPr>
            <w:r w:rsidRPr="00224A16">
              <w:rPr>
                <w:rFonts w:ascii="MinionPro-Regular" w:hAnsi="MinionPro-Regular" w:cs="Calibri"/>
                <w:color w:val="000000"/>
                <w:szCs w:val="22"/>
                <w:lang w:val="en-US"/>
              </w:rPr>
              <w:t>Cableado</w:t>
            </w:r>
          </w:p>
        </w:tc>
      </w:tr>
      <w:tr w:rsidR="00E2336B" w:rsidRPr="000123AA" w:rsidTr="008466BC">
        <w:trPr>
          <w:trHeight w:val="3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bCs/>
                <w:color w:val="000000"/>
                <w:szCs w:val="22"/>
                <w:lang w:val="en-US"/>
              </w:rPr>
            </w:pPr>
            <w:r w:rsidRPr="00224A16">
              <w:rPr>
                <w:rFonts w:ascii="MinionPro-Regular" w:hAnsi="MinionPro-Regular" w:cs="Calibri"/>
                <w:bCs/>
                <w:color w:val="000000"/>
                <w:szCs w:val="22"/>
                <w:lang w:val="en-US"/>
              </w:rPr>
              <w:t> </w:t>
            </w:r>
          </w:p>
        </w:tc>
        <w:tc>
          <w:tcPr>
            <w:tcW w:w="7883" w:type="dxa"/>
            <w:tcBorders>
              <w:top w:val="nil"/>
              <w:left w:val="nil"/>
              <w:bottom w:val="nil"/>
              <w:right w:val="nil"/>
            </w:tcBorders>
            <w:shd w:val="clear" w:color="000000" w:fill="BFBFBF"/>
            <w:vAlign w:val="center"/>
          </w:tcPr>
          <w:p w:rsidR="002959F0" w:rsidRDefault="00E2336B" w:rsidP="002959F0">
            <w:pPr>
              <w:ind w:firstLineChars="400" w:firstLine="880"/>
              <w:rPr>
                <w:rFonts w:ascii="MinionPro-Regular" w:hAnsi="MinionPro-Regular" w:cs="Calibri"/>
                <w:color w:val="000000"/>
                <w:szCs w:val="22"/>
                <w:lang w:val="en-US"/>
              </w:rPr>
            </w:pPr>
            <w:r w:rsidRPr="00224A16">
              <w:rPr>
                <w:rFonts w:ascii="MinionPro-Regular" w:hAnsi="MinionPro-Regular" w:cs="Calibri"/>
                <w:color w:val="000000"/>
                <w:szCs w:val="22"/>
                <w:lang w:val="en-US"/>
              </w:rPr>
              <w:t>Calderería</w:t>
            </w:r>
          </w:p>
        </w:tc>
      </w:tr>
      <w:tr w:rsidR="00E2336B" w:rsidRPr="000123AA" w:rsidTr="008466BC">
        <w:trPr>
          <w:trHeight w:val="3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bCs/>
                <w:color w:val="000000"/>
                <w:szCs w:val="22"/>
                <w:lang w:val="en-US"/>
              </w:rPr>
            </w:pPr>
            <w:r w:rsidRPr="00224A16">
              <w:rPr>
                <w:rFonts w:ascii="MinionPro-Regular" w:hAnsi="MinionPro-Regular" w:cs="Calibri"/>
                <w:bCs/>
                <w:color w:val="000000"/>
                <w:szCs w:val="22"/>
                <w:lang w:val="en-US"/>
              </w:rPr>
              <w:t> </w:t>
            </w:r>
          </w:p>
        </w:tc>
        <w:tc>
          <w:tcPr>
            <w:tcW w:w="7883" w:type="dxa"/>
            <w:tcBorders>
              <w:top w:val="nil"/>
              <w:left w:val="nil"/>
              <w:bottom w:val="nil"/>
              <w:right w:val="nil"/>
            </w:tcBorders>
            <w:shd w:val="clear" w:color="000000" w:fill="BFBFBF"/>
            <w:vAlign w:val="center"/>
          </w:tcPr>
          <w:p w:rsidR="002959F0" w:rsidRDefault="00E2336B" w:rsidP="002959F0">
            <w:pPr>
              <w:ind w:firstLineChars="400" w:firstLine="880"/>
              <w:rPr>
                <w:rFonts w:ascii="MinionPro-Regular" w:hAnsi="MinionPro-Regular" w:cs="Calibri"/>
                <w:color w:val="000000"/>
                <w:szCs w:val="22"/>
                <w:lang w:val="en-US"/>
              </w:rPr>
            </w:pPr>
            <w:r w:rsidRPr="00224A16">
              <w:rPr>
                <w:rFonts w:ascii="MinionPro-Regular" w:hAnsi="MinionPro-Regular" w:cs="Calibri"/>
                <w:color w:val="000000"/>
                <w:szCs w:val="22"/>
                <w:lang w:val="en-US"/>
              </w:rPr>
              <w:t>Carpintería</w:t>
            </w:r>
          </w:p>
        </w:tc>
      </w:tr>
      <w:tr w:rsidR="00E2336B" w:rsidRPr="000123AA" w:rsidTr="008466BC">
        <w:trPr>
          <w:trHeight w:val="3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bCs/>
                <w:color w:val="000000"/>
                <w:szCs w:val="22"/>
                <w:lang w:val="en-US"/>
              </w:rPr>
            </w:pPr>
            <w:r w:rsidRPr="00224A16">
              <w:rPr>
                <w:rFonts w:ascii="MinionPro-Regular" w:hAnsi="MinionPro-Regular" w:cs="Calibri"/>
                <w:bCs/>
                <w:color w:val="000000"/>
                <w:szCs w:val="22"/>
                <w:lang w:val="en-US"/>
              </w:rPr>
              <w:t> </w:t>
            </w:r>
          </w:p>
        </w:tc>
        <w:tc>
          <w:tcPr>
            <w:tcW w:w="7883" w:type="dxa"/>
            <w:tcBorders>
              <w:top w:val="nil"/>
              <w:left w:val="nil"/>
              <w:bottom w:val="nil"/>
              <w:right w:val="nil"/>
            </w:tcBorders>
            <w:shd w:val="clear" w:color="000000" w:fill="BFBFBF"/>
            <w:vAlign w:val="center"/>
          </w:tcPr>
          <w:p w:rsidR="002959F0" w:rsidRDefault="00E2336B" w:rsidP="002959F0">
            <w:pPr>
              <w:ind w:firstLineChars="400" w:firstLine="880"/>
              <w:rPr>
                <w:rFonts w:ascii="MinionPro-Regular" w:hAnsi="MinionPro-Regular" w:cs="Calibri"/>
                <w:color w:val="000000"/>
                <w:szCs w:val="22"/>
                <w:lang w:val="en-US"/>
              </w:rPr>
            </w:pPr>
            <w:r w:rsidRPr="00224A16">
              <w:rPr>
                <w:rFonts w:ascii="MinionPro-Regular" w:hAnsi="MinionPro-Regular" w:cs="Calibri"/>
                <w:color w:val="000000"/>
                <w:szCs w:val="22"/>
                <w:lang w:val="en-US"/>
              </w:rPr>
              <w:t>Cartelería, pegatinas y rotulación</w:t>
            </w:r>
          </w:p>
        </w:tc>
      </w:tr>
      <w:tr w:rsidR="00E2336B" w:rsidRPr="000123AA" w:rsidTr="008466BC">
        <w:trPr>
          <w:trHeight w:val="3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bCs/>
                <w:color w:val="000000"/>
                <w:szCs w:val="22"/>
                <w:lang w:val="en-US"/>
              </w:rPr>
            </w:pPr>
            <w:r w:rsidRPr="00224A16">
              <w:rPr>
                <w:rFonts w:ascii="MinionPro-Regular" w:hAnsi="MinionPro-Regular" w:cs="Calibri"/>
                <w:bCs/>
                <w:color w:val="000000"/>
                <w:szCs w:val="22"/>
                <w:lang w:val="en-US"/>
              </w:rPr>
              <w:t> </w:t>
            </w:r>
          </w:p>
        </w:tc>
        <w:tc>
          <w:tcPr>
            <w:tcW w:w="7883" w:type="dxa"/>
            <w:tcBorders>
              <w:top w:val="nil"/>
              <w:left w:val="nil"/>
              <w:bottom w:val="nil"/>
              <w:right w:val="nil"/>
            </w:tcBorders>
            <w:shd w:val="clear" w:color="000000" w:fill="BFBFBF"/>
            <w:vAlign w:val="center"/>
          </w:tcPr>
          <w:p w:rsidR="002959F0" w:rsidRDefault="00E2336B" w:rsidP="002959F0">
            <w:pPr>
              <w:ind w:firstLineChars="400" w:firstLine="880"/>
              <w:rPr>
                <w:rFonts w:ascii="MinionPro-Regular" w:hAnsi="MinionPro-Regular" w:cs="Calibri"/>
                <w:color w:val="000000"/>
                <w:szCs w:val="22"/>
                <w:lang w:val="en-US"/>
              </w:rPr>
            </w:pPr>
            <w:r w:rsidRPr="00224A16">
              <w:rPr>
                <w:rFonts w:ascii="MinionPro-Regular" w:hAnsi="MinionPro-Regular" w:cs="Calibri"/>
                <w:color w:val="000000"/>
                <w:szCs w:val="22"/>
                <w:lang w:val="en-US"/>
              </w:rPr>
              <w:t xml:space="preserve">Cerámica </w:t>
            </w:r>
          </w:p>
        </w:tc>
      </w:tr>
      <w:tr w:rsidR="00E2336B" w:rsidRPr="000123AA" w:rsidTr="008466BC">
        <w:trPr>
          <w:trHeight w:val="3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bCs/>
                <w:color w:val="000000"/>
                <w:szCs w:val="22"/>
                <w:lang w:val="en-US"/>
              </w:rPr>
            </w:pPr>
            <w:r w:rsidRPr="00224A16">
              <w:rPr>
                <w:rFonts w:ascii="MinionPro-Regular" w:hAnsi="MinionPro-Regular" w:cs="Calibri"/>
                <w:bCs/>
                <w:color w:val="000000"/>
                <w:szCs w:val="22"/>
                <w:lang w:val="en-US"/>
              </w:rPr>
              <w:t> </w:t>
            </w:r>
          </w:p>
        </w:tc>
        <w:tc>
          <w:tcPr>
            <w:tcW w:w="7883" w:type="dxa"/>
            <w:tcBorders>
              <w:top w:val="nil"/>
              <w:left w:val="nil"/>
              <w:bottom w:val="nil"/>
              <w:right w:val="nil"/>
            </w:tcBorders>
            <w:shd w:val="clear" w:color="000000" w:fill="BFBFBF"/>
            <w:vAlign w:val="center"/>
          </w:tcPr>
          <w:p w:rsidR="002959F0" w:rsidRDefault="00E2336B" w:rsidP="002959F0">
            <w:pPr>
              <w:ind w:firstLineChars="400" w:firstLine="880"/>
              <w:rPr>
                <w:rFonts w:ascii="MinionPro-Regular" w:hAnsi="MinionPro-Regular" w:cs="Calibri"/>
                <w:color w:val="000000"/>
                <w:szCs w:val="22"/>
                <w:lang w:val="en-US"/>
              </w:rPr>
            </w:pPr>
            <w:r w:rsidRPr="00224A16">
              <w:rPr>
                <w:rFonts w:ascii="MinionPro-Regular" w:hAnsi="MinionPro-Regular" w:cs="Calibri"/>
                <w:color w:val="000000"/>
                <w:szCs w:val="22"/>
                <w:lang w:val="en-US"/>
              </w:rPr>
              <w:t>Comercio al por menor</w:t>
            </w:r>
          </w:p>
        </w:tc>
      </w:tr>
      <w:tr w:rsidR="00E2336B" w:rsidRPr="000123AA" w:rsidTr="008466BC">
        <w:trPr>
          <w:trHeight w:val="3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bCs/>
                <w:color w:val="000000"/>
                <w:szCs w:val="22"/>
                <w:lang w:val="en-US"/>
              </w:rPr>
            </w:pPr>
            <w:r w:rsidRPr="00224A16">
              <w:rPr>
                <w:rFonts w:ascii="MinionPro-Regular" w:hAnsi="MinionPro-Regular" w:cs="Calibri"/>
                <w:bCs/>
                <w:color w:val="000000"/>
                <w:szCs w:val="22"/>
                <w:lang w:val="en-US"/>
              </w:rPr>
              <w:t> </w:t>
            </w:r>
          </w:p>
        </w:tc>
        <w:tc>
          <w:tcPr>
            <w:tcW w:w="7883" w:type="dxa"/>
            <w:tcBorders>
              <w:top w:val="nil"/>
              <w:left w:val="nil"/>
              <w:bottom w:val="nil"/>
              <w:right w:val="nil"/>
            </w:tcBorders>
            <w:shd w:val="clear" w:color="000000" w:fill="BFBFBF"/>
            <w:vAlign w:val="center"/>
          </w:tcPr>
          <w:p w:rsidR="002959F0" w:rsidRDefault="00E2336B" w:rsidP="002959F0">
            <w:pPr>
              <w:ind w:firstLineChars="400" w:firstLine="880"/>
              <w:rPr>
                <w:rFonts w:ascii="MinionPro-Regular" w:hAnsi="MinionPro-Regular" w:cs="Calibri"/>
                <w:color w:val="000000"/>
                <w:szCs w:val="22"/>
                <w:lang w:val="en-US"/>
              </w:rPr>
            </w:pPr>
            <w:r w:rsidRPr="00224A16">
              <w:rPr>
                <w:rFonts w:ascii="MinionPro-Regular" w:hAnsi="MinionPro-Regular" w:cs="Calibri"/>
                <w:color w:val="000000"/>
                <w:szCs w:val="22"/>
                <w:lang w:val="en-US"/>
              </w:rPr>
              <w:t>Comercio al por mayor</w:t>
            </w:r>
          </w:p>
        </w:tc>
      </w:tr>
      <w:tr w:rsidR="00E2336B" w:rsidRPr="000123AA" w:rsidTr="008466BC">
        <w:trPr>
          <w:trHeight w:val="3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bCs/>
                <w:color w:val="000000"/>
                <w:szCs w:val="22"/>
                <w:lang w:val="en-US"/>
              </w:rPr>
            </w:pPr>
            <w:r w:rsidRPr="00224A16">
              <w:rPr>
                <w:rFonts w:ascii="MinionPro-Regular" w:hAnsi="MinionPro-Regular" w:cs="Calibri"/>
                <w:bCs/>
                <w:color w:val="000000"/>
                <w:szCs w:val="22"/>
                <w:lang w:val="en-US"/>
              </w:rPr>
              <w:t> </w:t>
            </w:r>
          </w:p>
        </w:tc>
        <w:tc>
          <w:tcPr>
            <w:tcW w:w="7883" w:type="dxa"/>
            <w:tcBorders>
              <w:top w:val="nil"/>
              <w:left w:val="nil"/>
              <w:bottom w:val="nil"/>
              <w:right w:val="nil"/>
            </w:tcBorders>
            <w:shd w:val="clear" w:color="000000" w:fill="BFBFBF"/>
            <w:vAlign w:val="center"/>
          </w:tcPr>
          <w:p w:rsidR="002959F0" w:rsidRDefault="00E2336B" w:rsidP="002959F0">
            <w:pPr>
              <w:ind w:firstLineChars="400" w:firstLine="880"/>
              <w:rPr>
                <w:rFonts w:ascii="MinionPro-Regular" w:hAnsi="MinionPro-Regular" w:cs="Calibri"/>
                <w:color w:val="000000"/>
                <w:szCs w:val="22"/>
                <w:lang w:val="en-US"/>
              </w:rPr>
            </w:pPr>
            <w:r w:rsidRPr="00224A16">
              <w:rPr>
                <w:rFonts w:ascii="MinionPro-Regular" w:hAnsi="MinionPro-Regular" w:cs="Calibri"/>
                <w:color w:val="000000"/>
                <w:szCs w:val="22"/>
                <w:lang w:val="en-US"/>
              </w:rPr>
              <w:t>Conductor</w:t>
            </w:r>
          </w:p>
        </w:tc>
      </w:tr>
      <w:tr w:rsidR="00E2336B" w:rsidRPr="000123AA" w:rsidTr="008466BC">
        <w:trPr>
          <w:trHeight w:val="3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bCs/>
                <w:color w:val="000000"/>
                <w:szCs w:val="22"/>
                <w:lang w:val="en-US"/>
              </w:rPr>
            </w:pPr>
            <w:r w:rsidRPr="00224A16">
              <w:rPr>
                <w:rFonts w:ascii="MinionPro-Regular" w:hAnsi="MinionPro-Regular" w:cs="Calibri"/>
                <w:bCs/>
                <w:color w:val="000000"/>
                <w:szCs w:val="22"/>
                <w:lang w:val="en-US"/>
              </w:rPr>
              <w:t> </w:t>
            </w:r>
          </w:p>
        </w:tc>
        <w:tc>
          <w:tcPr>
            <w:tcW w:w="7883" w:type="dxa"/>
            <w:tcBorders>
              <w:top w:val="nil"/>
              <w:left w:val="nil"/>
              <w:bottom w:val="nil"/>
              <w:right w:val="nil"/>
            </w:tcBorders>
            <w:shd w:val="clear" w:color="000000" w:fill="BFBFBF"/>
            <w:vAlign w:val="center"/>
          </w:tcPr>
          <w:p w:rsidR="002959F0" w:rsidRDefault="00E2336B" w:rsidP="002959F0">
            <w:pPr>
              <w:ind w:firstLineChars="400" w:firstLine="880"/>
              <w:rPr>
                <w:rFonts w:ascii="MinionPro-Regular" w:hAnsi="MinionPro-Regular" w:cs="Calibri"/>
                <w:color w:val="000000"/>
                <w:szCs w:val="22"/>
                <w:lang w:val="en-US"/>
              </w:rPr>
            </w:pPr>
            <w:r w:rsidRPr="00224A16">
              <w:rPr>
                <w:rFonts w:ascii="MinionPro-Regular" w:hAnsi="MinionPro-Regular" w:cs="Calibri"/>
                <w:color w:val="000000"/>
                <w:szCs w:val="22"/>
                <w:lang w:val="en-US"/>
              </w:rPr>
              <w:t>Confección textil</w:t>
            </w:r>
          </w:p>
        </w:tc>
      </w:tr>
      <w:tr w:rsidR="00E2336B" w:rsidRPr="000123AA" w:rsidTr="008466BC">
        <w:trPr>
          <w:trHeight w:val="3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bCs/>
                <w:color w:val="000000"/>
                <w:szCs w:val="22"/>
                <w:lang w:val="en-US"/>
              </w:rPr>
            </w:pPr>
            <w:r w:rsidRPr="00224A16">
              <w:rPr>
                <w:rFonts w:ascii="MinionPro-Regular" w:hAnsi="MinionPro-Regular" w:cs="Calibri"/>
                <w:bCs/>
                <w:color w:val="000000"/>
                <w:szCs w:val="22"/>
                <w:lang w:val="en-US"/>
              </w:rPr>
              <w:t> </w:t>
            </w:r>
          </w:p>
        </w:tc>
        <w:tc>
          <w:tcPr>
            <w:tcW w:w="7883" w:type="dxa"/>
            <w:tcBorders>
              <w:top w:val="nil"/>
              <w:left w:val="nil"/>
              <w:bottom w:val="nil"/>
              <w:right w:val="nil"/>
            </w:tcBorders>
            <w:shd w:val="clear" w:color="000000" w:fill="BFBFBF"/>
            <w:vAlign w:val="center"/>
          </w:tcPr>
          <w:p w:rsidR="002959F0" w:rsidRDefault="00E2336B" w:rsidP="002959F0">
            <w:pPr>
              <w:ind w:firstLineChars="400" w:firstLine="880"/>
              <w:rPr>
                <w:rFonts w:ascii="MinionPro-Regular" w:hAnsi="MinionPro-Regular" w:cs="Calibri"/>
                <w:color w:val="000000"/>
                <w:szCs w:val="22"/>
                <w:lang w:val="en-US"/>
              </w:rPr>
            </w:pPr>
            <w:r w:rsidRPr="00224A16">
              <w:rPr>
                <w:rFonts w:ascii="MinionPro-Regular" w:hAnsi="MinionPro-Regular" w:cs="Calibri"/>
                <w:color w:val="000000"/>
                <w:szCs w:val="22"/>
                <w:lang w:val="en-US"/>
              </w:rPr>
              <w:t>Conserjería</w:t>
            </w:r>
          </w:p>
        </w:tc>
      </w:tr>
      <w:tr w:rsidR="00E2336B" w:rsidRPr="000123AA" w:rsidTr="008466BC">
        <w:trPr>
          <w:trHeight w:val="3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bCs/>
                <w:color w:val="000000"/>
                <w:szCs w:val="22"/>
                <w:lang w:val="en-US"/>
              </w:rPr>
            </w:pPr>
            <w:r w:rsidRPr="00224A16">
              <w:rPr>
                <w:rFonts w:ascii="MinionPro-Regular" w:hAnsi="MinionPro-Regular" w:cs="Calibri"/>
                <w:bCs/>
                <w:color w:val="000000"/>
                <w:szCs w:val="22"/>
                <w:lang w:val="en-US"/>
              </w:rPr>
              <w:t> </w:t>
            </w:r>
          </w:p>
        </w:tc>
        <w:tc>
          <w:tcPr>
            <w:tcW w:w="7883" w:type="dxa"/>
            <w:tcBorders>
              <w:top w:val="nil"/>
              <w:left w:val="nil"/>
              <w:bottom w:val="nil"/>
              <w:right w:val="nil"/>
            </w:tcBorders>
            <w:shd w:val="clear" w:color="000000" w:fill="BFBFBF"/>
            <w:vAlign w:val="center"/>
          </w:tcPr>
          <w:p w:rsidR="002959F0" w:rsidRDefault="00E2336B" w:rsidP="002959F0">
            <w:pPr>
              <w:ind w:firstLineChars="400" w:firstLine="880"/>
              <w:rPr>
                <w:rFonts w:ascii="MinionPro-Regular" w:hAnsi="MinionPro-Regular" w:cs="Calibri"/>
                <w:color w:val="000000"/>
                <w:szCs w:val="22"/>
                <w:lang w:val="en-US"/>
              </w:rPr>
            </w:pPr>
            <w:r w:rsidRPr="00224A16">
              <w:rPr>
                <w:rFonts w:ascii="MinionPro-Regular" w:hAnsi="MinionPro-Regular" w:cs="Calibri"/>
                <w:color w:val="000000"/>
                <w:szCs w:val="22"/>
                <w:lang w:val="en-US"/>
              </w:rPr>
              <w:t>Consultoría IT</w:t>
            </w:r>
          </w:p>
        </w:tc>
      </w:tr>
      <w:tr w:rsidR="00E2336B" w:rsidRPr="000123AA" w:rsidTr="008466BC">
        <w:trPr>
          <w:trHeight w:val="3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bCs/>
                <w:color w:val="000000"/>
                <w:szCs w:val="22"/>
                <w:lang w:val="en-US"/>
              </w:rPr>
            </w:pPr>
            <w:r w:rsidRPr="00224A16">
              <w:rPr>
                <w:rFonts w:ascii="MinionPro-Regular" w:hAnsi="MinionPro-Regular" w:cs="Calibri"/>
                <w:bCs/>
                <w:color w:val="000000"/>
                <w:szCs w:val="22"/>
                <w:lang w:val="en-US"/>
              </w:rPr>
              <w:t> </w:t>
            </w:r>
          </w:p>
        </w:tc>
        <w:tc>
          <w:tcPr>
            <w:tcW w:w="7883" w:type="dxa"/>
            <w:tcBorders>
              <w:top w:val="nil"/>
              <w:left w:val="nil"/>
              <w:bottom w:val="nil"/>
              <w:right w:val="nil"/>
            </w:tcBorders>
            <w:shd w:val="clear" w:color="000000" w:fill="BFBFBF"/>
            <w:vAlign w:val="center"/>
          </w:tcPr>
          <w:p w:rsidR="002959F0" w:rsidRDefault="00E2336B" w:rsidP="002959F0">
            <w:pPr>
              <w:ind w:firstLineChars="400" w:firstLine="880"/>
              <w:rPr>
                <w:rFonts w:ascii="MinionPro-Regular" w:hAnsi="MinionPro-Regular" w:cs="Calibri"/>
                <w:color w:val="000000"/>
                <w:szCs w:val="22"/>
                <w:lang w:val="en-US"/>
              </w:rPr>
            </w:pPr>
            <w:r w:rsidRPr="00224A16">
              <w:rPr>
                <w:rFonts w:ascii="MinionPro-Regular" w:hAnsi="MinionPro-Regular" w:cs="Calibri"/>
                <w:color w:val="000000"/>
                <w:szCs w:val="22"/>
                <w:lang w:val="en-US"/>
              </w:rPr>
              <w:t xml:space="preserve">Consultoría otros </w:t>
            </w:r>
          </w:p>
        </w:tc>
      </w:tr>
      <w:tr w:rsidR="00E2336B" w:rsidRPr="000123AA" w:rsidTr="008466BC">
        <w:trPr>
          <w:trHeight w:val="3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bCs/>
                <w:color w:val="000000"/>
                <w:szCs w:val="22"/>
                <w:lang w:val="en-US"/>
              </w:rPr>
            </w:pPr>
            <w:r w:rsidRPr="00224A16">
              <w:rPr>
                <w:rFonts w:ascii="MinionPro-Regular" w:hAnsi="MinionPro-Regular" w:cs="Calibri"/>
                <w:bCs/>
                <w:color w:val="000000"/>
                <w:szCs w:val="22"/>
                <w:lang w:val="en-US"/>
              </w:rPr>
              <w:t> </w:t>
            </w:r>
          </w:p>
        </w:tc>
        <w:tc>
          <w:tcPr>
            <w:tcW w:w="7883" w:type="dxa"/>
            <w:tcBorders>
              <w:top w:val="nil"/>
              <w:left w:val="nil"/>
              <w:bottom w:val="nil"/>
              <w:right w:val="nil"/>
            </w:tcBorders>
            <w:shd w:val="clear" w:color="000000" w:fill="BFBFBF"/>
            <w:vAlign w:val="center"/>
          </w:tcPr>
          <w:p w:rsidR="002959F0" w:rsidRDefault="00E2336B" w:rsidP="002959F0">
            <w:pPr>
              <w:ind w:firstLineChars="400" w:firstLine="880"/>
              <w:rPr>
                <w:rFonts w:ascii="MinionPro-Regular" w:hAnsi="MinionPro-Regular" w:cs="Calibri"/>
                <w:color w:val="000000"/>
                <w:szCs w:val="22"/>
                <w:lang w:val="en-US"/>
              </w:rPr>
            </w:pPr>
            <w:r w:rsidRPr="00224A16">
              <w:rPr>
                <w:rFonts w:ascii="MinionPro-Regular" w:hAnsi="MinionPro-Regular" w:cs="Calibri"/>
                <w:color w:val="000000"/>
                <w:szCs w:val="22"/>
                <w:lang w:val="en-US"/>
              </w:rPr>
              <w:t>Consumibles informáticos</w:t>
            </w:r>
          </w:p>
        </w:tc>
      </w:tr>
      <w:tr w:rsidR="00E2336B" w:rsidRPr="000123AA" w:rsidTr="008466BC">
        <w:trPr>
          <w:trHeight w:val="3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bCs/>
                <w:color w:val="000000"/>
                <w:szCs w:val="22"/>
                <w:lang w:val="en-US"/>
              </w:rPr>
            </w:pPr>
            <w:r w:rsidRPr="00224A16">
              <w:rPr>
                <w:rFonts w:ascii="MinionPro-Regular" w:hAnsi="MinionPro-Regular" w:cs="Calibri"/>
                <w:bCs/>
                <w:color w:val="000000"/>
                <w:szCs w:val="22"/>
                <w:lang w:val="en-US"/>
              </w:rPr>
              <w:t> </w:t>
            </w:r>
          </w:p>
        </w:tc>
        <w:tc>
          <w:tcPr>
            <w:tcW w:w="7883" w:type="dxa"/>
            <w:tcBorders>
              <w:top w:val="nil"/>
              <w:left w:val="nil"/>
              <w:bottom w:val="nil"/>
              <w:right w:val="nil"/>
            </w:tcBorders>
            <w:shd w:val="clear" w:color="000000" w:fill="BFBFBF"/>
            <w:vAlign w:val="center"/>
          </w:tcPr>
          <w:p w:rsidR="002959F0" w:rsidRDefault="00E2336B" w:rsidP="002959F0">
            <w:pPr>
              <w:ind w:firstLineChars="400" w:firstLine="880"/>
              <w:rPr>
                <w:rFonts w:ascii="MinionPro-Regular" w:hAnsi="MinionPro-Regular" w:cs="Calibri"/>
                <w:color w:val="000000"/>
                <w:szCs w:val="22"/>
                <w:lang w:val="en-US"/>
              </w:rPr>
            </w:pPr>
            <w:r w:rsidRPr="00224A16">
              <w:rPr>
                <w:rFonts w:ascii="MinionPro-Regular" w:hAnsi="MinionPro-Regular" w:cs="Calibri"/>
                <w:color w:val="000000"/>
                <w:szCs w:val="22"/>
                <w:lang w:val="en-US"/>
              </w:rPr>
              <w:t>Contact center</w:t>
            </w:r>
          </w:p>
        </w:tc>
      </w:tr>
      <w:tr w:rsidR="00E2336B" w:rsidRPr="000123AA" w:rsidTr="008466BC">
        <w:trPr>
          <w:trHeight w:val="3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bCs/>
                <w:color w:val="000000"/>
                <w:szCs w:val="22"/>
                <w:lang w:val="en-US"/>
              </w:rPr>
            </w:pPr>
            <w:r w:rsidRPr="00224A16">
              <w:rPr>
                <w:rFonts w:ascii="MinionPro-Regular" w:hAnsi="MinionPro-Regular" w:cs="Calibri"/>
                <w:bCs/>
                <w:color w:val="000000"/>
                <w:szCs w:val="22"/>
                <w:lang w:val="en-US"/>
              </w:rPr>
              <w:t> </w:t>
            </w:r>
          </w:p>
        </w:tc>
        <w:tc>
          <w:tcPr>
            <w:tcW w:w="7883" w:type="dxa"/>
            <w:tcBorders>
              <w:top w:val="nil"/>
              <w:left w:val="nil"/>
              <w:bottom w:val="nil"/>
              <w:right w:val="nil"/>
            </w:tcBorders>
            <w:shd w:val="clear" w:color="000000" w:fill="BFBFBF"/>
            <w:vAlign w:val="center"/>
          </w:tcPr>
          <w:p w:rsidR="002959F0" w:rsidRDefault="00E2336B" w:rsidP="002959F0">
            <w:pPr>
              <w:ind w:firstLineChars="400" w:firstLine="880"/>
              <w:rPr>
                <w:rFonts w:ascii="MinionPro-Regular" w:hAnsi="MinionPro-Regular" w:cs="Calibri"/>
                <w:color w:val="000000"/>
                <w:szCs w:val="22"/>
                <w:lang w:val="es-ES_tradnl"/>
              </w:rPr>
            </w:pPr>
            <w:r w:rsidRPr="00224A16">
              <w:rPr>
                <w:rFonts w:ascii="MinionPro-Regular" w:hAnsi="MinionPro-Regular" w:cs="Calibri"/>
                <w:color w:val="000000"/>
                <w:szCs w:val="22"/>
                <w:lang w:val="es-ES_tradnl"/>
              </w:rPr>
              <w:t>Control de calidad de productos</w:t>
            </w:r>
          </w:p>
        </w:tc>
      </w:tr>
      <w:tr w:rsidR="00E2336B" w:rsidRPr="000123AA" w:rsidTr="008466BC">
        <w:trPr>
          <w:trHeight w:val="3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bCs/>
                <w:color w:val="000000"/>
                <w:szCs w:val="22"/>
                <w:lang w:val="es-ES_tradnl"/>
              </w:rPr>
            </w:pPr>
            <w:r w:rsidRPr="00224A16">
              <w:rPr>
                <w:rFonts w:ascii="MinionPro-Regular" w:hAnsi="MinionPro-Regular" w:cs="Calibri"/>
                <w:bCs/>
                <w:color w:val="000000"/>
                <w:szCs w:val="22"/>
                <w:lang w:val="es-ES_tradnl"/>
              </w:rPr>
              <w:t> </w:t>
            </w:r>
          </w:p>
        </w:tc>
        <w:tc>
          <w:tcPr>
            <w:tcW w:w="7883" w:type="dxa"/>
            <w:tcBorders>
              <w:top w:val="nil"/>
              <w:left w:val="nil"/>
              <w:bottom w:val="nil"/>
              <w:right w:val="nil"/>
            </w:tcBorders>
            <w:shd w:val="clear" w:color="000000" w:fill="BFBFBF"/>
            <w:vAlign w:val="center"/>
          </w:tcPr>
          <w:p w:rsidR="002959F0" w:rsidRDefault="00E2336B" w:rsidP="002959F0">
            <w:pPr>
              <w:ind w:firstLineChars="400" w:firstLine="880"/>
              <w:rPr>
                <w:rFonts w:ascii="MinionPro-Regular" w:hAnsi="MinionPro-Regular" w:cs="Calibri"/>
                <w:color w:val="000000"/>
                <w:szCs w:val="22"/>
                <w:lang w:val="es-ES_tradnl"/>
              </w:rPr>
            </w:pPr>
            <w:r w:rsidRPr="00224A16">
              <w:rPr>
                <w:rFonts w:ascii="MinionPro-Regular" w:hAnsi="MinionPro-Regular" w:cs="Calibri"/>
                <w:color w:val="000000"/>
                <w:szCs w:val="22"/>
                <w:lang w:val="es-ES_tradnl"/>
              </w:rPr>
              <w:t>Copistería, imprenta y/o reprografía</w:t>
            </w:r>
          </w:p>
        </w:tc>
      </w:tr>
      <w:tr w:rsidR="00E2336B" w:rsidRPr="000123AA" w:rsidTr="008466BC">
        <w:trPr>
          <w:trHeight w:val="3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bCs/>
                <w:color w:val="000000"/>
                <w:szCs w:val="22"/>
                <w:lang w:val="es-ES_tradnl"/>
              </w:rPr>
            </w:pPr>
            <w:r w:rsidRPr="00224A16">
              <w:rPr>
                <w:rFonts w:ascii="MinionPro-Regular" w:hAnsi="MinionPro-Regular" w:cs="Calibri"/>
                <w:bCs/>
                <w:color w:val="000000"/>
                <w:szCs w:val="22"/>
                <w:lang w:val="es-ES_tradnl"/>
              </w:rPr>
              <w:t> </w:t>
            </w:r>
          </w:p>
        </w:tc>
        <w:tc>
          <w:tcPr>
            <w:tcW w:w="7883" w:type="dxa"/>
            <w:tcBorders>
              <w:top w:val="nil"/>
              <w:left w:val="nil"/>
              <w:bottom w:val="nil"/>
              <w:right w:val="nil"/>
            </w:tcBorders>
            <w:shd w:val="clear" w:color="000000" w:fill="BFBFBF"/>
            <w:vAlign w:val="center"/>
          </w:tcPr>
          <w:p w:rsidR="002959F0" w:rsidRDefault="00E2336B" w:rsidP="002959F0">
            <w:pPr>
              <w:ind w:firstLineChars="400" w:firstLine="880"/>
              <w:rPr>
                <w:rFonts w:ascii="MinionPro-Regular" w:hAnsi="MinionPro-Regular" w:cs="Calibri"/>
                <w:color w:val="000000"/>
                <w:szCs w:val="22"/>
                <w:lang w:val="en-US"/>
              </w:rPr>
            </w:pPr>
            <w:r w:rsidRPr="00224A16">
              <w:rPr>
                <w:rFonts w:ascii="MinionPro-Regular" w:hAnsi="MinionPro-Regular" w:cs="Calibri"/>
                <w:color w:val="000000"/>
                <w:szCs w:val="22"/>
                <w:lang w:val="en-US"/>
              </w:rPr>
              <w:t>Destrucción de documentos</w:t>
            </w:r>
          </w:p>
        </w:tc>
      </w:tr>
      <w:tr w:rsidR="00E2336B" w:rsidRPr="000123AA" w:rsidTr="008466BC">
        <w:trPr>
          <w:trHeight w:val="3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bCs/>
                <w:color w:val="000000"/>
                <w:szCs w:val="22"/>
                <w:lang w:val="en-US"/>
              </w:rPr>
            </w:pPr>
            <w:r w:rsidRPr="00224A16">
              <w:rPr>
                <w:rFonts w:ascii="MinionPro-Regular" w:hAnsi="MinionPro-Regular" w:cs="Calibri"/>
                <w:bCs/>
                <w:color w:val="000000"/>
                <w:szCs w:val="22"/>
                <w:lang w:val="en-US"/>
              </w:rPr>
              <w:t> </w:t>
            </w:r>
          </w:p>
        </w:tc>
        <w:tc>
          <w:tcPr>
            <w:tcW w:w="7883" w:type="dxa"/>
            <w:tcBorders>
              <w:top w:val="nil"/>
              <w:left w:val="nil"/>
              <w:bottom w:val="nil"/>
              <w:right w:val="nil"/>
            </w:tcBorders>
            <w:shd w:val="clear" w:color="000000" w:fill="BFBFBF"/>
            <w:vAlign w:val="center"/>
          </w:tcPr>
          <w:p w:rsidR="002959F0" w:rsidRDefault="00E2336B" w:rsidP="002959F0">
            <w:pPr>
              <w:ind w:firstLineChars="400" w:firstLine="880"/>
              <w:rPr>
                <w:rFonts w:ascii="MinionPro-Regular" w:hAnsi="MinionPro-Regular" w:cs="Calibri"/>
                <w:color w:val="000000"/>
                <w:szCs w:val="22"/>
                <w:lang w:val="es-ES_tradnl"/>
              </w:rPr>
            </w:pPr>
            <w:r w:rsidRPr="00224A16">
              <w:rPr>
                <w:rFonts w:ascii="MinionPro-Regular" w:hAnsi="MinionPro-Regular" w:cs="Calibri"/>
                <w:color w:val="000000"/>
                <w:szCs w:val="22"/>
                <w:lang w:val="es-ES_tradnl"/>
              </w:rPr>
              <w:t>Distribución de alimentos y otros artículos</w:t>
            </w:r>
          </w:p>
        </w:tc>
      </w:tr>
      <w:tr w:rsidR="00E2336B" w:rsidRPr="000123AA" w:rsidTr="008466BC">
        <w:trPr>
          <w:trHeight w:val="3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bCs/>
                <w:color w:val="000000"/>
                <w:szCs w:val="22"/>
                <w:lang w:val="es-ES_tradnl"/>
              </w:rPr>
            </w:pPr>
            <w:r w:rsidRPr="00224A16">
              <w:rPr>
                <w:rFonts w:ascii="MinionPro-Regular" w:hAnsi="MinionPro-Regular" w:cs="Calibri"/>
                <w:bCs/>
                <w:color w:val="000000"/>
                <w:szCs w:val="22"/>
                <w:lang w:val="es-ES_tradnl"/>
              </w:rPr>
              <w:t> </w:t>
            </w:r>
          </w:p>
        </w:tc>
        <w:tc>
          <w:tcPr>
            <w:tcW w:w="7883" w:type="dxa"/>
            <w:tcBorders>
              <w:top w:val="nil"/>
              <w:left w:val="nil"/>
              <w:bottom w:val="nil"/>
              <w:right w:val="nil"/>
            </w:tcBorders>
            <w:shd w:val="clear" w:color="000000" w:fill="BFBFBF"/>
            <w:vAlign w:val="center"/>
          </w:tcPr>
          <w:p w:rsidR="002959F0" w:rsidRDefault="00E2336B" w:rsidP="002959F0">
            <w:pPr>
              <w:ind w:firstLineChars="400" w:firstLine="880"/>
              <w:rPr>
                <w:rFonts w:ascii="MinionPro-Regular" w:hAnsi="MinionPro-Regular" w:cs="Calibri"/>
                <w:color w:val="000000"/>
                <w:szCs w:val="22"/>
                <w:lang w:val="en-US"/>
              </w:rPr>
            </w:pPr>
            <w:r w:rsidRPr="00224A16">
              <w:rPr>
                <w:rFonts w:ascii="MinionPro-Regular" w:hAnsi="MinionPro-Regular" w:cs="Calibri"/>
                <w:color w:val="000000"/>
                <w:szCs w:val="22"/>
                <w:lang w:val="en-US"/>
              </w:rPr>
              <w:t>E-business</w:t>
            </w:r>
          </w:p>
        </w:tc>
      </w:tr>
      <w:tr w:rsidR="00E2336B" w:rsidRPr="000123AA" w:rsidTr="008466BC">
        <w:trPr>
          <w:trHeight w:val="3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bCs/>
                <w:color w:val="000000"/>
                <w:szCs w:val="22"/>
                <w:lang w:val="en-US"/>
              </w:rPr>
            </w:pPr>
            <w:r w:rsidRPr="00224A16">
              <w:rPr>
                <w:rFonts w:ascii="MinionPro-Regular" w:hAnsi="MinionPro-Regular" w:cs="Calibri"/>
                <w:bCs/>
                <w:color w:val="000000"/>
                <w:szCs w:val="22"/>
                <w:lang w:val="en-US"/>
              </w:rPr>
              <w:t> </w:t>
            </w:r>
          </w:p>
        </w:tc>
        <w:tc>
          <w:tcPr>
            <w:tcW w:w="7883" w:type="dxa"/>
            <w:tcBorders>
              <w:top w:val="nil"/>
              <w:left w:val="nil"/>
              <w:bottom w:val="nil"/>
              <w:right w:val="nil"/>
            </w:tcBorders>
            <w:shd w:val="clear" w:color="000000" w:fill="BFBFBF"/>
            <w:vAlign w:val="center"/>
          </w:tcPr>
          <w:p w:rsidR="002959F0" w:rsidRDefault="00E2336B" w:rsidP="002959F0">
            <w:pPr>
              <w:ind w:firstLineChars="400" w:firstLine="880"/>
              <w:rPr>
                <w:rFonts w:ascii="MinionPro-Regular" w:hAnsi="MinionPro-Regular" w:cs="Calibri"/>
                <w:color w:val="000000"/>
                <w:szCs w:val="22"/>
                <w:lang w:val="en-US"/>
              </w:rPr>
            </w:pPr>
            <w:r w:rsidRPr="00224A16">
              <w:rPr>
                <w:rFonts w:ascii="MinionPro-Regular" w:hAnsi="MinionPro-Regular" w:cs="Calibri"/>
                <w:color w:val="000000"/>
                <w:szCs w:val="22"/>
                <w:lang w:val="en-US"/>
              </w:rPr>
              <w:t>Educación/ Formación</w:t>
            </w:r>
          </w:p>
        </w:tc>
      </w:tr>
      <w:tr w:rsidR="00E2336B" w:rsidRPr="000123AA" w:rsidTr="008466BC">
        <w:trPr>
          <w:trHeight w:val="3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bCs/>
                <w:color w:val="000000"/>
                <w:szCs w:val="22"/>
                <w:lang w:val="en-US"/>
              </w:rPr>
            </w:pPr>
            <w:r w:rsidRPr="00224A16">
              <w:rPr>
                <w:rFonts w:ascii="MinionPro-Regular" w:hAnsi="MinionPro-Regular" w:cs="Calibri"/>
                <w:bCs/>
                <w:color w:val="000000"/>
                <w:szCs w:val="22"/>
                <w:lang w:val="en-US"/>
              </w:rPr>
              <w:t> </w:t>
            </w:r>
          </w:p>
        </w:tc>
        <w:tc>
          <w:tcPr>
            <w:tcW w:w="7883" w:type="dxa"/>
            <w:tcBorders>
              <w:top w:val="nil"/>
              <w:left w:val="nil"/>
              <w:bottom w:val="nil"/>
              <w:right w:val="nil"/>
            </w:tcBorders>
            <w:shd w:val="clear" w:color="000000" w:fill="BFBFBF"/>
            <w:vAlign w:val="center"/>
          </w:tcPr>
          <w:p w:rsidR="002959F0" w:rsidRDefault="00E2336B" w:rsidP="002959F0">
            <w:pPr>
              <w:ind w:firstLineChars="400" w:firstLine="880"/>
              <w:rPr>
                <w:rFonts w:ascii="MinionPro-Regular" w:hAnsi="MinionPro-Regular" w:cs="Calibri"/>
                <w:color w:val="000000"/>
                <w:szCs w:val="22"/>
                <w:lang w:val="es-ES_tradnl"/>
              </w:rPr>
            </w:pPr>
            <w:r w:rsidRPr="00224A16">
              <w:rPr>
                <w:rFonts w:ascii="MinionPro-Regular" w:hAnsi="MinionPro-Regular" w:cs="Calibri"/>
                <w:color w:val="000000"/>
                <w:szCs w:val="22"/>
                <w:lang w:val="es-ES_tradnl"/>
              </w:rPr>
              <w:t>Elaboración distribución y venta de prensa</w:t>
            </w:r>
          </w:p>
        </w:tc>
      </w:tr>
      <w:tr w:rsidR="00E2336B" w:rsidRPr="000123AA" w:rsidTr="008466BC">
        <w:trPr>
          <w:trHeight w:val="3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bCs/>
                <w:color w:val="000000"/>
                <w:szCs w:val="22"/>
                <w:lang w:val="es-ES_tradnl"/>
              </w:rPr>
            </w:pPr>
            <w:r w:rsidRPr="00224A16">
              <w:rPr>
                <w:rFonts w:ascii="MinionPro-Regular" w:hAnsi="MinionPro-Regular" w:cs="Calibri"/>
                <w:bCs/>
                <w:color w:val="000000"/>
                <w:szCs w:val="22"/>
                <w:lang w:val="es-ES_tradnl"/>
              </w:rPr>
              <w:lastRenderedPageBreak/>
              <w:t> </w:t>
            </w:r>
          </w:p>
        </w:tc>
        <w:tc>
          <w:tcPr>
            <w:tcW w:w="7883" w:type="dxa"/>
            <w:tcBorders>
              <w:top w:val="nil"/>
              <w:left w:val="nil"/>
              <w:bottom w:val="nil"/>
              <w:right w:val="nil"/>
            </w:tcBorders>
            <w:shd w:val="clear" w:color="000000" w:fill="BFBFBF"/>
            <w:vAlign w:val="center"/>
          </w:tcPr>
          <w:p w:rsidR="002959F0" w:rsidRDefault="00E2336B" w:rsidP="002959F0">
            <w:pPr>
              <w:ind w:firstLineChars="400" w:firstLine="880"/>
              <w:rPr>
                <w:rFonts w:ascii="MinionPro-Regular" w:hAnsi="MinionPro-Regular" w:cs="Calibri"/>
                <w:color w:val="000000"/>
                <w:szCs w:val="22"/>
                <w:lang w:val="es-ES_tradnl"/>
              </w:rPr>
            </w:pPr>
            <w:r w:rsidRPr="00224A16">
              <w:rPr>
                <w:rFonts w:ascii="MinionPro-Regular" w:hAnsi="MinionPro-Regular" w:cs="Calibri"/>
                <w:color w:val="000000"/>
                <w:szCs w:val="22"/>
                <w:lang w:val="es-ES_tradnl"/>
              </w:rPr>
              <w:t>Eliminación de barreras arquitectónicas y urbanísticas</w:t>
            </w:r>
          </w:p>
        </w:tc>
      </w:tr>
      <w:tr w:rsidR="00E2336B" w:rsidRPr="000123AA" w:rsidTr="008466BC">
        <w:trPr>
          <w:trHeight w:val="3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bCs/>
                <w:color w:val="000000"/>
                <w:szCs w:val="22"/>
                <w:lang w:val="es-ES_tradnl"/>
              </w:rPr>
            </w:pPr>
            <w:r w:rsidRPr="00224A16">
              <w:rPr>
                <w:rFonts w:ascii="MinionPro-Regular" w:hAnsi="MinionPro-Regular" w:cs="Calibri"/>
                <w:bCs/>
                <w:color w:val="000000"/>
                <w:szCs w:val="22"/>
                <w:lang w:val="es-ES_tradnl"/>
              </w:rPr>
              <w:t> </w:t>
            </w:r>
          </w:p>
        </w:tc>
        <w:tc>
          <w:tcPr>
            <w:tcW w:w="7883" w:type="dxa"/>
            <w:tcBorders>
              <w:top w:val="nil"/>
              <w:left w:val="nil"/>
              <w:bottom w:val="nil"/>
              <w:right w:val="nil"/>
            </w:tcBorders>
            <w:shd w:val="clear" w:color="000000" w:fill="BFBFBF"/>
            <w:vAlign w:val="center"/>
          </w:tcPr>
          <w:p w:rsidR="002959F0" w:rsidRDefault="00E2336B" w:rsidP="002959F0">
            <w:pPr>
              <w:ind w:firstLineChars="400" w:firstLine="880"/>
              <w:rPr>
                <w:rFonts w:ascii="MinionPro-Regular" w:hAnsi="MinionPro-Regular" w:cs="Calibri"/>
                <w:color w:val="000000"/>
                <w:szCs w:val="22"/>
                <w:lang w:val="es-ES_tradnl"/>
              </w:rPr>
            </w:pPr>
            <w:r w:rsidRPr="00224A16">
              <w:rPr>
                <w:rFonts w:ascii="MinionPro-Regular" w:hAnsi="MinionPro-Regular" w:cs="Calibri"/>
                <w:color w:val="000000"/>
                <w:szCs w:val="22"/>
                <w:lang w:val="es-ES_tradnl"/>
              </w:rPr>
              <w:t>Embalaje (embolsado, empaquetado y almacenaje)</w:t>
            </w:r>
          </w:p>
        </w:tc>
      </w:tr>
      <w:tr w:rsidR="00E2336B" w:rsidRPr="000123AA" w:rsidTr="008466BC">
        <w:trPr>
          <w:trHeight w:val="3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bCs/>
                <w:color w:val="000000"/>
                <w:szCs w:val="22"/>
                <w:lang w:val="es-ES_tradnl"/>
              </w:rPr>
            </w:pPr>
            <w:r w:rsidRPr="00224A16">
              <w:rPr>
                <w:rFonts w:ascii="MinionPro-Regular" w:hAnsi="MinionPro-Regular" w:cs="Calibri"/>
                <w:bCs/>
                <w:color w:val="000000"/>
                <w:szCs w:val="22"/>
                <w:lang w:val="es-ES_tradnl"/>
              </w:rPr>
              <w:t> </w:t>
            </w:r>
          </w:p>
        </w:tc>
        <w:tc>
          <w:tcPr>
            <w:tcW w:w="7883" w:type="dxa"/>
            <w:tcBorders>
              <w:top w:val="nil"/>
              <w:left w:val="nil"/>
              <w:bottom w:val="nil"/>
              <w:right w:val="nil"/>
            </w:tcBorders>
            <w:shd w:val="clear" w:color="000000" w:fill="BFBFBF"/>
            <w:vAlign w:val="center"/>
          </w:tcPr>
          <w:p w:rsidR="002959F0" w:rsidRDefault="00E2336B" w:rsidP="002959F0">
            <w:pPr>
              <w:ind w:firstLineChars="400" w:firstLine="880"/>
              <w:rPr>
                <w:rFonts w:ascii="MinionPro-Regular" w:hAnsi="MinionPro-Regular" w:cs="Calibri"/>
                <w:color w:val="000000"/>
                <w:szCs w:val="22"/>
                <w:lang w:val="es-ES_tradnl"/>
              </w:rPr>
            </w:pPr>
            <w:r w:rsidRPr="00224A16">
              <w:rPr>
                <w:rFonts w:ascii="MinionPro-Regular" w:hAnsi="MinionPro-Regular" w:cs="Calibri"/>
                <w:color w:val="000000"/>
                <w:szCs w:val="22"/>
                <w:lang w:val="es-ES_tradnl"/>
              </w:rPr>
              <w:t>Fabricación de productos de caucho y plásticos</w:t>
            </w:r>
          </w:p>
        </w:tc>
      </w:tr>
      <w:tr w:rsidR="00E2336B" w:rsidRPr="000123AA" w:rsidTr="008466BC">
        <w:trPr>
          <w:trHeight w:val="3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bCs/>
                <w:color w:val="000000"/>
                <w:szCs w:val="22"/>
                <w:lang w:val="es-ES_tradnl"/>
              </w:rPr>
            </w:pPr>
            <w:r w:rsidRPr="00224A16">
              <w:rPr>
                <w:rFonts w:ascii="MinionPro-Regular" w:hAnsi="MinionPro-Regular" w:cs="Calibri"/>
                <w:bCs/>
                <w:color w:val="000000"/>
                <w:szCs w:val="22"/>
                <w:lang w:val="es-ES_tradnl"/>
              </w:rPr>
              <w:t> </w:t>
            </w:r>
          </w:p>
        </w:tc>
        <w:tc>
          <w:tcPr>
            <w:tcW w:w="7883" w:type="dxa"/>
            <w:tcBorders>
              <w:top w:val="nil"/>
              <w:left w:val="nil"/>
              <w:bottom w:val="nil"/>
              <w:right w:val="nil"/>
            </w:tcBorders>
            <w:shd w:val="clear" w:color="000000" w:fill="BFBFBF"/>
            <w:vAlign w:val="center"/>
          </w:tcPr>
          <w:p w:rsidR="002959F0" w:rsidRDefault="00E2336B" w:rsidP="002959F0">
            <w:pPr>
              <w:ind w:firstLineChars="400" w:firstLine="880"/>
              <w:rPr>
                <w:rFonts w:ascii="MinionPro-Regular" w:hAnsi="MinionPro-Regular" w:cs="Calibri"/>
                <w:color w:val="000000"/>
                <w:szCs w:val="22"/>
                <w:lang w:val="es-ES_tradnl"/>
              </w:rPr>
            </w:pPr>
            <w:r w:rsidRPr="00224A16">
              <w:rPr>
                <w:rFonts w:ascii="MinionPro-Regular" w:hAnsi="MinionPro-Regular" w:cs="Calibri"/>
                <w:color w:val="000000"/>
                <w:szCs w:val="22"/>
                <w:lang w:val="es-ES_tradnl"/>
              </w:rPr>
              <w:t>Fabricación de productos de hierro, acero y ferroaleaciones</w:t>
            </w:r>
          </w:p>
        </w:tc>
      </w:tr>
      <w:tr w:rsidR="00E2336B" w:rsidRPr="000123AA" w:rsidTr="008466BC">
        <w:trPr>
          <w:trHeight w:val="3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bCs/>
                <w:color w:val="000000"/>
                <w:szCs w:val="22"/>
                <w:lang w:val="es-ES_tradnl"/>
              </w:rPr>
            </w:pPr>
            <w:r w:rsidRPr="00224A16">
              <w:rPr>
                <w:rFonts w:ascii="MinionPro-Regular" w:hAnsi="MinionPro-Regular" w:cs="Calibri"/>
                <w:bCs/>
                <w:color w:val="000000"/>
                <w:szCs w:val="22"/>
                <w:lang w:val="es-ES_tradnl"/>
              </w:rPr>
              <w:t> </w:t>
            </w:r>
          </w:p>
        </w:tc>
        <w:tc>
          <w:tcPr>
            <w:tcW w:w="7883" w:type="dxa"/>
            <w:tcBorders>
              <w:top w:val="nil"/>
              <w:left w:val="nil"/>
              <w:bottom w:val="nil"/>
              <w:right w:val="nil"/>
            </w:tcBorders>
            <w:shd w:val="clear" w:color="000000" w:fill="BFBFBF"/>
            <w:vAlign w:val="center"/>
          </w:tcPr>
          <w:p w:rsidR="002959F0" w:rsidRDefault="00E2336B" w:rsidP="002959F0">
            <w:pPr>
              <w:ind w:firstLineChars="400" w:firstLine="880"/>
              <w:rPr>
                <w:rFonts w:ascii="MinionPro-Regular" w:hAnsi="MinionPro-Regular" w:cs="Calibri"/>
                <w:color w:val="000000"/>
                <w:szCs w:val="22"/>
                <w:lang w:val="en-US"/>
              </w:rPr>
            </w:pPr>
            <w:r w:rsidRPr="00224A16">
              <w:rPr>
                <w:rFonts w:ascii="MinionPro-Regular" w:hAnsi="MinionPro-Regular" w:cs="Calibri"/>
                <w:color w:val="000000"/>
                <w:szCs w:val="22"/>
                <w:lang w:val="en-US"/>
              </w:rPr>
              <w:t>Fabricación de productos metálicos</w:t>
            </w:r>
          </w:p>
        </w:tc>
      </w:tr>
      <w:tr w:rsidR="00E2336B" w:rsidRPr="000123AA" w:rsidTr="008466BC">
        <w:trPr>
          <w:trHeight w:val="3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bCs/>
                <w:color w:val="000000"/>
                <w:szCs w:val="22"/>
                <w:lang w:val="en-US"/>
              </w:rPr>
            </w:pPr>
            <w:r w:rsidRPr="00224A16">
              <w:rPr>
                <w:rFonts w:ascii="MinionPro-Regular" w:hAnsi="MinionPro-Regular" w:cs="Calibri"/>
                <w:bCs/>
                <w:color w:val="000000"/>
                <w:szCs w:val="22"/>
                <w:lang w:val="en-US"/>
              </w:rPr>
              <w:t> </w:t>
            </w:r>
          </w:p>
        </w:tc>
        <w:tc>
          <w:tcPr>
            <w:tcW w:w="7883" w:type="dxa"/>
            <w:tcBorders>
              <w:top w:val="nil"/>
              <w:left w:val="nil"/>
              <w:bottom w:val="nil"/>
              <w:right w:val="nil"/>
            </w:tcBorders>
            <w:shd w:val="clear" w:color="000000" w:fill="BFBFBF"/>
            <w:vAlign w:val="center"/>
          </w:tcPr>
          <w:p w:rsidR="002959F0" w:rsidRDefault="00E2336B" w:rsidP="002959F0">
            <w:pPr>
              <w:ind w:firstLineChars="400" w:firstLine="880"/>
              <w:rPr>
                <w:rFonts w:ascii="MinionPro-Regular" w:hAnsi="MinionPro-Regular" w:cs="Calibri"/>
                <w:color w:val="000000"/>
                <w:szCs w:val="22"/>
                <w:lang w:val="es-ES_tradnl"/>
              </w:rPr>
            </w:pPr>
            <w:r w:rsidRPr="00224A16">
              <w:rPr>
                <w:rFonts w:ascii="MinionPro-Regular" w:hAnsi="MinionPro-Regular" w:cs="Calibri"/>
                <w:color w:val="000000"/>
                <w:szCs w:val="22"/>
                <w:lang w:val="es-ES_tradnl"/>
              </w:rPr>
              <w:t>Fabricación de productos informáticos, electrónicos y ópticos</w:t>
            </w:r>
          </w:p>
        </w:tc>
      </w:tr>
      <w:tr w:rsidR="00E2336B" w:rsidRPr="000123AA" w:rsidTr="008466BC">
        <w:trPr>
          <w:trHeight w:val="3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bCs/>
                <w:color w:val="000000"/>
                <w:szCs w:val="22"/>
                <w:lang w:val="es-ES_tradnl"/>
              </w:rPr>
            </w:pPr>
            <w:r w:rsidRPr="00224A16">
              <w:rPr>
                <w:rFonts w:ascii="MinionPro-Regular" w:hAnsi="MinionPro-Regular" w:cs="Calibri"/>
                <w:bCs/>
                <w:color w:val="000000"/>
                <w:szCs w:val="22"/>
                <w:lang w:val="es-ES_tradnl"/>
              </w:rPr>
              <w:t> </w:t>
            </w:r>
          </w:p>
        </w:tc>
        <w:tc>
          <w:tcPr>
            <w:tcW w:w="7883" w:type="dxa"/>
            <w:tcBorders>
              <w:top w:val="nil"/>
              <w:left w:val="nil"/>
              <w:bottom w:val="nil"/>
              <w:right w:val="nil"/>
            </w:tcBorders>
            <w:shd w:val="clear" w:color="000000" w:fill="BFBFBF"/>
            <w:vAlign w:val="center"/>
          </w:tcPr>
          <w:p w:rsidR="002959F0" w:rsidRDefault="00E2336B" w:rsidP="002959F0">
            <w:pPr>
              <w:ind w:firstLineChars="400" w:firstLine="880"/>
              <w:rPr>
                <w:rFonts w:ascii="MinionPro-Regular" w:hAnsi="MinionPro-Regular" w:cs="Calibri"/>
                <w:color w:val="000000"/>
                <w:szCs w:val="22"/>
                <w:lang w:val="es-ES_tradnl"/>
              </w:rPr>
            </w:pPr>
            <w:r w:rsidRPr="00224A16">
              <w:rPr>
                <w:rFonts w:ascii="MinionPro-Regular" w:hAnsi="MinionPro-Regular" w:cs="Calibri"/>
                <w:color w:val="000000"/>
                <w:szCs w:val="22"/>
                <w:lang w:val="es-ES_tradnl"/>
              </w:rPr>
              <w:t>Fabricación de material y equipo eléctrico</w:t>
            </w:r>
          </w:p>
        </w:tc>
      </w:tr>
      <w:tr w:rsidR="00E2336B" w:rsidRPr="000123AA" w:rsidTr="008466BC">
        <w:trPr>
          <w:trHeight w:val="3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bCs/>
                <w:color w:val="000000"/>
                <w:szCs w:val="22"/>
                <w:lang w:val="es-ES_tradnl"/>
              </w:rPr>
            </w:pPr>
            <w:r w:rsidRPr="00224A16">
              <w:rPr>
                <w:rFonts w:ascii="MinionPro-Regular" w:hAnsi="MinionPro-Regular" w:cs="Calibri"/>
                <w:bCs/>
                <w:color w:val="000000"/>
                <w:szCs w:val="22"/>
                <w:lang w:val="es-ES_tradnl"/>
              </w:rPr>
              <w:t> </w:t>
            </w:r>
          </w:p>
        </w:tc>
        <w:tc>
          <w:tcPr>
            <w:tcW w:w="7883" w:type="dxa"/>
            <w:tcBorders>
              <w:top w:val="nil"/>
              <w:left w:val="nil"/>
              <w:bottom w:val="nil"/>
              <w:right w:val="nil"/>
            </w:tcBorders>
            <w:shd w:val="clear" w:color="000000" w:fill="BFBFBF"/>
            <w:vAlign w:val="center"/>
          </w:tcPr>
          <w:p w:rsidR="002959F0" w:rsidRDefault="00E2336B" w:rsidP="002959F0">
            <w:pPr>
              <w:ind w:firstLineChars="400" w:firstLine="880"/>
              <w:rPr>
                <w:rFonts w:ascii="MinionPro-Regular" w:hAnsi="MinionPro-Regular" w:cs="Calibri"/>
                <w:color w:val="000000"/>
                <w:szCs w:val="22"/>
                <w:lang w:val="en-US"/>
              </w:rPr>
            </w:pPr>
            <w:r w:rsidRPr="00224A16">
              <w:rPr>
                <w:rFonts w:ascii="MinionPro-Regular" w:hAnsi="MinionPro-Regular" w:cs="Calibri"/>
                <w:color w:val="000000"/>
                <w:szCs w:val="22"/>
                <w:lang w:val="en-US"/>
              </w:rPr>
              <w:t>Fabricación de muebles</w:t>
            </w:r>
          </w:p>
        </w:tc>
      </w:tr>
      <w:tr w:rsidR="00E2336B" w:rsidRPr="000123AA" w:rsidTr="008466BC">
        <w:trPr>
          <w:trHeight w:val="3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bCs/>
                <w:color w:val="000000"/>
                <w:szCs w:val="22"/>
                <w:lang w:val="en-US"/>
              </w:rPr>
            </w:pPr>
            <w:r w:rsidRPr="00224A16">
              <w:rPr>
                <w:rFonts w:ascii="MinionPro-Regular" w:hAnsi="MinionPro-Regular" w:cs="Calibri"/>
                <w:bCs/>
                <w:color w:val="000000"/>
                <w:szCs w:val="22"/>
                <w:lang w:val="en-US"/>
              </w:rPr>
              <w:t> </w:t>
            </w:r>
          </w:p>
        </w:tc>
        <w:tc>
          <w:tcPr>
            <w:tcW w:w="7883" w:type="dxa"/>
            <w:tcBorders>
              <w:top w:val="nil"/>
              <w:left w:val="nil"/>
              <w:bottom w:val="nil"/>
              <w:right w:val="nil"/>
            </w:tcBorders>
            <w:shd w:val="clear" w:color="000000" w:fill="BFBFBF"/>
            <w:vAlign w:val="center"/>
          </w:tcPr>
          <w:p w:rsidR="002959F0" w:rsidRDefault="00E2336B" w:rsidP="002959F0">
            <w:pPr>
              <w:ind w:firstLineChars="400" w:firstLine="880"/>
              <w:rPr>
                <w:rFonts w:ascii="MinionPro-Regular" w:hAnsi="MinionPro-Regular" w:cs="Calibri"/>
                <w:color w:val="000000"/>
                <w:szCs w:val="22"/>
                <w:lang w:val="en-US"/>
              </w:rPr>
            </w:pPr>
            <w:r w:rsidRPr="00224A16">
              <w:rPr>
                <w:rFonts w:ascii="MinionPro-Regular" w:hAnsi="MinionPro-Regular" w:cs="Calibri"/>
                <w:color w:val="000000"/>
                <w:szCs w:val="22"/>
                <w:lang w:val="en-US"/>
              </w:rPr>
              <w:t>Hostelería y Catering</w:t>
            </w:r>
          </w:p>
        </w:tc>
      </w:tr>
      <w:tr w:rsidR="00E2336B" w:rsidRPr="000123AA" w:rsidTr="008466BC">
        <w:trPr>
          <w:trHeight w:val="3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bCs/>
                <w:color w:val="000000"/>
                <w:szCs w:val="22"/>
                <w:lang w:val="en-US"/>
              </w:rPr>
            </w:pPr>
            <w:r w:rsidRPr="00224A16">
              <w:rPr>
                <w:rFonts w:ascii="MinionPro-Regular" w:hAnsi="MinionPro-Regular" w:cs="Calibri"/>
                <w:bCs/>
                <w:color w:val="000000"/>
                <w:szCs w:val="22"/>
                <w:lang w:val="en-US"/>
              </w:rPr>
              <w:t> </w:t>
            </w:r>
          </w:p>
        </w:tc>
        <w:tc>
          <w:tcPr>
            <w:tcW w:w="7883" w:type="dxa"/>
            <w:tcBorders>
              <w:top w:val="nil"/>
              <w:left w:val="nil"/>
              <w:bottom w:val="nil"/>
              <w:right w:val="nil"/>
            </w:tcBorders>
            <w:shd w:val="clear" w:color="000000" w:fill="BFBFBF"/>
            <w:vAlign w:val="center"/>
          </w:tcPr>
          <w:p w:rsidR="002959F0" w:rsidRDefault="00E2336B" w:rsidP="002959F0">
            <w:pPr>
              <w:ind w:firstLineChars="400" w:firstLine="880"/>
              <w:rPr>
                <w:rFonts w:ascii="MinionPro-Regular" w:hAnsi="MinionPro-Regular" w:cs="Calibri"/>
                <w:color w:val="000000"/>
                <w:szCs w:val="22"/>
                <w:lang w:val="en-US"/>
              </w:rPr>
            </w:pPr>
            <w:r w:rsidRPr="00224A16">
              <w:rPr>
                <w:rFonts w:ascii="MinionPro-Regular" w:hAnsi="MinionPro-Regular" w:cs="Calibri"/>
                <w:color w:val="000000"/>
                <w:szCs w:val="22"/>
                <w:lang w:val="en-US"/>
              </w:rPr>
              <w:t>Jardinería</w:t>
            </w:r>
          </w:p>
        </w:tc>
      </w:tr>
      <w:tr w:rsidR="00E2336B" w:rsidRPr="000123AA" w:rsidTr="008466BC">
        <w:trPr>
          <w:trHeight w:val="3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bCs/>
                <w:color w:val="000000"/>
                <w:szCs w:val="22"/>
                <w:lang w:val="en-US"/>
              </w:rPr>
            </w:pPr>
            <w:r w:rsidRPr="00224A16">
              <w:rPr>
                <w:rFonts w:ascii="MinionPro-Regular" w:hAnsi="MinionPro-Regular" w:cs="Calibri"/>
                <w:bCs/>
                <w:color w:val="000000"/>
                <w:szCs w:val="22"/>
                <w:lang w:val="en-US"/>
              </w:rPr>
              <w:t> </w:t>
            </w:r>
          </w:p>
        </w:tc>
        <w:tc>
          <w:tcPr>
            <w:tcW w:w="7883" w:type="dxa"/>
            <w:tcBorders>
              <w:top w:val="nil"/>
              <w:left w:val="nil"/>
              <w:bottom w:val="nil"/>
              <w:right w:val="nil"/>
            </w:tcBorders>
            <w:shd w:val="clear" w:color="000000" w:fill="BFBFBF"/>
            <w:vAlign w:val="center"/>
          </w:tcPr>
          <w:p w:rsidR="002959F0" w:rsidRDefault="00E2336B" w:rsidP="002959F0">
            <w:pPr>
              <w:ind w:firstLineChars="400" w:firstLine="880"/>
              <w:rPr>
                <w:rFonts w:ascii="MinionPro-Regular" w:hAnsi="MinionPro-Regular" w:cs="Calibri"/>
                <w:color w:val="000000"/>
                <w:szCs w:val="22"/>
                <w:lang w:val="en-US"/>
              </w:rPr>
            </w:pPr>
            <w:r w:rsidRPr="00224A16">
              <w:rPr>
                <w:rFonts w:ascii="MinionPro-Regular" w:hAnsi="MinionPro-Regular" w:cs="Calibri"/>
                <w:color w:val="000000"/>
                <w:szCs w:val="22"/>
                <w:lang w:val="en-US"/>
              </w:rPr>
              <w:t>Lavandería</w:t>
            </w:r>
          </w:p>
        </w:tc>
      </w:tr>
      <w:tr w:rsidR="00E2336B" w:rsidRPr="000123AA" w:rsidTr="008466BC">
        <w:trPr>
          <w:trHeight w:val="3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bCs/>
                <w:color w:val="000000"/>
                <w:szCs w:val="22"/>
                <w:lang w:val="en-US"/>
              </w:rPr>
            </w:pPr>
            <w:r w:rsidRPr="00224A16">
              <w:rPr>
                <w:rFonts w:ascii="MinionPro-Regular" w:hAnsi="MinionPro-Regular" w:cs="Calibri"/>
                <w:bCs/>
                <w:color w:val="000000"/>
                <w:szCs w:val="22"/>
                <w:lang w:val="en-US"/>
              </w:rPr>
              <w:t> </w:t>
            </w:r>
          </w:p>
        </w:tc>
        <w:tc>
          <w:tcPr>
            <w:tcW w:w="7883" w:type="dxa"/>
            <w:tcBorders>
              <w:top w:val="nil"/>
              <w:left w:val="nil"/>
              <w:bottom w:val="nil"/>
              <w:right w:val="nil"/>
            </w:tcBorders>
            <w:shd w:val="clear" w:color="000000" w:fill="BFBFBF"/>
            <w:vAlign w:val="center"/>
          </w:tcPr>
          <w:p w:rsidR="002959F0" w:rsidRDefault="00E2336B" w:rsidP="002959F0">
            <w:pPr>
              <w:ind w:firstLineChars="400" w:firstLine="880"/>
              <w:rPr>
                <w:rFonts w:ascii="MinionPro-Regular" w:hAnsi="MinionPro-Regular" w:cs="Calibri"/>
                <w:color w:val="000000"/>
                <w:szCs w:val="22"/>
                <w:lang w:val="en-US"/>
              </w:rPr>
            </w:pPr>
            <w:r w:rsidRPr="00224A16">
              <w:rPr>
                <w:rFonts w:ascii="MinionPro-Regular" w:hAnsi="MinionPro-Regular" w:cs="Calibri"/>
                <w:color w:val="000000"/>
                <w:szCs w:val="22"/>
                <w:lang w:val="en-US"/>
              </w:rPr>
              <w:t>Limpieza</w:t>
            </w:r>
          </w:p>
        </w:tc>
      </w:tr>
      <w:tr w:rsidR="00E2336B" w:rsidRPr="000123AA" w:rsidTr="008466BC">
        <w:trPr>
          <w:trHeight w:val="3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bCs/>
                <w:color w:val="000000"/>
                <w:szCs w:val="22"/>
                <w:lang w:val="en-US"/>
              </w:rPr>
            </w:pPr>
            <w:r w:rsidRPr="00224A16">
              <w:rPr>
                <w:rFonts w:ascii="MinionPro-Regular" w:hAnsi="MinionPro-Regular" w:cs="Calibri"/>
                <w:bCs/>
                <w:color w:val="000000"/>
                <w:szCs w:val="22"/>
                <w:lang w:val="en-US"/>
              </w:rPr>
              <w:t> </w:t>
            </w:r>
          </w:p>
        </w:tc>
        <w:tc>
          <w:tcPr>
            <w:tcW w:w="7883" w:type="dxa"/>
            <w:tcBorders>
              <w:top w:val="nil"/>
              <w:left w:val="nil"/>
              <w:bottom w:val="nil"/>
              <w:right w:val="nil"/>
            </w:tcBorders>
            <w:shd w:val="clear" w:color="000000" w:fill="BFBFBF"/>
            <w:vAlign w:val="center"/>
          </w:tcPr>
          <w:p w:rsidR="002959F0" w:rsidRDefault="00E2336B" w:rsidP="002959F0">
            <w:pPr>
              <w:ind w:firstLineChars="400" w:firstLine="880"/>
              <w:rPr>
                <w:rFonts w:ascii="MinionPro-Regular" w:hAnsi="MinionPro-Regular" w:cs="Calibri"/>
                <w:color w:val="000000"/>
                <w:szCs w:val="22"/>
                <w:lang w:val="en-US"/>
              </w:rPr>
            </w:pPr>
            <w:r w:rsidRPr="00224A16">
              <w:rPr>
                <w:rFonts w:ascii="MinionPro-Regular" w:hAnsi="MinionPro-Regular" w:cs="Calibri"/>
                <w:color w:val="000000"/>
                <w:szCs w:val="22"/>
                <w:lang w:val="en-US"/>
              </w:rPr>
              <w:t>Limpieza pública</w:t>
            </w:r>
          </w:p>
        </w:tc>
      </w:tr>
      <w:tr w:rsidR="00E2336B" w:rsidRPr="000123AA" w:rsidTr="008466BC">
        <w:trPr>
          <w:trHeight w:val="3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bCs/>
                <w:color w:val="000000"/>
                <w:szCs w:val="22"/>
                <w:lang w:val="en-US"/>
              </w:rPr>
            </w:pPr>
            <w:r w:rsidRPr="00224A16">
              <w:rPr>
                <w:rFonts w:ascii="MinionPro-Regular" w:hAnsi="MinionPro-Regular" w:cs="Calibri"/>
                <w:bCs/>
                <w:color w:val="000000"/>
                <w:szCs w:val="22"/>
                <w:lang w:val="en-US"/>
              </w:rPr>
              <w:t> </w:t>
            </w:r>
          </w:p>
        </w:tc>
        <w:tc>
          <w:tcPr>
            <w:tcW w:w="7883" w:type="dxa"/>
            <w:tcBorders>
              <w:top w:val="nil"/>
              <w:left w:val="nil"/>
              <w:bottom w:val="nil"/>
              <w:right w:val="nil"/>
            </w:tcBorders>
            <w:shd w:val="clear" w:color="000000" w:fill="BFBFBF"/>
            <w:vAlign w:val="center"/>
          </w:tcPr>
          <w:p w:rsidR="002959F0" w:rsidRDefault="00E2336B" w:rsidP="002959F0">
            <w:pPr>
              <w:ind w:firstLineChars="400" w:firstLine="880"/>
              <w:rPr>
                <w:rFonts w:ascii="MinionPro-Regular" w:hAnsi="MinionPro-Regular" w:cs="Calibri"/>
                <w:color w:val="000000"/>
                <w:szCs w:val="22"/>
                <w:lang w:val="en-US"/>
              </w:rPr>
            </w:pPr>
            <w:r w:rsidRPr="00224A16">
              <w:rPr>
                <w:rFonts w:ascii="MinionPro-Regular" w:hAnsi="MinionPro-Regular" w:cs="Calibri"/>
                <w:color w:val="000000"/>
                <w:szCs w:val="22"/>
                <w:lang w:val="en-US"/>
              </w:rPr>
              <w:t>Manufactura (otras industrias)</w:t>
            </w:r>
          </w:p>
        </w:tc>
      </w:tr>
      <w:tr w:rsidR="00E2336B" w:rsidRPr="000123AA" w:rsidTr="008466BC">
        <w:trPr>
          <w:trHeight w:val="3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bCs/>
                <w:color w:val="000000"/>
                <w:szCs w:val="22"/>
                <w:lang w:val="en-US"/>
              </w:rPr>
            </w:pPr>
            <w:r w:rsidRPr="00224A16">
              <w:rPr>
                <w:rFonts w:ascii="MinionPro-Regular" w:hAnsi="MinionPro-Regular" w:cs="Calibri"/>
                <w:bCs/>
                <w:color w:val="000000"/>
                <w:szCs w:val="22"/>
                <w:lang w:val="en-US"/>
              </w:rPr>
              <w:t> </w:t>
            </w:r>
          </w:p>
        </w:tc>
        <w:tc>
          <w:tcPr>
            <w:tcW w:w="7883" w:type="dxa"/>
            <w:tcBorders>
              <w:top w:val="nil"/>
              <w:left w:val="nil"/>
              <w:bottom w:val="nil"/>
              <w:right w:val="nil"/>
            </w:tcBorders>
            <w:shd w:val="clear" w:color="000000" w:fill="BFBFBF"/>
            <w:vAlign w:val="center"/>
          </w:tcPr>
          <w:p w:rsidR="002959F0" w:rsidRDefault="00E2336B" w:rsidP="002959F0">
            <w:pPr>
              <w:ind w:firstLineChars="400" w:firstLine="880"/>
              <w:rPr>
                <w:rFonts w:ascii="MinionPro-Regular" w:hAnsi="MinionPro-Regular" w:cs="Calibri"/>
                <w:color w:val="000000"/>
                <w:szCs w:val="22"/>
                <w:lang w:val="en-US"/>
              </w:rPr>
            </w:pPr>
            <w:r w:rsidRPr="00224A16">
              <w:rPr>
                <w:rFonts w:ascii="MinionPro-Regular" w:hAnsi="MinionPro-Regular" w:cs="Calibri"/>
                <w:color w:val="000000"/>
                <w:szCs w:val="22"/>
                <w:lang w:val="en-US"/>
              </w:rPr>
              <w:t>Mensajería</w:t>
            </w:r>
          </w:p>
        </w:tc>
      </w:tr>
      <w:tr w:rsidR="00E2336B" w:rsidRPr="000123AA" w:rsidTr="008466BC">
        <w:trPr>
          <w:trHeight w:val="3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bCs/>
                <w:color w:val="000000"/>
                <w:szCs w:val="22"/>
                <w:lang w:val="en-US"/>
              </w:rPr>
            </w:pPr>
            <w:r w:rsidRPr="00224A16">
              <w:rPr>
                <w:rFonts w:ascii="MinionPro-Regular" w:hAnsi="MinionPro-Regular" w:cs="Calibri"/>
                <w:bCs/>
                <w:color w:val="000000"/>
                <w:szCs w:val="22"/>
                <w:lang w:val="en-US"/>
              </w:rPr>
              <w:t> </w:t>
            </w:r>
          </w:p>
        </w:tc>
        <w:tc>
          <w:tcPr>
            <w:tcW w:w="7883" w:type="dxa"/>
            <w:tcBorders>
              <w:top w:val="nil"/>
              <w:left w:val="nil"/>
              <w:bottom w:val="nil"/>
              <w:right w:val="nil"/>
            </w:tcBorders>
            <w:shd w:val="clear" w:color="000000" w:fill="BFBFBF"/>
            <w:vAlign w:val="center"/>
          </w:tcPr>
          <w:p w:rsidR="002959F0" w:rsidRDefault="00E2336B" w:rsidP="002959F0">
            <w:pPr>
              <w:ind w:firstLineChars="400" w:firstLine="880"/>
              <w:rPr>
                <w:rFonts w:ascii="MinionPro-Regular" w:hAnsi="MinionPro-Regular" w:cs="Calibri"/>
                <w:color w:val="000000"/>
                <w:szCs w:val="22"/>
                <w:lang w:val="en-US"/>
              </w:rPr>
            </w:pPr>
            <w:r w:rsidRPr="00224A16">
              <w:rPr>
                <w:rFonts w:ascii="MinionPro-Regular" w:hAnsi="MinionPro-Regular" w:cs="Calibri"/>
                <w:color w:val="000000"/>
                <w:szCs w:val="22"/>
                <w:lang w:val="en-US"/>
              </w:rPr>
              <w:t>Montaje en cadena</w:t>
            </w:r>
          </w:p>
        </w:tc>
      </w:tr>
      <w:tr w:rsidR="00E2336B" w:rsidRPr="000123AA" w:rsidTr="008466BC">
        <w:trPr>
          <w:trHeight w:val="3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bCs/>
                <w:color w:val="000000"/>
                <w:szCs w:val="22"/>
                <w:lang w:val="en-US"/>
              </w:rPr>
            </w:pPr>
            <w:r w:rsidRPr="00224A16">
              <w:rPr>
                <w:rFonts w:ascii="MinionPro-Regular" w:hAnsi="MinionPro-Regular" w:cs="Calibri"/>
                <w:bCs/>
                <w:color w:val="000000"/>
                <w:szCs w:val="22"/>
                <w:lang w:val="en-US"/>
              </w:rPr>
              <w:t> </w:t>
            </w:r>
          </w:p>
        </w:tc>
        <w:tc>
          <w:tcPr>
            <w:tcW w:w="7883" w:type="dxa"/>
            <w:tcBorders>
              <w:top w:val="nil"/>
              <w:left w:val="nil"/>
              <w:bottom w:val="nil"/>
              <w:right w:val="nil"/>
            </w:tcBorders>
            <w:shd w:val="clear" w:color="000000" w:fill="BFBFBF"/>
            <w:vAlign w:val="center"/>
          </w:tcPr>
          <w:p w:rsidR="002959F0" w:rsidRDefault="00E2336B" w:rsidP="002959F0">
            <w:pPr>
              <w:ind w:firstLineChars="400" w:firstLine="880"/>
              <w:rPr>
                <w:rFonts w:ascii="MinionPro-Regular" w:hAnsi="MinionPro-Regular" w:cs="Calibri"/>
                <w:color w:val="000000"/>
                <w:szCs w:val="22"/>
                <w:lang w:val="en-US"/>
              </w:rPr>
            </w:pPr>
            <w:r w:rsidRPr="00224A16">
              <w:rPr>
                <w:rFonts w:ascii="MinionPro-Regular" w:hAnsi="MinionPro-Regular" w:cs="Calibri"/>
                <w:color w:val="000000"/>
                <w:szCs w:val="22"/>
                <w:lang w:val="en-US"/>
              </w:rPr>
              <w:t>Personal de servicio domestico</w:t>
            </w:r>
          </w:p>
        </w:tc>
      </w:tr>
      <w:tr w:rsidR="00E2336B" w:rsidRPr="000123AA" w:rsidTr="008466BC">
        <w:trPr>
          <w:trHeight w:val="3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bCs/>
                <w:color w:val="000000"/>
                <w:szCs w:val="22"/>
                <w:lang w:val="en-US"/>
              </w:rPr>
            </w:pPr>
            <w:r w:rsidRPr="00224A16">
              <w:rPr>
                <w:rFonts w:ascii="MinionPro-Regular" w:hAnsi="MinionPro-Regular" w:cs="Calibri"/>
                <w:bCs/>
                <w:color w:val="000000"/>
                <w:szCs w:val="22"/>
                <w:lang w:val="en-US"/>
              </w:rPr>
              <w:t> </w:t>
            </w:r>
          </w:p>
        </w:tc>
        <w:tc>
          <w:tcPr>
            <w:tcW w:w="7883" w:type="dxa"/>
            <w:tcBorders>
              <w:top w:val="nil"/>
              <w:left w:val="nil"/>
              <w:bottom w:val="nil"/>
              <w:right w:val="nil"/>
            </w:tcBorders>
            <w:shd w:val="clear" w:color="000000" w:fill="BFBFBF"/>
            <w:vAlign w:val="center"/>
          </w:tcPr>
          <w:p w:rsidR="002959F0" w:rsidRDefault="00E2336B" w:rsidP="002959F0">
            <w:pPr>
              <w:ind w:firstLineChars="400" w:firstLine="880"/>
              <w:rPr>
                <w:rFonts w:ascii="MinionPro-Regular" w:hAnsi="MinionPro-Regular" w:cs="Calibri"/>
                <w:color w:val="000000"/>
                <w:szCs w:val="22"/>
                <w:lang w:val="en-US"/>
              </w:rPr>
            </w:pPr>
            <w:r w:rsidRPr="00224A16">
              <w:rPr>
                <w:rFonts w:ascii="MinionPro-Regular" w:hAnsi="MinionPro-Regular" w:cs="Calibri"/>
                <w:color w:val="000000"/>
                <w:szCs w:val="22"/>
                <w:lang w:val="en-US"/>
              </w:rPr>
              <w:t>Recepcionista</w:t>
            </w:r>
          </w:p>
        </w:tc>
      </w:tr>
      <w:tr w:rsidR="00E2336B" w:rsidRPr="000123AA" w:rsidTr="008466BC">
        <w:trPr>
          <w:trHeight w:val="3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bCs/>
                <w:color w:val="000000"/>
                <w:szCs w:val="22"/>
                <w:lang w:val="en-US"/>
              </w:rPr>
            </w:pPr>
            <w:r w:rsidRPr="00224A16">
              <w:rPr>
                <w:rFonts w:ascii="MinionPro-Regular" w:hAnsi="MinionPro-Regular" w:cs="Calibri"/>
                <w:bCs/>
                <w:color w:val="000000"/>
                <w:szCs w:val="22"/>
                <w:lang w:val="en-US"/>
              </w:rPr>
              <w:t> </w:t>
            </w:r>
          </w:p>
        </w:tc>
        <w:tc>
          <w:tcPr>
            <w:tcW w:w="7883" w:type="dxa"/>
            <w:tcBorders>
              <w:top w:val="nil"/>
              <w:left w:val="nil"/>
              <w:bottom w:val="nil"/>
              <w:right w:val="nil"/>
            </w:tcBorders>
            <w:shd w:val="clear" w:color="000000" w:fill="BFBFBF"/>
            <w:vAlign w:val="center"/>
          </w:tcPr>
          <w:p w:rsidR="002959F0" w:rsidRDefault="00E2336B" w:rsidP="002959F0">
            <w:pPr>
              <w:ind w:firstLineChars="400" w:firstLine="880"/>
              <w:rPr>
                <w:rFonts w:ascii="MinionPro-Regular" w:hAnsi="MinionPro-Regular" w:cs="Calibri"/>
                <w:color w:val="000000"/>
                <w:szCs w:val="22"/>
                <w:lang w:val="es-ES_tradnl"/>
              </w:rPr>
            </w:pPr>
            <w:r w:rsidRPr="00224A16">
              <w:rPr>
                <w:rFonts w:ascii="MinionPro-Regular" w:hAnsi="MinionPro-Regular" w:cs="Calibri"/>
                <w:color w:val="000000"/>
                <w:szCs w:val="22"/>
                <w:lang w:val="es-ES_tradnl"/>
              </w:rPr>
              <w:t>Reciclado (papel cartón, punto limpio, RAEEs, residuos sanitarios...)</w:t>
            </w:r>
          </w:p>
        </w:tc>
      </w:tr>
      <w:tr w:rsidR="00E2336B" w:rsidRPr="000123AA" w:rsidTr="008466BC">
        <w:trPr>
          <w:trHeight w:val="3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bCs/>
                <w:color w:val="000000"/>
                <w:szCs w:val="22"/>
                <w:lang w:val="es-ES_tradnl"/>
              </w:rPr>
            </w:pPr>
            <w:r w:rsidRPr="00224A16">
              <w:rPr>
                <w:rFonts w:ascii="MinionPro-Regular" w:hAnsi="MinionPro-Regular" w:cs="Calibri"/>
                <w:bCs/>
                <w:color w:val="000000"/>
                <w:szCs w:val="22"/>
                <w:lang w:val="es-ES_tradnl"/>
              </w:rPr>
              <w:t> </w:t>
            </w:r>
          </w:p>
        </w:tc>
        <w:tc>
          <w:tcPr>
            <w:tcW w:w="7883" w:type="dxa"/>
            <w:tcBorders>
              <w:top w:val="nil"/>
              <w:left w:val="nil"/>
              <w:bottom w:val="nil"/>
              <w:right w:val="nil"/>
            </w:tcBorders>
            <w:shd w:val="clear" w:color="000000" w:fill="BFBFBF"/>
            <w:vAlign w:val="center"/>
          </w:tcPr>
          <w:p w:rsidR="002959F0" w:rsidRDefault="00E2336B" w:rsidP="002959F0">
            <w:pPr>
              <w:ind w:firstLineChars="400" w:firstLine="880"/>
              <w:rPr>
                <w:rFonts w:ascii="MinionPro-Regular" w:hAnsi="MinionPro-Regular" w:cs="Calibri"/>
                <w:color w:val="000000"/>
                <w:szCs w:val="22"/>
                <w:lang w:val="es-ES_tradnl"/>
              </w:rPr>
            </w:pPr>
            <w:r w:rsidRPr="00224A16">
              <w:rPr>
                <w:rFonts w:ascii="MinionPro-Regular" w:hAnsi="MinionPro-Regular" w:cs="Calibri"/>
                <w:color w:val="000000"/>
                <w:szCs w:val="22"/>
                <w:lang w:val="es-ES_tradnl"/>
              </w:rPr>
              <w:t>Regalos (promocional, cestas de navidad,)</w:t>
            </w:r>
          </w:p>
        </w:tc>
      </w:tr>
      <w:tr w:rsidR="00E2336B" w:rsidRPr="000123AA" w:rsidTr="008466BC">
        <w:trPr>
          <w:trHeight w:val="3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bCs/>
                <w:color w:val="000000"/>
                <w:szCs w:val="22"/>
                <w:lang w:val="es-ES_tradnl"/>
              </w:rPr>
            </w:pPr>
            <w:r w:rsidRPr="00224A16">
              <w:rPr>
                <w:rFonts w:ascii="MinionPro-Regular" w:hAnsi="MinionPro-Regular" w:cs="Calibri"/>
                <w:bCs/>
                <w:color w:val="000000"/>
                <w:szCs w:val="22"/>
                <w:lang w:val="es-ES_tradnl"/>
              </w:rPr>
              <w:t> </w:t>
            </w:r>
          </w:p>
        </w:tc>
        <w:tc>
          <w:tcPr>
            <w:tcW w:w="7883" w:type="dxa"/>
            <w:tcBorders>
              <w:top w:val="nil"/>
              <w:left w:val="nil"/>
              <w:bottom w:val="nil"/>
              <w:right w:val="nil"/>
            </w:tcBorders>
            <w:shd w:val="clear" w:color="000000" w:fill="BFBFBF"/>
            <w:vAlign w:val="center"/>
          </w:tcPr>
          <w:p w:rsidR="002959F0" w:rsidRDefault="00E2336B" w:rsidP="002959F0">
            <w:pPr>
              <w:ind w:firstLineChars="400" w:firstLine="880"/>
              <w:rPr>
                <w:rFonts w:ascii="MinionPro-Regular" w:hAnsi="MinionPro-Regular" w:cs="Calibri"/>
                <w:color w:val="000000"/>
                <w:szCs w:val="22"/>
                <w:lang w:val="en-US"/>
              </w:rPr>
            </w:pPr>
            <w:r w:rsidRPr="00224A16">
              <w:rPr>
                <w:rFonts w:ascii="MinionPro-Regular" w:hAnsi="MinionPro-Regular" w:cs="Calibri"/>
                <w:color w:val="000000"/>
                <w:szCs w:val="22"/>
                <w:lang w:val="en-US"/>
              </w:rPr>
              <w:t>Servicios administrativos</w:t>
            </w:r>
          </w:p>
        </w:tc>
      </w:tr>
      <w:tr w:rsidR="00E2336B" w:rsidRPr="000123AA" w:rsidTr="008466BC">
        <w:trPr>
          <w:trHeight w:val="3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bCs/>
                <w:color w:val="000000"/>
                <w:szCs w:val="22"/>
                <w:lang w:val="en-US"/>
              </w:rPr>
            </w:pPr>
            <w:r w:rsidRPr="00224A16">
              <w:rPr>
                <w:rFonts w:ascii="MinionPro-Regular" w:hAnsi="MinionPro-Regular" w:cs="Calibri"/>
                <w:bCs/>
                <w:color w:val="000000"/>
                <w:szCs w:val="22"/>
                <w:lang w:val="en-US"/>
              </w:rPr>
              <w:t> </w:t>
            </w:r>
          </w:p>
        </w:tc>
        <w:tc>
          <w:tcPr>
            <w:tcW w:w="7883" w:type="dxa"/>
            <w:tcBorders>
              <w:top w:val="nil"/>
              <w:left w:val="nil"/>
              <w:bottom w:val="nil"/>
              <w:right w:val="nil"/>
            </w:tcBorders>
            <w:shd w:val="clear" w:color="000000" w:fill="BFBFBF"/>
            <w:vAlign w:val="center"/>
          </w:tcPr>
          <w:p w:rsidR="002959F0" w:rsidRDefault="00E2336B" w:rsidP="002959F0">
            <w:pPr>
              <w:ind w:firstLineChars="400" w:firstLine="880"/>
              <w:rPr>
                <w:rFonts w:ascii="MinionPro-Regular" w:hAnsi="MinionPro-Regular" w:cs="Calibri"/>
                <w:color w:val="000000"/>
                <w:szCs w:val="22"/>
                <w:lang w:val="en-US"/>
              </w:rPr>
            </w:pPr>
            <w:r w:rsidRPr="00224A16">
              <w:rPr>
                <w:rFonts w:ascii="MinionPro-Regular" w:hAnsi="MinionPro-Regular" w:cs="Calibri"/>
                <w:color w:val="000000"/>
                <w:szCs w:val="22"/>
                <w:lang w:val="en-US"/>
              </w:rPr>
              <w:t xml:space="preserve">Telecomunicaciones </w:t>
            </w:r>
          </w:p>
        </w:tc>
      </w:tr>
      <w:tr w:rsidR="00E2336B" w:rsidRPr="000123AA" w:rsidTr="008466BC">
        <w:trPr>
          <w:trHeight w:val="3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bCs/>
                <w:color w:val="000000"/>
                <w:szCs w:val="22"/>
                <w:lang w:val="en-US"/>
              </w:rPr>
            </w:pPr>
            <w:r w:rsidRPr="00224A16">
              <w:rPr>
                <w:rFonts w:ascii="MinionPro-Regular" w:hAnsi="MinionPro-Regular" w:cs="Calibri"/>
                <w:bCs/>
                <w:color w:val="000000"/>
                <w:szCs w:val="22"/>
                <w:lang w:val="en-US"/>
              </w:rPr>
              <w:t> </w:t>
            </w:r>
          </w:p>
        </w:tc>
        <w:tc>
          <w:tcPr>
            <w:tcW w:w="7883" w:type="dxa"/>
            <w:tcBorders>
              <w:top w:val="nil"/>
              <w:left w:val="nil"/>
              <w:bottom w:val="nil"/>
              <w:right w:val="nil"/>
            </w:tcBorders>
            <w:shd w:val="clear" w:color="000000" w:fill="BFBFBF"/>
            <w:vAlign w:val="center"/>
          </w:tcPr>
          <w:p w:rsidR="002959F0" w:rsidRDefault="00E2336B" w:rsidP="002959F0">
            <w:pPr>
              <w:ind w:firstLineChars="400" w:firstLine="880"/>
              <w:rPr>
                <w:rFonts w:ascii="MinionPro-Regular" w:hAnsi="MinionPro-Regular" w:cs="Calibri"/>
                <w:color w:val="000000"/>
                <w:szCs w:val="22"/>
                <w:lang w:val="en-US"/>
              </w:rPr>
            </w:pPr>
            <w:r w:rsidRPr="00224A16">
              <w:rPr>
                <w:rFonts w:ascii="MinionPro-Regular" w:hAnsi="MinionPro-Regular" w:cs="Calibri"/>
                <w:color w:val="000000"/>
                <w:szCs w:val="22"/>
                <w:lang w:val="en-US"/>
              </w:rPr>
              <w:t>Telefonía</w:t>
            </w:r>
          </w:p>
        </w:tc>
      </w:tr>
      <w:tr w:rsidR="00E2336B" w:rsidRPr="000123AA" w:rsidTr="008466BC">
        <w:trPr>
          <w:trHeight w:val="3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bCs/>
                <w:color w:val="000000"/>
                <w:szCs w:val="22"/>
                <w:lang w:val="en-US"/>
              </w:rPr>
            </w:pPr>
            <w:r w:rsidRPr="00224A16">
              <w:rPr>
                <w:rFonts w:ascii="MinionPro-Regular" w:hAnsi="MinionPro-Regular" w:cs="Calibri"/>
                <w:bCs/>
                <w:color w:val="000000"/>
                <w:szCs w:val="22"/>
                <w:lang w:val="en-US"/>
              </w:rPr>
              <w:t> </w:t>
            </w:r>
          </w:p>
        </w:tc>
        <w:tc>
          <w:tcPr>
            <w:tcW w:w="7883" w:type="dxa"/>
            <w:tcBorders>
              <w:top w:val="nil"/>
              <w:left w:val="nil"/>
              <w:bottom w:val="nil"/>
              <w:right w:val="nil"/>
            </w:tcBorders>
            <w:shd w:val="clear" w:color="000000" w:fill="BFBFBF"/>
            <w:vAlign w:val="center"/>
          </w:tcPr>
          <w:p w:rsidR="002959F0" w:rsidRDefault="00E2336B" w:rsidP="002959F0">
            <w:pPr>
              <w:ind w:firstLineChars="400" w:firstLine="880"/>
              <w:rPr>
                <w:rFonts w:ascii="MinionPro-Regular" w:hAnsi="MinionPro-Regular" w:cs="Calibri"/>
                <w:color w:val="000000"/>
                <w:szCs w:val="22"/>
                <w:lang w:val="en-US"/>
              </w:rPr>
            </w:pPr>
            <w:r w:rsidRPr="00224A16">
              <w:rPr>
                <w:rFonts w:ascii="MinionPro-Regular" w:hAnsi="MinionPro-Regular" w:cs="Calibri"/>
                <w:color w:val="000000"/>
                <w:szCs w:val="22"/>
                <w:lang w:val="en-US"/>
              </w:rPr>
              <w:t>Telemarketing</w:t>
            </w:r>
          </w:p>
        </w:tc>
      </w:tr>
      <w:tr w:rsidR="00E2336B" w:rsidRPr="000123AA" w:rsidTr="008466BC">
        <w:trPr>
          <w:trHeight w:val="3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color w:val="000000"/>
                <w:szCs w:val="22"/>
                <w:lang w:val="en-US"/>
              </w:rPr>
            </w:pPr>
            <w:r w:rsidRPr="00224A16">
              <w:rPr>
                <w:rFonts w:ascii="MinionPro-Regular" w:hAnsi="MinionPro-Regular" w:cs="Calibri"/>
                <w:color w:val="000000"/>
                <w:szCs w:val="22"/>
                <w:lang w:val="en-US"/>
              </w:rPr>
              <w:t> </w:t>
            </w:r>
          </w:p>
        </w:tc>
        <w:tc>
          <w:tcPr>
            <w:tcW w:w="7883" w:type="dxa"/>
            <w:tcBorders>
              <w:top w:val="nil"/>
              <w:left w:val="nil"/>
              <w:bottom w:val="nil"/>
              <w:right w:val="nil"/>
            </w:tcBorders>
            <w:shd w:val="clear" w:color="000000" w:fill="BFBFBF"/>
            <w:vAlign w:val="center"/>
          </w:tcPr>
          <w:p w:rsidR="002959F0" w:rsidRDefault="00E2336B" w:rsidP="002959F0">
            <w:pPr>
              <w:ind w:firstLineChars="400" w:firstLine="880"/>
              <w:rPr>
                <w:rFonts w:ascii="MinionPro-Regular" w:hAnsi="MinionPro-Regular" w:cs="Calibri"/>
                <w:color w:val="000000"/>
                <w:szCs w:val="22"/>
                <w:lang w:val="es-ES_tradnl"/>
              </w:rPr>
            </w:pPr>
            <w:r w:rsidRPr="00224A16">
              <w:rPr>
                <w:rFonts w:ascii="MinionPro-Regular" w:hAnsi="MinionPro-Regular" w:cs="Calibri"/>
                <w:color w:val="000000"/>
                <w:szCs w:val="22"/>
                <w:lang w:val="es-ES_tradnl"/>
              </w:rPr>
              <w:t xml:space="preserve">Transcripción Braille, sonora y otras </w:t>
            </w:r>
          </w:p>
        </w:tc>
      </w:tr>
      <w:tr w:rsidR="00E2336B" w:rsidRPr="000123AA" w:rsidTr="008466BC">
        <w:trPr>
          <w:trHeight w:val="3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color w:val="000000"/>
                <w:szCs w:val="22"/>
                <w:lang w:val="es-ES_tradnl"/>
              </w:rPr>
            </w:pPr>
            <w:r w:rsidRPr="00224A16">
              <w:rPr>
                <w:rFonts w:ascii="MinionPro-Regular" w:hAnsi="MinionPro-Regular" w:cs="Calibri"/>
                <w:color w:val="000000"/>
                <w:szCs w:val="22"/>
                <w:lang w:val="es-ES_tradnl"/>
              </w:rPr>
              <w:t> </w:t>
            </w:r>
          </w:p>
        </w:tc>
        <w:tc>
          <w:tcPr>
            <w:tcW w:w="7883" w:type="dxa"/>
            <w:tcBorders>
              <w:top w:val="nil"/>
              <w:left w:val="nil"/>
              <w:bottom w:val="nil"/>
              <w:right w:val="nil"/>
            </w:tcBorders>
            <w:shd w:val="clear" w:color="000000" w:fill="BFBFBF"/>
            <w:vAlign w:val="center"/>
          </w:tcPr>
          <w:p w:rsidR="002959F0" w:rsidRDefault="00E2336B" w:rsidP="002959F0">
            <w:pPr>
              <w:ind w:firstLineChars="400" w:firstLine="880"/>
              <w:rPr>
                <w:rFonts w:ascii="MinionPro-Regular" w:hAnsi="MinionPro-Regular" w:cs="Calibri"/>
                <w:color w:val="000000"/>
                <w:szCs w:val="22"/>
                <w:lang w:val="en-US"/>
              </w:rPr>
            </w:pPr>
            <w:r w:rsidRPr="00224A16">
              <w:rPr>
                <w:rFonts w:ascii="MinionPro-Regular" w:hAnsi="MinionPro-Regular" w:cs="Calibri"/>
                <w:color w:val="000000"/>
                <w:szCs w:val="22"/>
                <w:lang w:val="en-US"/>
              </w:rPr>
              <w:t>Transporte adaptado</w:t>
            </w:r>
          </w:p>
        </w:tc>
      </w:tr>
      <w:tr w:rsidR="00E2336B" w:rsidRPr="000123AA" w:rsidTr="008466BC">
        <w:trPr>
          <w:trHeight w:val="3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color w:val="000000"/>
                <w:szCs w:val="22"/>
                <w:lang w:val="en-US"/>
              </w:rPr>
            </w:pPr>
            <w:r w:rsidRPr="00224A16">
              <w:rPr>
                <w:rFonts w:ascii="MinionPro-Regular" w:hAnsi="MinionPro-Regular" w:cs="Calibri"/>
                <w:color w:val="000000"/>
                <w:szCs w:val="22"/>
                <w:lang w:val="en-US"/>
              </w:rPr>
              <w:t> </w:t>
            </w:r>
          </w:p>
        </w:tc>
        <w:tc>
          <w:tcPr>
            <w:tcW w:w="7883" w:type="dxa"/>
            <w:tcBorders>
              <w:top w:val="nil"/>
              <w:left w:val="nil"/>
              <w:bottom w:val="nil"/>
              <w:right w:val="nil"/>
            </w:tcBorders>
            <w:shd w:val="clear" w:color="000000" w:fill="BFBFBF"/>
            <w:vAlign w:val="center"/>
          </w:tcPr>
          <w:p w:rsidR="002959F0" w:rsidRDefault="00E2336B" w:rsidP="002959F0">
            <w:pPr>
              <w:ind w:firstLineChars="400" w:firstLine="880"/>
              <w:rPr>
                <w:rFonts w:ascii="MinionPro-Regular" w:hAnsi="MinionPro-Regular" w:cs="Calibri"/>
                <w:color w:val="000000"/>
                <w:szCs w:val="22"/>
                <w:lang w:val="en-US"/>
              </w:rPr>
            </w:pPr>
            <w:r w:rsidRPr="00224A16">
              <w:rPr>
                <w:rFonts w:ascii="MinionPro-Regular" w:hAnsi="MinionPro-Regular" w:cs="Calibri"/>
                <w:color w:val="000000"/>
                <w:szCs w:val="22"/>
                <w:lang w:val="en-US"/>
              </w:rPr>
              <w:t>Vending</w:t>
            </w:r>
          </w:p>
        </w:tc>
      </w:tr>
      <w:tr w:rsidR="00E2336B" w:rsidRPr="000123AA" w:rsidTr="008466BC">
        <w:trPr>
          <w:trHeight w:val="3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color w:val="000000"/>
                <w:szCs w:val="22"/>
                <w:lang w:val="en-US"/>
              </w:rPr>
            </w:pPr>
            <w:r w:rsidRPr="00224A16">
              <w:rPr>
                <w:rFonts w:ascii="MinionPro-Regular" w:hAnsi="MinionPro-Regular" w:cs="Calibri"/>
                <w:color w:val="000000"/>
                <w:szCs w:val="22"/>
                <w:lang w:val="en-US"/>
              </w:rPr>
              <w:t> </w:t>
            </w:r>
          </w:p>
        </w:tc>
        <w:tc>
          <w:tcPr>
            <w:tcW w:w="7883" w:type="dxa"/>
            <w:tcBorders>
              <w:top w:val="nil"/>
              <w:left w:val="nil"/>
              <w:bottom w:val="nil"/>
              <w:right w:val="nil"/>
            </w:tcBorders>
            <w:shd w:val="clear" w:color="000000" w:fill="BFBFBF"/>
            <w:vAlign w:val="center"/>
          </w:tcPr>
          <w:p w:rsidR="002959F0" w:rsidRDefault="00E2336B" w:rsidP="002959F0">
            <w:pPr>
              <w:ind w:firstLineChars="400" w:firstLine="880"/>
              <w:rPr>
                <w:rFonts w:ascii="MinionPro-Regular" w:hAnsi="MinionPro-Regular" w:cs="Calibri"/>
                <w:color w:val="000000"/>
                <w:szCs w:val="22"/>
                <w:lang w:val="es-ES_tradnl"/>
              </w:rPr>
            </w:pPr>
            <w:r w:rsidRPr="00224A16">
              <w:rPr>
                <w:rFonts w:ascii="MinionPro-Regular" w:hAnsi="MinionPro-Regular" w:cs="Calibri"/>
                <w:color w:val="000000"/>
                <w:szCs w:val="22"/>
                <w:lang w:val="es-ES_tradnl"/>
              </w:rPr>
              <w:t>Otros (Especificar en el recuadro)</w:t>
            </w:r>
          </w:p>
        </w:tc>
      </w:tr>
      <w:tr w:rsidR="00E2336B" w:rsidRPr="000123AA" w:rsidTr="008466BC">
        <w:trPr>
          <w:trHeight w:val="300"/>
        </w:trPr>
        <w:tc>
          <w:tcPr>
            <w:tcW w:w="656" w:type="dxa"/>
            <w:tcBorders>
              <w:top w:val="nil"/>
              <w:left w:val="nil"/>
              <w:bottom w:val="nil"/>
              <w:right w:val="nil"/>
            </w:tcBorders>
            <w:shd w:val="clear" w:color="000000" w:fill="BFBFBF"/>
            <w:noWrap/>
            <w:vAlign w:val="bottom"/>
          </w:tcPr>
          <w:p w:rsidR="00E2336B" w:rsidRPr="00224A16" w:rsidRDefault="00E2336B" w:rsidP="000123AA">
            <w:pPr>
              <w:rPr>
                <w:rFonts w:ascii="MinionPro-Regular" w:hAnsi="MinionPro-Regular" w:cs="Calibri"/>
                <w:color w:val="000000"/>
                <w:szCs w:val="22"/>
                <w:lang w:val="es-ES_tradnl"/>
              </w:rPr>
            </w:pPr>
            <w:r w:rsidRPr="00224A16">
              <w:rPr>
                <w:rFonts w:ascii="MinionPro-Regular" w:hAnsi="MinionPro-Regular" w:cs="Calibri"/>
                <w:color w:val="000000"/>
                <w:szCs w:val="22"/>
                <w:lang w:val="es-ES_tradnl"/>
              </w:rPr>
              <w:t> </w:t>
            </w:r>
          </w:p>
        </w:tc>
        <w:tc>
          <w:tcPr>
            <w:tcW w:w="7883" w:type="dxa"/>
            <w:tcBorders>
              <w:top w:val="nil"/>
              <w:left w:val="nil"/>
              <w:bottom w:val="nil"/>
              <w:right w:val="nil"/>
            </w:tcBorders>
            <w:shd w:val="clear" w:color="000000" w:fill="BFBFBF"/>
            <w:noWrap/>
            <w:vAlign w:val="bottom"/>
          </w:tcPr>
          <w:p w:rsidR="00E2336B" w:rsidRPr="00224A16" w:rsidRDefault="00E2336B" w:rsidP="000123AA">
            <w:pPr>
              <w:rPr>
                <w:rFonts w:ascii="MinionPro-Regular" w:hAnsi="MinionPro-Regular" w:cs="Calibri"/>
                <w:color w:val="000000"/>
                <w:szCs w:val="22"/>
                <w:lang w:val="es-ES_tradnl"/>
              </w:rPr>
            </w:pPr>
            <w:r w:rsidRPr="00224A16">
              <w:rPr>
                <w:rFonts w:ascii="MinionPro-Regular" w:hAnsi="MinionPro-Regular" w:cs="Calibri"/>
                <w:color w:val="000000"/>
                <w:szCs w:val="22"/>
                <w:lang w:val="es-ES_tradnl"/>
              </w:rPr>
              <w:t> </w:t>
            </w:r>
          </w:p>
        </w:tc>
      </w:tr>
      <w:tr w:rsidR="00E2336B" w:rsidRPr="000123AA" w:rsidTr="008466BC">
        <w:trPr>
          <w:trHeight w:val="6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bCs/>
                <w:color w:val="000000"/>
                <w:szCs w:val="22"/>
                <w:lang w:val="en-US"/>
              </w:rPr>
            </w:pPr>
            <w:r w:rsidRPr="00224A16">
              <w:rPr>
                <w:rFonts w:ascii="MinionPro-Regular" w:hAnsi="MinionPro-Regular" w:cs="Calibri"/>
                <w:bCs/>
                <w:color w:val="000000"/>
                <w:szCs w:val="22"/>
                <w:lang w:val="en-US"/>
              </w:rPr>
              <w:t>1.4.1</w:t>
            </w:r>
          </w:p>
        </w:tc>
        <w:tc>
          <w:tcPr>
            <w:tcW w:w="7883" w:type="dxa"/>
            <w:tcBorders>
              <w:top w:val="nil"/>
              <w:left w:val="nil"/>
              <w:bottom w:val="nil"/>
              <w:right w:val="nil"/>
            </w:tcBorders>
            <w:shd w:val="clear" w:color="000000" w:fill="BFBFBF"/>
            <w:vAlign w:val="center"/>
          </w:tcPr>
          <w:p w:rsidR="002959F0" w:rsidRDefault="00E2336B" w:rsidP="002959F0">
            <w:pPr>
              <w:ind w:firstLineChars="400" w:firstLine="880"/>
              <w:rPr>
                <w:rFonts w:ascii="MinionPro-Regular" w:hAnsi="MinionPro-Regular" w:cs="Calibri"/>
                <w:color w:val="000000"/>
                <w:szCs w:val="22"/>
                <w:lang w:val="en-US"/>
              </w:rPr>
            </w:pPr>
            <w:r w:rsidRPr="00224A16">
              <w:rPr>
                <w:rFonts w:ascii="MinionPro-Regular" w:hAnsi="MinionPro-Regular" w:cs="Calibri"/>
                <w:color w:val="000000"/>
                <w:szCs w:val="22"/>
                <w:lang w:val="es-ES_tradnl"/>
              </w:rPr>
              <w:t xml:space="preserve">Indique aproximadamente el porcentaje que supone esta otra actividad con respecto a su facturación total. </w:t>
            </w:r>
            <w:r w:rsidRPr="00224A16">
              <w:rPr>
                <w:rFonts w:ascii="MinionPro-Regular" w:hAnsi="MinionPro-Regular" w:cs="Calibri"/>
                <w:color w:val="0070C0"/>
                <w:szCs w:val="22"/>
                <w:lang w:val="en-US"/>
              </w:rPr>
              <w:t>(respuesta cuantitativa abierta)</w:t>
            </w:r>
          </w:p>
        </w:tc>
      </w:tr>
      <w:tr w:rsidR="00E2336B" w:rsidRPr="000123AA" w:rsidTr="008466BC">
        <w:trPr>
          <w:trHeight w:val="315"/>
        </w:trPr>
        <w:tc>
          <w:tcPr>
            <w:tcW w:w="656" w:type="dxa"/>
            <w:tcBorders>
              <w:top w:val="nil"/>
              <w:left w:val="nil"/>
              <w:bottom w:val="single" w:sz="8" w:space="0" w:color="auto"/>
              <w:right w:val="nil"/>
            </w:tcBorders>
            <w:shd w:val="clear" w:color="000000" w:fill="BFBFBF"/>
            <w:noWrap/>
          </w:tcPr>
          <w:p w:rsidR="00E2336B" w:rsidRPr="00224A16" w:rsidRDefault="00E2336B" w:rsidP="000123AA">
            <w:pPr>
              <w:rPr>
                <w:rFonts w:ascii="MinionPro-Regular" w:hAnsi="MinionPro-Regular" w:cs="Calibri"/>
                <w:color w:val="000000"/>
                <w:szCs w:val="22"/>
                <w:lang w:val="en-US"/>
              </w:rPr>
            </w:pPr>
            <w:r w:rsidRPr="00224A16">
              <w:rPr>
                <w:rFonts w:ascii="MinionPro-Regular" w:hAnsi="MinionPro-Regular" w:cs="Calibri"/>
                <w:color w:val="000000"/>
                <w:szCs w:val="22"/>
                <w:lang w:val="en-US"/>
              </w:rPr>
              <w:t> </w:t>
            </w:r>
          </w:p>
        </w:tc>
        <w:tc>
          <w:tcPr>
            <w:tcW w:w="7883" w:type="dxa"/>
            <w:tcBorders>
              <w:top w:val="nil"/>
              <w:left w:val="nil"/>
              <w:bottom w:val="single" w:sz="8" w:space="0" w:color="auto"/>
              <w:right w:val="nil"/>
            </w:tcBorders>
            <w:shd w:val="clear" w:color="000000" w:fill="BFBFBF"/>
            <w:vAlign w:val="center"/>
          </w:tcPr>
          <w:p w:rsidR="002959F0" w:rsidRDefault="00E2336B" w:rsidP="002959F0">
            <w:pPr>
              <w:ind w:firstLineChars="400" w:firstLine="880"/>
              <w:rPr>
                <w:rFonts w:ascii="MinionPro-Regular" w:hAnsi="MinionPro-Regular" w:cs="Calibri"/>
                <w:color w:val="000000"/>
                <w:szCs w:val="22"/>
                <w:lang w:val="en-US"/>
              </w:rPr>
            </w:pPr>
            <w:r w:rsidRPr="00224A16">
              <w:rPr>
                <w:rFonts w:ascii="MinionPro-Regular" w:hAnsi="MinionPro-Regular" w:cs="Calibri"/>
                <w:color w:val="000000"/>
                <w:szCs w:val="22"/>
                <w:lang w:val="en-US"/>
              </w:rPr>
              <w:t> </w:t>
            </w:r>
          </w:p>
        </w:tc>
      </w:tr>
      <w:tr w:rsidR="00E2336B" w:rsidRPr="000123AA" w:rsidTr="008466BC">
        <w:trPr>
          <w:trHeight w:val="3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color w:val="000000"/>
                <w:szCs w:val="22"/>
                <w:lang w:val="en-US"/>
              </w:rPr>
            </w:pPr>
            <w:r w:rsidRPr="00224A16">
              <w:rPr>
                <w:rFonts w:ascii="MinionPro-Regular" w:hAnsi="MinionPro-Regular" w:cs="Calibri"/>
                <w:color w:val="000000"/>
                <w:szCs w:val="22"/>
                <w:lang w:val="en-US"/>
              </w:rPr>
              <w:t> </w:t>
            </w:r>
          </w:p>
        </w:tc>
        <w:tc>
          <w:tcPr>
            <w:tcW w:w="7883" w:type="dxa"/>
            <w:tcBorders>
              <w:top w:val="nil"/>
              <w:left w:val="nil"/>
              <w:bottom w:val="nil"/>
              <w:right w:val="nil"/>
            </w:tcBorders>
            <w:shd w:val="clear" w:color="000000" w:fill="BFBFBF"/>
            <w:vAlign w:val="center"/>
          </w:tcPr>
          <w:p w:rsidR="002959F0" w:rsidRDefault="00E2336B" w:rsidP="002959F0">
            <w:pPr>
              <w:ind w:firstLineChars="400" w:firstLine="880"/>
              <w:rPr>
                <w:rFonts w:ascii="MinionPro-Regular" w:hAnsi="MinionPro-Regular" w:cs="Calibri"/>
                <w:color w:val="000000"/>
                <w:szCs w:val="22"/>
                <w:lang w:val="en-US"/>
              </w:rPr>
            </w:pPr>
            <w:r w:rsidRPr="00224A16">
              <w:rPr>
                <w:rFonts w:ascii="MinionPro-Regular" w:hAnsi="MinionPro-Regular" w:cs="Calibri"/>
                <w:color w:val="000000"/>
                <w:szCs w:val="22"/>
                <w:lang w:val="en-US"/>
              </w:rPr>
              <w:t> </w:t>
            </w:r>
          </w:p>
        </w:tc>
      </w:tr>
      <w:tr w:rsidR="00E2336B" w:rsidRPr="000123AA" w:rsidTr="008466BC">
        <w:trPr>
          <w:trHeight w:val="300"/>
        </w:trPr>
        <w:tc>
          <w:tcPr>
            <w:tcW w:w="8539" w:type="dxa"/>
            <w:gridSpan w:val="2"/>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bCs/>
                <w:color w:val="000000"/>
                <w:szCs w:val="22"/>
                <w:lang w:val="es-ES_tradnl"/>
              </w:rPr>
            </w:pPr>
            <w:r w:rsidRPr="00224A16">
              <w:rPr>
                <w:rFonts w:ascii="MinionPro-Regular" w:hAnsi="MinionPro-Regular" w:cs="Calibri"/>
                <w:bCs/>
                <w:color w:val="000000"/>
                <w:szCs w:val="22"/>
                <w:lang w:val="es-ES_tradnl"/>
              </w:rPr>
              <w:t>2. RETOS Y OPORTUNIDADES DEL SISTEMA</w:t>
            </w:r>
          </w:p>
        </w:tc>
      </w:tr>
      <w:tr w:rsidR="00E2336B" w:rsidRPr="000123AA" w:rsidTr="008466BC">
        <w:trPr>
          <w:trHeight w:val="3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bCs/>
                <w:color w:val="000000"/>
                <w:szCs w:val="22"/>
                <w:lang w:val="es-ES_tradnl"/>
              </w:rPr>
            </w:pPr>
            <w:r w:rsidRPr="00224A16">
              <w:rPr>
                <w:rFonts w:ascii="MinionPro-Regular" w:hAnsi="MinionPro-Regular" w:cs="Calibri"/>
                <w:bCs/>
                <w:color w:val="000000"/>
                <w:szCs w:val="22"/>
                <w:lang w:val="es-ES_tradnl"/>
              </w:rPr>
              <w:t> </w:t>
            </w:r>
          </w:p>
        </w:tc>
        <w:tc>
          <w:tcPr>
            <w:tcW w:w="7883" w:type="dxa"/>
            <w:tcBorders>
              <w:top w:val="nil"/>
              <w:left w:val="nil"/>
              <w:bottom w:val="nil"/>
              <w:right w:val="nil"/>
            </w:tcBorders>
            <w:shd w:val="clear" w:color="000000" w:fill="BFBFBF"/>
            <w:vAlign w:val="center"/>
          </w:tcPr>
          <w:p w:rsidR="00E2336B" w:rsidRPr="00224A16" w:rsidRDefault="00E2336B" w:rsidP="000123AA">
            <w:pPr>
              <w:rPr>
                <w:rFonts w:ascii="MinionPro-Regular" w:hAnsi="MinionPro-Regular" w:cs="Calibri"/>
                <w:bCs/>
                <w:color w:val="000000"/>
                <w:szCs w:val="22"/>
                <w:lang w:val="es-ES_tradnl"/>
              </w:rPr>
            </w:pPr>
          </w:p>
        </w:tc>
      </w:tr>
      <w:tr w:rsidR="00E2336B" w:rsidRPr="000123AA" w:rsidTr="008466BC">
        <w:trPr>
          <w:trHeight w:val="3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bCs/>
                <w:color w:val="000000"/>
                <w:szCs w:val="22"/>
                <w:lang w:val="en-US"/>
              </w:rPr>
            </w:pPr>
            <w:r w:rsidRPr="00224A16">
              <w:rPr>
                <w:rFonts w:ascii="MinionPro-Regular" w:hAnsi="MinionPro-Regular" w:cs="Calibri"/>
                <w:bCs/>
                <w:color w:val="000000"/>
                <w:szCs w:val="22"/>
                <w:lang w:val="en-US"/>
              </w:rPr>
              <w:t>2.1.</w:t>
            </w:r>
          </w:p>
        </w:tc>
        <w:tc>
          <w:tcPr>
            <w:tcW w:w="7883" w:type="dxa"/>
            <w:tcBorders>
              <w:top w:val="nil"/>
              <w:left w:val="nil"/>
              <w:bottom w:val="nil"/>
              <w:right w:val="nil"/>
            </w:tcBorders>
            <w:shd w:val="clear" w:color="000000" w:fill="BFBFBF"/>
            <w:vAlign w:val="bottom"/>
          </w:tcPr>
          <w:p w:rsidR="00E2336B" w:rsidRPr="00224A16" w:rsidRDefault="00E2336B" w:rsidP="000123AA">
            <w:pPr>
              <w:rPr>
                <w:rFonts w:ascii="MinionPro-Regular" w:hAnsi="MinionPro-Regular" w:cs="Calibri"/>
                <w:bCs/>
                <w:szCs w:val="22"/>
                <w:lang w:val="en-US"/>
              </w:rPr>
            </w:pPr>
            <w:r w:rsidRPr="00224A16">
              <w:rPr>
                <w:rFonts w:ascii="MinionPro-Regular" w:hAnsi="MinionPro-Regular" w:cs="Calibri"/>
                <w:bCs/>
                <w:szCs w:val="22"/>
                <w:lang w:val="es-ES_tradnl"/>
              </w:rPr>
              <w:t xml:space="preserve">¿Posee el CEE  un Plan de Negocio / Plan Estratégico? </w:t>
            </w:r>
            <w:r w:rsidRPr="00224A16">
              <w:rPr>
                <w:rFonts w:ascii="MinionPro-Regular" w:hAnsi="MinionPro-Regular" w:cs="Calibri"/>
                <w:bCs/>
                <w:color w:val="4F81BD"/>
                <w:szCs w:val="22"/>
                <w:lang w:val="en-US"/>
              </w:rPr>
              <w:t>(múltiple opción)</w:t>
            </w:r>
          </w:p>
        </w:tc>
      </w:tr>
      <w:tr w:rsidR="00E2336B" w:rsidRPr="000123AA" w:rsidTr="008466BC">
        <w:trPr>
          <w:trHeight w:val="3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bCs/>
                <w:color w:val="000000"/>
                <w:szCs w:val="22"/>
                <w:lang w:val="en-US"/>
              </w:rPr>
            </w:pPr>
            <w:r w:rsidRPr="00224A16">
              <w:rPr>
                <w:rFonts w:ascii="MinionPro-Regular" w:hAnsi="MinionPro-Regular" w:cs="Calibri"/>
                <w:bCs/>
                <w:color w:val="000000"/>
                <w:szCs w:val="22"/>
                <w:lang w:val="en-US"/>
              </w:rPr>
              <w:t> </w:t>
            </w:r>
          </w:p>
        </w:tc>
        <w:tc>
          <w:tcPr>
            <w:tcW w:w="7883" w:type="dxa"/>
            <w:tcBorders>
              <w:top w:val="nil"/>
              <w:left w:val="nil"/>
              <w:bottom w:val="nil"/>
              <w:right w:val="nil"/>
            </w:tcBorders>
            <w:shd w:val="clear" w:color="000000" w:fill="BFBFBF"/>
            <w:vAlign w:val="center"/>
          </w:tcPr>
          <w:p w:rsidR="002959F0" w:rsidRDefault="00E2336B" w:rsidP="002959F0">
            <w:pPr>
              <w:ind w:firstLineChars="400" w:firstLine="880"/>
              <w:rPr>
                <w:rFonts w:ascii="MinionPro-Regular" w:hAnsi="MinionPro-Regular" w:cs="Calibri"/>
                <w:color w:val="000000"/>
                <w:szCs w:val="22"/>
                <w:lang w:val="es-ES_tradnl"/>
              </w:rPr>
            </w:pPr>
            <w:r w:rsidRPr="00224A16">
              <w:rPr>
                <w:rFonts w:ascii="MinionPro-Regular" w:hAnsi="MinionPro-Regular" w:cs="Calibri"/>
                <w:color w:val="000000"/>
                <w:szCs w:val="22"/>
                <w:lang w:val="es-ES_tradnl"/>
              </w:rPr>
              <w:t>A) No se dispone de Plan de Negocio / Plan Estratégico</w:t>
            </w:r>
          </w:p>
        </w:tc>
      </w:tr>
      <w:tr w:rsidR="00E2336B" w:rsidRPr="000123AA" w:rsidTr="008466BC">
        <w:trPr>
          <w:trHeight w:val="3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color w:val="000000"/>
                <w:szCs w:val="22"/>
                <w:lang w:val="es-ES_tradnl"/>
              </w:rPr>
            </w:pPr>
            <w:r w:rsidRPr="00224A16">
              <w:rPr>
                <w:rFonts w:ascii="MinionPro-Regular" w:hAnsi="MinionPro-Regular" w:cs="Calibri"/>
                <w:color w:val="000000"/>
                <w:szCs w:val="22"/>
                <w:lang w:val="es-ES_tradnl"/>
              </w:rPr>
              <w:t> </w:t>
            </w:r>
          </w:p>
        </w:tc>
        <w:tc>
          <w:tcPr>
            <w:tcW w:w="7883" w:type="dxa"/>
            <w:tcBorders>
              <w:top w:val="nil"/>
              <w:left w:val="nil"/>
              <w:bottom w:val="nil"/>
              <w:right w:val="nil"/>
            </w:tcBorders>
            <w:shd w:val="clear" w:color="000000" w:fill="BFBFBF"/>
            <w:vAlign w:val="center"/>
          </w:tcPr>
          <w:p w:rsidR="002959F0" w:rsidRDefault="00E2336B" w:rsidP="002959F0">
            <w:pPr>
              <w:ind w:firstLineChars="400" w:firstLine="880"/>
              <w:rPr>
                <w:rFonts w:ascii="MinionPro-Regular" w:hAnsi="MinionPro-Regular" w:cs="Calibri"/>
                <w:color w:val="000000"/>
                <w:szCs w:val="22"/>
                <w:lang w:val="es-ES_tradnl"/>
              </w:rPr>
            </w:pPr>
            <w:r w:rsidRPr="00224A16">
              <w:rPr>
                <w:rFonts w:ascii="MinionPro-Regular" w:hAnsi="MinionPro-Regular" w:cs="Calibri"/>
                <w:color w:val="000000"/>
                <w:szCs w:val="22"/>
                <w:lang w:val="es-ES_tradnl"/>
              </w:rPr>
              <w:t>B) Sí, se dispone de uno Anual</w:t>
            </w:r>
          </w:p>
        </w:tc>
      </w:tr>
      <w:tr w:rsidR="00E2336B" w:rsidRPr="000123AA" w:rsidTr="008466BC">
        <w:trPr>
          <w:trHeight w:val="3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color w:val="000000"/>
                <w:szCs w:val="22"/>
                <w:lang w:val="es-ES_tradnl"/>
              </w:rPr>
            </w:pPr>
            <w:r w:rsidRPr="00224A16">
              <w:rPr>
                <w:rFonts w:ascii="MinionPro-Regular" w:hAnsi="MinionPro-Regular" w:cs="Calibri"/>
                <w:color w:val="000000"/>
                <w:szCs w:val="22"/>
                <w:lang w:val="es-ES_tradnl"/>
              </w:rPr>
              <w:t> </w:t>
            </w:r>
          </w:p>
        </w:tc>
        <w:tc>
          <w:tcPr>
            <w:tcW w:w="7883" w:type="dxa"/>
            <w:tcBorders>
              <w:top w:val="nil"/>
              <w:left w:val="nil"/>
              <w:bottom w:val="nil"/>
              <w:right w:val="nil"/>
            </w:tcBorders>
            <w:shd w:val="clear" w:color="000000" w:fill="BFBFBF"/>
            <w:vAlign w:val="center"/>
          </w:tcPr>
          <w:p w:rsidR="002959F0" w:rsidRDefault="00E2336B" w:rsidP="002959F0">
            <w:pPr>
              <w:ind w:firstLineChars="400" w:firstLine="880"/>
              <w:rPr>
                <w:rFonts w:ascii="MinionPro-Regular" w:hAnsi="MinionPro-Regular" w:cs="Calibri"/>
                <w:color w:val="000000"/>
                <w:szCs w:val="22"/>
                <w:lang w:val="es-ES_tradnl"/>
              </w:rPr>
            </w:pPr>
            <w:r w:rsidRPr="00224A16">
              <w:rPr>
                <w:rFonts w:ascii="MinionPro-Regular" w:hAnsi="MinionPro-Regular" w:cs="Calibri"/>
                <w:color w:val="000000"/>
                <w:szCs w:val="22"/>
                <w:lang w:val="es-ES_tradnl"/>
              </w:rPr>
              <w:t>C) Sí, se dispone de uno que abarca de 1 a 3 años</w:t>
            </w:r>
          </w:p>
        </w:tc>
      </w:tr>
      <w:tr w:rsidR="00E2336B" w:rsidRPr="000123AA" w:rsidTr="008466BC">
        <w:trPr>
          <w:trHeight w:val="3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color w:val="000000"/>
                <w:szCs w:val="22"/>
                <w:lang w:val="es-ES_tradnl"/>
              </w:rPr>
            </w:pPr>
            <w:r w:rsidRPr="00224A16">
              <w:rPr>
                <w:rFonts w:ascii="MinionPro-Regular" w:hAnsi="MinionPro-Regular" w:cs="Calibri"/>
                <w:color w:val="000000"/>
                <w:szCs w:val="22"/>
                <w:lang w:val="es-ES_tradnl"/>
              </w:rPr>
              <w:t> </w:t>
            </w:r>
          </w:p>
        </w:tc>
        <w:tc>
          <w:tcPr>
            <w:tcW w:w="7883" w:type="dxa"/>
            <w:tcBorders>
              <w:top w:val="nil"/>
              <w:left w:val="nil"/>
              <w:bottom w:val="nil"/>
              <w:right w:val="nil"/>
            </w:tcBorders>
            <w:shd w:val="clear" w:color="000000" w:fill="BFBFBF"/>
            <w:vAlign w:val="center"/>
          </w:tcPr>
          <w:p w:rsidR="002959F0" w:rsidRDefault="00E2336B" w:rsidP="002959F0">
            <w:pPr>
              <w:ind w:firstLineChars="400" w:firstLine="880"/>
              <w:rPr>
                <w:rFonts w:ascii="MinionPro-Regular" w:hAnsi="MinionPro-Regular" w:cs="Calibri"/>
                <w:color w:val="000000"/>
                <w:szCs w:val="22"/>
                <w:lang w:val="es-ES_tradnl"/>
              </w:rPr>
            </w:pPr>
            <w:r w:rsidRPr="00224A16">
              <w:rPr>
                <w:rFonts w:ascii="MinionPro-Regular" w:hAnsi="MinionPro-Regular" w:cs="Calibri"/>
                <w:color w:val="000000"/>
                <w:szCs w:val="22"/>
                <w:lang w:val="es-ES_tradnl"/>
              </w:rPr>
              <w:t>D) Sí, se dispone de uno que abarca de 3 a 5 años</w:t>
            </w:r>
          </w:p>
        </w:tc>
      </w:tr>
      <w:tr w:rsidR="00E2336B" w:rsidRPr="000123AA" w:rsidTr="008466BC">
        <w:trPr>
          <w:trHeight w:val="3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color w:val="000000"/>
                <w:szCs w:val="22"/>
                <w:lang w:val="es-ES_tradnl"/>
              </w:rPr>
            </w:pPr>
            <w:r w:rsidRPr="00224A16">
              <w:rPr>
                <w:rFonts w:ascii="MinionPro-Regular" w:hAnsi="MinionPro-Regular" w:cs="Calibri"/>
                <w:color w:val="000000"/>
                <w:szCs w:val="22"/>
                <w:lang w:val="es-ES_tradnl"/>
              </w:rPr>
              <w:t> </w:t>
            </w:r>
          </w:p>
        </w:tc>
        <w:tc>
          <w:tcPr>
            <w:tcW w:w="7883" w:type="dxa"/>
            <w:tcBorders>
              <w:top w:val="nil"/>
              <w:left w:val="nil"/>
              <w:bottom w:val="nil"/>
              <w:right w:val="nil"/>
            </w:tcBorders>
            <w:shd w:val="clear" w:color="000000" w:fill="BFBFBF"/>
            <w:vAlign w:val="center"/>
          </w:tcPr>
          <w:p w:rsidR="002959F0" w:rsidRDefault="00E2336B" w:rsidP="002959F0">
            <w:pPr>
              <w:ind w:firstLineChars="400" w:firstLine="880"/>
              <w:rPr>
                <w:rFonts w:ascii="MinionPro-Regular" w:hAnsi="MinionPro-Regular" w:cs="Calibri"/>
                <w:color w:val="000000"/>
                <w:szCs w:val="22"/>
                <w:lang w:val="es-ES_tradnl"/>
              </w:rPr>
            </w:pPr>
            <w:r w:rsidRPr="00224A16">
              <w:rPr>
                <w:rFonts w:ascii="MinionPro-Regular" w:hAnsi="MinionPro-Regular" w:cs="Calibri"/>
                <w:color w:val="000000"/>
                <w:szCs w:val="22"/>
                <w:lang w:val="es-ES_tradnl"/>
              </w:rPr>
              <w:t xml:space="preserve">E)  Sí, se dispone de uno que abarca más de 5 años </w:t>
            </w:r>
          </w:p>
        </w:tc>
      </w:tr>
      <w:tr w:rsidR="00E2336B" w:rsidRPr="000123AA" w:rsidTr="008466BC">
        <w:trPr>
          <w:trHeight w:val="6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bCs/>
                <w:color w:val="000000"/>
                <w:szCs w:val="22"/>
                <w:lang w:val="en-US"/>
              </w:rPr>
            </w:pPr>
            <w:r w:rsidRPr="00224A16">
              <w:rPr>
                <w:rFonts w:ascii="MinionPro-Regular" w:hAnsi="MinionPro-Regular" w:cs="Calibri"/>
                <w:bCs/>
                <w:color w:val="000000"/>
                <w:szCs w:val="22"/>
                <w:lang w:val="en-US"/>
              </w:rPr>
              <w:lastRenderedPageBreak/>
              <w:t>2.2.</w:t>
            </w:r>
          </w:p>
        </w:tc>
        <w:tc>
          <w:tcPr>
            <w:tcW w:w="7883" w:type="dxa"/>
            <w:tcBorders>
              <w:top w:val="nil"/>
              <w:left w:val="nil"/>
              <w:bottom w:val="nil"/>
              <w:right w:val="nil"/>
            </w:tcBorders>
            <w:shd w:val="clear" w:color="000000" w:fill="BFBFBF"/>
            <w:vAlign w:val="bottom"/>
          </w:tcPr>
          <w:p w:rsidR="00E2336B" w:rsidRPr="00224A16" w:rsidRDefault="00E2336B" w:rsidP="000123AA">
            <w:pPr>
              <w:rPr>
                <w:rFonts w:ascii="MinionPro-Regular" w:hAnsi="MinionPro-Regular" w:cs="Calibri"/>
                <w:bCs/>
                <w:color w:val="000000"/>
                <w:szCs w:val="22"/>
                <w:lang w:val="es-ES_tradnl"/>
              </w:rPr>
            </w:pPr>
            <w:r w:rsidRPr="00224A16">
              <w:rPr>
                <w:rFonts w:ascii="MinionPro-Regular" w:hAnsi="MinionPro-Regular" w:cs="Calibri"/>
                <w:bCs/>
                <w:color w:val="000000"/>
                <w:szCs w:val="22"/>
                <w:lang w:val="es-ES_tradnl"/>
              </w:rPr>
              <w:t xml:space="preserve">Indique qué sistemas de gestión de acuerdo a estándares internacionales sigue el centro: </w:t>
            </w:r>
            <w:r w:rsidRPr="00224A16">
              <w:rPr>
                <w:rFonts w:ascii="MinionPro-Regular" w:hAnsi="MinionPro-Regular" w:cs="Calibri"/>
                <w:bCs/>
                <w:color w:val="4F81BD"/>
                <w:szCs w:val="22"/>
                <w:lang w:val="es-ES_tradnl"/>
              </w:rPr>
              <w:t>(múltiple opción)</w:t>
            </w:r>
          </w:p>
        </w:tc>
      </w:tr>
      <w:tr w:rsidR="00E2336B" w:rsidRPr="000123AA" w:rsidTr="008466BC">
        <w:trPr>
          <w:trHeight w:val="3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color w:val="000000"/>
                <w:szCs w:val="22"/>
                <w:lang w:val="es-ES_tradnl"/>
              </w:rPr>
            </w:pPr>
            <w:r w:rsidRPr="00224A16">
              <w:rPr>
                <w:rFonts w:ascii="MinionPro-Regular" w:hAnsi="MinionPro-Regular" w:cs="Calibri"/>
                <w:color w:val="000000"/>
                <w:szCs w:val="22"/>
                <w:lang w:val="es-ES_tradnl"/>
              </w:rPr>
              <w:t> </w:t>
            </w:r>
          </w:p>
        </w:tc>
        <w:tc>
          <w:tcPr>
            <w:tcW w:w="7883" w:type="dxa"/>
            <w:tcBorders>
              <w:top w:val="nil"/>
              <w:left w:val="nil"/>
              <w:bottom w:val="nil"/>
              <w:right w:val="nil"/>
            </w:tcBorders>
            <w:shd w:val="clear" w:color="000000" w:fill="BFBFBF"/>
            <w:vAlign w:val="center"/>
          </w:tcPr>
          <w:p w:rsidR="002959F0" w:rsidRDefault="00E2336B" w:rsidP="002959F0">
            <w:pPr>
              <w:ind w:firstLineChars="400" w:firstLine="880"/>
              <w:rPr>
                <w:rFonts w:ascii="MinionPro-Regular" w:hAnsi="MinionPro-Regular" w:cs="Calibri"/>
                <w:color w:val="000000"/>
                <w:szCs w:val="22"/>
                <w:lang w:val="es-ES_tradnl"/>
              </w:rPr>
            </w:pPr>
            <w:r w:rsidRPr="00224A16">
              <w:rPr>
                <w:rFonts w:ascii="MinionPro-Regular" w:hAnsi="MinionPro-Regular" w:cs="Calibri"/>
                <w:color w:val="000000"/>
                <w:szCs w:val="22"/>
                <w:lang w:val="es-ES_tradnl"/>
              </w:rPr>
              <w:t>A) Sistemas de Gestión de la Calidad - ISO 9001:2008</w:t>
            </w:r>
          </w:p>
        </w:tc>
      </w:tr>
      <w:tr w:rsidR="00E2336B" w:rsidRPr="000123AA" w:rsidTr="008466BC">
        <w:trPr>
          <w:trHeight w:val="3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color w:val="000000"/>
                <w:szCs w:val="22"/>
                <w:lang w:val="es-ES_tradnl"/>
              </w:rPr>
            </w:pPr>
            <w:r w:rsidRPr="00224A16">
              <w:rPr>
                <w:rFonts w:ascii="MinionPro-Regular" w:hAnsi="MinionPro-Regular" w:cs="Calibri"/>
                <w:color w:val="000000"/>
                <w:szCs w:val="22"/>
                <w:lang w:val="es-ES_tradnl"/>
              </w:rPr>
              <w:t> </w:t>
            </w:r>
          </w:p>
        </w:tc>
        <w:tc>
          <w:tcPr>
            <w:tcW w:w="7883" w:type="dxa"/>
            <w:tcBorders>
              <w:top w:val="nil"/>
              <w:left w:val="nil"/>
              <w:bottom w:val="nil"/>
              <w:right w:val="nil"/>
            </w:tcBorders>
            <w:shd w:val="clear" w:color="000000" w:fill="BFBFBF"/>
            <w:vAlign w:val="center"/>
          </w:tcPr>
          <w:p w:rsidR="002959F0" w:rsidRDefault="00E2336B" w:rsidP="002959F0">
            <w:pPr>
              <w:ind w:firstLineChars="400" w:firstLine="880"/>
              <w:rPr>
                <w:rFonts w:ascii="MinionPro-Regular" w:hAnsi="MinionPro-Regular" w:cs="Calibri"/>
                <w:color w:val="000000"/>
                <w:szCs w:val="22"/>
                <w:lang w:val="es-ES_tradnl"/>
              </w:rPr>
            </w:pPr>
            <w:r w:rsidRPr="00224A16">
              <w:rPr>
                <w:rFonts w:ascii="MinionPro-Regular" w:hAnsi="MinionPro-Regular" w:cs="Calibri"/>
                <w:color w:val="000000"/>
                <w:szCs w:val="22"/>
                <w:lang w:val="es-ES_tradnl"/>
              </w:rPr>
              <w:t>B) Sistemas de Gestión Ambiental - ISO 14001:2004</w:t>
            </w:r>
          </w:p>
        </w:tc>
      </w:tr>
      <w:tr w:rsidR="00E2336B" w:rsidRPr="000123AA" w:rsidTr="008466BC">
        <w:trPr>
          <w:trHeight w:val="3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color w:val="000000"/>
                <w:szCs w:val="22"/>
                <w:lang w:val="es-ES_tradnl"/>
              </w:rPr>
            </w:pPr>
            <w:r w:rsidRPr="00224A16">
              <w:rPr>
                <w:rFonts w:ascii="MinionPro-Regular" w:hAnsi="MinionPro-Regular" w:cs="Calibri"/>
                <w:color w:val="000000"/>
                <w:szCs w:val="22"/>
                <w:lang w:val="es-ES_tradnl"/>
              </w:rPr>
              <w:t> </w:t>
            </w:r>
          </w:p>
        </w:tc>
        <w:tc>
          <w:tcPr>
            <w:tcW w:w="7883" w:type="dxa"/>
            <w:tcBorders>
              <w:top w:val="nil"/>
              <w:left w:val="nil"/>
              <w:bottom w:val="nil"/>
              <w:right w:val="nil"/>
            </w:tcBorders>
            <w:shd w:val="clear" w:color="000000" w:fill="BFBFBF"/>
            <w:vAlign w:val="center"/>
          </w:tcPr>
          <w:p w:rsidR="002959F0" w:rsidRDefault="00E2336B" w:rsidP="002959F0">
            <w:pPr>
              <w:ind w:firstLineChars="400" w:firstLine="880"/>
              <w:rPr>
                <w:rFonts w:ascii="MinionPro-Regular" w:hAnsi="MinionPro-Regular" w:cs="Calibri"/>
                <w:color w:val="000000"/>
                <w:szCs w:val="22"/>
                <w:lang w:val="es-ES_tradnl"/>
              </w:rPr>
            </w:pPr>
            <w:r w:rsidRPr="00224A16">
              <w:rPr>
                <w:rFonts w:ascii="MinionPro-Regular" w:hAnsi="MinionPro-Regular" w:cs="Calibri"/>
                <w:color w:val="000000"/>
                <w:szCs w:val="22"/>
                <w:lang w:val="es-ES_tradnl"/>
              </w:rPr>
              <w:t>C) Sistema comunitario de gestión y auditoría medioambientales - EMAS</w:t>
            </w:r>
          </w:p>
        </w:tc>
      </w:tr>
      <w:tr w:rsidR="00E2336B" w:rsidRPr="000123AA" w:rsidTr="008466BC">
        <w:trPr>
          <w:trHeight w:val="3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color w:val="000000"/>
                <w:szCs w:val="22"/>
                <w:lang w:val="es-ES_tradnl"/>
              </w:rPr>
            </w:pPr>
            <w:r w:rsidRPr="00224A16">
              <w:rPr>
                <w:rFonts w:ascii="MinionPro-Regular" w:hAnsi="MinionPro-Regular" w:cs="Calibri"/>
                <w:color w:val="000000"/>
                <w:szCs w:val="22"/>
                <w:lang w:val="es-ES_tradnl"/>
              </w:rPr>
              <w:t> </w:t>
            </w:r>
          </w:p>
        </w:tc>
        <w:tc>
          <w:tcPr>
            <w:tcW w:w="7883" w:type="dxa"/>
            <w:tcBorders>
              <w:top w:val="nil"/>
              <w:left w:val="nil"/>
              <w:bottom w:val="nil"/>
              <w:right w:val="nil"/>
            </w:tcBorders>
            <w:shd w:val="clear" w:color="000000" w:fill="BFBFBF"/>
            <w:vAlign w:val="center"/>
          </w:tcPr>
          <w:p w:rsidR="002959F0" w:rsidRDefault="00E2336B" w:rsidP="002959F0">
            <w:pPr>
              <w:ind w:firstLineChars="400" w:firstLine="880"/>
              <w:rPr>
                <w:rFonts w:ascii="MinionPro-Regular" w:hAnsi="MinionPro-Regular" w:cs="Calibri"/>
                <w:color w:val="000000"/>
                <w:szCs w:val="22"/>
                <w:lang w:val="es-ES_tradnl"/>
              </w:rPr>
            </w:pPr>
            <w:r w:rsidRPr="00224A16">
              <w:rPr>
                <w:rFonts w:ascii="MinionPro-Regular" w:hAnsi="MinionPro-Regular" w:cs="Calibri"/>
                <w:color w:val="000000"/>
                <w:szCs w:val="22"/>
                <w:lang w:val="es-ES_tradnl"/>
              </w:rPr>
              <w:t>D) Sistemas de gestión de la seguridad y salud en el trabajo - OSHAS 18001</w:t>
            </w:r>
          </w:p>
        </w:tc>
      </w:tr>
      <w:tr w:rsidR="00E2336B" w:rsidRPr="000123AA" w:rsidTr="008466BC">
        <w:trPr>
          <w:trHeight w:val="6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color w:val="000000"/>
                <w:szCs w:val="22"/>
                <w:lang w:val="es-ES_tradnl"/>
              </w:rPr>
            </w:pPr>
            <w:r w:rsidRPr="00224A16">
              <w:rPr>
                <w:rFonts w:ascii="MinionPro-Regular" w:hAnsi="MinionPro-Regular" w:cs="Calibri"/>
                <w:color w:val="000000"/>
                <w:szCs w:val="22"/>
                <w:lang w:val="es-ES_tradnl"/>
              </w:rPr>
              <w:t> </w:t>
            </w:r>
          </w:p>
        </w:tc>
        <w:tc>
          <w:tcPr>
            <w:tcW w:w="7883" w:type="dxa"/>
            <w:tcBorders>
              <w:top w:val="nil"/>
              <w:left w:val="nil"/>
              <w:bottom w:val="nil"/>
              <w:right w:val="nil"/>
            </w:tcBorders>
            <w:shd w:val="clear" w:color="000000" w:fill="BFBFBF"/>
            <w:vAlign w:val="center"/>
          </w:tcPr>
          <w:p w:rsidR="00E2336B" w:rsidRPr="00224A16" w:rsidRDefault="00E2336B" w:rsidP="008466BC">
            <w:pPr>
              <w:ind w:left="567"/>
              <w:rPr>
                <w:rFonts w:ascii="MinionPro-Regular" w:hAnsi="MinionPro-Regular" w:cs="Calibri"/>
                <w:color w:val="000000"/>
                <w:szCs w:val="22"/>
                <w:lang w:val="es-ES_tradnl"/>
              </w:rPr>
            </w:pPr>
            <w:r w:rsidRPr="00224A16">
              <w:rPr>
                <w:rFonts w:ascii="MinionPro-Regular" w:hAnsi="MinionPro-Regular" w:cs="Calibri"/>
                <w:color w:val="000000"/>
                <w:szCs w:val="22"/>
                <w:lang w:val="es-ES_tradnl"/>
              </w:rPr>
              <w:t xml:space="preserve">      E) Especificación para la gestión ética y profesionalizada de los centros especiales de empleo (CEE) (AENOR)</w:t>
            </w:r>
          </w:p>
        </w:tc>
      </w:tr>
      <w:tr w:rsidR="00E2336B" w:rsidRPr="000123AA" w:rsidTr="008466BC">
        <w:trPr>
          <w:trHeight w:val="3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color w:val="000000"/>
                <w:szCs w:val="22"/>
                <w:lang w:val="es-ES_tradnl"/>
              </w:rPr>
            </w:pPr>
            <w:r w:rsidRPr="00224A16">
              <w:rPr>
                <w:rFonts w:ascii="MinionPro-Regular" w:hAnsi="MinionPro-Regular" w:cs="Calibri"/>
                <w:color w:val="000000"/>
                <w:szCs w:val="22"/>
                <w:lang w:val="es-ES_tradnl"/>
              </w:rPr>
              <w:t> </w:t>
            </w:r>
          </w:p>
        </w:tc>
        <w:tc>
          <w:tcPr>
            <w:tcW w:w="7883" w:type="dxa"/>
            <w:tcBorders>
              <w:top w:val="nil"/>
              <w:left w:val="nil"/>
              <w:bottom w:val="nil"/>
              <w:right w:val="nil"/>
            </w:tcBorders>
            <w:shd w:val="clear" w:color="000000" w:fill="BFBFBF"/>
            <w:vAlign w:val="center"/>
          </w:tcPr>
          <w:p w:rsidR="002959F0" w:rsidRDefault="00E2336B" w:rsidP="002959F0">
            <w:pPr>
              <w:ind w:firstLineChars="400" w:firstLine="880"/>
              <w:rPr>
                <w:rFonts w:ascii="MinionPro-Regular" w:hAnsi="MinionPro-Regular" w:cs="Calibri"/>
                <w:color w:val="000000"/>
                <w:szCs w:val="22"/>
                <w:lang w:val="es-ES_tradnl"/>
              </w:rPr>
            </w:pPr>
            <w:r w:rsidRPr="00224A16">
              <w:rPr>
                <w:rFonts w:ascii="MinionPro-Regular" w:hAnsi="MinionPro-Regular" w:cs="Calibri"/>
                <w:color w:val="000000"/>
                <w:szCs w:val="22"/>
                <w:lang w:val="es-ES_tradnl"/>
              </w:rPr>
              <w:t>F) Otros: (Especificar cuál o cuáles)</w:t>
            </w:r>
          </w:p>
        </w:tc>
      </w:tr>
      <w:tr w:rsidR="00E2336B" w:rsidRPr="000123AA" w:rsidTr="008466BC">
        <w:trPr>
          <w:trHeight w:val="3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color w:val="000000"/>
                <w:szCs w:val="22"/>
                <w:lang w:val="es-ES_tradnl"/>
              </w:rPr>
            </w:pPr>
            <w:r w:rsidRPr="00224A16">
              <w:rPr>
                <w:rFonts w:ascii="MinionPro-Regular" w:hAnsi="MinionPro-Regular" w:cs="Calibri"/>
                <w:color w:val="000000"/>
                <w:szCs w:val="22"/>
                <w:lang w:val="es-ES_tradnl"/>
              </w:rPr>
              <w:t> </w:t>
            </w:r>
          </w:p>
        </w:tc>
        <w:tc>
          <w:tcPr>
            <w:tcW w:w="7883" w:type="dxa"/>
            <w:tcBorders>
              <w:top w:val="nil"/>
              <w:left w:val="nil"/>
              <w:bottom w:val="nil"/>
              <w:right w:val="nil"/>
            </w:tcBorders>
            <w:shd w:val="clear" w:color="000000" w:fill="BFBFBF"/>
            <w:vAlign w:val="center"/>
          </w:tcPr>
          <w:p w:rsidR="002959F0" w:rsidRDefault="00E2336B" w:rsidP="002959F0">
            <w:pPr>
              <w:ind w:firstLineChars="400" w:firstLine="880"/>
              <w:rPr>
                <w:rFonts w:ascii="MinionPro-Regular" w:hAnsi="MinionPro-Regular" w:cs="Calibri"/>
                <w:color w:val="000000"/>
                <w:szCs w:val="22"/>
                <w:lang w:val="es-ES_tradnl"/>
              </w:rPr>
            </w:pPr>
            <w:r w:rsidRPr="00224A16">
              <w:rPr>
                <w:rFonts w:ascii="MinionPro-Regular" w:hAnsi="MinionPro-Regular" w:cs="Calibri"/>
                <w:color w:val="000000"/>
                <w:szCs w:val="22"/>
                <w:lang w:val="es-ES_tradnl"/>
              </w:rPr>
              <w:t>G) No se sigue ningún sistema de gestión</w:t>
            </w:r>
          </w:p>
        </w:tc>
      </w:tr>
      <w:tr w:rsidR="00E2336B" w:rsidRPr="000123AA" w:rsidTr="008466BC">
        <w:trPr>
          <w:trHeight w:val="1035"/>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bCs/>
                <w:color w:val="000000"/>
                <w:szCs w:val="22"/>
                <w:lang w:val="en-US"/>
              </w:rPr>
            </w:pPr>
            <w:r w:rsidRPr="00224A16">
              <w:rPr>
                <w:rFonts w:ascii="MinionPro-Regular" w:hAnsi="MinionPro-Regular" w:cs="Calibri"/>
                <w:bCs/>
                <w:color w:val="000000"/>
                <w:szCs w:val="22"/>
                <w:lang w:val="en-US"/>
              </w:rPr>
              <w:t>2.3.</w:t>
            </w:r>
          </w:p>
        </w:tc>
        <w:tc>
          <w:tcPr>
            <w:tcW w:w="7883" w:type="dxa"/>
            <w:tcBorders>
              <w:top w:val="nil"/>
              <w:left w:val="nil"/>
              <w:bottom w:val="nil"/>
              <w:right w:val="nil"/>
            </w:tcBorders>
            <w:shd w:val="clear" w:color="000000" w:fill="BFBFBF"/>
            <w:vAlign w:val="bottom"/>
          </w:tcPr>
          <w:p w:rsidR="00E2336B" w:rsidRPr="00224A16" w:rsidRDefault="00E2336B" w:rsidP="000123AA">
            <w:pPr>
              <w:rPr>
                <w:rFonts w:ascii="MinionPro-Regular" w:hAnsi="MinionPro-Regular" w:cs="Calibri"/>
                <w:bCs/>
                <w:color w:val="000000"/>
                <w:szCs w:val="22"/>
                <w:lang w:val="es-ES_tradnl"/>
              </w:rPr>
            </w:pPr>
            <w:r w:rsidRPr="00224A16">
              <w:rPr>
                <w:rFonts w:ascii="MinionPro-Regular" w:hAnsi="MinionPro-Regular" w:cs="Calibri"/>
                <w:bCs/>
                <w:color w:val="000000"/>
                <w:szCs w:val="22"/>
                <w:lang w:val="es-ES_tradnl"/>
              </w:rPr>
              <w:t>Valore en su opinión de 1 a 5 las siguientes afirmaciones sobre el sistema de CEE siendo 5 totalmente de acuerdo y 1 totalmente en desacuerdo</w:t>
            </w:r>
            <w:r w:rsidRPr="00224A16">
              <w:rPr>
                <w:rFonts w:ascii="MinionPro-Regular" w:hAnsi="MinionPro-Regular" w:cs="Calibri"/>
                <w:bCs/>
                <w:color w:val="4F81BD"/>
                <w:szCs w:val="22"/>
                <w:lang w:val="es-ES_tradnl"/>
              </w:rPr>
              <w:t>.(respuesta cuantitativa)</w:t>
            </w:r>
          </w:p>
        </w:tc>
      </w:tr>
      <w:tr w:rsidR="00E2336B" w:rsidRPr="000123AA" w:rsidTr="008466BC">
        <w:trPr>
          <w:trHeight w:val="6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color w:val="000000"/>
                <w:szCs w:val="22"/>
                <w:lang w:val="es-ES_tradnl"/>
              </w:rPr>
            </w:pPr>
            <w:r w:rsidRPr="00224A16">
              <w:rPr>
                <w:rFonts w:ascii="MinionPro-Regular" w:hAnsi="MinionPro-Regular" w:cs="Calibri"/>
                <w:color w:val="000000"/>
                <w:szCs w:val="22"/>
                <w:lang w:val="es-ES_tradnl"/>
              </w:rPr>
              <w:t> </w:t>
            </w:r>
          </w:p>
        </w:tc>
        <w:tc>
          <w:tcPr>
            <w:tcW w:w="7883" w:type="dxa"/>
            <w:tcBorders>
              <w:top w:val="nil"/>
              <w:left w:val="nil"/>
              <w:bottom w:val="nil"/>
              <w:right w:val="nil"/>
            </w:tcBorders>
            <w:shd w:val="clear" w:color="000000" w:fill="BFBFBF"/>
            <w:vAlign w:val="center"/>
          </w:tcPr>
          <w:p w:rsidR="00E2336B" w:rsidRPr="00224A16" w:rsidRDefault="00E2336B" w:rsidP="008466BC">
            <w:pPr>
              <w:ind w:left="567"/>
              <w:jc w:val="both"/>
              <w:rPr>
                <w:rFonts w:ascii="MinionPro-Regular" w:hAnsi="MinionPro-Regular" w:cs="Calibri"/>
                <w:color w:val="000000"/>
                <w:szCs w:val="22"/>
                <w:lang w:val="es-ES_tradnl"/>
              </w:rPr>
            </w:pPr>
            <w:r w:rsidRPr="00224A16">
              <w:rPr>
                <w:rFonts w:ascii="MinionPro-Regular" w:hAnsi="MinionPro-Regular" w:cs="Calibri"/>
                <w:color w:val="000000"/>
                <w:szCs w:val="22"/>
                <w:lang w:val="es-ES_tradnl"/>
              </w:rPr>
              <w:t>El CEE proporciona, en líneas generales, estabilidad en el empleo de las personas con discapacidad.</w:t>
            </w:r>
          </w:p>
        </w:tc>
      </w:tr>
      <w:tr w:rsidR="00E2336B" w:rsidRPr="000123AA" w:rsidTr="008466BC">
        <w:trPr>
          <w:trHeight w:val="6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color w:val="000000"/>
                <w:szCs w:val="22"/>
                <w:lang w:val="es-ES_tradnl"/>
              </w:rPr>
            </w:pPr>
            <w:r w:rsidRPr="00224A16">
              <w:rPr>
                <w:rFonts w:ascii="MinionPro-Regular" w:hAnsi="MinionPro-Regular" w:cs="Calibri"/>
                <w:color w:val="000000"/>
                <w:szCs w:val="22"/>
                <w:lang w:val="es-ES_tradnl"/>
              </w:rPr>
              <w:t> </w:t>
            </w:r>
          </w:p>
        </w:tc>
        <w:tc>
          <w:tcPr>
            <w:tcW w:w="7883" w:type="dxa"/>
            <w:tcBorders>
              <w:top w:val="nil"/>
              <w:left w:val="nil"/>
              <w:bottom w:val="nil"/>
              <w:right w:val="nil"/>
            </w:tcBorders>
            <w:shd w:val="clear" w:color="000000" w:fill="BFBFBF"/>
            <w:vAlign w:val="center"/>
          </w:tcPr>
          <w:p w:rsidR="00E2336B" w:rsidRPr="00224A16" w:rsidRDefault="00E2336B" w:rsidP="008466BC">
            <w:pPr>
              <w:ind w:left="567"/>
              <w:jc w:val="both"/>
              <w:rPr>
                <w:rFonts w:ascii="MinionPro-Regular" w:hAnsi="MinionPro-Regular" w:cs="Calibri"/>
                <w:color w:val="000000"/>
                <w:szCs w:val="22"/>
                <w:lang w:val="es-ES_tradnl"/>
              </w:rPr>
            </w:pPr>
            <w:r w:rsidRPr="00224A16">
              <w:rPr>
                <w:rFonts w:ascii="MinionPro-Regular" w:hAnsi="MinionPro-Regular" w:cs="Calibri"/>
                <w:color w:val="000000"/>
                <w:szCs w:val="22"/>
                <w:lang w:val="es-ES_tradnl"/>
              </w:rPr>
              <w:t>El marco regulatorio actual que permite diferentes acepciones de CEE (con ánimo de lucro, iniciativa social, etc.) es eficaz.</w:t>
            </w:r>
          </w:p>
        </w:tc>
      </w:tr>
      <w:tr w:rsidR="00E2336B" w:rsidRPr="000123AA" w:rsidTr="008466BC">
        <w:trPr>
          <w:trHeight w:val="3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color w:val="000000"/>
                <w:szCs w:val="22"/>
                <w:lang w:val="es-ES_tradnl"/>
              </w:rPr>
            </w:pPr>
            <w:r w:rsidRPr="00224A16">
              <w:rPr>
                <w:rFonts w:ascii="MinionPro-Regular" w:hAnsi="MinionPro-Regular" w:cs="Calibri"/>
                <w:color w:val="000000"/>
                <w:szCs w:val="22"/>
                <w:lang w:val="es-ES_tradnl"/>
              </w:rPr>
              <w:t> </w:t>
            </w:r>
          </w:p>
        </w:tc>
        <w:tc>
          <w:tcPr>
            <w:tcW w:w="7883" w:type="dxa"/>
            <w:tcBorders>
              <w:top w:val="nil"/>
              <w:left w:val="nil"/>
              <w:bottom w:val="nil"/>
              <w:right w:val="nil"/>
            </w:tcBorders>
            <w:shd w:val="clear" w:color="000000" w:fill="BFBFBF"/>
            <w:vAlign w:val="center"/>
          </w:tcPr>
          <w:p w:rsidR="00E2336B" w:rsidRPr="00224A16" w:rsidRDefault="00E2336B" w:rsidP="008466BC">
            <w:pPr>
              <w:ind w:left="567"/>
              <w:jc w:val="both"/>
              <w:rPr>
                <w:rFonts w:ascii="MinionPro-Regular" w:hAnsi="MinionPro-Regular" w:cs="Calibri"/>
                <w:color w:val="000000"/>
                <w:szCs w:val="22"/>
                <w:lang w:val="es-ES_tradnl"/>
              </w:rPr>
            </w:pPr>
            <w:r w:rsidRPr="00224A16">
              <w:rPr>
                <w:rFonts w:ascii="MinionPro-Regular" w:hAnsi="MinionPro-Regular" w:cs="Calibri"/>
                <w:color w:val="000000"/>
                <w:szCs w:val="22"/>
                <w:lang w:val="es-ES_tradnl"/>
              </w:rPr>
              <w:t>La red asociativa a la que están inscritos los CEE aporta valor añadido al sector.</w:t>
            </w:r>
          </w:p>
        </w:tc>
      </w:tr>
      <w:tr w:rsidR="00E2336B" w:rsidRPr="000123AA" w:rsidTr="008466BC">
        <w:trPr>
          <w:trHeight w:val="9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color w:val="000000"/>
                <w:szCs w:val="22"/>
                <w:lang w:val="es-ES_tradnl"/>
              </w:rPr>
            </w:pPr>
            <w:r w:rsidRPr="00224A16">
              <w:rPr>
                <w:rFonts w:ascii="MinionPro-Regular" w:hAnsi="MinionPro-Regular" w:cs="Calibri"/>
                <w:color w:val="000000"/>
                <w:szCs w:val="22"/>
                <w:lang w:val="es-ES_tradnl"/>
              </w:rPr>
              <w:t> </w:t>
            </w:r>
          </w:p>
        </w:tc>
        <w:tc>
          <w:tcPr>
            <w:tcW w:w="7883" w:type="dxa"/>
            <w:tcBorders>
              <w:top w:val="nil"/>
              <w:left w:val="nil"/>
              <w:bottom w:val="nil"/>
              <w:right w:val="nil"/>
            </w:tcBorders>
            <w:shd w:val="clear" w:color="000000" w:fill="BFBFBF"/>
            <w:vAlign w:val="center"/>
          </w:tcPr>
          <w:p w:rsidR="00E2336B" w:rsidRPr="00224A16" w:rsidRDefault="00E2336B" w:rsidP="008466BC">
            <w:pPr>
              <w:ind w:left="567"/>
              <w:jc w:val="both"/>
              <w:rPr>
                <w:rFonts w:ascii="MinionPro-Regular" w:hAnsi="MinionPro-Regular" w:cs="Calibri"/>
                <w:color w:val="000000"/>
                <w:szCs w:val="22"/>
                <w:lang w:val="es-ES_tradnl"/>
              </w:rPr>
            </w:pPr>
            <w:r w:rsidRPr="00224A16">
              <w:rPr>
                <w:rFonts w:ascii="MinionPro-Regular" w:hAnsi="MinionPro-Regular" w:cs="Calibri"/>
                <w:color w:val="000000"/>
                <w:szCs w:val="22"/>
                <w:lang w:val="es-ES_tradnl"/>
              </w:rPr>
              <w:t>El Estado recupera la financiación y las ayudas públicas otorgadas a los CEE a través de varios instrumentos como el IVA, el IRPF, la Seguridad Social, el incremento de la capacidad adquisitiva de los trabajadores, etc.</w:t>
            </w:r>
          </w:p>
        </w:tc>
      </w:tr>
      <w:tr w:rsidR="00E2336B" w:rsidRPr="000123AA" w:rsidTr="008466BC">
        <w:trPr>
          <w:trHeight w:val="6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color w:val="000000"/>
                <w:szCs w:val="22"/>
                <w:lang w:val="es-ES_tradnl"/>
              </w:rPr>
            </w:pPr>
            <w:r w:rsidRPr="00224A16">
              <w:rPr>
                <w:rFonts w:ascii="MinionPro-Regular" w:hAnsi="MinionPro-Regular" w:cs="Calibri"/>
                <w:color w:val="000000"/>
                <w:szCs w:val="22"/>
                <w:lang w:val="es-ES_tradnl"/>
              </w:rPr>
              <w:t> </w:t>
            </w:r>
          </w:p>
        </w:tc>
        <w:tc>
          <w:tcPr>
            <w:tcW w:w="7883" w:type="dxa"/>
            <w:tcBorders>
              <w:top w:val="nil"/>
              <w:left w:val="nil"/>
              <w:bottom w:val="nil"/>
              <w:right w:val="nil"/>
            </w:tcBorders>
            <w:shd w:val="clear" w:color="000000" w:fill="BFBFBF"/>
            <w:vAlign w:val="center"/>
          </w:tcPr>
          <w:p w:rsidR="00E2336B" w:rsidRPr="00224A16" w:rsidRDefault="00E2336B" w:rsidP="008466BC">
            <w:pPr>
              <w:ind w:left="567"/>
              <w:jc w:val="both"/>
              <w:rPr>
                <w:rFonts w:ascii="MinionPro-Regular" w:hAnsi="MinionPro-Regular" w:cs="Calibri"/>
                <w:color w:val="000000"/>
                <w:szCs w:val="22"/>
                <w:lang w:val="es-ES_tradnl"/>
              </w:rPr>
            </w:pPr>
            <w:r w:rsidRPr="00224A16">
              <w:rPr>
                <w:rFonts w:ascii="MinionPro-Regular" w:hAnsi="MinionPro-Regular" w:cs="Calibri"/>
                <w:color w:val="000000"/>
                <w:szCs w:val="22"/>
                <w:lang w:val="es-ES_tradnl"/>
              </w:rPr>
              <w:t>Los CEE cuentan con planes de desarrollo personal: Planificación del itinerario profesional individualizado según las capacidades de la persona.</w:t>
            </w:r>
          </w:p>
        </w:tc>
      </w:tr>
      <w:tr w:rsidR="00E2336B" w:rsidRPr="000123AA" w:rsidTr="008466BC">
        <w:trPr>
          <w:trHeight w:val="6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color w:val="000000"/>
                <w:szCs w:val="22"/>
                <w:lang w:val="es-ES_tradnl"/>
              </w:rPr>
            </w:pPr>
            <w:r w:rsidRPr="00224A16">
              <w:rPr>
                <w:rFonts w:ascii="MinionPro-Regular" w:hAnsi="MinionPro-Regular" w:cs="Calibri"/>
                <w:color w:val="000000"/>
                <w:szCs w:val="22"/>
                <w:lang w:val="es-ES_tradnl"/>
              </w:rPr>
              <w:t> </w:t>
            </w:r>
          </w:p>
        </w:tc>
        <w:tc>
          <w:tcPr>
            <w:tcW w:w="7883" w:type="dxa"/>
            <w:tcBorders>
              <w:top w:val="nil"/>
              <w:left w:val="nil"/>
              <w:bottom w:val="nil"/>
              <w:right w:val="nil"/>
            </w:tcBorders>
            <w:shd w:val="clear" w:color="000000" w:fill="BFBFBF"/>
            <w:vAlign w:val="center"/>
          </w:tcPr>
          <w:p w:rsidR="00E2336B" w:rsidRPr="00224A16" w:rsidRDefault="00E2336B" w:rsidP="008466BC">
            <w:pPr>
              <w:ind w:left="567"/>
              <w:jc w:val="both"/>
              <w:rPr>
                <w:rFonts w:ascii="MinionPro-Regular" w:hAnsi="MinionPro-Regular" w:cs="Calibri"/>
                <w:color w:val="000000"/>
                <w:szCs w:val="22"/>
                <w:lang w:val="es-ES_tradnl"/>
              </w:rPr>
            </w:pPr>
            <w:r w:rsidRPr="00224A16">
              <w:rPr>
                <w:rFonts w:ascii="MinionPro-Regular" w:hAnsi="MinionPro-Regular" w:cs="Calibri"/>
                <w:color w:val="000000"/>
                <w:szCs w:val="22"/>
                <w:lang w:val="es-ES_tradnl"/>
              </w:rPr>
              <w:t>El modelo de CEE debe promover la transición de las personas con discapacidad al empleo ordinario</w:t>
            </w:r>
          </w:p>
        </w:tc>
      </w:tr>
      <w:tr w:rsidR="00E2336B" w:rsidRPr="000123AA" w:rsidTr="008466BC">
        <w:trPr>
          <w:trHeight w:val="6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color w:val="000000"/>
                <w:szCs w:val="22"/>
                <w:lang w:val="es-ES_tradnl"/>
              </w:rPr>
            </w:pPr>
            <w:r w:rsidRPr="00224A16">
              <w:rPr>
                <w:rFonts w:ascii="MinionPro-Regular" w:hAnsi="MinionPro-Regular" w:cs="Calibri"/>
                <w:color w:val="000000"/>
                <w:szCs w:val="22"/>
                <w:lang w:val="es-ES_tradnl"/>
              </w:rPr>
              <w:t> </w:t>
            </w:r>
          </w:p>
        </w:tc>
        <w:tc>
          <w:tcPr>
            <w:tcW w:w="7883" w:type="dxa"/>
            <w:tcBorders>
              <w:top w:val="nil"/>
              <w:left w:val="nil"/>
              <w:bottom w:val="nil"/>
              <w:right w:val="nil"/>
            </w:tcBorders>
            <w:shd w:val="clear" w:color="000000" w:fill="BFBFBF"/>
            <w:vAlign w:val="center"/>
          </w:tcPr>
          <w:p w:rsidR="00E2336B" w:rsidRPr="00224A16" w:rsidRDefault="00E2336B" w:rsidP="008466BC">
            <w:pPr>
              <w:ind w:left="567"/>
              <w:jc w:val="both"/>
              <w:rPr>
                <w:rFonts w:ascii="MinionPro-Regular" w:hAnsi="MinionPro-Regular" w:cs="Calibri"/>
                <w:color w:val="000000"/>
                <w:szCs w:val="22"/>
                <w:lang w:val="es-ES_tradnl"/>
              </w:rPr>
            </w:pPr>
            <w:r w:rsidRPr="00224A16">
              <w:rPr>
                <w:rFonts w:ascii="MinionPro-Regular" w:hAnsi="MinionPro-Regular" w:cs="Calibri"/>
                <w:color w:val="000000"/>
                <w:szCs w:val="22"/>
                <w:lang w:val="es-ES_tradnl"/>
              </w:rPr>
              <w:t>La actividad de los CEE está concentrada en sectores muy maduros y focalizada hacia las mismas actividades y servicios</w:t>
            </w:r>
          </w:p>
        </w:tc>
      </w:tr>
      <w:tr w:rsidR="00E2336B" w:rsidRPr="000123AA" w:rsidTr="008466BC">
        <w:trPr>
          <w:trHeight w:val="3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color w:val="000000"/>
                <w:szCs w:val="22"/>
                <w:lang w:val="es-ES_tradnl"/>
              </w:rPr>
            </w:pPr>
            <w:r w:rsidRPr="00224A16">
              <w:rPr>
                <w:rFonts w:ascii="MinionPro-Regular" w:hAnsi="MinionPro-Regular" w:cs="Calibri"/>
                <w:color w:val="000000"/>
                <w:szCs w:val="22"/>
                <w:lang w:val="es-ES_tradnl"/>
              </w:rPr>
              <w:t> </w:t>
            </w:r>
          </w:p>
        </w:tc>
        <w:tc>
          <w:tcPr>
            <w:tcW w:w="7883" w:type="dxa"/>
            <w:tcBorders>
              <w:top w:val="nil"/>
              <w:left w:val="nil"/>
              <w:bottom w:val="nil"/>
              <w:right w:val="nil"/>
            </w:tcBorders>
            <w:shd w:val="clear" w:color="000000" w:fill="BFBFBF"/>
            <w:vAlign w:val="center"/>
          </w:tcPr>
          <w:p w:rsidR="00E2336B" w:rsidRPr="00224A16" w:rsidRDefault="00E2336B" w:rsidP="008466BC">
            <w:pPr>
              <w:ind w:left="567"/>
              <w:jc w:val="both"/>
              <w:rPr>
                <w:rFonts w:ascii="MinionPro-Regular" w:hAnsi="MinionPro-Regular" w:cs="Calibri"/>
                <w:color w:val="000000"/>
                <w:szCs w:val="22"/>
                <w:lang w:val="es-ES_tradnl"/>
              </w:rPr>
            </w:pPr>
            <w:r w:rsidRPr="00224A16">
              <w:rPr>
                <w:rFonts w:ascii="MinionPro-Regular" w:hAnsi="MinionPro-Regular" w:cs="Calibri"/>
                <w:color w:val="000000"/>
                <w:szCs w:val="22"/>
                <w:lang w:val="es-ES_tradnl"/>
              </w:rPr>
              <w:t>El control de la Administración sobre los CEE, es adecuado y suficiente.</w:t>
            </w:r>
          </w:p>
        </w:tc>
      </w:tr>
      <w:tr w:rsidR="00E2336B" w:rsidRPr="000123AA" w:rsidTr="008466BC">
        <w:trPr>
          <w:trHeight w:val="6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color w:val="000000"/>
                <w:szCs w:val="22"/>
                <w:lang w:val="es-ES_tradnl"/>
              </w:rPr>
            </w:pPr>
            <w:r w:rsidRPr="00224A16">
              <w:rPr>
                <w:rFonts w:ascii="MinionPro-Regular" w:hAnsi="MinionPro-Regular" w:cs="Calibri"/>
                <w:color w:val="000000"/>
                <w:szCs w:val="22"/>
                <w:lang w:val="es-ES_tradnl"/>
              </w:rPr>
              <w:t> </w:t>
            </w:r>
          </w:p>
        </w:tc>
        <w:tc>
          <w:tcPr>
            <w:tcW w:w="7883" w:type="dxa"/>
            <w:tcBorders>
              <w:top w:val="nil"/>
              <w:left w:val="nil"/>
              <w:bottom w:val="nil"/>
              <w:right w:val="nil"/>
            </w:tcBorders>
            <w:shd w:val="clear" w:color="000000" w:fill="BFBFBF"/>
            <w:vAlign w:val="center"/>
          </w:tcPr>
          <w:p w:rsidR="00E2336B" w:rsidRPr="00224A16" w:rsidRDefault="00E2336B" w:rsidP="008466BC">
            <w:pPr>
              <w:ind w:left="567"/>
              <w:jc w:val="both"/>
              <w:rPr>
                <w:rFonts w:ascii="MinionPro-Regular" w:hAnsi="MinionPro-Regular" w:cs="Calibri"/>
                <w:color w:val="000000"/>
                <w:szCs w:val="22"/>
                <w:lang w:val="es-ES_tradnl"/>
              </w:rPr>
            </w:pPr>
            <w:r w:rsidRPr="00224A16">
              <w:rPr>
                <w:rFonts w:ascii="MinionPro-Regular" w:hAnsi="MinionPro-Regular" w:cs="Calibri"/>
                <w:color w:val="000000"/>
                <w:szCs w:val="22"/>
                <w:lang w:val="es-ES_tradnl"/>
              </w:rPr>
              <w:t>Se percibe  a los CEE como empresas débiles con alta dependencia en las subvenciones</w:t>
            </w:r>
          </w:p>
        </w:tc>
      </w:tr>
      <w:tr w:rsidR="00E2336B" w:rsidRPr="000123AA" w:rsidTr="008466BC">
        <w:trPr>
          <w:trHeight w:val="3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color w:val="000000"/>
                <w:szCs w:val="22"/>
                <w:lang w:val="es-ES_tradnl"/>
              </w:rPr>
            </w:pPr>
            <w:r w:rsidRPr="00224A16">
              <w:rPr>
                <w:rFonts w:ascii="MinionPro-Regular" w:hAnsi="MinionPro-Regular" w:cs="Calibri"/>
                <w:color w:val="000000"/>
                <w:szCs w:val="22"/>
                <w:lang w:val="es-ES_tradnl"/>
              </w:rPr>
              <w:t> </w:t>
            </w:r>
          </w:p>
        </w:tc>
        <w:tc>
          <w:tcPr>
            <w:tcW w:w="7883" w:type="dxa"/>
            <w:tcBorders>
              <w:top w:val="nil"/>
              <w:left w:val="nil"/>
              <w:bottom w:val="nil"/>
              <w:right w:val="nil"/>
            </w:tcBorders>
            <w:shd w:val="clear" w:color="000000" w:fill="BFBFBF"/>
            <w:vAlign w:val="bottom"/>
          </w:tcPr>
          <w:p w:rsidR="00E2336B" w:rsidRPr="00224A16" w:rsidRDefault="00E2336B" w:rsidP="000123AA">
            <w:pPr>
              <w:rPr>
                <w:rFonts w:ascii="MinionPro-Regular" w:hAnsi="MinionPro-Regular" w:cs="Calibri"/>
                <w:bCs/>
                <w:color w:val="000000"/>
                <w:szCs w:val="22"/>
                <w:lang w:val="es-ES_tradnl"/>
              </w:rPr>
            </w:pPr>
            <w:r w:rsidRPr="00224A16">
              <w:rPr>
                <w:rFonts w:ascii="MinionPro-Regular" w:hAnsi="MinionPro-Regular" w:cs="Calibri"/>
                <w:bCs/>
                <w:color w:val="000000"/>
                <w:szCs w:val="22"/>
                <w:lang w:val="es-ES_tradnl"/>
              </w:rPr>
              <w:t> </w:t>
            </w:r>
          </w:p>
        </w:tc>
      </w:tr>
      <w:tr w:rsidR="00E2336B" w:rsidRPr="000123AA" w:rsidTr="008466BC">
        <w:trPr>
          <w:trHeight w:val="6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bCs/>
                <w:color w:val="000000"/>
                <w:szCs w:val="22"/>
                <w:lang w:val="en-US"/>
              </w:rPr>
            </w:pPr>
            <w:r w:rsidRPr="00224A16">
              <w:rPr>
                <w:rFonts w:ascii="MinionPro-Regular" w:hAnsi="MinionPro-Regular" w:cs="Calibri"/>
                <w:bCs/>
                <w:color w:val="000000"/>
                <w:szCs w:val="22"/>
                <w:lang w:val="en-US"/>
              </w:rPr>
              <w:t>2.4.</w:t>
            </w:r>
          </w:p>
        </w:tc>
        <w:tc>
          <w:tcPr>
            <w:tcW w:w="7883" w:type="dxa"/>
            <w:tcBorders>
              <w:top w:val="nil"/>
              <w:left w:val="nil"/>
              <w:bottom w:val="nil"/>
              <w:right w:val="nil"/>
            </w:tcBorders>
            <w:shd w:val="clear" w:color="000000" w:fill="BFBFBF"/>
            <w:vAlign w:val="center"/>
          </w:tcPr>
          <w:p w:rsidR="00E2336B" w:rsidRPr="00224A16" w:rsidRDefault="00E2336B" w:rsidP="000123AA">
            <w:pPr>
              <w:rPr>
                <w:rFonts w:ascii="MinionPro-Regular" w:hAnsi="MinionPro-Regular" w:cs="Calibri"/>
                <w:bCs/>
                <w:color w:val="000000"/>
                <w:szCs w:val="22"/>
                <w:lang w:val="en-US"/>
              </w:rPr>
            </w:pPr>
            <w:r w:rsidRPr="00224A16">
              <w:rPr>
                <w:rFonts w:ascii="MinionPro-Regular" w:hAnsi="MinionPro-Regular" w:cs="Calibri"/>
                <w:bCs/>
                <w:color w:val="000000"/>
                <w:szCs w:val="22"/>
                <w:lang w:val="es-ES_tradnl"/>
              </w:rPr>
              <w:t>En términos generales, ¿qué nivel de especialización tecnológica  cree Ud. que dispone su CEE?</w:t>
            </w:r>
            <w:r w:rsidRPr="00224A16">
              <w:rPr>
                <w:rFonts w:ascii="MinionPro-Regular" w:hAnsi="MinionPro-Regular" w:cs="Calibri"/>
                <w:bCs/>
                <w:color w:val="4F81BD"/>
                <w:szCs w:val="22"/>
                <w:lang w:val="es-ES_tradnl"/>
              </w:rPr>
              <w:t xml:space="preserve"> </w:t>
            </w:r>
            <w:r w:rsidRPr="00224A16">
              <w:rPr>
                <w:rFonts w:ascii="MinionPro-Regular" w:hAnsi="MinionPro-Regular" w:cs="Calibri"/>
                <w:bCs/>
                <w:color w:val="4F81BD"/>
                <w:szCs w:val="22"/>
                <w:lang w:val="en-US"/>
              </w:rPr>
              <w:t>(opción única)</w:t>
            </w:r>
          </w:p>
        </w:tc>
      </w:tr>
      <w:tr w:rsidR="00E2336B" w:rsidRPr="000123AA" w:rsidTr="008466BC">
        <w:trPr>
          <w:trHeight w:val="3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color w:val="000000"/>
                <w:szCs w:val="22"/>
                <w:lang w:val="en-US"/>
              </w:rPr>
            </w:pPr>
            <w:r w:rsidRPr="00224A16">
              <w:rPr>
                <w:rFonts w:ascii="MinionPro-Regular" w:hAnsi="MinionPro-Regular" w:cs="Calibri"/>
                <w:color w:val="000000"/>
                <w:szCs w:val="22"/>
                <w:lang w:val="en-US"/>
              </w:rPr>
              <w:t> </w:t>
            </w:r>
          </w:p>
        </w:tc>
        <w:tc>
          <w:tcPr>
            <w:tcW w:w="7883" w:type="dxa"/>
            <w:tcBorders>
              <w:top w:val="nil"/>
              <w:left w:val="nil"/>
              <w:bottom w:val="nil"/>
              <w:right w:val="nil"/>
            </w:tcBorders>
            <w:shd w:val="clear" w:color="000000" w:fill="BFBFBF"/>
            <w:vAlign w:val="center"/>
          </w:tcPr>
          <w:p w:rsidR="002959F0" w:rsidRDefault="00E2336B" w:rsidP="002959F0">
            <w:pPr>
              <w:ind w:firstLineChars="400" w:firstLine="880"/>
              <w:rPr>
                <w:rFonts w:ascii="MinionPro-Regular" w:hAnsi="MinionPro-Regular" w:cs="Calibri"/>
                <w:color w:val="000000"/>
                <w:szCs w:val="22"/>
                <w:lang w:val="es-ES_tradnl"/>
              </w:rPr>
            </w:pPr>
            <w:r w:rsidRPr="00224A16">
              <w:rPr>
                <w:rFonts w:ascii="MinionPro-Regular" w:hAnsi="MinionPro-Regular" w:cs="Calibri"/>
                <w:color w:val="000000"/>
                <w:szCs w:val="22"/>
                <w:lang w:val="es-ES_tradnl"/>
              </w:rPr>
              <w:t>A) Por debajo de la media del sector de actividad al que pertenece</w:t>
            </w:r>
          </w:p>
        </w:tc>
      </w:tr>
      <w:tr w:rsidR="00E2336B" w:rsidRPr="000123AA" w:rsidTr="008466BC">
        <w:trPr>
          <w:trHeight w:val="3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color w:val="000000"/>
                <w:szCs w:val="22"/>
                <w:lang w:val="es-ES_tradnl"/>
              </w:rPr>
            </w:pPr>
            <w:r w:rsidRPr="00224A16">
              <w:rPr>
                <w:rFonts w:ascii="MinionPro-Regular" w:hAnsi="MinionPro-Regular" w:cs="Calibri"/>
                <w:color w:val="000000"/>
                <w:szCs w:val="22"/>
                <w:lang w:val="es-ES_tradnl"/>
              </w:rPr>
              <w:t> </w:t>
            </w:r>
          </w:p>
        </w:tc>
        <w:tc>
          <w:tcPr>
            <w:tcW w:w="7883" w:type="dxa"/>
            <w:tcBorders>
              <w:top w:val="nil"/>
              <w:left w:val="nil"/>
              <w:bottom w:val="nil"/>
              <w:right w:val="nil"/>
            </w:tcBorders>
            <w:shd w:val="clear" w:color="000000" w:fill="BFBFBF"/>
            <w:vAlign w:val="center"/>
          </w:tcPr>
          <w:p w:rsidR="002959F0" w:rsidRDefault="00E2336B" w:rsidP="002959F0">
            <w:pPr>
              <w:ind w:firstLineChars="400" w:firstLine="880"/>
              <w:rPr>
                <w:rFonts w:ascii="MinionPro-Regular" w:hAnsi="MinionPro-Regular" w:cs="Calibri"/>
                <w:color w:val="000000"/>
                <w:szCs w:val="22"/>
                <w:lang w:val="es-ES_tradnl"/>
              </w:rPr>
            </w:pPr>
            <w:r w:rsidRPr="00224A16">
              <w:rPr>
                <w:rFonts w:ascii="MinionPro-Regular" w:hAnsi="MinionPro-Regular" w:cs="Calibri"/>
                <w:color w:val="000000"/>
                <w:szCs w:val="22"/>
                <w:lang w:val="es-ES_tradnl"/>
              </w:rPr>
              <w:t>B) En la media del sector</w:t>
            </w:r>
          </w:p>
        </w:tc>
      </w:tr>
      <w:tr w:rsidR="00E2336B" w:rsidRPr="000123AA" w:rsidTr="008466BC">
        <w:trPr>
          <w:trHeight w:val="3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color w:val="000000"/>
                <w:szCs w:val="22"/>
                <w:lang w:val="es-ES_tradnl"/>
              </w:rPr>
            </w:pPr>
            <w:r w:rsidRPr="00224A16">
              <w:rPr>
                <w:rFonts w:ascii="MinionPro-Regular" w:hAnsi="MinionPro-Regular" w:cs="Calibri"/>
                <w:color w:val="000000"/>
                <w:szCs w:val="22"/>
                <w:lang w:val="es-ES_tradnl"/>
              </w:rPr>
              <w:t> </w:t>
            </w:r>
          </w:p>
        </w:tc>
        <w:tc>
          <w:tcPr>
            <w:tcW w:w="7883" w:type="dxa"/>
            <w:tcBorders>
              <w:top w:val="nil"/>
              <w:left w:val="nil"/>
              <w:bottom w:val="nil"/>
              <w:right w:val="nil"/>
            </w:tcBorders>
            <w:shd w:val="clear" w:color="000000" w:fill="BFBFBF"/>
            <w:vAlign w:val="center"/>
          </w:tcPr>
          <w:p w:rsidR="002959F0" w:rsidRDefault="00E2336B" w:rsidP="002959F0">
            <w:pPr>
              <w:ind w:firstLineChars="400" w:firstLine="880"/>
              <w:rPr>
                <w:rFonts w:ascii="MinionPro-Regular" w:hAnsi="MinionPro-Regular" w:cs="Calibri"/>
                <w:color w:val="000000"/>
                <w:szCs w:val="22"/>
                <w:lang w:val="es-ES_tradnl"/>
              </w:rPr>
            </w:pPr>
            <w:r w:rsidRPr="00224A16">
              <w:rPr>
                <w:rFonts w:ascii="MinionPro-Regular" w:hAnsi="MinionPro-Regular" w:cs="Calibri"/>
                <w:color w:val="000000"/>
                <w:szCs w:val="22"/>
                <w:lang w:val="es-ES_tradnl"/>
              </w:rPr>
              <w:t>C) Por encima de la media del sector</w:t>
            </w:r>
          </w:p>
        </w:tc>
      </w:tr>
      <w:tr w:rsidR="00E2336B" w:rsidRPr="000123AA" w:rsidTr="008466BC">
        <w:trPr>
          <w:trHeight w:val="3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color w:val="000000"/>
                <w:szCs w:val="22"/>
                <w:lang w:val="es-ES_tradnl"/>
              </w:rPr>
            </w:pPr>
            <w:r w:rsidRPr="00224A16">
              <w:rPr>
                <w:rFonts w:ascii="MinionPro-Regular" w:hAnsi="MinionPro-Regular" w:cs="Calibri"/>
                <w:color w:val="000000"/>
                <w:szCs w:val="22"/>
                <w:lang w:val="es-ES_tradnl"/>
              </w:rPr>
              <w:t> </w:t>
            </w:r>
          </w:p>
        </w:tc>
        <w:tc>
          <w:tcPr>
            <w:tcW w:w="7883" w:type="dxa"/>
            <w:tcBorders>
              <w:top w:val="nil"/>
              <w:left w:val="nil"/>
              <w:bottom w:val="nil"/>
              <w:right w:val="nil"/>
            </w:tcBorders>
            <w:shd w:val="clear" w:color="000000" w:fill="BFBFBF"/>
            <w:vAlign w:val="center"/>
          </w:tcPr>
          <w:p w:rsidR="002959F0" w:rsidRDefault="00E2336B" w:rsidP="002959F0">
            <w:pPr>
              <w:ind w:firstLineChars="400" w:firstLine="880"/>
              <w:rPr>
                <w:rFonts w:ascii="MinionPro-Regular" w:hAnsi="MinionPro-Regular" w:cs="Calibri"/>
                <w:color w:val="000000"/>
                <w:szCs w:val="22"/>
                <w:lang w:val="es-ES_tradnl"/>
              </w:rPr>
            </w:pPr>
            <w:r w:rsidRPr="00224A16">
              <w:rPr>
                <w:rFonts w:ascii="MinionPro-Regular" w:hAnsi="MinionPro-Regular" w:cs="Calibri"/>
                <w:color w:val="000000"/>
                <w:szCs w:val="22"/>
                <w:lang w:val="es-ES_tradnl"/>
              </w:rPr>
              <w:t> </w:t>
            </w:r>
          </w:p>
        </w:tc>
      </w:tr>
      <w:tr w:rsidR="00E2336B" w:rsidRPr="000123AA" w:rsidTr="008466BC">
        <w:trPr>
          <w:trHeight w:val="6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bCs/>
                <w:color w:val="000000"/>
                <w:szCs w:val="22"/>
                <w:lang w:val="en-US"/>
              </w:rPr>
            </w:pPr>
            <w:r w:rsidRPr="00224A16">
              <w:rPr>
                <w:rFonts w:ascii="MinionPro-Regular" w:hAnsi="MinionPro-Regular" w:cs="Calibri"/>
                <w:bCs/>
                <w:color w:val="000000"/>
                <w:szCs w:val="22"/>
                <w:lang w:val="en-US"/>
              </w:rPr>
              <w:t>2.5.</w:t>
            </w:r>
          </w:p>
        </w:tc>
        <w:tc>
          <w:tcPr>
            <w:tcW w:w="7883" w:type="dxa"/>
            <w:tcBorders>
              <w:top w:val="nil"/>
              <w:left w:val="nil"/>
              <w:bottom w:val="nil"/>
              <w:right w:val="nil"/>
            </w:tcBorders>
            <w:shd w:val="clear" w:color="000000" w:fill="BFBFBF"/>
            <w:vAlign w:val="center"/>
          </w:tcPr>
          <w:p w:rsidR="00E2336B" w:rsidRPr="00224A16" w:rsidRDefault="00E2336B" w:rsidP="000123AA">
            <w:pPr>
              <w:rPr>
                <w:rFonts w:ascii="MinionPro-Regular" w:hAnsi="MinionPro-Regular" w:cs="Calibri"/>
                <w:bCs/>
                <w:color w:val="000000"/>
                <w:szCs w:val="22"/>
                <w:lang w:val="en-US"/>
              </w:rPr>
            </w:pPr>
            <w:r w:rsidRPr="00224A16">
              <w:rPr>
                <w:rFonts w:ascii="MinionPro-Regular" w:hAnsi="MinionPro-Regular" w:cs="Calibri"/>
                <w:bCs/>
                <w:color w:val="000000"/>
                <w:szCs w:val="22"/>
                <w:lang w:val="es-ES_tradnl"/>
              </w:rPr>
              <w:t xml:space="preserve">En términos generales, ¿qué nivel de innovación  cree Ud. que dispone su CEE? </w:t>
            </w:r>
            <w:r w:rsidRPr="00224A16">
              <w:rPr>
                <w:rFonts w:ascii="MinionPro-Regular" w:hAnsi="MinionPro-Regular" w:cs="Calibri"/>
                <w:bCs/>
                <w:color w:val="4F81BD"/>
                <w:szCs w:val="22"/>
                <w:lang w:val="en-US"/>
              </w:rPr>
              <w:t>(opción única)</w:t>
            </w:r>
          </w:p>
        </w:tc>
      </w:tr>
      <w:tr w:rsidR="00E2336B" w:rsidRPr="000123AA" w:rsidTr="008466BC">
        <w:trPr>
          <w:trHeight w:val="3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color w:val="000000"/>
                <w:szCs w:val="22"/>
                <w:lang w:val="en-US"/>
              </w:rPr>
            </w:pPr>
            <w:r w:rsidRPr="00224A16">
              <w:rPr>
                <w:rFonts w:ascii="MinionPro-Regular" w:hAnsi="MinionPro-Regular" w:cs="Calibri"/>
                <w:color w:val="000000"/>
                <w:szCs w:val="22"/>
                <w:lang w:val="en-US"/>
              </w:rPr>
              <w:t> </w:t>
            </w:r>
          </w:p>
        </w:tc>
        <w:tc>
          <w:tcPr>
            <w:tcW w:w="7883" w:type="dxa"/>
            <w:tcBorders>
              <w:top w:val="nil"/>
              <w:left w:val="nil"/>
              <w:bottom w:val="nil"/>
              <w:right w:val="nil"/>
            </w:tcBorders>
            <w:shd w:val="clear" w:color="000000" w:fill="BFBFBF"/>
            <w:vAlign w:val="center"/>
          </w:tcPr>
          <w:p w:rsidR="002959F0" w:rsidRDefault="00E2336B" w:rsidP="002959F0">
            <w:pPr>
              <w:ind w:firstLineChars="400" w:firstLine="880"/>
              <w:rPr>
                <w:rFonts w:ascii="MinionPro-Regular" w:hAnsi="MinionPro-Regular" w:cs="Calibri"/>
                <w:color w:val="000000"/>
                <w:szCs w:val="22"/>
                <w:lang w:val="es-ES_tradnl"/>
              </w:rPr>
            </w:pPr>
            <w:r w:rsidRPr="00224A16">
              <w:rPr>
                <w:rFonts w:ascii="MinionPro-Regular" w:hAnsi="MinionPro-Regular" w:cs="Calibri"/>
                <w:color w:val="000000"/>
                <w:szCs w:val="22"/>
                <w:lang w:val="es-ES_tradnl"/>
              </w:rPr>
              <w:t>A) Por debajo de la media del sector de actividad al que pertenece</w:t>
            </w:r>
          </w:p>
        </w:tc>
      </w:tr>
      <w:tr w:rsidR="00E2336B" w:rsidRPr="000123AA" w:rsidTr="008466BC">
        <w:trPr>
          <w:trHeight w:val="3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color w:val="000000"/>
                <w:szCs w:val="22"/>
                <w:lang w:val="es-ES_tradnl"/>
              </w:rPr>
            </w:pPr>
            <w:r w:rsidRPr="00224A16">
              <w:rPr>
                <w:rFonts w:ascii="MinionPro-Regular" w:hAnsi="MinionPro-Regular" w:cs="Calibri"/>
                <w:color w:val="000000"/>
                <w:szCs w:val="22"/>
                <w:lang w:val="es-ES_tradnl"/>
              </w:rPr>
              <w:lastRenderedPageBreak/>
              <w:t> </w:t>
            </w:r>
          </w:p>
        </w:tc>
        <w:tc>
          <w:tcPr>
            <w:tcW w:w="7883" w:type="dxa"/>
            <w:tcBorders>
              <w:top w:val="nil"/>
              <w:left w:val="nil"/>
              <w:bottom w:val="nil"/>
              <w:right w:val="nil"/>
            </w:tcBorders>
            <w:shd w:val="clear" w:color="000000" w:fill="BFBFBF"/>
            <w:vAlign w:val="center"/>
          </w:tcPr>
          <w:p w:rsidR="002959F0" w:rsidRDefault="00E2336B" w:rsidP="002959F0">
            <w:pPr>
              <w:ind w:firstLineChars="400" w:firstLine="880"/>
              <w:rPr>
                <w:rFonts w:ascii="MinionPro-Regular" w:hAnsi="MinionPro-Regular" w:cs="Calibri"/>
                <w:color w:val="000000"/>
                <w:szCs w:val="22"/>
                <w:lang w:val="es-ES_tradnl"/>
              </w:rPr>
            </w:pPr>
            <w:r w:rsidRPr="00224A16">
              <w:rPr>
                <w:rFonts w:ascii="MinionPro-Regular" w:hAnsi="MinionPro-Regular" w:cs="Calibri"/>
                <w:color w:val="000000"/>
                <w:szCs w:val="22"/>
                <w:lang w:val="es-ES_tradnl"/>
              </w:rPr>
              <w:t>B) En la media del sector</w:t>
            </w:r>
          </w:p>
        </w:tc>
      </w:tr>
      <w:tr w:rsidR="00E2336B" w:rsidRPr="000123AA" w:rsidTr="008466BC">
        <w:trPr>
          <w:trHeight w:val="3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color w:val="000000"/>
                <w:szCs w:val="22"/>
                <w:lang w:val="es-ES_tradnl"/>
              </w:rPr>
            </w:pPr>
            <w:r w:rsidRPr="00224A16">
              <w:rPr>
                <w:rFonts w:ascii="MinionPro-Regular" w:hAnsi="MinionPro-Regular" w:cs="Calibri"/>
                <w:color w:val="000000"/>
                <w:szCs w:val="22"/>
                <w:lang w:val="es-ES_tradnl"/>
              </w:rPr>
              <w:t> </w:t>
            </w:r>
          </w:p>
        </w:tc>
        <w:tc>
          <w:tcPr>
            <w:tcW w:w="7883" w:type="dxa"/>
            <w:tcBorders>
              <w:top w:val="nil"/>
              <w:left w:val="nil"/>
              <w:bottom w:val="nil"/>
              <w:right w:val="nil"/>
            </w:tcBorders>
            <w:shd w:val="clear" w:color="000000" w:fill="BFBFBF"/>
            <w:vAlign w:val="center"/>
          </w:tcPr>
          <w:p w:rsidR="002959F0" w:rsidRDefault="00E2336B" w:rsidP="002959F0">
            <w:pPr>
              <w:ind w:firstLineChars="400" w:firstLine="880"/>
              <w:rPr>
                <w:rFonts w:ascii="MinionPro-Regular" w:hAnsi="MinionPro-Regular" w:cs="Calibri"/>
                <w:color w:val="000000"/>
                <w:szCs w:val="22"/>
                <w:lang w:val="es-ES_tradnl"/>
              </w:rPr>
            </w:pPr>
            <w:r w:rsidRPr="00224A16">
              <w:rPr>
                <w:rFonts w:ascii="MinionPro-Regular" w:hAnsi="MinionPro-Regular" w:cs="Calibri"/>
                <w:color w:val="000000"/>
                <w:szCs w:val="22"/>
                <w:lang w:val="es-ES_tradnl"/>
              </w:rPr>
              <w:t>C) Por encima de la media del sector</w:t>
            </w:r>
          </w:p>
        </w:tc>
      </w:tr>
      <w:tr w:rsidR="00E2336B" w:rsidRPr="000123AA" w:rsidTr="008466BC">
        <w:trPr>
          <w:trHeight w:val="3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color w:val="000000"/>
                <w:szCs w:val="22"/>
                <w:lang w:val="es-ES_tradnl"/>
              </w:rPr>
            </w:pPr>
            <w:r w:rsidRPr="00224A16">
              <w:rPr>
                <w:rFonts w:ascii="MinionPro-Regular" w:hAnsi="MinionPro-Regular" w:cs="Calibri"/>
                <w:color w:val="000000"/>
                <w:szCs w:val="22"/>
                <w:lang w:val="es-ES_tradnl"/>
              </w:rPr>
              <w:t> </w:t>
            </w:r>
          </w:p>
        </w:tc>
        <w:tc>
          <w:tcPr>
            <w:tcW w:w="7883" w:type="dxa"/>
            <w:tcBorders>
              <w:top w:val="nil"/>
              <w:left w:val="nil"/>
              <w:bottom w:val="nil"/>
              <w:right w:val="nil"/>
            </w:tcBorders>
            <w:shd w:val="clear" w:color="000000" w:fill="BFBFBF"/>
            <w:vAlign w:val="center"/>
          </w:tcPr>
          <w:p w:rsidR="002959F0" w:rsidRDefault="00E2336B" w:rsidP="002959F0">
            <w:pPr>
              <w:ind w:firstLineChars="400" w:firstLine="880"/>
              <w:rPr>
                <w:rFonts w:ascii="MinionPro-Regular" w:hAnsi="MinionPro-Regular" w:cs="Calibri"/>
                <w:color w:val="000000"/>
                <w:szCs w:val="22"/>
                <w:lang w:val="es-ES_tradnl"/>
              </w:rPr>
            </w:pPr>
            <w:r w:rsidRPr="00224A16">
              <w:rPr>
                <w:rFonts w:ascii="MinionPro-Regular" w:hAnsi="MinionPro-Regular" w:cs="Calibri"/>
                <w:color w:val="000000"/>
                <w:szCs w:val="22"/>
                <w:lang w:val="es-ES_tradnl"/>
              </w:rPr>
              <w:t> </w:t>
            </w:r>
          </w:p>
        </w:tc>
      </w:tr>
      <w:tr w:rsidR="00E2336B" w:rsidRPr="000123AA" w:rsidTr="008466BC">
        <w:trPr>
          <w:trHeight w:val="6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color w:val="000000"/>
                <w:szCs w:val="22"/>
                <w:lang w:val="en-US"/>
              </w:rPr>
            </w:pPr>
            <w:r w:rsidRPr="00224A16">
              <w:rPr>
                <w:rFonts w:ascii="MinionPro-Regular" w:hAnsi="MinionPro-Regular" w:cs="Calibri"/>
                <w:color w:val="000000"/>
                <w:szCs w:val="22"/>
                <w:lang w:val="en-US"/>
              </w:rPr>
              <w:t>2.5.1</w:t>
            </w:r>
          </w:p>
        </w:tc>
        <w:tc>
          <w:tcPr>
            <w:tcW w:w="7883" w:type="dxa"/>
            <w:tcBorders>
              <w:top w:val="nil"/>
              <w:left w:val="nil"/>
              <w:bottom w:val="nil"/>
              <w:right w:val="nil"/>
            </w:tcBorders>
            <w:shd w:val="clear" w:color="000000" w:fill="BFBFBF"/>
            <w:vAlign w:val="center"/>
          </w:tcPr>
          <w:p w:rsidR="00E2336B" w:rsidRPr="00224A16" w:rsidRDefault="00E2336B" w:rsidP="000123AA">
            <w:pPr>
              <w:rPr>
                <w:rFonts w:ascii="MinionPro-Regular" w:hAnsi="MinionPro-Regular" w:cs="Calibri"/>
                <w:bCs/>
                <w:color w:val="000000"/>
                <w:szCs w:val="22"/>
                <w:lang w:val="en-US"/>
              </w:rPr>
            </w:pPr>
            <w:r w:rsidRPr="00224A16">
              <w:rPr>
                <w:rFonts w:ascii="MinionPro-Regular" w:hAnsi="MinionPro-Regular" w:cs="Calibri"/>
                <w:bCs/>
                <w:color w:val="000000"/>
                <w:szCs w:val="22"/>
                <w:lang w:val="es-ES_tradnl"/>
              </w:rPr>
              <w:t xml:space="preserve">¿Qué considera que sería necesario para la mejora del desarrollo tecnológico y la innovación de los CEE? </w:t>
            </w:r>
            <w:r w:rsidRPr="00224A16">
              <w:rPr>
                <w:rFonts w:ascii="MinionPro-Regular" w:hAnsi="MinionPro-Regular" w:cs="Calibri"/>
                <w:bCs/>
                <w:color w:val="4F81BD"/>
                <w:szCs w:val="22"/>
                <w:lang w:val="en-US"/>
              </w:rPr>
              <w:t>(respuesta abierta)</w:t>
            </w:r>
          </w:p>
        </w:tc>
      </w:tr>
      <w:tr w:rsidR="00E2336B" w:rsidRPr="000123AA" w:rsidTr="008466BC">
        <w:trPr>
          <w:trHeight w:val="315"/>
        </w:trPr>
        <w:tc>
          <w:tcPr>
            <w:tcW w:w="656" w:type="dxa"/>
            <w:tcBorders>
              <w:top w:val="nil"/>
              <w:left w:val="nil"/>
              <w:bottom w:val="single" w:sz="8" w:space="0" w:color="auto"/>
              <w:right w:val="nil"/>
            </w:tcBorders>
            <w:shd w:val="clear" w:color="000000" w:fill="BFBFBF"/>
            <w:noWrap/>
          </w:tcPr>
          <w:p w:rsidR="00E2336B" w:rsidRPr="00224A16" w:rsidRDefault="00E2336B" w:rsidP="000123AA">
            <w:pPr>
              <w:rPr>
                <w:rFonts w:ascii="MinionPro-Regular" w:hAnsi="MinionPro-Regular" w:cs="Calibri"/>
                <w:color w:val="000000"/>
                <w:szCs w:val="22"/>
                <w:lang w:val="en-US"/>
              </w:rPr>
            </w:pPr>
            <w:r w:rsidRPr="00224A16">
              <w:rPr>
                <w:rFonts w:ascii="MinionPro-Regular" w:hAnsi="MinionPro-Regular" w:cs="Calibri"/>
                <w:color w:val="000000"/>
                <w:szCs w:val="22"/>
                <w:lang w:val="en-US"/>
              </w:rPr>
              <w:t> </w:t>
            </w:r>
          </w:p>
        </w:tc>
        <w:tc>
          <w:tcPr>
            <w:tcW w:w="7883" w:type="dxa"/>
            <w:tcBorders>
              <w:top w:val="nil"/>
              <w:left w:val="nil"/>
              <w:bottom w:val="single" w:sz="8" w:space="0" w:color="auto"/>
              <w:right w:val="nil"/>
            </w:tcBorders>
            <w:shd w:val="clear" w:color="000000" w:fill="BFBFBF"/>
            <w:vAlign w:val="center"/>
          </w:tcPr>
          <w:p w:rsidR="00E2336B" w:rsidRPr="00224A16" w:rsidRDefault="00E2336B" w:rsidP="000123AA">
            <w:pPr>
              <w:rPr>
                <w:rFonts w:ascii="MinionPro-Regular" w:hAnsi="MinionPro-Regular" w:cs="Calibri"/>
                <w:color w:val="000000"/>
                <w:szCs w:val="22"/>
                <w:lang w:val="en-US"/>
              </w:rPr>
            </w:pPr>
            <w:r w:rsidRPr="00224A16">
              <w:rPr>
                <w:rFonts w:ascii="MinionPro-Regular" w:hAnsi="MinionPro-Regular" w:cs="Calibri"/>
                <w:color w:val="000000"/>
                <w:szCs w:val="22"/>
                <w:lang w:val="en-US"/>
              </w:rPr>
              <w:t> </w:t>
            </w:r>
          </w:p>
        </w:tc>
      </w:tr>
      <w:tr w:rsidR="00E2336B" w:rsidRPr="000123AA" w:rsidTr="008466BC">
        <w:trPr>
          <w:trHeight w:val="3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color w:val="000000"/>
                <w:szCs w:val="22"/>
                <w:lang w:val="en-US"/>
              </w:rPr>
            </w:pPr>
            <w:r w:rsidRPr="00224A16">
              <w:rPr>
                <w:rFonts w:ascii="MinionPro-Regular" w:hAnsi="MinionPro-Regular" w:cs="Calibri"/>
                <w:color w:val="000000"/>
                <w:szCs w:val="22"/>
                <w:lang w:val="en-US"/>
              </w:rPr>
              <w:t> </w:t>
            </w:r>
          </w:p>
        </w:tc>
        <w:tc>
          <w:tcPr>
            <w:tcW w:w="7883" w:type="dxa"/>
            <w:tcBorders>
              <w:top w:val="nil"/>
              <w:left w:val="nil"/>
              <w:bottom w:val="nil"/>
              <w:right w:val="nil"/>
            </w:tcBorders>
            <w:shd w:val="clear" w:color="000000" w:fill="BFBFBF"/>
            <w:vAlign w:val="center"/>
          </w:tcPr>
          <w:p w:rsidR="00E2336B" w:rsidRPr="00224A16" w:rsidRDefault="00E2336B" w:rsidP="000123AA">
            <w:pPr>
              <w:rPr>
                <w:rFonts w:ascii="MinionPro-Regular" w:hAnsi="MinionPro-Regular" w:cs="Calibri"/>
                <w:color w:val="000000"/>
                <w:szCs w:val="22"/>
                <w:lang w:val="en-US"/>
              </w:rPr>
            </w:pPr>
            <w:r w:rsidRPr="00224A16">
              <w:rPr>
                <w:rFonts w:ascii="MinionPro-Regular" w:hAnsi="MinionPro-Regular" w:cs="Calibri"/>
                <w:color w:val="000000"/>
                <w:szCs w:val="22"/>
                <w:lang w:val="en-US"/>
              </w:rPr>
              <w:t> </w:t>
            </w:r>
          </w:p>
        </w:tc>
      </w:tr>
      <w:tr w:rsidR="00E2336B" w:rsidRPr="000123AA" w:rsidTr="008466BC">
        <w:trPr>
          <w:trHeight w:val="300"/>
        </w:trPr>
        <w:tc>
          <w:tcPr>
            <w:tcW w:w="8539" w:type="dxa"/>
            <w:gridSpan w:val="2"/>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bCs/>
                <w:color w:val="000000"/>
                <w:szCs w:val="22"/>
                <w:lang w:val="es-ES_tradnl"/>
              </w:rPr>
            </w:pPr>
            <w:r w:rsidRPr="00224A16">
              <w:rPr>
                <w:rFonts w:ascii="MinionPro-Regular" w:hAnsi="MinionPro-Regular" w:cs="Calibri"/>
                <w:bCs/>
                <w:color w:val="000000"/>
                <w:szCs w:val="22"/>
                <w:lang w:val="es-ES_tradnl"/>
              </w:rPr>
              <w:t>3. ANÁLISIS DEL MODELO DE GESTIÓN DEL CENTRO ESPECIAL DE EMPLEO</w:t>
            </w:r>
          </w:p>
        </w:tc>
      </w:tr>
      <w:tr w:rsidR="00E2336B" w:rsidRPr="000123AA" w:rsidTr="008466BC">
        <w:trPr>
          <w:trHeight w:val="3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color w:val="000000"/>
                <w:szCs w:val="22"/>
                <w:lang w:val="es-ES_tradnl"/>
              </w:rPr>
            </w:pPr>
            <w:r w:rsidRPr="00224A16">
              <w:rPr>
                <w:rFonts w:ascii="MinionPro-Regular" w:hAnsi="MinionPro-Regular" w:cs="Calibri"/>
                <w:color w:val="000000"/>
                <w:szCs w:val="22"/>
                <w:lang w:val="es-ES_tradnl"/>
              </w:rPr>
              <w:t> </w:t>
            </w:r>
          </w:p>
        </w:tc>
        <w:tc>
          <w:tcPr>
            <w:tcW w:w="7883" w:type="dxa"/>
            <w:tcBorders>
              <w:top w:val="nil"/>
              <w:left w:val="nil"/>
              <w:bottom w:val="nil"/>
              <w:right w:val="nil"/>
            </w:tcBorders>
            <w:shd w:val="clear" w:color="000000" w:fill="BFBFBF"/>
            <w:vAlign w:val="center"/>
          </w:tcPr>
          <w:p w:rsidR="002959F0" w:rsidRDefault="00E2336B" w:rsidP="002959F0">
            <w:pPr>
              <w:ind w:firstLineChars="400" w:firstLine="880"/>
              <w:rPr>
                <w:rFonts w:ascii="MinionPro-Regular" w:hAnsi="MinionPro-Regular" w:cs="Calibri"/>
                <w:color w:val="000000"/>
                <w:szCs w:val="22"/>
                <w:lang w:val="es-ES_tradnl"/>
              </w:rPr>
            </w:pPr>
            <w:r w:rsidRPr="00224A16">
              <w:rPr>
                <w:rFonts w:ascii="MinionPro-Regular" w:hAnsi="MinionPro-Regular" w:cs="Calibri"/>
                <w:color w:val="000000"/>
                <w:szCs w:val="22"/>
                <w:lang w:val="es-ES_tradnl"/>
              </w:rPr>
              <w:t> </w:t>
            </w:r>
          </w:p>
        </w:tc>
      </w:tr>
      <w:tr w:rsidR="00E2336B" w:rsidRPr="000123AA" w:rsidTr="008466BC">
        <w:trPr>
          <w:trHeight w:val="6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bCs/>
                <w:color w:val="000000"/>
                <w:szCs w:val="22"/>
                <w:lang w:val="en-US"/>
              </w:rPr>
            </w:pPr>
            <w:r w:rsidRPr="00224A16">
              <w:rPr>
                <w:rFonts w:ascii="MinionPro-Regular" w:hAnsi="MinionPro-Regular" w:cs="Calibri"/>
                <w:bCs/>
                <w:color w:val="000000"/>
                <w:szCs w:val="22"/>
                <w:lang w:val="en-US"/>
              </w:rPr>
              <w:t>3.1.</w:t>
            </w:r>
          </w:p>
        </w:tc>
        <w:tc>
          <w:tcPr>
            <w:tcW w:w="7883" w:type="dxa"/>
            <w:tcBorders>
              <w:top w:val="nil"/>
              <w:left w:val="nil"/>
              <w:bottom w:val="nil"/>
              <w:right w:val="nil"/>
            </w:tcBorders>
            <w:shd w:val="clear" w:color="000000" w:fill="BFBFBF"/>
            <w:vAlign w:val="center"/>
          </w:tcPr>
          <w:p w:rsidR="00E2336B" w:rsidRPr="00224A16" w:rsidRDefault="00E2336B" w:rsidP="000123AA">
            <w:pPr>
              <w:rPr>
                <w:rFonts w:ascii="MinionPro-Regular" w:hAnsi="MinionPro-Regular" w:cs="Calibri"/>
                <w:bCs/>
                <w:color w:val="000000"/>
                <w:szCs w:val="22"/>
                <w:lang w:val="es-ES_tradnl"/>
              </w:rPr>
            </w:pPr>
            <w:r w:rsidRPr="00224A16">
              <w:rPr>
                <w:rFonts w:ascii="MinionPro-Regular" w:hAnsi="MinionPro-Regular" w:cs="Calibri"/>
                <w:bCs/>
                <w:color w:val="000000"/>
                <w:szCs w:val="22"/>
                <w:lang w:val="es-ES_tradnl"/>
              </w:rPr>
              <w:t xml:space="preserve">Indique el número de empleados totales de su centro (A 31 diciembre 2011) </w:t>
            </w:r>
            <w:r w:rsidRPr="00224A16">
              <w:rPr>
                <w:rFonts w:ascii="MinionPro-Regular" w:hAnsi="MinionPro-Regular" w:cs="Calibri"/>
                <w:bCs/>
                <w:color w:val="4F81BD"/>
                <w:szCs w:val="22"/>
                <w:lang w:val="es-ES_tradnl"/>
              </w:rPr>
              <w:t>(respuesta cuantitativa abierta)</w:t>
            </w:r>
          </w:p>
        </w:tc>
      </w:tr>
      <w:tr w:rsidR="00E2336B" w:rsidRPr="000123AA" w:rsidTr="008466BC">
        <w:trPr>
          <w:trHeight w:val="6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bCs/>
                <w:color w:val="000000"/>
                <w:szCs w:val="22"/>
                <w:lang w:val="en-US"/>
              </w:rPr>
            </w:pPr>
            <w:r w:rsidRPr="00224A16">
              <w:rPr>
                <w:rFonts w:ascii="MinionPro-Regular" w:hAnsi="MinionPro-Regular" w:cs="Calibri"/>
                <w:bCs/>
                <w:color w:val="000000"/>
                <w:szCs w:val="22"/>
                <w:lang w:val="en-US"/>
              </w:rPr>
              <w:t>3.2.</w:t>
            </w:r>
          </w:p>
        </w:tc>
        <w:tc>
          <w:tcPr>
            <w:tcW w:w="7883" w:type="dxa"/>
            <w:tcBorders>
              <w:top w:val="nil"/>
              <w:left w:val="nil"/>
              <w:bottom w:val="nil"/>
              <w:right w:val="nil"/>
            </w:tcBorders>
            <w:shd w:val="clear" w:color="000000" w:fill="BFBFBF"/>
            <w:vAlign w:val="center"/>
          </w:tcPr>
          <w:p w:rsidR="00E2336B" w:rsidRPr="00224A16" w:rsidRDefault="00E2336B" w:rsidP="000123AA">
            <w:pPr>
              <w:rPr>
                <w:rFonts w:ascii="MinionPro-Regular" w:hAnsi="MinionPro-Regular" w:cs="Calibri"/>
                <w:bCs/>
                <w:color w:val="000000"/>
                <w:szCs w:val="22"/>
                <w:lang w:val="es-ES_tradnl"/>
              </w:rPr>
            </w:pPr>
            <w:r w:rsidRPr="00224A16">
              <w:rPr>
                <w:rFonts w:ascii="MinionPro-Regular" w:hAnsi="MinionPro-Regular" w:cs="Calibri"/>
                <w:bCs/>
                <w:color w:val="000000"/>
                <w:szCs w:val="22"/>
                <w:lang w:val="es-ES_tradnl"/>
              </w:rPr>
              <w:t>Indiq</w:t>
            </w:r>
            <w:r w:rsidRPr="00224A16">
              <w:rPr>
                <w:rFonts w:ascii="MinionPro-Regular" w:hAnsi="MinionPro-Regular" w:cs="Calibri"/>
                <w:bCs/>
                <w:szCs w:val="22"/>
                <w:lang w:val="es-ES_tradnl"/>
              </w:rPr>
              <w:t>ue el numero</w:t>
            </w:r>
            <w:r w:rsidRPr="00224A16">
              <w:rPr>
                <w:rFonts w:ascii="MinionPro-Regular" w:hAnsi="MinionPro-Regular" w:cs="Calibri"/>
                <w:bCs/>
                <w:color w:val="000000"/>
                <w:szCs w:val="22"/>
                <w:lang w:val="es-ES_tradnl"/>
              </w:rPr>
              <w:t xml:space="preserve"> de empleados por tipo y grado de discapacidad en el CEE (A 31 diciembre 2011): </w:t>
            </w:r>
            <w:r w:rsidRPr="00224A16">
              <w:rPr>
                <w:rFonts w:ascii="MinionPro-Regular" w:hAnsi="MinionPro-Regular" w:cs="Calibri"/>
                <w:bCs/>
                <w:color w:val="4F81BD"/>
                <w:szCs w:val="22"/>
                <w:lang w:val="es-ES_tradnl"/>
              </w:rPr>
              <w:t>(respuesta cuantitativa abierta)</w:t>
            </w:r>
          </w:p>
        </w:tc>
      </w:tr>
      <w:tr w:rsidR="00E2336B" w:rsidRPr="000123AA" w:rsidTr="008466BC">
        <w:trPr>
          <w:trHeight w:val="3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color w:val="000000"/>
                <w:szCs w:val="22"/>
                <w:lang w:val="es-ES_tradnl"/>
              </w:rPr>
            </w:pPr>
            <w:r w:rsidRPr="00224A16">
              <w:rPr>
                <w:rFonts w:ascii="MinionPro-Regular" w:hAnsi="MinionPro-Regular" w:cs="Calibri"/>
                <w:color w:val="000000"/>
                <w:szCs w:val="22"/>
                <w:lang w:val="es-ES_tradnl"/>
              </w:rPr>
              <w:t> </w:t>
            </w:r>
          </w:p>
        </w:tc>
        <w:tc>
          <w:tcPr>
            <w:tcW w:w="7883" w:type="dxa"/>
            <w:tcBorders>
              <w:top w:val="nil"/>
              <w:left w:val="nil"/>
              <w:bottom w:val="nil"/>
              <w:right w:val="nil"/>
            </w:tcBorders>
            <w:shd w:val="clear" w:color="000000" w:fill="BFBFBF"/>
            <w:vAlign w:val="center"/>
          </w:tcPr>
          <w:p w:rsidR="002959F0" w:rsidRDefault="00E2336B" w:rsidP="002959F0">
            <w:pPr>
              <w:ind w:firstLineChars="400" w:firstLine="880"/>
              <w:rPr>
                <w:rFonts w:ascii="MinionPro-Regular" w:hAnsi="MinionPro-Regular" w:cs="Calibri"/>
                <w:color w:val="000000"/>
                <w:szCs w:val="22"/>
                <w:lang w:val="en-US"/>
              </w:rPr>
            </w:pPr>
            <w:r w:rsidRPr="00224A16">
              <w:rPr>
                <w:rFonts w:ascii="MinionPro-Regular" w:hAnsi="MinionPro-Regular" w:cs="Calibri"/>
                <w:color w:val="000000"/>
                <w:szCs w:val="22"/>
                <w:lang w:val="en-US"/>
              </w:rPr>
              <w:t>A) Enfermedad mental</w:t>
            </w:r>
          </w:p>
        </w:tc>
      </w:tr>
      <w:tr w:rsidR="00E2336B" w:rsidRPr="000123AA" w:rsidTr="008466BC">
        <w:trPr>
          <w:trHeight w:val="3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color w:val="000000"/>
                <w:szCs w:val="22"/>
                <w:lang w:val="en-US"/>
              </w:rPr>
            </w:pPr>
            <w:r w:rsidRPr="00224A16">
              <w:rPr>
                <w:rFonts w:ascii="MinionPro-Regular" w:hAnsi="MinionPro-Regular" w:cs="Calibri"/>
                <w:color w:val="000000"/>
                <w:szCs w:val="22"/>
                <w:lang w:val="en-US"/>
              </w:rPr>
              <w:t> </w:t>
            </w:r>
          </w:p>
        </w:tc>
        <w:tc>
          <w:tcPr>
            <w:tcW w:w="7883" w:type="dxa"/>
            <w:tcBorders>
              <w:top w:val="nil"/>
              <w:left w:val="nil"/>
              <w:bottom w:val="nil"/>
              <w:right w:val="nil"/>
            </w:tcBorders>
            <w:shd w:val="clear" w:color="000000" w:fill="BFBFBF"/>
            <w:vAlign w:val="center"/>
          </w:tcPr>
          <w:p w:rsidR="002959F0" w:rsidRDefault="00E2336B" w:rsidP="002959F0">
            <w:pPr>
              <w:ind w:firstLineChars="400" w:firstLine="880"/>
              <w:rPr>
                <w:rFonts w:ascii="MinionPro-Regular" w:hAnsi="MinionPro-Regular" w:cs="Calibri"/>
                <w:color w:val="000000"/>
                <w:szCs w:val="22"/>
                <w:lang w:val="en-US"/>
              </w:rPr>
            </w:pPr>
            <w:r w:rsidRPr="00224A16">
              <w:rPr>
                <w:rFonts w:ascii="MinionPro-Regular" w:hAnsi="MinionPro-Regular" w:cs="Calibri"/>
                <w:color w:val="000000"/>
                <w:szCs w:val="22"/>
                <w:lang w:val="en-US"/>
              </w:rPr>
              <w:t>B) Discapacidad intelectual</w:t>
            </w:r>
          </w:p>
        </w:tc>
      </w:tr>
      <w:tr w:rsidR="00E2336B" w:rsidRPr="000123AA" w:rsidTr="008466BC">
        <w:trPr>
          <w:trHeight w:val="3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color w:val="000000"/>
                <w:szCs w:val="22"/>
                <w:lang w:val="en-US"/>
              </w:rPr>
            </w:pPr>
            <w:r w:rsidRPr="00224A16">
              <w:rPr>
                <w:rFonts w:ascii="MinionPro-Regular" w:hAnsi="MinionPro-Regular" w:cs="Calibri"/>
                <w:color w:val="000000"/>
                <w:szCs w:val="22"/>
                <w:lang w:val="en-US"/>
              </w:rPr>
              <w:t> </w:t>
            </w:r>
          </w:p>
        </w:tc>
        <w:tc>
          <w:tcPr>
            <w:tcW w:w="7883" w:type="dxa"/>
            <w:tcBorders>
              <w:top w:val="nil"/>
              <w:left w:val="nil"/>
              <w:bottom w:val="nil"/>
              <w:right w:val="nil"/>
            </w:tcBorders>
            <w:shd w:val="clear" w:color="000000" w:fill="BFBFBF"/>
            <w:vAlign w:val="center"/>
          </w:tcPr>
          <w:p w:rsidR="002959F0" w:rsidRDefault="00E2336B" w:rsidP="002959F0">
            <w:pPr>
              <w:ind w:firstLineChars="400" w:firstLine="880"/>
              <w:rPr>
                <w:rFonts w:ascii="MinionPro-Regular" w:hAnsi="MinionPro-Regular" w:cs="Calibri"/>
                <w:color w:val="000000"/>
                <w:szCs w:val="22"/>
                <w:lang w:val="en-US"/>
              </w:rPr>
            </w:pPr>
            <w:r w:rsidRPr="00224A16">
              <w:rPr>
                <w:rFonts w:ascii="MinionPro-Regular" w:hAnsi="MinionPro-Regular" w:cs="Calibri"/>
                <w:color w:val="000000"/>
                <w:szCs w:val="22"/>
                <w:lang w:val="en-US"/>
              </w:rPr>
              <w:t>C) Discapacidad física</w:t>
            </w:r>
          </w:p>
        </w:tc>
      </w:tr>
      <w:tr w:rsidR="00E2336B" w:rsidRPr="000123AA" w:rsidTr="008466BC">
        <w:trPr>
          <w:trHeight w:val="3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color w:val="000000"/>
                <w:szCs w:val="22"/>
                <w:lang w:val="en-US"/>
              </w:rPr>
            </w:pPr>
            <w:r w:rsidRPr="00224A16">
              <w:rPr>
                <w:rFonts w:ascii="MinionPro-Regular" w:hAnsi="MinionPro-Regular" w:cs="Calibri"/>
                <w:color w:val="000000"/>
                <w:szCs w:val="22"/>
                <w:lang w:val="en-US"/>
              </w:rPr>
              <w:t> </w:t>
            </w:r>
          </w:p>
        </w:tc>
        <w:tc>
          <w:tcPr>
            <w:tcW w:w="7883" w:type="dxa"/>
            <w:tcBorders>
              <w:top w:val="nil"/>
              <w:left w:val="nil"/>
              <w:bottom w:val="nil"/>
              <w:right w:val="nil"/>
            </w:tcBorders>
            <w:shd w:val="clear" w:color="000000" w:fill="BFBFBF"/>
            <w:vAlign w:val="center"/>
          </w:tcPr>
          <w:p w:rsidR="002959F0" w:rsidRDefault="00E2336B" w:rsidP="002959F0">
            <w:pPr>
              <w:ind w:firstLineChars="400" w:firstLine="880"/>
              <w:rPr>
                <w:rFonts w:ascii="MinionPro-Regular" w:hAnsi="MinionPro-Regular" w:cs="Calibri"/>
                <w:color w:val="000000"/>
                <w:szCs w:val="22"/>
                <w:lang w:val="en-US"/>
              </w:rPr>
            </w:pPr>
            <w:r w:rsidRPr="00224A16">
              <w:rPr>
                <w:rFonts w:ascii="MinionPro-Regular" w:hAnsi="MinionPro-Regular" w:cs="Calibri"/>
                <w:color w:val="000000"/>
                <w:szCs w:val="22"/>
                <w:lang w:val="en-US"/>
              </w:rPr>
              <w:t>D) Discapacidad visual</w:t>
            </w:r>
          </w:p>
        </w:tc>
      </w:tr>
      <w:tr w:rsidR="00E2336B" w:rsidRPr="000123AA" w:rsidTr="008466BC">
        <w:trPr>
          <w:trHeight w:val="3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color w:val="000000"/>
                <w:szCs w:val="22"/>
                <w:lang w:val="en-US"/>
              </w:rPr>
            </w:pPr>
            <w:r w:rsidRPr="00224A16">
              <w:rPr>
                <w:rFonts w:ascii="MinionPro-Regular" w:hAnsi="MinionPro-Regular" w:cs="Calibri"/>
                <w:color w:val="000000"/>
                <w:szCs w:val="22"/>
                <w:lang w:val="en-US"/>
              </w:rPr>
              <w:t> </w:t>
            </w:r>
          </w:p>
        </w:tc>
        <w:tc>
          <w:tcPr>
            <w:tcW w:w="7883" w:type="dxa"/>
            <w:tcBorders>
              <w:top w:val="nil"/>
              <w:left w:val="nil"/>
              <w:bottom w:val="nil"/>
              <w:right w:val="nil"/>
            </w:tcBorders>
            <w:shd w:val="clear" w:color="000000" w:fill="BFBFBF"/>
            <w:vAlign w:val="center"/>
          </w:tcPr>
          <w:p w:rsidR="002959F0" w:rsidRDefault="00E2336B" w:rsidP="002959F0">
            <w:pPr>
              <w:ind w:firstLineChars="400" w:firstLine="880"/>
              <w:rPr>
                <w:rFonts w:ascii="MinionPro-Regular" w:hAnsi="MinionPro-Regular" w:cs="Calibri"/>
                <w:color w:val="000000"/>
                <w:szCs w:val="22"/>
                <w:lang w:val="en-US"/>
              </w:rPr>
            </w:pPr>
            <w:r w:rsidRPr="00224A16">
              <w:rPr>
                <w:rFonts w:ascii="MinionPro-Regular" w:hAnsi="MinionPro-Regular" w:cs="Calibri"/>
                <w:color w:val="000000"/>
                <w:szCs w:val="22"/>
                <w:lang w:val="en-US"/>
              </w:rPr>
              <w:t>E) Discapacidad sensorial auditiva</w:t>
            </w:r>
          </w:p>
        </w:tc>
      </w:tr>
      <w:tr w:rsidR="00E2336B" w:rsidRPr="000123AA" w:rsidTr="008466BC">
        <w:trPr>
          <w:trHeight w:val="6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bCs/>
                <w:color w:val="000000"/>
                <w:szCs w:val="22"/>
                <w:lang w:val="en-US"/>
              </w:rPr>
            </w:pPr>
            <w:r w:rsidRPr="00224A16">
              <w:rPr>
                <w:rFonts w:ascii="MinionPro-Regular" w:hAnsi="MinionPro-Regular" w:cs="Calibri"/>
                <w:bCs/>
                <w:color w:val="000000"/>
                <w:szCs w:val="22"/>
                <w:lang w:val="en-US"/>
              </w:rPr>
              <w:t>3.3.</w:t>
            </w:r>
          </w:p>
        </w:tc>
        <w:tc>
          <w:tcPr>
            <w:tcW w:w="7883" w:type="dxa"/>
            <w:tcBorders>
              <w:top w:val="nil"/>
              <w:left w:val="nil"/>
              <w:bottom w:val="nil"/>
              <w:right w:val="nil"/>
            </w:tcBorders>
            <w:shd w:val="clear" w:color="000000" w:fill="BFBFBF"/>
            <w:vAlign w:val="center"/>
          </w:tcPr>
          <w:p w:rsidR="00E2336B" w:rsidRPr="00224A16" w:rsidRDefault="00E2336B" w:rsidP="000123AA">
            <w:pPr>
              <w:rPr>
                <w:rFonts w:ascii="MinionPro-Regular" w:hAnsi="MinionPro-Regular" w:cs="Calibri"/>
                <w:bCs/>
                <w:color w:val="000000"/>
                <w:szCs w:val="22"/>
                <w:lang w:val="es-ES_tradnl"/>
              </w:rPr>
            </w:pPr>
            <w:r w:rsidRPr="00224A16">
              <w:rPr>
                <w:rFonts w:ascii="MinionPro-Regular" w:hAnsi="MinionPro-Regular" w:cs="Calibri"/>
                <w:bCs/>
                <w:color w:val="000000"/>
                <w:szCs w:val="22"/>
                <w:lang w:val="es-ES_tradnl"/>
              </w:rPr>
              <w:t>Indique el crecimiento neto de la plantilla con discapacidad del CEE durante el periodo 2010-2011 (1 de enero de 2010-31 diciembre 2011):</w:t>
            </w:r>
            <w:r w:rsidRPr="00224A16">
              <w:rPr>
                <w:rFonts w:ascii="MinionPro-Regular" w:hAnsi="MinionPro-Regular" w:cs="Calibri"/>
                <w:bCs/>
                <w:color w:val="4F81BD"/>
                <w:szCs w:val="22"/>
                <w:lang w:val="es-ES_tradnl"/>
              </w:rPr>
              <w:t xml:space="preserve"> (respuesta cuantitativa abierta)</w:t>
            </w:r>
          </w:p>
        </w:tc>
      </w:tr>
      <w:tr w:rsidR="00E2336B" w:rsidRPr="000123AA" w:rsidTr="008466BC">
        <w:trPr>
          <w:trHeight w:val="6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bCs/>
                <w:color w:val="000000"/>
                <w:szCs w:val="22"/>
                <w:lang w:val="en-US"/>
              </w:rPr>
            </w:pPr>
            <w:r w:rsidRPr="00224A16">
              <w:rPr>
                <w:rFonts w:ascii="MinionPro-Regular" w:hAnsi="MinionPro-Regular" w:cs="Calibri"/>
                <w:bCs/>
                <w:color w:val="000000"/>
                <w:szCs w:val="22"/>
                <w:lang w:val="en-US"/>
              </w:rPr>
              <w:t>3.4.</w:t>
            </w:r>
          </w:p>
        </w:tc>
        <w:tc>
          <w:tcPr>
            <w:tcW w:w="7883" w:type="dxa"/>
            <w:tcBorders>
              <w:top w:val="nil"/>
              <w:left w:val="nil"/>
              <w:bottom w:val="nil"/>
              <w:right w:val="nil"/>
            </w:tcBorders>
            <w:shd w:val="clear" w:color="000000" w:fill="BFBFBF"/>
            <w:vAlign w:val="center"/>
          </w:tcPr>
          <w:p w:rsidR="00E2336B" w:rsidRPr="00224A16" w:rsidRDefault="00E2336B" w:rsidP="000123AA">
            <w:pPr>
              <w:rPr>
                <w:rFonts w:ascii="MinionPro-Regular" w:hAnsi="MinionPro-Regular" w:cs="Calibri"/>
                <w:bCs/>
                <w:color w:val="000000"/>
                <w:szCs w:val="22"/>
                <w:lang w:val="es-ES_tradnl"/>
              </w:rPr>
            </w:pPr>
            <w:r w:rsidRPr="00224A16">
              <w:rPr>
                <w:rFonts w:ascii="MinionPro-Regular" w:hAnsi="MinionPro-Regular" w:cs="Calibri"/>
                <w:bCs/>
                <w:color w:val="000000"/>
                <w:szCs w:val="22"/>
                <w:lang w:val="es-ES_tradnl"/>
              </w:rPr>
              <w:t xml:space="preserve">Indique el número de empleados según sexo (a 31 de diciembre 2011): </w:t>
            </w:r>
            <w:r w:rsidRPr="00224A16">
              <w:rPr>
                <w:rFonts w:ascii="MinionPro-Regular" w:hAnsi="MinionPro-Regular" w:cs="Calibri"/>
                <w:bCs/>
                <w:color w:val="4F81BD"/>
                <w:szCs w:val="22"/>
                <w:lang w:val="es-ES_tradnl"/>
              </w:rPr>
              <w:t>(respuesta cuantitativa abierta)</w:t>
            </w:r>
          </w:p>
        </w:tc>
      </w:tr>
      <w:tr w:rsidR="00E2336B" w:rsidRPr="000123AA" w:rsidTr="008466BC">
        <w:trPr>
          <w:trHeight w:val="300"/>
        </w:trPr>
        <w:tc>
          <w:tcPr>
            <w:tcW w:w="656" w:type="dxa"/>
            <w:tcBorders>
              <w:top w:val="nil"/>
              <w:left w:val="nil"/>
              <w:bottom w:val="nil"/>
              <w:right w:val="nil"/>
            </w:tcBorders>
            <w:shd w:val="clear" w:color="000000" w:fill="BFBFBF"/>
            <w:noWrap/>
            <w:vAlign w:val="bottom"/>
          </w:tcPr>
          <w:p w:rsidR="00E2336B" w:rsidRPr="00224A16" w:rsidRDefault="00E2336B" w:rsidP="000123AA">
            <w:pPr>
              <w:rPr>
                <w:rFonts w:ascii="MinionPro-Regular" w:hAnsi="MinionPro-Regular" w:cs="Calibri"/>
                <w:color w:val="000000"/>
                <w:szCs w:val="22"/>
                <w:lang w:val="es-ES_tradnl"/>
              </w:rPr>
            </w:pPr>
            <w:r w:rsidRPr="00224A16">
              <w:rPr>
                <w:rFonts w:ascii="MinionPro-Regular" w:hAnsi="MinionPro-Regular" w:cs="Calibri"/>
                <w:color w:val="000000"/>
                <w:szCs w:val="22"/>
                <w:lang w:val="es-ES_tradnl"/>
              </w:rPr>
              <w:t> </w:t>
            </w:r>
          </w:p>
        </w:tc>
        <w:tc>
          <w:tcPr>
            <w:tcW w:w="7883" w:type="dxa"/>
            <w:tcBorders>
              <w:top w:val="nil"/>
              <w:left w:val="nil"/>
              <w:bottom w:val="nil"/>
              <w:right w:val="nil"/>
            </w:tcBorders>
            <w:shd w:val="clear" w:color="000000" w:fill="BFBFBF"/>
            <w:vAlign w:val="center"/>
          </w:tcPr>
          <w:p w:rsidR="002959F0" w:rsidRDefault="00E2336B" w:rsidP="002959F0">
            <w:pPr>
              <w:ind w:firstLineChars="400" w:firstLine="880"/>
              <w:rPr>
                <w:rFonts w:ascii="MinionPro-Regular" w:hAnsi="MinionPro-Regular" w:cs="Calibri"/>
                <w:color w:val="000000"/>
                <w:szCs w:val="22"/>
                <w:lang w:val="en-US"/>
              </w:rPr>
            </w:pPr>
            <w:r w:rsidRPr="00224A16">
              <w:rPr>
                <w:rFonts w:ascii="MinionPro-Regular" w:hAnsi="MinionPro-Regular" w:cs="Calibri"/>
                <w:color w:val="000000"/>
                <w:szCs w:val="22"/>
                <w:lang w:val="en-US"/>
              </w:rPr>
              <w:t>A) Hombre</w:t>
            </w:r>
          </w:p>
        </w:tc>
      </w:tr>
      <w:tr w:rsidR="00E2336B" w:rsidRPr="000123AA" w:rsidTr="008466BC">
        <w:trPr>
          <w:trHeight w:val="3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color w:val="000000"/>
                <w:szCs w:val="22"/>
                <w:lang w:val="en-US"/>
              </w:rPr>
            </w:pPr>
            <w:r w:rsidRPr="00224A16">
              <w:rPr>
                <w:rFonts w:ascii="MinionPro-Regular" w:hAnsi="MinionPro-Regular" w:cs="Calibri"/>
                <w:color w:val="000000"/>
                <w:szCs w:val="22"/>
                <w:lang w:val="en-US"/>
              </w:rPr>
              <w:t> </w:t>
            </w:r>
          </w:p>
        </w:tc>
        <w:tc>
          <w:tcPr>
            <w:tcW w:w="7883" w:type="dxa"/>
            <w:tcBorders>
              <w:top w:val="nil"/>
              <w:left w:val="nil"/>
              <w:bottom w:val="nil"/>
              <w:right w:val="nil"/>
            </w:tcBorders>
            <w:shd w:val="clear" w:color="000000" w:fill="BFBFBF"/>
            <w:vAlign w:val="center"/>
          </w:tcPr>
          <w:p w:rsidR="002959F0" w:rsidRDefault="00E2336B" w:rsidP="002959F0">
            <w:pPr>
              <w:ind w:firstLineChars="400" w:firstLine="880"/>
              <w:rPr>
                <w:rFonts w:ascii="MinionPro-Regular" w:hAnsi="MinionPro-Regular" w:cs="Calibri"/>
                <w:color w:val="000000"/>
                <w:szCs w:val="22"/>
                <w:lang w:val="en-US"/>
              </w:rPr>
            </w:pPr>
            <w:r w:rsidRPr="00224A16">
              <w:rPr>
                <w:rFonts w:ascii="MinionPro-Regular" w:hAnsi="MinionPro-Regular" w:cs="Calibri"/>
                <w:color w:val="000000"/>
                <w:szCs w:val="22"/>
                <w:lang w:val="en-US"/>
              </w:rPr>
              <w:t>B) Mujer</w:t>
            </w:r>
          </w:p>
        </w:tc>
      </w:tr>
      <w:tr w:rsidR="00E2336B" w:rsidRPr="000123AA" w:rsidTr="008466BC">
        <w:trPr>
          <w:trHeight w:val="6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bCs/>
                <w:color w:val="000000"/>
                <w:szCs w:val="22"/>
                <w:lang w:val="en-US"/>
              </w:rPr>
            </w:pPr>
            <w:r w:rsidRPr="00224A16">
              <w:rPr>
                <w:rFonts w:ascii="MinionPro-Regular" w:hAnsi="MinionPro-Regular" w:cs="Calibri"/>
                <w:bCs/>
                <w:color w:val="000000"/>
                <w:szCs w:val="22"/>
                <w:lang w:val="en-US"/>
              </w:rPr>
              <w:t>3.5.</w:t>
            </w:r>
          </w:p>
        </w:tc>
        <w:tc>
          <w:tcPr>
            <w:tcW w:w="7883" w:type="dxa"/>
            <w:tcBorders>
              <w:top w:val="nil"/>
              <w:left w:val="nil"/>
              <w:bottom w:val="nil"/>
              <w:right w:val="nil"/>
            </w:tcBorders>
            <w:shd w:val="clear" w:color="000000" w:fill="BFBFBF"/>
            <w:vAlign w:val="center"/>
          </w:tcPr>
          <w:p w:rsidR="00E2336B" w:rsidRPr="00224A16" w:rsidRDefault="00E2336B" w:rsidP="000123AA">
            <w:pPr>
              <w:rPr>
                <w:rFonts w:ascii="MinionPro-Regular" w:hAnsi="MinionPro-Regular" w:cs="Calibri"/>
                <w:bCs/>
                <w:color w:val="000000"/>
                <w:szCs w:val="22"/>
                <w:lang w:val="es-ES_tradnl"/>
              </w:rPr>
            </w:pPr>
            <w:r w:rsidRPr="00224A16">
              <w:rPr>
                <w:rFonts w:ascii="MinionPro-Regular" w:hAnsi="MinionPro-Regular" w:cs="Calibri"/>
                <w:bCs/>
                <w:color w:val="000000"/>
                <w:szCs w:val="22"/>
                <w:lang w:val="es-ES_tradnl"/>
              </w:rPr>
              <w:t xml:space="preserve">Indique el número de empleados por tipo de edad (a 31 de diciembre 2011): </w:t>
            </w:r>
            <w:r w:rsidRPr="00224A16">
              <w:rPr>
                <w:rFonts w:ascii="MinionPro-Regular" w:hAnsi="MinionPro-Regular" w:cs="Calibri"/>
                <w:bCs/>
                <w:color w:val="4F81BD"/>
                <w:szCs w:val="22"/>
                <w:lang w:val="es-ES_tradnl"/>
              </w:rPr>
              <w:t>(respuesta cuantitativa abierta)</w:t>
            </w:r>
          </w:p>
        </w:tc>
      </w:tr>
      <w:tr w:rsidR="00E2336B" w:rsidRPr="000123AA" w:rsidTr="008466BC">
        <w:trPr>
          <w:trHeight w:val="300"/>
        </w:trPr>
        <w:tc>
          <w:tcPr>
            <w:tcW w:w="656" w:type="dxa"/>
            <w:tcBorders>
              <w:top w:val="nil"/>
              <w:left w:val="nil"/>
              <w:bottom w:val="nil"/>
              <w:right w:val="nil"/>
            </w:tcBorders>
            <w:shd w:val="clear" w:color="000000" w:fill="BFBFBF"/>
            <w:noWrap/>
            <w:vAlign w:val="bottom"/>
          </w:tcPr>
          <w:p w:rsidR="00E2336B" w:rsidRPr="00224A16" w:rsidRDefault="00E2336B" w:rsidP="000123AA">
            <w:pPr>
              <w:rPr>
                <w:rFonts w:ascii="MinionPro-Regular" w:hAnsi="MinionPro-Regular" w:cs="Calibri"/>
                <w:color w:val="000000"/>
                <w:szCs w:val="22"/>
                <w:lang w:val="es-ES_tradnl"/>
              </w:rPr>
            </w:pPr>
            <w:r w:rsidRPr="00224A16">
              <w:rPr>
                <w:rFonts w:ascii="MinionPro-Regular" w:hAnsi="MinionPro-Regular" w:cs="Calibri"/>
                <w:color w:val="000000"/>
                <w:szCs w:val="22"/>
                <w:lang w:val="es-ES_tradnl"/>
              </w:rPr>
              <w:t> </w:t>
            </w:r>
          </w:p>
        </w:tc>
        <w:tc>
          <w:tcPr>
            <w:tcW w:w="7883" w:type="dxa"/>
            <w:tcBorders>
              <w:top w:val="nil"/>
              <w:left w:val="nil"/>
              <w:bottom w:val="nil"/>
              <w:right w:val="nil"/>
            </w:tcBorders>
            <w:shd w:val="clear" w:color="000000" w:fill="BFBFBF"/>
            <w:vAlign w:val="center"/>
          </w:tcPr>
          <w:p w:rsidR="002959F0" w:rsidRDefault="00E2336B" w:rsidP="002959F0">
            <w:pPr>
              <w:ind w:firstLineChars="400" w:firstLine="880"/>
              <w:rPr>
                <w:rFonts w:ascii="MinionPro-Regular" w:hAnsi="MinionPro-Regular" w:cs="Calibri"/>
                <w:color w:val="000000"/>
                <w:szCs w:val="22"/>
                <w:lang w:val="en-US"/>
              </w:rPr>
            </w:pPr>
            <w:r w:rsidRPr="00224A16">
              <w:rPr>
                <w:rFonts w:ascii="MinionPro-Regular" w:hAnsi="MinionPro-Regular" w:cs="Calibri"/>
                <w:color w:val="000000"/>
                <w:szCs w:val="22"/>
                <w:lang w:val="en-US"/>
              </w:rPr>
              <w:t>A) Menos de 30 años</w:t>
            </w:r>
          </w:p>
        </w:tc>
      </w:tr>
      <w:tr w:rsidR="00E2336B" w:rsidRPr="000123AA" w:rsidTr="008466BC">
        <w:trPr>
          <w:trHeight w:val="3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color w:val="000000"/>
                <w:szCs w:val="22"/>
                <w:lang w:val="en-US"/>
              </w:rPr>
            </w:pPr>
            <w:r w:rsidRPr="00224A16">
              <w:rPr>
                <w:rFonts w:ascii="MinionPro-Regular" w:hAnsi="MinionPro-Regular" w:cs="Calibri"/>
                <w:color w:val="000000"/>
                <w:szCs w:val="22"/>
                <w:lang w:val="en-US"/>
              </w:rPr>
              <w:t> </w:t>
            </w:r>
          </w:p>
        </w:tc>
        <w:tc>
          <w:tcPr>
            <w:tcW w:w="7883" w:type="dxa"/>
            <w:tcBorders>
              <w:top w:val="nil"/>
              <w:left w:val="nil"/>
              <w:bottom w:val="nil"/>
              <w:right w:val="nil"/>
            </w:tcBorders>
            <w:shd w:val="clear" w:color="000000" w:fill="BFBFBF"/>
            <w:vAlign w:val="center"/>
          </w:tcPr>
          <w:p w:rsidR="002959F0" w:rsidRDefault="00E2336B" w:rsidP="002959F0">
            <w:pPr>
              <w:ind w:firstLineChars="400" w:firstLine="880"/>
              <w:rPr>
                <w:rFonts w:ascii="MinionPro-Regular" w:hAnsi="MinionPro-Regular" w:cs="Calibri"/>
                <w:color w:val="000000"/>
                <w:szCs w:val="22"/>
                <w:lang w:val="en-US"/>
              </w:rPr>
            </w:pPr>
            <w:r w:rsidRPr="00224A16">
              <w:rPr>
                <w:rFonts w:ascii="MinionPro-Regular" w:hAnsi="MinionPro-Regular" w:cs="Calibri"/>
                <w:color w:val="000000"/>
                <w:szCs w:val="22"/>
                <w:lang w:val="en-US"/>
              </w:rPr>
              <w:t>B) De 31 a 45 años</w:t>
            </w:r>
          </w:p>
        </w:tc>
      </w:tr>
      <w:tr w:rsidR="00E2336B" w:rsidRPr="000123AA" w:rsidTr="008466BC">
        <w:trPr>
          <w:trHeight w:val="3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color w:val="000000"/>
                <w:szCs w:val="22"/>
                <w:lang w:val="en-US"/>
              </w:rPr>
            </w:pPr>
            <w:r w:rsidRPr="00224A16">
              <w:rPr>
                <w:rFonts w:ascii="MinionPro-Regular" w:hAnsi="MinionPro-Regular" w:cs="Calibri"/>
                <w:color w:val="000000"/>
                <w:szCs w:val="22"/>
                <w:lang w:val="en-US"/>
              </w:rPr>
              <w:t> </w:t>
            </w:r>
          </w:p>
        </w:tc>
        <w:tc>
          <w:tcPr>
            <w:tcW w:w="7883" w:type="dxa"/>
            <w:tcBorders>
              <w:top w:val="nil"/>
              <w:left w:val="nil"/>
              <w:bottom w:val="nil"/>
              <w:right w:val="nil"/>
            </w:tcBorders>
            <w:shd w:val="clear" w:color="000000" w:fill="BFBFBF"/>
            <w:vAlign w:val="center"/>
          </w:tcPr>
          <w:p w:rsidR="002959F0" w:rsidRDefault="00E2336B" w:rsidP="002959F0">
            <w:pPr>
              <w:ind w:firstLineChars="400" w:firstLine="880"/>
              <w:rPr>
                <w:rFonts w:ascii="MinionPro-Regular" w:hAnsi="MinionPro-Regular" w:cs="Calibri"/>
                <w:color w:val="000000"/>
                <w:szCs w:val="22"/>
                <w:lang w:val="en-US"/>
              </w:rPr>
            </w:pPr>
            <w:r w:rsidRPr="00224A16">
              <w:rPr>
                <w:rFonts w:ascii="MinionPro-Regular" w:hAnsi="MinionPro-Regular" w:cs="Calibri"/>
                <w:color w:val="000000"/>
                <w:szCs w:val="22"/>
                <w:lang w:val="en-US"/>
              </w:rPr>
              <w:t>C) Más de 45 años</w:t>
            </w:r>
          </w:p>
        </w:tc>
      </w:tr>
      <w:tr w:rsidR="00E2336B" w:rsidRPr="000123AA" w:rsidTr="008466BC">
        <w:trPr>
          <w:trHeight w:val="3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bCs/>
                <w:color w:val="000000"/>
                <w:szCs w:val="22"/>
                <w:lang w:val="en-US"/>
              </w:rPr>
            </w:pPr>
            <w:r w:rsidRPr="00224A16">
              <w:rPr>
                <w:rFonts w:ascii="MinionPro-Regular" w:hAnsi="MinionPro-Regular" w:cs="Calibri"/>
                <w:bCs/>
                <w:color w:val="000000"/>
                <w:szCs w:val="22"/>
                <w:lang w:val="en-US"/>
              </w:rPr>
              <w:t>3.6.</w:t>
            </w:r>
          </w:p>
        </w:tc>
        <w:tc>
          <w:tcPr>
            <w:tcW w:w="7883" w:type="dxa"/>
            <w:tcBorders>
              <w:top w:val="nil"/>
              <w:left w:val="nil"/>
              <w:bottom w:val="nil"/>
              <w:right w:val="nil"/>
            </w:tcBorders>
            <w:shd w:val="clear" w:color="000000" w:fill="BFBFBF"/>
            <w:vAlign w:val="center"/>
          </w:tcPr>
          <w:p w:rsidR="00E2336B" w:rsidRPr="00224A16" w:rsidRDefault="00E2336B" w:rsidP="000123AA">
            <w:pPr>
              <w:rPr>
                <w:rFonts w:ascii="MinionPro-Regular" w:hAnsi="MinionPro-Regular" w:cs="Calibri"/>
                <w:bCs/>
                <w:color w:val="000000"/>
                <w:szCs w:val="22"/>
                <w:lang w:val="es-ES_tradnl"/>
              </w:rPr>
            </w:pPr>
            <w:r w:rsidRPr="00224A16">
              <w:rPr>
                <w:rFonts w:ascii="MinionPro-Regular" w:hAnsi="MinionPro-Regular" w:cs="Calibri"/>
                <w:bCs/>
                <w:color w:val="000000"/>
                <w:szCs w:val="22"/>
                <w:lang w:val="es-ES_tradnl"/>
              </w:rPr>
              <w:t>¿Cuenta el CEE con una Unidad de Apoyo?</w:t>
            </w:r>
            <w:r w:rsidRPr="00224A16">
              <w:rPr>
                <w:rFonts w:ascii="MinionPro-Regular" w:hAnsi="MinionPro-Regular" w:cs="Calibri"/>
                <w:bCs/>
                <w:color w:val="4F81BD"/>
                <w:szCs w:val="22"/>
                <w:lang w:val="es-ES_tradnl"/>
              </w:rPr>
              <w:t>(Sí/No)</w:t>
            </w:r>
          </w:p>
        </w:tc>
      </w:tr>
      <w:tr w:rsidR="00E2336B" w:rsidRPr="000123AA" w:rsidTr="008466BC">
        <w:trPr>
          <w:trHeight w:val="3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bCs/>
                <w:color w:val="000000"/>
                <w:szCs w:val="22"/>
                <w:lang w:val="en-US"/>
              </w:rPr>
            </w:pPr>
            <w:r w:rsidRPr="00224A16">
              <w:rPr>
                <w:rFonts w:ascii="MinionPro-Regular" w:hAnsi="MinionPro-Regular" w:cs="Calibri"/>
                <w:bCs/>
                <w:color w:val="000000"/>
                <w:szCs w:val="22"/>
                <w:lang w:val="en-US"/>
              </w:rPr>
              <w:t xml:space="preserve">3.6.1 </w:t>
            </w:r>
          </w:p>
        </w:tc>
        <w:tc>
          <w:tcPr>
            <w:tcW w:w="7883" w:type="dxa"/>
            <w:tcBorders>
              <w:top w:val="nil"/>
              <w:left w:val="nil"/>
              <w:bottom w:val="nil"/>
              <w:right w:val="nil"/>
            </w:tcBorders>
            <w:shd w:val="clear" w:color="000000" w:fill="BFBFBF"/>
            <w:noWrap/>
            <w:vAlign w:val="bottom"/>
          </w:tcPr>
          <w:p w:rsidR="00E2336B" w:rsidRPr="00224A16" w:rsidRDefault="00E2336B" w:rsidP="000123AA">
            <w:pPr>
              <w:rPr>
                <w:rFonts w:ascii="MinionPro-Regular" w:hAnsi="MinionPro-Regular" w:cs="Calibri"/>
                <w:bCs/>
                <w:color w:val="000000"/>
                <w:szCs w:val="22"/>
                <w:lang w:val="en-US"/>
              </w:rPr>
            </w:pPr>
            <w:r w:rsidRPr="00224A16">
              <w:rPr>
                <w:rFonts w:ascii="MinionPro-Regular" w:hAnsi="MinionPro-Regular" w:cs="Calibri"/>
                <w:bCs/>
                <w:color w:val="000000"/>
                <w:szCs w:val="22"/>
                <w:lang w:val="es-ES_tradnl"/>
              </w:rPr>
              <w:t xml:space="preserve">En caso afirmativo ¿Cuántas personas se encuentran adscritas? </w:t>
            </w:r>
            <w:r w:rsidRPr="00224A16">
              <w:rPr>
                <w:rFonts w:ascii="MinionPro-Regular" w:hAnsi="MinionPro-Regular" w:cs="Calibri"/>
                <w:bCs/>
                <w:color w:val="4F81BD"/>
                <w:szCs w:val="22"/>
                <w:lang w:val="en-US"/>
              </w:rPr>
              <w:t>(respuesta cuantitativa abierta)</w:t>
            </w:r>
          </w:p>
        </w:tc>
      </w:tr>
      <w:tr w:rsidR="00E2336B" w:rsidRPr="000123AA" w:rsidTr="008466BC">
        <w:trPr>
          <w:trHeight w:val="3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bCs/>
                <w:color w:val="000000"/>
                <w:szCs w:val="22"/>
                <w:lang w:val="en-US"/>
              </w:rPr>
            </w:pPr>
            <w:r w:rsidRPr="00224A16">
              <w:rPr>
                <w:rFonts w:ascii="MinionPro-Regular" w:hAnsi="MinionPro-Regular" w:cs="Calibri"/>
                <w:bCs/>
                <w:color w:val="000000"/>
                <w:szCs w:val="22"/>
                <w:lang w:val="en-US"/>
              </w:rPr>
              <w:t>3.7.</w:t>
            </w:r>
          </w:p>
        </w:tc>
        <w:tc>
          <w:tcPr>
            <w:tcW w:w="7883" w:type="dxa"/>
            <w:tcBorders>
              <w:top w:val="nil"/>
              <w:left w:val="nil"/>
              <w:bottom w:val="nil"/>
              <w:right w:val="nil"/>
            </w:tcBorders>
            <w:shd w:val="clear" w:color="000000" w:fill="BFBFBF"/>
            <w:vAlign w:val="center"/>
          </w:tcPr>
          <w:p w:rsidR="00E2336B" w:rsidRPr="00224A16" w:rsidRDefault="00E2336B" w:rsidP="000123AA">
            <w:pPr>
              <w:rPr>
                <w:rFonts w:ascii="MinionPro-Regular" w:hAnsi="MinionPro-Regular" w:cs="Calibri"/>
                <w:bCs/>
                <w:color w:val="000000"/>
                <w:szCs w:val="22"/>
                <w:lang w:val="es-ES_tradnl"/>
              </w:rPr>
            </w:pPr>
            <w:r w:rsidRPr="00224A16">
              <w:rPr>
                <w:rFonts w:ascii="MinionPro-Regular" w:hAnsi="MinionPro-Regular" w:cs="Calibri"/>
                <w:bCs/>
                <w:color w:val="000000"/>
                <w:szCs w:val="22"/>
                <w:lang w:val="es-ES_tradnl"/>
              </w:rPr>
              <w:t xml:space="preserve">Indique la facturación del CEE durante 2011 (en euros): </w:t>
            </w:r>
            <w:r w:rsidRPr="00224A16">
              <w:rPr>
                <w:rFonts w:ascii="MinionPro-Regular" w:hAnsi="MinionPro-Regular" w:cs="Calibri"/>
                <w:bCs/>
                <w:color w:val="4F81BD"/>
                <w:szCs w:val="22"/>
                <w:lang w:val="es-ES_tradnl"/>
              </w:rPr>
              <w:t>(respuesta cuantitativa abierta)</w:t>
            </w:r>
          </w:p>
        </w:tc>
      </w:tr>
      <w:tr w:rsidR="00E2336B" w:rsidRPr="000123AA" w:rsidTr="008466BC">
        <w:trPr>
          <w:trHeight w:val="3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bCs/>
                <w:color w:val="000000"/>
                <w:szCs w:val="22"/>
                <w:lang w:val="en-US"/>
              </w:rPr>
            </w:pPr>
            <w:r w:rsidRPr="00224A16">
              <w:rPr>
                <w:rFonts w:ascii="MinionPro-Regular" w:hAnsi="MinionPro-Regular" w:cs="Calibri"/>
                <w:bCs/>
                <w:color w:val="000000"/>
                <w:szCs w:val="22"/>
                <w:lang w:val="en-US"/>
              </w:rPr>
              <w:t>3.8.</w:t>
            </w:r>
          </w:p>
        </w:tc>
        <w:tc>
          <w:tcPr>
            <w:tcW w:w="7883" w:type="dxa"/>
            <w:tcBorders>
              <w:top w:val="nil"/>
              <w:left w:val="nil"/>
              <w:bottom w:val="nil"/>
              <w:right w:val="nil"/>
            </w:tcBorders>
            <w:shd w:val="clear" w:color="000000" w:fill="BFBFBF"/>
            <w:vAlign w:val="center"/>
          </w:tcPr>
          <w:p w:rsidR="00E2336B" w:rsidRPr="00224A16" w:rsidRDefault="00E2336B" w:rsidP="000123AA">
            <w:pPr>
              <w:rPr>
                <w:rFonts w:ascii="MinionPro-Regular" w:hAnsi="MinionPro-Regular" w:cs="Calibri"/>
                <w:bCs/>
                <w:color w:val="000000"/>
                <w:szCs w:val="22"/>
                <w:lang w:val="es-ES_tradnl"/>
              </w:rPr>
            </w:pPr>
            <w:r w:rsidRPr="00224A16">
              <w:rPr>
                <w:rFonts w:ascii="MinionPro-Regular" w:hAnsi="MinionPro-Regular" w:cs="Calibri"/>
                <w:bCs/>
                <w:color w:val="000000"/>
                <w:szCs w:val="22"/>
                <w:lang w:val="es-ES_tradnl"/>
              </w:rPr>
              <w:t xml:space="preserve">Incremento de la Facturación del CEE en el periodo 2010-2011: </w:t>
            </w:r>
            <w:r w:rsidRPr="00224A16">
              <w:rPr>
                <w:rFonts w:ascii="MinionPro-Regular" w:hAnsi="MinionPro-Regular" w:cs="Calibri"/>
                <w:bCs/>
                <w:color w:val="4F81BD"/>
                <w:szCs w:val="22"/>
                <w:lang w:val="es-ES_tradnl"/>
              </w:rPr>
              <w:t>(opción única)</w:t>
            </w:r>
          </w:p>
        </w:tc>
      </w:tr>
      <w:tr w:rsidR="00E2336B" w:rsidRPr="000123AA" w:rsidTr="008466BC">
        <w:trPr>
          <w:trHeight w:val="3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color w:val="000000"/>
                <w:szCs w:val="22"/>
                <w:lang w:val="es-ES_tradnl"/>
              </w:rPr>
            </w:pPr>
            <w:r w:rsidRPr="00224A16">
              <w:rPr>
                <w:rFonts w:ascii="MinionPro-Regular" w:hAnsi="MinionPro-Regular" w:cs="Calibri"/>
                <w:color w:val="000000"/>
                <w:szCs w:val="22"/>
                <w:lang w:val="es-ES_tradnl"/>
              </w:rPr>
              <w:t> </w:t>
            </w:r>
          </w:p>
        </w:tc>
        <w:tc>
          <w:tcPr>
            <w:tcW w:w="7883" w:type="dxa"/>
            <w:tcBorders>
              <w:top w:val="nil"/>
              <w:left w:val="nil"/>
              <w:bottom w:val="nil"/>
              <w:right w:val="nil"/>
            </w:tcBorders>
            <w:shd w:val="clear" w:color="000000" w:fill="BFBFBF"/>
            <w:vAlign w:val="center"/>
          </w:tcPr>
          <w:p w:rsidR="002959F0" w:rsidRDefault="00E2336B" w:rsidP="002959F0">
            <w:pPr>
              <w:ind w:firstLineChars="400" w:firstLine="880"/>
              <w:rPr>
                <w:rFonts w:ascii="MinionPro-Regular" w:hAnsi="MinionPro-Regular" w:cs="Calibri"/>
                <w:color w:val="000000"/>
                <w:szCs w:val="22"/>
                <w:lang w:val="en-US"/>
              </w:rPr>
            </w:pPr>
            <w:r w:rsidRPr="00224A16">
              <w:rPr>
                <w:rFonts w:ascii="MinionPro-Regular" w:hAnsi="MinionPro-Regular" w:cs="Calibri"/>
                <w:color w:val="000000"/>
                <w:szCs w:val="22"/>
                <w:lang w:val="en-US"/>
              </w:rPr>
              <w:t>A) Más del 20%</w:t>
            </w:r>
          </w:p>
        </w:tc>
      </w:tr>
      <w:tr w:rsidR="00E2336B" w:rsidRPr="000123AA" w:rsidTr="008466BC">
        <w:trPr>
          <w:trHeight w:val="3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color w:val="000000"/>
                <w:szCs w:val="22"/>
                <w:lang w:val="en-US"/>
              </w:rPr>
            </w:pPr>
            <w:r w:rsidRPr="00224A16">
              <w:rPr>
                <w:rFonts w:ascii="MinionPro-Regular" w:hAnsi="MinionPro-Regular" w:cs="Calibri"/>
                <w:color w:val="000000"/>
                <w:szCs w:val="22"/>
                <w:lang w:val="en-US"/>
              </w:rPr>
              <w:t> </w:t>
            </w:r>
          </w:p>
        </w:tc>
        <w:tc>
          <w:tcPr>
            <w:tcW w:w="7883" w:type="dxa"/>
            <w:tcBorders>
              <w:top w:val="nil"/>
              <w:left w:val="nil"/>
              <w:bottom w:val="nil"/>
              <w:right w:val="nil"/>
            </w:tcBorders>
            <w:shd w:val="clear" w:color="000000" w:fill="BFBFBF"/>
            <w:vAlign w:val="center"/>
          </w:tcPr>
          <w:p w:rsidR="002959F0" w:rsidRDefault="00E2336B" w:rsidP="002959F0">
            <w:pPr>
              <w:ind w:firstLineChars="400" w:firstLine="880"/>
              <w:rPr>
                <w:rFonts w:ascii="MinionPro-Regular" w:hAnsi="MinionPro-Regular" w:cs="Calibri"/>
                <w:color w:val="000000"/>
                <w:szCs w:val="22"/>
                <w:lang w:val="en-US"/>
              </w:rPr>
            </w:pPr>
            <w:r w:rsidRPr="00224A16">
              <w:rPr>
                <w:rFonts w:ascii="MinionPro-Regular" w:hAnsi="MinionPro-Regular" w:cs="Calibri"/>
                <w:color w:val="000000"/>
                <w:szCs w:val="22"/>
                <w:lang w:val="en-US"/>
              </w:rPr>
              <w:t>B) Del 6% al 20%</w:t>
            </w:r>
          </w:p>
        </w:tc>
      </w:tr>
      <w:tr w:rsidR="00E2336B" w:rsidRPr="000123AA" w:rsidTr="008466BC">
        <w:trPr>
          <w:trHeight w:val="3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color w:val="000000"/>
                <w:szCs w:val="22"/>
                <w:lang w:val="en-US"/>
              </w:rPr>
            </w:pPr>
            <w:r w:rsidRPr="00224A16">
              <w:rPr>
                <w:rFonts w:ascii="MinionPro-Regular" w:hAnsi="MinionPro-Regular" w:cs="Calibri"/>
                <w:color w:val="000000"/>
                <w:szCs w:val="22"/>
                <w:lang w:val="en-US"/>
              </w:rPr>
              <w:t> </w:t>
            </w:r>
          </w:p>
        </w:tc>
        <w:tc>
          <w:tcPr>
            <w:tcW w:w="7883" w:type="dxa"/>
            <w:tcBorders>
              <w:top w:val="nil"/>
              <w:left w:val="nil"/>
              <w:bottom w:val="nil"/>
              <w:right w:val="nil"/>
            </w:tcBorders>
            <w:shd w:val="clear" w:color="000000" w:fill="BFBFBF"/>
            <w:vAlign w:val="center"/>
          </w:tcPr>
          <w:p w:rsidR="002959F0" w:rsidRDefault="00E2336B" w:rsidP="002959F0">
            <w:pPr>
              <w:ind w:firstLineChars="400" w:firstLine="880"/>
              <w:rPr>
                <w:rFonts w:ascii="MinionPro-Regular" w:hAnsi="MinionPro-Regular" w:cs="Calibri"/>
                <w:color w:val="000000"/>
                <w:szCs w:val="22"/>
                <w:lang w:val="en-US"/>
              </w:rPr>
            </w:pPr>
            <w:r w:rsidRPr="00224A16">
              <w:rPr>
                <w:rFonts w:ascii="MinionPro-Regular" w:hAnsi="MinionPro-Regular" w:cs="Calibri"/>
                <w:color w:val="000000"/>
                <w:szCs w:val="22"/>
                <w:lang w:val="en-US"/>
              </w:rPr>
              <w:t>C) Del 1% al 5%</w:t>
            </w:r>
          </w:p>
        </w:tc>
      </w:tr>
      <w:tr w:rsidR="00E2336B" w:rsidRPr="000123AA" w:rsidTr="008466BC">
        <w:trPr>
          <w:trHeight w:val="3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color w:val="000000"/>
                <w:szCs w:val="22"/>
                <w:lang w:val="en-US"/>
              </w:rPr>
            </w:pPr>
            <w:r w:rsidRPr="00224A16">
              <w:rPr>
                <w:rFonts w:ascii="MinionPro-Regular" w:hAnsi="MinionPro-Regular" w:cs="Calibri"/>
                <w:color w:val="000000"/>
                <w:szCs w:val="22"/>
                <w:lang w:val="en-US"/>
              </w:rPr>
              <w:t> </w:t>
            </w:r>
          </w:p>
        </w:tc>
        <w:tc>
          <w:tcPr>
            <w:tcW w:w="7883" w:type="dxa"/>
            <w:tcBorders>
              <w:top w:val="nil"/>
              <w:left w:val="nil"/>
              <w:bottom w:val="nil"/>
              <w:right w:val="nil"/>
            </w:tcBorders>
            <w:shd w:val="clear" w:color="000000" w:fill="BFBFBF"/>
            <w:vAlign w:val="center"/>
          </w:tcPr>
          <w:p w:rsidR="002959F0" w:rsidRDefault="00E2336B" w:rsidP="002959F0">
            <w:pPr>
              <w:ind w:firstLineChars="400" w:firstLine="880"/>
              <w:rPr>
                <w:rFonts w:ascii="MinionPro-Regular" w:hAnsi="MinionPro-Regular" w:cs="Calibri"/>
                <w:color w:val="000000"/>
                <w:szCs w:val="22"/>
                <w:lang w:val="en-US"/>
              </w:rPr>
            </w:pPr>
            <w:r w:rsidRPr="00224A16">
              <w:rPr>
                <w:rFonts w:ascii="MinionPro-Regular" w:hAnsi="MinionPro-Regular" w:cs="Calibri"/>
                <w:color w:val="000000"/>
                <w:szCs w:val="22"/>
                <w:lang w:val="en-US"/>
              </w:rPr>
              <w:t>D) 0%</w:t>
            </w:r>
          </w:p>
        </w:tc>
      </w:tr>
      <w:tr w:rsidR="00E2336B" w:rsidRPr="000123AA" w:rsidTr="008466BC">
        <w:trPr>
          <w:trHeight w:val="3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color w:val="000000"/>
                <w:szCs w:val="22"/>
                <w:lang w:val="en-US"/>
              </w:rPr>
            </w:pPr>
            <w:r w:rsidRPr="00224A16">
              <w:rPr>
                <w:rFonts w:ascii="MinionPro-Regular" w:hAnsi="MinionPro-Regular" w:cs="Calibri"/>
                <w:color w:val="000000"/>
                <w:szCs w:val="22"/>
                <w:lang w:val="en-US"/>
              </w:rPr>
              <w:t> </w:t>
            </w:r>
          </w:p>
        </w:tc>
        <w:tc>
          <w:tcPr>
            <w:tcW w:w="7883" w:type="dxa"/>
            <w:tcBorders>
              <w:top w:val="nil"/>
              <w:left w:val="nil"/>
              <w:bottom w:val="nil"/>
              <w:right w:val="nil"/>
            </w:tcBorders>
            <w:shd w:val="clear" w:color="000000" w:fill="BFBFBF"/>
            <w:vAlign w:val="center"/>
          </w:tcPr>
          <w:p w:rsidR="002959F0" w:rsidRDefault="00E2336B" w:rsidP="002959F0">
            <w:pPr>
              <w:ind w:firstLineChars="400" w:firstLine="880"/>
              <w:rPr>
                <w:rFonts w:ascii="MinionPro-Regular" w:hAnsi="MinionPro-Regular" w:cs="Calibri"/>
                <w:color w:val="000000"/>
                <w:szCs w:val="22"/>
                <w:lang w:val="en-US"/>
              </w:rPr>
            </w:pPr>
            <w:r w:rsidRPr="00224A16">
              <w:rPr>
                <w:rFonts w:ascii="MinionPro-Regular" w:hAnsi="MinionPro-Regular" w:cs="Calibri"/>
                <w:color w:val="000000"/>
                <w:szCs w:val="22"/>
                <w:lang w:val="en-US"/>
              </w:rPr>
              <w:t>E) Del -5% al -1%</w:t>
            </w:r>
          </w:p>
        </w:tc>
      </w:tr>
      <w:tr w:rsidR="00E2336B" w:rsidRPr="000123AA" w:rsidTr="008466BC">
        <w:trPr>
          <w:trHeight w:val="3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color w:val="000000"/>
                <w:szCs w:val="22"/>
                <w:lang w:val="en-US"/>
              </w:rPr>
            </w:pPr>
            <w:r w:rsidRPr="00224A16">
              <w:rPr>
                <w:rFonts w:ascii="MinionPro-Regular" w:hAnsi="MinionPro-Regular" w:cs="Calibri"/>
                <w:color w:val="000000"/>
                <w:szCs w:val="22"/>
                <w:lang w:val="en-US"/>
              </w:rPr>
              <w:lastRenderedPageBreak/>
              <w:t> </w:t>
            </w:r>
          </w:p>
        </w:tc>
        <w:tc>
          <w:tcPr>
            <w:tcW w:w="7883" w:type="dxa"/>
            <w:tcBorders>
              <w:top w:val="nil"/>
              <w:left w:val="nil"/>
              <w:bottom w:val="nil"/>
              <w:right w:val="nil"/>
            </w:tcBorders>
            <w:shd w:val="clear" w:color="000000" w:fill="BFBFBF"/>
            <w:vAlign w:val="center"/>
          </w:tcPr>
          <w:p w:rsidR="002959F0" w:rsidRDefault="00E2336B" w:rsidP="002959F0">
            <w:pPr>
              <w:ind w:firstLineChars="400" w:firstLine="880"/>
              <w:rPr>
                <w:rFonts w:ascii="MinionPro-Regular" w:hAnsi="MinionPro-Regular" w:cs="Calibri"/>
                <w:color w:val="000000"/>
                <w:szCs w:val="22"/>
                <w:lang w:val="en-US"/>
              </w:rPr>
            </w:pPr>
            <w:r w:rsidRPr="00224A16">
              <w:rPr>
                <w:rFonts w:ascii="MinionPro-Regular" w:hAnsi="MinionPro-Regular" w:cs="Calibri"/>
                <w:color w:val="000000"/>
                <w:szCs w:val="22"/>
                <w:lang w:val="en-US"/>
              </w:rPr>
              <w:t>F) Del -20% al -6%</w:t>
            </w:r>
          </w:p>
        </w:tc>
      </w:tr>
      <w:tr w:rsidR="00E2336B" w:rsidRPr="000123AA" w:rsidTr="008466BC">
        <w:trPr>
          <w:trHeight w:val="3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color w:val="000000"/>
                <w:szCs w:val="22"/>
                <w:lang w:val="en-US"/>
              </w:rPr>
            </w:pPr>
            <w:r w:rsidRPr="00224A16">
              <w:rPr>
                <w:rFonts w:ascii="MinionPro-Regular" w:hAnsi="MinionPro-Regular" w:cs="Calibri"/>
                <w:color w:val="000000"/>
                <w:szCs w:val="22"/>
                <w:lang w:val="en-US"/>
              </w:rPr>
              <w:t> </w:t>
            </w:r>
          </w:p>
        </w:tc>
        <w:tc>
          <w:tcPr>
            <w:tcW w:w="7883" w:type="dxa"/>
            <w:tcBorders>
              <w:top w:val="nil"/>
              <w:left w:val="nil"/>
              <w:bottom w:val="nil"/>
              <w:right w:val="nil"/>
            </w:tcBorders>
            <w:shd w:val="clear" w:color="000000" w:fill="BFBFBF"/>
            <w:vAlign w:val="center"/>
          </w:tcPr>
          <w:p w:rsidR="002959F0" w:rsidRDefault="00E2336B" w:rsidP="002959F0">
            <w:pPr>
              <w:ind w:firstLineChars="400" w:firstLine="880"/>
              <w:rPr>
                <w:rFonts w:ascii="MinionPro-Regular" w:hAnsi="MinionPro-Regular" w:cs="Calibri"/>
                <w:color w:val="000000"/>
                <w:szCs w:val="22"/>
                <w:lang w:val="en-US"/>
              </w:rPr>
            </w:pPr>
            <w:r w:rsidRPr="00224A16">
              <w:rPr>
                <w:rFonts w:ascii="MinionPro-Regular" w:hAnsi="MinionPro-Regular" w:cs="Calibri"/>
                <w:color w:val="000000"/>
                <w:szCs w:val="22"/>
                <w:lang w:val="en-US"/>
              </w:rPr>
              <w:t>G) Más del -20%</w:t>
            </w:r>
          </w:p>
        </w:tc>
      </w:tr>
      <w:tr w:rsidR="00E2336B" w:rsidRPr="000123AA" w:rsidTr="008466BC">
        <w:trPr>
          <w:trHeight w:val="3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bCs/>
                <w:color w:val="000000"/>
                <w:szCs w:val="22"/>
                <w:lang w:val="en-US"/>
              </w:rPr>
            </w:pPr>
            <w:r w:rsidRPr="00224A16">
              <w:rPr>
                <w:rFonts w:ascii="MinionPro-Regular" w:hAnsi="MinionPro-Regular" w:cs="Calibri"/>
                <w:bCs/>
                <w:color w:val="000000"/>
                <w:szCs w:val="22"/>
                <w:lang w:val="en-US"/>
              </w:rPr>
              <w:t>3.9</w:t>
            </w:r>
          </w:p>
        </w:tc>
        <w:tc>
          <w:tcPr>
            <w:tcW w:w="7883" w:type="dxa"/>
            <w:tcBorders>
              <w:top w:val="nil"/>
              <w:left w:val="nil"/>
              <w:bottom w:val="nil"/>
              <w:right w:val="nil"/>
            </w:tcBorders>
            <w:shd w:val="clear" w:color="000000" w:fill="BFBFBF"/>
            <w:vAlign w:val="center"/>
          </w:tcPr>
          <w:p w:rsidR="00E2336B" w:rsidRPr="00224A16" w:rsidRDefault="00E2336B" w:rsidP="000123AA">
            <w:pPr>
              <w:rPr>
                <w:rFonts w:ascii="MinionPro-Regular" w:hAnsi="MinionPro-Regular" w:cs="Calibri"/>
                <w:bCs/>
                <w:color w:val="000000"/>
                <w:szCs w:val="22"/>
                <w:lang w:val="es-ES_tradnl"/>
              </w:rPr>
            </w:pPr>
            <w:r w:rsidRPr="00224A16">
              <w:rPr>
                <w:rFonts w:ascii="MinionPro-Regular" w:hAnsi="MinionPro-Regular" w:cs="Calibri"/>
                <w:bCs/>
                <w:color w:val="000000"/>
                <w:szCs w:val="22"/>
                <w:lang w:val="es-ES_tradnl"/>
              </w:rPr>
              <w:t>¿Cuenta el CEE con planes de ajuste personal y social?</w:t>
            </w:r>
            <w:r w:rsidRPr="00224A16">
              <w:rPr>
                <w:rFonts w:ascii="MinionPro-Regular" w:hAnsi="MinionPro-Regular" w:cs="Calibri"/>
                <w:bCs/>
                <w:color w:val="4F81BD"/>
                <w:szCs w:val="22"/>
                <w:lang w:val="es-ES_tradnl"/>
              </w:rPr>
              <w:t>(Sí/No)</w:t>
            </w:r>
          </w:p>
        </w:tc>
      </w:tr>
      <w:tr w:rsidR="00E2336B" w:rsidRPr="000123AA" w:rsidTr="008466BC">
        <w:trPr>
          <w:trHeight w:val="6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bCs/>
                <w:color w:val="000000"/>
                <w:szCs w:val="22"/>
                <w:lang w:val="en-US"/>
              </w:rPr>
            </w:pPr>
            <w:r w:rsidRPr="00224A16">
              <w:rPr>
                <w:rFonts w:ascii="MinionPro-Regular" w:hAnsi="MinionPro-Regular" w:cs="Calibri"/>
                <w:bCs/>
                <w:color w:val="000000"/>
                <w:szCs w:val="22"/>
                <w:lang w:val="en-US"/>
              </w:rPr>
              <w:t xml:space="preserve">3.9.1 </w:t>
            </w:r>
          </w:p>
        </w:tc>
        <w:tc>
          <w:tcPr>
            <w:tcW w:w="7883" w:type="dxa"/>
            <w:tcBorders>
              <w:top w:val="nil"/>
              <w:left w:val="nil"/>
              <w:bottom w:val="nil"/>
              <w:right w:val="nil"/>
            </w:tcBorders>
            <w:shd w:val="clear" w:color="000000" w:fill="BFBFBF"/>
            <w:vAlign w:val="center"/>
          </w:tcPr>
          <w:p w:rsidR="00E2336B" w:rsidRPr="00224A16" w:rsidRDefault="00E2336B" w:rsidP="000123AA">
            <w:pPr>
              <w:rPr>
                <w:rFonts w:ascii="MinionPro-Regular" w:hAnsi="MinionPro-Regular" w:cs="Calibri"/>
                <w:bCs/>
                <w:color w:val="000000"/>
                <w:szCs w:val="22"/>
                <w:lang w:val="en-US"/>
              </w:rPr>
            </w:pPr>
            <w:r w:rsidRPr="00224A16">
              <w:rPr>
                <w:rFonts w:ascii="MinionPro-Regular" w:hAnsi="MinionPro-Regular" w:cs="Calibri"/>
                <w:bCs/>
                <w:color w:val="000000"/>
                <w:szCs w:val="22"/>
                <w:lang w:val="es-ES_tradnl"/>
              </w:rPr>
              <w:t>En caso afirmativo ¿Cuántos profesionales de su CEE se dedican a ejecutar los planes de ajuste personal y social?</w:t>
            </w:r>
            <w:r w:rsidRPr="00224A16">
              <w:rPr>
                <w:rFonts w:ascii="MinionPro-Regular" w:hAnsi="MinionPro-Regular" w:cs="Calibri"/>
                <w:bCs/>
                <w:color w:val="4F81BD"/>
                <w:szCs w:val="22"/>
                <w:lang w:val="es-ES_tradnl"/>
              </w:rPr>
              <w:t xml:space="preserve"> </w:t>
            </w:r>
            <w:r w:rsidRPr="00224A16">
              <w:rPr>
                <w:rFonts w:ascii="MinionPro-Regular" w:hAnsi="MinionPro-Regular" w:cs="Calibri"/>
                <w:bCs/>
                <w:color w:val="4F81BD"/>
                <w:szCs w:val="22"/>
                <w:lang w:val="en-US"/>
              </w:rPr>
              <w:t>(respuesta cuantitativa abierta)</w:t>
            </w:r>
          </w:p>
        </w:tc>
      </w:tr>
      <w:tr w:rsidR="00E2336B" w:rsidRPr="000123AA" w:rsidTr="008466BC">
        <w:trPr>
          <w:trHeight w:val="6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bCs/>
                <w:color w:val="000000"/>
                <w:szCs w:val="22"/>
                <w:lang w:val="en-US"/>
              </w:rPr>
            </w:pPr>
            <w:r w:rsidRPr="00224A16">
              <w:rPr>
                <w:rFonts w:ascii="MinionPro-Regular" w:hAnsi="MinionPro-Regular" w:cs="Calibri"/>
                <w:bCs/>
                <w:color w:val="000000"/>
                <w:szCs w:val="22"/>
                <w:lang w:val="en-US"/>
              </w:rPr>
              <w:t>3.10.</w:t>
            </w:r>
          </w:p>
        </w:tc>
        <w:tc>
          <w:tcPr>
            <w:tcW w:w="7883" w:type="dxa"/>
            <w:tcBorders>
              <w:top w:val="nil"/>
              <w:left w:val="nil"/>
              <w:bottom w:val="nil"/>
              <w:right w:val="nil"/>
            </w:tcBorders>
            <w:shd w:val="clear" w:color="000000" w:fill="BFBFBF"/>
            <w:vAlign w:val="center"/>
          </w:tcPr>
          <w:p w:rsidR="00E2336B" w:rsidRPr="00224A16" w:rsidRDefault="00E2336B" w:rsidP="000123AA">
            <w:pPr>
              <w:rPr>
                <w:rFonts w:ascii="MinionPro-Regular" w:hAnsi="MinionPro-Regular" w:cs="Calibri"/>
                <w:bCs/>
                <w:color w:val="000000"/>
                <w:szCs w:val="22"/>
                <w:lang w:val="es-ES_tradnl"/>
              </w:rPr>
            </w:pPr>
            <w:r w:rsidRPr="00224A16">
              <w:rPr>
                <w:rFonts w:ascii="MinionPro-Regular" w:hAnsi="MinionPro-Regular" w:cs="Calibri"/>
                <w:bCs/>
                <w:color w:val="000000"/>
                <w:szCs w:val="22"/>
                <w:lang w:val="es-ES_tradnl"/>
              </w:rPr>
              <w:t xml:space="preserve">Indique el número de empleados con discapacidad que se encuentra en enclaves laborales:  </w:t>
            </w:r>
            <w:r w:rsidRPr="00224A16">
              <w:rPr>
                <w:rFonts w:ascii="MinionPro-Regular" w:hAnsi="MinionPro-Regular" w:cs="Calibri"/>
                <w:bCs/>
                <w:color w:val="4F81BD"/>
                <w:szCs w:val="22"/>
                <w:lang w:val="es-ES_tradnl"/>
              </w:rPr>
              <w:t xml:space="preserve"> (opción única)</w:t>
            </w:r>
          </w:p>
        </w:tc>
      </w:tr>
      <w:tr w:rsidR="00E2336B" w:rsidRPr="000123AA" w:rsidTr="008466BC">
        <w:trPr>
          <w:trHeight w:val="3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color w:val="000000"/>
                <w:szCs w:val="22"/>
                <w:lang w:val="es-ES_tradnl"/>
              </w:rPr>
            </w:pPr>
            <w:r w:rsidRPr="00224A16">
              <w:rPr>
                <w:rFonts w:ascii="MinionPro-Regular" w:hAnsi="MinionPro-Regular" w:cs="Calibri"/>
                <w:color w:val="000000"/>
                <w:szCs w:val="22"/>
                <w:lang w:val="es-ES_tradnl"/>
              </w:rPr>
              <w:t> </w:t>
            </w:r>
          </w:p>
        </w:tc>
        <w:tc>
          <w:tcPr>
            <w:tcW w:w="7883" w:type="dxa"/>
            <w:tcBorders>
              <w:top w:val="nil"/>
              <w:left w:val="nil"/>
              <w:bottom w:val="nil"/>
              <w:right w:val="nil"/>
            </w:tcBorders>
            <w:shd w:val="clear" w:color="000000" w:fill="BFBFBF"/>
            <w:vAlign w:val="center"/>
          </w:tcPr>
          <w:p w:rsidR="002959F0" w:rsidRDefault="00E2336B" w:rsidP="002959F0">
            <w:pPr>
              <w:ind w:firstLineChars="400" w:firstLine="880"/>
              <w:rPr>
                <w:rFonts w:ascii="MinionPro-Regular" w:hAnsi="MinionPro-Regular" w:cs="Calibri"/>
                <w:color w:val="000000"/>
                <w:szCs w:val="22"/>
                <w:lang w:val="es-ES_tradnl"/>
              </w:rPr>
            </w:pPr>
            <w:r w:rsidRPr="00224A16">
              <w:rPr>
                <w:rFonts w:ascii="MinionPro-Regular" w:hAnsi="MinionPro-Regular" w:cs="Calibri"/>
                <w:color w:val="000000"/>
                <w:szCs w:val="22"/>
                <w:lang w:val="es-ES_tradnl"/>
              </w:rPr>
              <w:t>A) No hay enclaves laborales</w:t>
            </w:r>
          </w:p>
        </w:tc>
      </w:tr>
      <w:tr w:rsidR="00E2336B" w:rsidRPr="000123AA" w:rsidTr="008466BC">
        <w:trPr>
          <w:trHeight w:val="300"/>
        </w:trPr>
        <w:tc>
          <w:tcPr>
            <w:tcW w:w="656" w:type="dxa"/>
            <w:tcBorders>
              <w:top w:val="nil"/>
              <w:left w:val="nil"/>
              <w:bottom w:val="nil"/>
              <w:right w:val="nil"/>
            </w:tcBorders>
            <w:shd w:val="clear" w:color="000000" w:fill="BFBFBF"/>
            <w:noWrap/>
            <w:vAlign w:val="bottom"/>
          </w:tcPr>
          <w:p w:rsidR="00E2336B" w:rsidRPr="00224A16" w:rsidRDefault="00E2336B" w:rsidP="000123AA">
            <w:pPr>
              <w:rPr>
                <w:rFonts w:ascii="MinionPro-Regular" w:hAnsi="MinionPro-Regular" w:cs="Calibri"/>
                <w:color w:val="000000"/>
                <w:szCs w:val="22"/>
                <w:lang w:val="es-ES_tradnl"/>
              </w:rPr>
            </w:pPr>
            <w:r w:rsidRPr="00224A16">
              <w:rPr>
                <w:rFonts w:ascii="MinionPro-Regular" w:hAnsi="MinionPro-Regular" w:cs="Calibri"/>
                <w:color w:val="000000"/>
                <w:szCs w:val="22"/>
                <w:lang w:val="es-ES_tradnl"/>
              </w:rPr>
              <w:t> </w:t>
            </w:r>
          </w:p>
        </w:tc>
        <w:tc>
          <w:tcPr>
            <w:tcW w:w="7883" w:type="dxa"/>
            <w:tcBorders>
              <w:top w:val="nil"/>
              <w:left w:val="nil"/>
              <w:bottom w:val="nil"/>
              <w:right w:val="nil"/>
            </w:tcBorders>
            <w:shd w:val="clear" w:color="000000" w:fill="BFBFBF"/>
            <w:vAlign w:val="center"/>
          </w:tcPr>
          <w:p w:rsidR="002959F0" w:rsidRDefault="00E2336B" w:rsidP="002959F0">
            <w:pPr>
              <w:ind w:firstLineChars="400" w:firstLine="880"/>
              <w:rPr>
                <w:rFonts w:ascii="MinionPro-Regular" w:hAnsi="MinionPro-Regular" w:cs="Calibri"/>
                <w:color w:val="000000"/>
                <w:szCs w:val="22"/>
                <w:lang w:val="en-US"/>
              </w:rPr>
            </w:pPr>
            <w:r w:rsidRPr="00224A16">
              <w:rPr>
                <w:rFonts w:ascii="MinionPro-Regular" w:hAnsi="MinionPro-Regular" w:cs="Calibri"/>
                <w:color w:val="000000"/>
                <w:szCs w:val="22"/>
                <w:lang w:val="en-US"/>
              </w:rPr>
              <w:t>B) 0%-5%</w:t>
            </w:r>
          </w:p>
        </w:tc>
      </w:tr>
      <w:tr w:rsidR="00E2336B" w:rsidRPr="000123AA" w:rsidTr="008466BC">
        <w:trPr>
          <w:trHeight w:val="3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color w:val="000000"/>
                <w:szCs w:val="22"/>
                <w:lang w:val="en-US"/>
              </w:rPr>
            </w:pPr>
            <w:r w:rsidRPr="00224A16">
              <w:rPr>
                <w:rFonts w:ascii="MinionPro-Regular" w:hAnsi="MinionPro-Regular" w:cs="Calibri"/>
                <w:color w:val="000000"/>
                <w:szCs w:val="22"/>
                <w:lang w:val="en-US"/>
              </w:rPr>
              <w:t> </w:t>
            </w:r>
          </w:p>
        </w:tc>
        <w:tc>
          <w:tcPr>
            <w:tcW w:w="7883" w:type="dxa"/>
            <w:tcBorders>
              <w:top w:val="nil"/>
              <w:left w:val="nil"/>
              <w:bottom w:val="nil"/>
              <w:right w:val="nil"/>
            </w:tcBorders>
            <w:shd w:val="clear" w:color="000000" w:fill="BFBFBF"/>
            <w:vAlign w:val="center"/>
          </w:tcPr>
          <w:p w:rsidR="002959F0" w:rsidRDefault="00E2336B" w:rsidP="002959F0">
            <w:pPr>
              <w:ind w:firstLineChars="400" w:firstLine="880"/>
              <w:rPr>
                <w:rFonts w:ascii="MinionPro-Regular" w:hAnsi="MinionPro-Regular" w:cs="Calibri"/>
                <w:color w:val="000000"/>
                <w:szCs w:val="22"/>
                <w:lang w:val="en-US"/>
              </w:rPr>
            </w:pPr>
            <w:r w:rsidRPr="00224A16">
              <w:rPr>
                <w:rFonts w:ascii="MinionPro-Regular" w:hAnsi="MinionPro-Regular" w:cs="Calibri"/>
                <w:color w:val="000000"/>
                <w:szCs w:val="22"/>
                <w:lang w:val="en-US"/>
              </w:rPr>
              <w:t>C) 6%-10%</w:t>
            </w:r>
          </w:p>
        </w:tc>
      </w:tr>
      <w:tr w:rsidR="00E2336B" w:rsidRPr="000123AA" w:rsidTr="008466BC">
        <w:trPr>
          <w:trHeight w:val="3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color w:val="000000"/>
                <w:szCs w:val="22"/>
                <w:lang w:val="en-US"/>
              </w:rPr>
            </w:pPr>
            <w:r w:rsidRPr="00224A16">
              <w:rPr>
                <w:rFonts w:ascii="MinionPro-Regular" w:hAnsi="MinionPro-Regular" w:cs="Calibri"/>
                <w:color w:val="000000"/>
                <w:szCs w:val="22"/>
                <w:lang w:val="en-US"/>
              </w:rPr>
              <w:t> </w:t>
            </w:r>
          </w:p>
        </w:tc>
        <w:tc>
          <w:tcPr>
            <w:tcW w:w="7883" w:type="dxa"/>
            <w:tcBorders>
              <w:top w:val="nil"/>
              <w:left w:val="nil"/>
              <w:bottom w:val="nil"/>
              <w:right w:val="nil"/>
            </w:tcBorders>
            <w:shd w:val="clear" w:color="000000" w:fill="BFBFBF"/>
            <w:vAlign w:val="center"/>
          </w:tcPr>
          <w:p w:rsidR="002959F0" w:rsidRDefault="00E2336B" w:rsidP="002959F0">
            <w:pPr>
              <w:ind w:firstLineChars="400" w:firstLine="880"/>
              <w:rPr>
                <w:rFonts w:ascii="MinionPro-Regular" w:hAnsi="MinionPro-Regular" w:cs="Calibri"/>
                <w:color w:val="000000"/>
                <w:szCs w:val="22"/>
                <w:lang w:val="en-US"/>
              </w:rPr>
            </w:pPr>
            <w:r w:rsidRPr="00224A16">
              <w:rPr>
                <w:rFonts w:ascii="MinionPro-Regular" w:hAnsi="MinionPro-Regular" w:cs="Calibri"/>
                <w:color w:val="000000"/>
                <w:szCs w:val="22"/>
                <w:lang w:val="en-US"/>
              </w:rPr>
              <w:t>D) Más del 10%</w:t>
            </w:r>
          </w:p>
        </w:tc>
      </w:tr>
      <w:tr w:rsidR="00E2336B" w:rsidRPr="000123AA" w:rsidTr="008466BC">
        <w:trPr>
          <w:trHeight w:val="6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bCs/>
                <w:color w:val="000000"/>
                <w:szCs w:val="22"/>
                <w:lang w:val="en-US"/>
              </w:rPr>
            </w:pPr>
            <w:r w:rsidRPr="00224A16">
              <w:rPr>
                <w:rFonts w:ascii="MinionPro-Regular" w:hAnsi="MinionPro-Regular" w:cs="Calibri"/>
                <w:bCs/>
                <w:color w:val="000000"/>
                <w:szCs w:val="22"/>
                <w:lang w:val="en-US"/>
              </w:rPr>
              <w:t>3.11.</w:t>
            </w:r>
          </w:p>
        </w:tc>
        <w:tc>
          <w:tcPr>
            <w:tcW w:w="7883" w:type="dxa"/>
            <w:tcBorders>
              <w:top w:val="nil"/>
              <w:left w:val="nil"/>
              <w:bottom w:val="nil"/>
              <w:right w:val="nil"/>
            </w:tcBorders>
            <w:shd w:val="clear" w:color="000000" w:fill="BFBFBF"/>
            <w:vAlign w:val="center"/>
          </w:tcPr>
          <w:p w:rsidR="00E2336B" w:rsidRPr="00224A16" w:rsidRDefault="00E2336B" w:rsidP="000123AA">
            <w:pPr>
              <w:rPr>
                <w:rFonts w:ascii="MinionPro-Regular" w:hAnsi="MinionPro-Regular" w:cs="Calibri"/>
                <w:bCs/>
                <w:color w:val="000000"/>
                <w:szCs w:val="22"/>
                <w:lang w:val="es-ES_tradnl"/>
              </w:rPr>
            </w:pPr>
            <w:r w:rsidRPr="00224A16">
              <w:rPr>
                <w:rFonts w:ascii="MinionPro-Regular" w:hAnsi="MinionPro-Regular" w:cs="Calibri"/>
                <w:bCs/>
                <w:color w:val="000000"/>
                <w:szCs w:val="22"/>
                <w:lang w:val="es-ES_tradnl"/>
              </w:rPr>
              <w:t>Indique el número total empleados con discapacidad del CEE que han accedido al empleo ordinario en el período 2009-2011:</w:t>
            </w:r>
            <w:r w:rsidRPr="00224A16">
              <w:rPr>
                <w:rFonts w:ascii="MinionPro-Regular" w:hAnsi="MinionPro-Regular" w:cs="Calibri"/>
                <w:bCs/>
                <w:color w:val="4F81BD"/>
                <w:szCs w:val="22"/>
                <w:lang w:val="es-ES_tradnl"/>
              </w:rPr>
              <w:t>(respuesta cuantitativa abierta)</w:t>
            </w:r>
          </w:p>
        </w:tc>
      </w:tr>
      <w:tr w:rsidR="00E2336B" w:rsidRPr="000123AA" w:rsidTr="008466BC">
        <w:trPr>
          <w:trHeight w:val="36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bCs/>
                <w:color w:val="000000"/>
                <w:szCs w:val="22"/>
                <w:lang w:val="en-US"/>
              </w:rPr>
            </w:pPr>
            <w:r w:rsidRPr="00224A16">
              <w:rPr>
                <w:rFonts w:ascii="MinionPro-Regular" w:hAnsi="MinionPro-Regular" w:cs="Calibri"/>
                <w:bCs/>
                <w:color w:val="000000"/>
                <w:szCs w:val="22"/>
                <w:lang w:val="en-US"/>
              </w:rPr>
              <w:t>3.12.</w:t>
            </w:r>
          </w:p>
        </w:tc>
        <w:tc>
          <w:tcPr>
            <w:tcW w:w="7883" w:type="dxa"/>
            <w:tcBorders>
              <w:top w:val="nil"/>
              <w:left w:val="nil"/>
              <w:bottom w:val="nil"/>
              <w:right w:val="nil"/>
            </w:tcBorders>
            <w:shd w:val="clear" w:color="000000" w:fill="BFBFBF"/>
          </w:tcPr>
          <w:p w:rsidR="00E2336B" w:rsidRPr="00224A16" w:rsidRDefault="00E2336B" w:rsidP="000123AA">
            <w:pPr>
              <w:rPr>
                <w:rFonts w:ascii="MinionPro-Regular" w:hAnsi="MinionPro-Regular" w:cs="Calibri"/>
                <w:bCs/>
                <w:color w:val="000000"/>
                <w:szCs w:val="22"/>
                <w:lang w:val="es-ES_tradnl"/>
              </w:rPr>
            </w:pPr>
            <w:r w:rsidRPr="00224A16">
              <w:rPr>
                <w:rFonts w:ascii="MinionPro-Regular" w:hAnsi="MinionPro-Regular" w:cs="Calibri"/>
                <w:bCs/>
                <w:color w:val="000000"/>
                <w:szCs w:val="22"/>
                <w:lang w:val="es-ES_tradnl"/>
              </w:rPr>
              <w:t xml:space="preserve">Indique una de las siguientes opciones. Los beneficios obtenidos por el CEE: </w:t>
            </w:r>
            <w:r w:rsidRPr="00224A16">
              <w:rPr>
                <w:rFonts w:ascii="MinionPro-Regular" w:hAnsi="MinionPro-Regular" w:cs="Calibri"/>
                <w:bCs/>
                <w:color w:val="4F81BD"/>
                <w:szCs w:val="22"/>
                <w:lang w:val="es-ES_tradnl"/>
              </w:rPr>
              <w:t>(opción única)</w:t>
            </w:r>
          </w:p>
        </w:tc>
      </w:tr>
      <w:tr w:rsidR="00E2336B" w:rsidRPr="000123AA" w:rsidTr="008466BC">
        <w:trPr>
          <w:trHeight w:val="3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color w:val="000000"/>
                <w:szCs w:val="22"/>
                <w:lang w:val="es-ES_tradnl"/>
              </w:rPr>
            </w:pPr>
            <w:r w:rsidRPr="00224A16">
              <w:rPr>
                <w:rFonts w:ascii="MinionPro-Regular" w:hAnsi="MinionPro-Regular" w:cs="Calibri"/>
                <w:color w:val="000000"/>
                <w:szCs w:val="22"/>
                <w:lang w:val="es-ES_tradnl"/>
              </w:rPr>
              <w:t> </w:t>
            </w:r>
          </w:p>
        </w:tc>
        <w:tc>
          <w:tcPr>
            <w:tcW w:w="7883" w:type="dxa"/>
            <w:tcBorders>
              <w:top w:val="nil"/>
              <w:left w:val="nil"/>
              <w:bottom w:val="nil"/>
              <w:right w:val="nil"/>
            </w:tcBorders>
            <w:shd w:val="clear" w:color="000000" w:fill="BFBFBF"/>
            <w:vAlign w:val="center"/>
          </w:tcPr>
          <w:p w:rsidR="002959F0" w:rsidRDefault="00E2336B" w:rsidP="002959F0">
            <w:pPr>
              <w:ind w:firstLineChars="400" w:firstLine="880"/>
              <w:rPr>
                <w:rFonts w:ascii="MinionPro-Regular" w:hAnsi="MinionPro-Regular" w:cs="Calibri"/>
                <w:color w:val="000000"/>
                <w:szCs w:val="22"/>
                <w:lang w:val="es-ES_tradnl"/>
              </w:rPr>
            </w:pPr>
            <w:r w:rsidRPr="00224A16">
              <w:rPr>
                <w:rFonts w:ascii="MinionPro-Regular" w:hAnsi="MinionPro-Regular" w:cs="Calibri"/>
                <w:color w:val="000000"/>
                <w:szCs w:val="22"/>
                <w:lang w:val="es-ES_tradnl"/>
              </w:rPr>
              <w:t>A) Se reinvierten en su totalidad en el mismo centro o en sus trabajadores.</w:t>
            </w:r>
          </w:p>
        </w:tc>
      </w:tr>
      <w:tr w:rsidR="00E2336B" w:rsidRPr="000123AA" w:rsidTr="008466BC">
        <w:trPr>
          <w:trHeight w:val="3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color w:val="000000"/>
                <w:szCs w:val="22"/>
                <w:lang w:val="es-ES_tradnl"/>
              </w:rPr>
            </w:pPr>
            <w:r w:rsidRPr="00224A16">
              <w:rPr>
                <w:rFonts w:ascii="MinionPro-Regular" w:hAnsi="MinionPro-Regular" w:cs="Calibri"/>
                <w:color w:val="000000"/>
                <w:szCs w:val="22"/>
                <w:lang w:val="es-ES_tradnl"/>
              </w:rPr>
              <w:t> </w:t>
            </w:r>
          </w:p>
        </w:tc>
        <w:tc>
          <w:tcPr>
            <w:tcW w:w="7883" w:type="dxa"/>
            <w:tcBorders>
              <w:top w:val="nil"/>
              <w:left w:val="nil"/>
              <w:bottom w:val="nil"/>
              <w:right w:val="nil"/>
            </w:tcBorders>
            <w:shd w:val="clear" w:color="000000" w:fill="BFBFBF"/>
            <w:vAlign w:val="center"/>
          </w:tcPr>
          <w:p w:rsidR="002959F0" w:rsidRDefault="00E2336B" w:rsidP="002959F0">
            <w:pPr>
              <w:ind w:firstLineChars="400" w:firstLine="880"/>
              <w:rPr>
                <w:rFonts w:ascii="MinionPro-Regular" w:hAnsi="MinionPro-Regular" w:cs="Calibri"/>
                <w:color w:val="000000"/>
                <w:szCs w:val="22"/>
                <w:lang w:val="es-ES_tradnl"/>
              </w:rPr>
            </w:pPr>
            <w:r w:rsidRPr="00224A16">
              <w:rPr>
                <w:rFonts w:ascii="MinionPro-Regular" w:hAnsi="MinionPro-Regular" w:cs="Calibri"/>
                <w:color w:val="000000"/>
                <w:szCs w:val="22"/>
                <w:lang w:val="es-ES_tradnl"/>
              </w:rPr>
              <w:t>B) Siempre se reparten total o parcialmente entre los socios/accionistas.</w:t>
            </w:r>
          </w:p>
        </w:tc>
      </w:tr>
      <w:tr w:rsidR="00E2336B" w:rsidRPr="000123AA" w:rsidTr="008466BC">
        <w:trPr>
          <w:trHeight w:val="6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bCs/>
                <w:color w:val="000000"/>
                <w:szCs w:val="22"/>
                <w:lang w:val="en-US"/>
              </w:rPr>
            </w:pPr>
            <w:r w:rsidRPr="00224A16">
              <w:rPr>
                <w:rFonts w:ascii="MinionPro-Regular" w:hAnsi="MinionPro-Regular" w:cs="Calibri"/>
                <w:bCs/>
                <w:color w:val="000000"/>
                <w:szCs w:val="22"/>
                <w:lang w:val="en-US"/>
              </w:rPr>
              <w:t>3.13.</w:t>
            </w:r>
          </w:p>
        </w:tc>
        <w:tc>
          <w:tcPr>
            <w:tcW w:w="7883" w:type="dxa"/>
            <w:tcBorders>
              <w:top w:val="nil"/>
              <w:left w:val="nil"/>
              <w:bottom w:val="nil"/>
              <w:right w:val="nil"/>
            </w:tcBorders>
            <w:shd w:val="clear" w:color="000000" w:fill="BFBFBF"/>
            <w:vAlign w:val="center"/>
          </w:tcPr>
          <w:p w:rsidR="00E2336B" w:rsidRPr="00224A16" w:rsidRDefault="00E2336B" w:rsidP="000123AA">
            <w:pPr>
              <w:rPr>
                <w:rFonts w:ascii="MinionPro-Regular" w:hAnsi="MinionPro-Regular" w:cs="Calibri"/>
                <w:bCs/>
                <w:color w:val="000000"/>
                <w:szCs w:val="22"/>
                <w:lang w:val="es-ES_tradnl"/>
              </w:rPr>
            </w:pPr>
            <w:r w:rsidRPr="00224A16">
              <w:rPr>
                <w:rFonts w:ascii="MinionPro-Regular" w:hAnsi="MinionPro-Regular" w:cs="Calibri"/>
                <w:bCs/>
                <w:color w:val="000000"/>
                <w:szCs w:val="22"/>
                <w:lang w:val="es-ES_tradnl"/>
              </w:rPr>
              <w:t xml:space="preserve">En relación a las subvenciones recibidas durante el 2011 - Indique las de Generación de empleo (en euros): </w:t>
            </w:r>
            <w:r w:rsidRPr="00224A16">
              <w:rPr>
                <w:rFonts w:ascii="MinionPro-Regular" w:hAnsi="MinionPro-Regular" w:cs="Calibri"/>
                <w:bCs/>
                <w:color w:val="4F81BD"/>
                <w:szCs w:val="22"/>
                <w:lang w:val="es-ES_tradnl"/>
              </w:rPr>
              <w:t>(respuesta cuantitativa abierta)</w:t>
            </w:r>
          </w:p>
        </w:tc>
      </w:tr>
      <w:tr w:rsidR="00E2336B" w:rsidRPr="000123AA" w:rsidTr="008466BC">
        <w:trPr>
          <w:trHeight w:val="6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bCs/>
                <w:color w:val="000000"/>
                <w:szCs w:val="22"/>
                <w:lang w:val="en-US"/>
              </w:rPr>
            </w:pPr>
            <w:r w:rsidRPr="00224A16">
              <w:rPr>
                <w:rFonts w:ascii="MinionPro-Regular" w:hAnsi="MinionPro-Regular" w:cs="Calibri"/>
                <w:bCs/>
                <w:color w:val="000000"/>
                <w:szCs w:val="22"/>
                <w:lang w:val="en-US"/>
              </w:rPr>
              <w:t>3.14.</w:t>
            </w:r>
          </w:p>
        </w:tc>
        <w:tc>
          <w:tcPr>
            <w:tcW w:w="7883" w:type="dxa"/>
            <w:tcBorders>
              <w:top w:val="nil"/>
              <w:left w:val="nil"/>
              <w:bottom w:val="nil"/>
              <w:right w:val="nil"/>
            </w:tcBorders>
            <w:shd w:val="clear" w:color="000000" w:fill="BFBFBF"/>
            <w:vAlign w:val="center"/>
          </w:tcPr>
          <w:p w:rsidR="00E2336B" w:rsidRPr="00224A16" w:rsidRDefault="00E2336B" w:rsidP="000123AA">
            <w:pPr>
              <w:rPr>
                <w:rFonts w:ascii="MinionPro-Regular" w:hAnsi="MinionPro-Regular" w:cs="Calibri"/>
                <w:bCs/>
                <w:color w:val="000000"/>
                <w:szCs w:val="22"/>
                <w:lang w:val="es-ES_tradnl"/>
              </w:rPr>
            </w:pPr>
            <w:r w:rsidRPr="00224A16">
              <w:rPr>
                <w:rFonts w:ascii="MinionPro-Regular" w:hAnsi="MinionPro-Regular" w:cs="Calibri"/>
                <w:bCs/>
                <w:color w:val="000000"/>
                <w:szCs w:val="22"/>
                <w:lang w:val="es-ES_tradnl"/>
              </w:rPr>
              <w:t>En relación a las subvenciones recibidas durante el 2011 - Indique las de Mantenimiento de empleo (en euros):</w:t>
            </w:r>
            <w:r w:rsidRPr="00224A16">
              <w:rPr>
                <w:rFonts w:ascii="MinionPro-Regular" w:hAnsi="MinionPro-Regular" w:cs="Calibri"/>
                <w:bCs/>
                <w:color w:val="4F81BD"/>
                <w:szCs w:val="22"/>
                <w:lang w:val="es-ES_tradnl"/>
              </w:rPr>
              <w:t xml:space="preserve"> (respuesta cuantitativa abierta)</w:t>
            </w:r>
          </w:p>
        </w:tc>
      </w:tr>
      <w:tr w:rsidR="00E2336B" w:rsidRPr="000123AA" w:rsidTr="008466BC">
        <w:trPr>
          <w:trHeight w:val="6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bCs/>
                <w:color w:val="000000"/>
                <w:szCs w:val="22"/>
                <w:lang w:val="en-US"/>
              </w:rPr>
            </w:pPr>
            <w:r w:rsidRPr="00224A16">
              <w:rPr>
                <w:rFonts w:ascii="MinionPro-Regular" w:hAnsi="MinionPro-Regular" w:cs="Calibri"/>
                <w:bCs/>
                <w:color w:val="000000"/>
                <w:szCs w:val="22"/>
                <w:lang w:val="en-US"/>
              </w:rPr>
              <w:t>3.15.</w:t>
            </w:r>
          </w:p>
        </w:tc>
        <w:tc>
          <w:tcPr>
            <w:tcW w:w="7883" w:type="dxa"/>
            <w:tcBorders>
              <w:top w:val="nil"/>
              <w:left w:val="nil"/>
              <w:bottom w:val="nil"/>
              <w:right w:val="nil"/>
            </w:tcBorders>
            <w:shd w:val="clear" w:color="000000" w:fill="BFBFBF"/>
            <w:vAlign w:val="center"/>
          </w:tcPr>
          <w:p w:rsidR="00E2336B" w:rsidRPr="00224A16" w:rsidRDefault="00E2336B" w:rsidP="000123AA">
            <w:pPr>
              <w:rPr>
                <w:rFonts w:ascii="MinionPro-Regular" w:hAnsi="MinionPro-Regular" w:cs="Calibri"/>
                <w:bCs/>
                <w:color w:val="000000"/>
                <w:szCs w:val="22"/>
                <w:lang w:val="es-ES_tradnl"/>
              </w:rPr>
            </w:pPr>
            <w:r w:rsidRPr="00224A16">
              <w:rPr>
                <w:rFonts w:ascii="MinionPro-Regular" w:hAnsi="MinionPro-Regular" w:cs="Calibri"/>
                <w:bCs/>
                <w:color w:val="000000"/>
                <w:szCs w:val="22"/>
                <w:lang w:val="es-ES_tradnl"/>
              </w:rPr>
              <w:t xml:space="preserve">En relación a las subvenciones recibidas durante el 2011 - Indique las de Unidades de apoyo </w:t>
            </w:r>
            <w:r w:rsidRPr="00224A16">
              <w:rPr>
                <w:rFonts w:ascii="MinionPro-Regular" w:hAnsi="MinionPro-Regular" w:cs="Calibri"/>
                <w:bCs/>
                <w:szCs w:val="22"/>
                <w:lang w:val="es-ES_tradnl"/>
              </w:rPr>
              <w:t xml:space="preserve">(en euros): </w:t>
            </w:r>
            <w:r w:rsidRPr="00224A16">
              <w:rPr>
                <w:rFonts w:ascii="MinionPro-Regular" w:hAnsi="MinionPro-Regular" w:cs="Calibri"/>
                <w:bCs/>
                <w:color w:val="4F81BD"/>
                <w:szCs w:val="22"/>
                <w:lang w:val="es-ES_tradnl"/>
              </w:rPr>
              <w:t>(respuesta cuantitativa abierta)</w:t>
            </w:r>
          </w:p>
        </w:tc>
      </w:tr>
      <w:tr w:rsidR="00E2336B" w:rsidRPr="000123AA" w:rsidTr="008466BC">
        <w:trPr>
          <w:trHeight w:val="6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bCs/>
                <w:color w:val="000000"/>
                <w:szCs w:val="22"/>
                <w:lang w:val="en-US"/>
              </w:rPr>
            </w:pPr>
            <w:r w:rsidRPr="00224A16">
              <w:rPr>
                <w:rFonts w:ascii="MinionPro-Regular" w:hAnsi="MinionPro-Regular" w:cs="Calibri"/>
                <w:bCs/>
                <w:color w:val="000000"/>
                <w:szCs w:val="22"/>
                <w:lang w:val="en-US"/>
              </w:rPr>
              <w:t>3.16</w:t>
            </w:r>
          </w:p>
        </w:tc>
        <w:tc>
          <w:tcPr>
            <w:tcW w:w="7883" w:type="dxa"/>
            <w:tcBorders>
              <w:top w:val="nil"/>
              <w:left w:val="nil"/>
              <w:bottom w:val="nil"/>
              <w:right w:val="nil"/>
            </w:tcBorders>
            <w:shd w:val="clear" w:color="000000" w:fill="BFBFBF"/>
            <w:vAlign w:val="center"/>
          </w:tcPr>
          <w:p w:rsidR="00E2336B" w:rsidRPr="00224A16" w:rsidRDefault="00E2336B" w:rsidP="000123AA">
            <w:pPr>
              <w:rPr>
                <w:rFonts w:ascii="MinionPro-Regular" w:hAnsi="MinionPro-Regular" w:cs="Calibri"/>
                <w:bCs/>
                <w:color w:val="000000"/>
                <w:szCs w:val="22"/>
                <w:lang w:val="es-ES_tradnl"/>
              </w:rPr>
            </w:pPr>
            <w:r w:rsidRPr="00224A16">
              <w:rPr>
                <w:rFonts w:ascii="MinionPro-Regular" w:hAnsi="MinionPro-Regular" w:cs="Calibri"/>
                <w:bCs/>
                <w:color w:val="000000"/>
                <w:szCs w:val="22"/>
                <w:lang w:val="es-ES_tradnl"/>
              </w:rPr>
              <w:t xml:space="preserve">Indique los pagos realizados en 2011 en la Seguridad Social de los empleados (en euros): </w:t>
            </w:r>
            <w:r w:rsidRPr="00224A16">
              <w:rPr>
                <w:rFonts w:ascii="MinionPro-Regular" w:hAnsi="MinionPro-Regular" w:cs="Calibri"/>
                <w:bCs/>
                <w:color w:val="4F81BD"/>
                <w:szCs w:val="22"/>
                <w:lang w:val="es-ES_tradnl"/>
              </w:rPr>
              <w:t>(respuesta cuantitativa abierta)</w:t>
            </w:r>
          </w:p>
        </w:tc>
      </w:tr>
      <w:tr w:rsidR="00E2336B" w:rsidRPr="000123AA" w:rsidTr="008466BC">
        <w:trPr>
          <w:trHeight w:val="3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bCs/>
                <w:color w:val="000000"/>
                <w:szCs w:val="22"/>
                <w:lang w:val="en-US"/>
              </w:rPr>
            </w:pPr>
            <w:r w:rsidRPr="00224A16">
              <w:rPr>
                <w:rFonts w:ascii="MinionPro-Regular" w:hAnsi="MinionPro-Regular" w:cs="Calibri"/>
                <w:bCs/>
                <w:color w:val="000000"/>
                <w:szCs w:val="22"/>
                <w:lang w:val="en-US"/>
              </w:rPr>
              <w:t>3.17</w:t>
            </w:r>
          </w:p>
        </w:tc>
        <w:tc>
          <w:tcPr>
            <w:tcW w:w="7883" w:type="dxa"/>
            <w:tcBorders>
              <w:top w:val="nil"/>
              <w:left w:val="nil"/>
              <w:bottom w:val="nil"/>
              <w:right w:val="nil"/>
            </w:tcBorders>
            <w:shd w:val="clear" w:color="000000" w:fill="BFBFBF"/>
            <w:vAlign w:val="center"/>
          </w:tcPr>
          <w:p w:rsidR="00E2336B" w:rsidRPr="00224A16" w:rsidRDefault="00E2336B" w:rsidP="000123AA">
            <w:pPr>
              <w:rPr>
                <w:rFonts w:ascii="MinionPro-Regular" w:hAnsi="MinionPro-Regular" w:cs="Calibri"/>
                <w:bCs/>
                <w:color w:val="000000"/>
                <w:szCs w:val="22"/>
                <w:lang w:val="es-ES_tradnl"/>
              </w:rPr>
            </w:pPr>
            <w:r w:rsidRPr="00224A16">
              <w:rPr>
                <w:rFonts w:ascii="MinionPro-Regular" w:hAnsi="MinionPro-Regular" w:cs="Calibri"/>
                <w:bCs/>
                <w:color w:val="000000"/>
                <w:szCs w:val="22"/>
                <w:lang w:val="es-ES_tradnl"/>
              </w:rPr>
              <w:t xml:space="preserve">Indique los pagos realizados en 2011 en IRPF (en euros): </w:t>
            </w:r>
            <w:r w:rsidRPr="00224A16">
              <w:rPr>
                <w:rFonts w:ascii="MinionPro-Regular" w:hAnsi="MinionPro-Regular" w:cs="Calibri"/>
                <w:bCs/>
                <w:color w:val="4F81BD"/>
                <w:szCs w:val="22"/>
                <w:lang w:val="es-ES_tradnl"/>
              </w:rPr>
              <w:t>(respuesta cuantitativa abierta)</w:t>
            </w:r>
          </w:p>
        </w:tc>
      </w:tr>
      <w:tr w:rsidR="00E2336B" w:rsidRPr="000123AA" w:rsidTr="008466BC">
        <w:trPr>
          <w:trHeight w:val="3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bCs/>
                <w:color w:val="000000"/>
                <w:szCs w:val="22"/>
                <w:lang w:val="en-US"/>
              </w:rPr>
            </w:pPr>
            <w:r w:rsidRPr="00224A16">
              <w:rPr>
                <w:rFonts w:ascii="MinionPro-Regular" w:hAnsi="MinionPro-Regular" w:cs="Calibri"/>
                <w:bCs/>
                <w:color w:val="000000"/>
                <w:szCs w:val="22"/>
                <w:lang w:val="en-US"/>
              </w:rPr>
              <w:t>3.18</w:t>
            </w:r>
          </w:p>
        </w:tc>
        <w:tc>
          <w:tcPr>
            <w:tcW w:w="7883" w:type="dxa"/>
            <w:tcBorders>
              <w:top w:val="nil"/>
              <w:left w:val="nil"/>
              <w:bottom w:val="nil"/>
              <w:right w:val="nil"/>
            </w:tcBorders>
            <w:shd w:val="clear" w:color="000000" w:fill="BFBFBF"/>
            <w:vAlign w:val="center"/>
          </w:tcPr>
          <w:p w:rsidR="00E2336B" w:rsidRPr="00224A16" w:rsidRDefault="00E2336B" w:rsidP="000123AA">
            <w:pPr>
              <w:rPr>
                <w:rFonts w:ascii="MinionPro-Regular" w:hAnsi="MinionPro-Regular" w:cs="Calibri"/>
                <w:bCs/>
                <w:color w:val="000000"/>
                <w:szCs w:val="22"/>
                <w:lang w:val="es-ES_tradnl"/>
              </w:rPr>
            </w:pPr>
            <w:r w:rsidRPr="00224A16">
              <w:rPr>
                <w:rFonts w:ascii="MinionPro-Regular" w:hAnsi="MinionPro-Regular" w:cs="Calibri"/>
                <w:bCs/>
                <w:color w:val="000000"/>
                <w:szCs w:val="22"/>
                <w:lang w:val="es-ES_tradnl"/>
              </w:rPr>
              <w:t xml:space="preserve">Indique los pagos realizados en 2011 en IVA (en euros): </w:t>
            </w:r>
            <w:r w:rsidRPr="00224A16">
              <w:rPr>
                <w:rFonts w:ascii="MinionPro-Regular" w:hAnsi="MinionPro-Regular" w:cs="Calibri"/>
                <w:bCs/>
                <w:color w:val="4F81BD"/>
                <w:szCs w:val="22"/>
                <w:lang w:val="es-ES_tradnl"/>
              </w:rPr>
              <w:t>(respuesta cuantitativa abierta)</w:t>
            </w:r>
          </w:p>
        </w:tc>
      </w:tr>
      <w:tr w:rsidR="00E2336B" w:rsidRPr="000123AA" w:rsidTr="008466BC">
        <w:trPr>
          <w:trHeight w:val="6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bCs/>
                <w:color w:val="000000"/>
                <w:szCs w:val="22"/>
                <w:lang w:val="en-US"/>
              </w:rPr>
            </w:pPr>
            <w:r w:rsidRPr="00224A16">
              <w:rPr>
                <w:rFonts w:ascii="MinionPro-Regular" w:hAnsi="MinionPro-Regular" w:cs="Calibri"/>
                <w:bCs/>
                <w:color w:val="000000"/>
                <w:szCs w:val="22"/>
                <w:lang w:val="en-US"/>
              </w:rPr>
              <w:t>3.19</w:t>
            </w:r>
          </w:p>
        </w:tc>
        <w:tc>
          <w:tcPr>
            <w:tcW w:w="7883" w:type="dxa"/>
            <w:tcBorders>
              <w:top w:val="nil"/>
              <w:left w:val="nil"/>
              <w:bottom w:val="nil"/>
              <w:right w:val="nil"/>
            </w:tcBorders>
            <w:shd w:val="clear" w:color="000000" w:fill="BFBFBF"/>
            <w:vAlign w:val="center"/>
          </w:tcPr>
          <w:p w:rsidR="00E2336B" w:rsidRPr="00224A16" w:rsidRDefault="00E2336B" w:rsidP="000123AA">
            <w:pPr>
              <w:rPr>
                <w:rFonts w:ascii="MinionPro-Regular" w:hAnsi="MinionPro-Regular" w:cs="Calibri"/>
                <w:bCs/>
                <w:color w:val="000000"/>
                <w:szCs w:val="22"/>
                <w:lang w:val="es-ES_tradnl"/>
              </w:rPr>
            </w:pPr>
            <w:r w:rsidRPr="00224A16">
              <w:rPr>
                <w:rFonts w:ascii="MinionPro-Regular" w:hAnsi="MinionPro-Regular" w:cs="Calibri"/>
                <w:bCs/>
                <w:color w:val="000000"/>
                <w:szCs w:val="22"/>
                <w:lang w:val="es-ES_tradnl"/>
              </w:rPr>
              <w:t xml:space="preserve">Indique los pagos realizados en 2011 en Impuestos sobre sociedades (en euros): </w:t>
            </w:r>
            <w:r w:rsidRPr="00224A16">
              <w:rPr>
                <w:rFonts w:ascii="MinionPro-Regular" w:hAnsi="MinionPro-Regular" w:cs="Calibri"/>
                <w:bCs/>
                <w:color w:val="4F81BD"/>
                <w:szCs w:val="22"/>
                <w:lang w:val="es-ES_tradnl"/>
              </w:rPr>
              <w:t>(respuesta cuantitativa abierta)</w:t>
            </w:r>
          </w:p>
        </w:tc>
      </w:tr>
      <w:tr w:rsidR="00E2336B" w:rsidRPr="000123AA" w:rsidTr="008466BC">
        <w:trPr>
          <w:trHeight w:val="6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bCs/>
                <w:color w:val="000000"/>
                <w:szCs w:val="22"/>
                <w:lang w:val="en-US"/>
              </w:rPr>
            </w:pPr>
            <w:r w:rsidRPr="00224A16">
              <w:rPr>
                <w:rFonts w:ascii="MinionPro-Regular" w:hAnsi="MinionPro-Regular" w:cs="Calibri"/>
                <w:bCs/>
                <w:color w:val="000000"/>
                <w:szCs w:val="22"/>
                <w:lang w:val="en-US"/>
              </w:rPr>
              <w:t>3.20</w:t>
            </w:r>
          </w:p>
        </w:tc>
        <w:tc>
          <w:tcPr>
            <w:tcW w:w="7883" w:type="dxa"/>
            <w:tcBorders>
              <w:top w:val="nil"/>
              <w:left w:val="nil"/>
              <w:bottom w:val="nil"/>
              <w:right w:val="nil"/>
            </w:tcBorders>
            <w:shd w:val="clear" w:color="000000" w:fill="BFBFBF"/>
            <w:vAlign w:val="center"/>
          </w:tcPr>
          <w:p w:rsidR="00E2336B" w:rsidRPr="00224A16" w:rsidRDefault="00E2336B" w:rsidP="000123AA">
            <w:pPr>
              <w:rPr>
                <w:rFonts w:ascii="MinionPro-Regular" w:hAnsi="MinionPro-Regular" w:cs="Calibri"/>
                <w:bCs/>
                <w:color w:val="000000"/>
                <w:szCs w:val="22"/>
                <w:lang w:val="es-ES_tradnl"/>
              </w:rPr>
            </w:pPr>
            <w:r w:rsidRPr="00224A16">
              <w:rPr>
                <w:rFonts w:ascii="MinionPro-Regular" w:hAnsi="MinionPro-Regular" w:cs="Calibri"/>
                <w:bCs/>
                <w:color w:val="000000"/>
                <w:szCs w:val="22"/>
                <w:lang w:val="es-ES_tradnl"/>
              </w:rPr>
              <w:t xml:space="preserve">Gasto en apoyo sanitario a los empleados realizado en 2011 (en euros): </w:t>
            </w:r>
            <w:r w:rsidRPr="00224A16">
              <w:rPr>
                <w:rFonts w:ascii="MinionPro-Regular" w:hAnsi="MinionPro-Regular" w:cs="Calibri"/>
                <w:bCs/>
                <w:color w:val="4F81BD"/>
                <w:szCs w:val="22"/>
                <w:lang w:val="es-ES_tradnl"/>
              </w:rPr>
              <w:t>(respuesta cuantitativa abierta)</w:t>
            </w:r>
          </w:p>
        </w:tc>
      </w:tr>
      <w:tr w:rsidR="00E2336B" w:rsidRPr="000123AA" w:rsidTr="008466BC">
        <w:trPr>
          <w:trHeight w:val="9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bCs/>
                <w:color w:val="000000"/>
                <w:szCs w:val="22"/>
                <w:lang w:val="en-US"/>
              </w:rPr>
            </w:pPr>
            <w:r w:rsidRPr="00224A16">
              <w:rPr>
                <w:rFonts w:ascii="MinionPro-Regular" w:hAnsi="MinionPro-Regular" w:cs="Calibri"/>
                <w:bCs/>
                <w:color w:val="000000"/>
                <w:szCs w:val="22"/>
                <w:lang w:val="en-US"/>
              </w:rPr>
              <w:t>3.21</w:t>
            </w:r>
          </w:p>
        </w:tc>
        <w:tc>
          <w:tcPr>
            <w:tcW w:w="7883" w:type="dxa"/>
            <w:tcBorders>
              <w:top w:val="nil"/>
              <w:left w:val="nil"/>
              <w:bottom w:val="nil"/>
              <w:right w:val="nil"/>
            </w:tcBorders>
            <w:shd w:val="clear" w:color="000000" w:fill="BFBFBF"/>
            <w:vAlign w:val="center"/>
          </w:tcPr>
          <w:p w:rsidR="00E2336B" w:rsidRPr="00224A16" w:rsidRDefault="00E2336B" w:rsidP="000123AA">
            <w:pPr>
              <w:rPr>
                <w:rFonts w:ascii="MinionPro-Regular" w:hAnsi="MinionPro-Regular" w:cs="Calibri"/>
                <w:bCs/>
                <w:color w:val="000000"/>
                <w:szCs w:val="22"/>
                <w:lang w:val="es-ES_tradnl"/>
              </w:rPr>
            </w:pPr>
            <w:r w:rsidRPr="00224A16">
              <w:rPr>
                <w:rFonts w:ascii="MinionPro-Regular" w:hAnsi="MinionPro-Regular" w:cs="Calibri"/>
                <w:bCs/>
                <w:color w:val="000000"/>
                <w:szCs w:val="22"/>
                <w:lang w:val="es-ES_tradnl"/>
              </w:rPr>
              <w:t>Estime el importe pagado en compras y aprovisionamientos realizadas a terceros (incluyendo servicios básicos como electricidad, agua, etc):</w:t>
            </w:r>
            <w:r w:rsidRPr="00224A16">
              <w:rPr>
                <w:rFonts w:ascii="MinionPro-Regular" w:hAnsi="MinionPro-Regular" w:cs="Calibri"/>
                <w:bCs/>
                <w:color w:val="4F81BD"/>
                <w:szCs w:val="22"/>
                <w:lang w:val="es-ES_tradnl"/>
              </w:rPr>
              <w:t xml:space="preserve"> (respuesta cuantitativa abierta)</w:t>
            </w:r>
          </w:p>
        </w:tc>
      </w:tr>
      <w:tr w:rsidR="00E2336B" w:rsidRPr="000123AA" w:rsidTr="008466BC">
        <w:trPr>
          <w:trHeight w:val="600"/>
        </w:trPr>
        <w:tc>
          <w:tcPr>
            <w:tcW w:w="656" w:type="dxa"/>
            <w:tcBorders>
              <w:top w:val="nil"/>
              <w:left w:val="nil"/>
              <w:bottom w:val="nil"/>
              <w:right w:val="nil"/>
            </w:tcBorders>
            <w:shd w:val="clear" w:color="000000" w:fill="BFBFBF"/>
            <w:noWrap/>
          </w:tcPr>
          <w:p w:rsidR="00E2336B" w:rsidRPr="00224A16" w:rsidRDefault="00E2336B" w:rsidP="000123AA">
            <w:pPr>
              <w:rPr>
                <w:rFonts w:ascii="MinionPro-Regular" w:hAnsi="MinionPro-Regular" w:cs="Calibri"/>
                <w:bCs/>
                <w:color w:val="000000"/>
                <w:szCs w:val="22"/>
                <w:lang w:val="en-US"/>
              </w:rPr>
            </w:pPr>
            <w:r w:rsidRPr="00224A16">
              <w:rPr>
                <w:rFonts w:ascii="MinionPro-Regular" w:hAnsi="MinionPro-Regular" w:cs="Calibri"/>
                <w:bCs/>
                <w:color w:val="000000"/>
                <w:szCs w:val="22"/>
                <w:lang w:val="en-US"/>
              </w:rPr>
              <w:t>3.22</w:t>
            </w:r>
          </w:p>
        </w:tc>
        <w:tc>
          <w:tcPr>
            <w:tcW w:w="7883" w:type="dxa"/>
            <w:tcBorders>
              <w:top w:val="nil"/>
              <w:left w:val="nil"/>
              <w:bottom w:val="nil"/>
              <w:right w:val="nil"/>
            </w:tcBorders>
            <w:shd w:val="clear" w:color="000000" w:fill="BFBFBF"/>
            <w:vAlign w:val="bottom"/>
          </w:tcPr>
          <w:p w:rsidR="00E2336B" w:rsidRPr="00224A16" w:rsidRDefault="00E2336B" w:rsidP="000123AA">
            <w:pPr>
              <w:rPr>
                <w:rFonts w:ascii="MinionPro-Regular" w:hAnsi="MinionPro-Regular" w:cs="Calibri"/>
                <w:bCs/>
                <w:szCs w:val="22"/>
                <w:lang w:val="es-ES_tradnl"/>
              </w:rPr>
            </w:pPr>
            <w:r w:rsidRPr="00224A16">
              <w:rPr>
                <w:rFonts w:ascii="MinionPro-Regular" w:hAnsi="MinionPro-Regular" w:cs="Calibri"/>
                <w:bCs/>
                <w:szCs w:val="22"/>
                <w:lang w:val="es-ES_tradnl"/>
              </w:rPr>
              <w:t xml:space="preserve">Indique según su opinión que características debería incluir un nuevo modelo de empleo protegido </w:t>
            </w:r>
            <w:r w:rsidRPr="00224A16">
              <w:rPr>
                <w:rFonts w:ascii="MinionPro-Regular" w:hAnsi="MinionPro-Regular" w:cs="Calibri"/>
                <w:bCs/>
                <w:color w:val="4F81BD"/>
                <w:szCs w:val="22"/>
                <w:lang w:val="es-ES_tradnl"/>
              </w:rPr>
              <w:t>(respuesta abierta 2000 caracteres)</w:t>
            </w:r>
          </w:p>
        </w:tc>
      </w:tr>
      <w:tr w:rsidR="00E2336B" w:rsidRPr="000123AA" w:rsidTr="008466BC">
        <w:trPr>
          <w:trHeight w:val="315"/>
        </w:trPr>
        <w:tc>
          <w:tcPr>
            <w:tcW w:w="656" w:type="dxa"/>
            <w:tcBorders>
              <w:top w:val="nil"/>
              <w:left w:val="nil"/>
              <w:bottom w:val="single" w:sz="12" w:space="0" w:color="auto"/>
              <w:right w:val="nil"/>
            </w:tcBorders>
            <w:shd w:val="clear" w:color="000000" w:fill="BFBFBF"/>
            <w:vAlign w:val="bottom"/>
          </w:tcPr>
          <w:p w:rsidR="00E2336B" w:rsidRPr="000123AA" w:rsidRDefault="00E2336B" w:rsidP="000123AA">
            <w:pPr>
              <w:rPr>
                <w:rFonts w:ascii="MinionPro-Regular" w:hAnsi="MinionPro-Regular" w:cs="Calibri"/>
                <w:color w:val="000000"/>
                <w:szCs w:val="22"/>
                <w:lang w:val="es-ES_tradnl"/>
              </w:rPr>
            </w:pPr>
            <w:r w:rsidRPr="000123AA">
              <w:rPr>
                <w:rFonts w:ascii="MinionPro-Regular" w:hAnsi="MinionPro-Regular" w:cs="Calibri"/>
                <w:color w:val="000000"/>
                <w:szCs w:val="22"/>
                <w:lang w:val="es-ES_tradnl"/>
              </w:rPr>
              <w:t> </w:t>
            </w:r>
          </w:p>
        </w:tc>
        <w:tc>
          <w:tcPr>
            <w:tcW w:w="7883" w:type="dxa"/>
            <w:tcBorders>
              <w:top w:val="nil"/>
              <w:left w:val="nil"/>
              <w:bottom w:val="single" w:sz="12" w:space="0" w:color="auto"/>
              <w:right w:val="nil"/>
            </w:tcBorders>
            <w:shd w:val="clear" w:color="000000" w:fill="BFBFBF"/>
            <w:vAlign w:val="bottom"/>
          </w:tcPr>
          <w:p w:rsidR="00E2336B" w:rsidRPr="000123AA" w:rsidRDefault="00E2336B" w:rsidP="000123AA">
            <w:pPr>
              <w:rPr>
                <w:rFonts w:ascii="MinionPro-Regular" w:hAnsi="MinionPro-Regular" w:cs="Calibri"/>
                <w:color w:val="000000"/>
                <w:szCs w:val="22"/>
                <w:lang w:val="es-ES_tradnl"/>
              </w:rPr>
            </w:pPr>
            <w:r w:rsidRPr="000123AA">
              <w:rPr>
                <w:rFonts w:ascii="MinionPro-Regular" w:hAnsi="MinionPro-Regular" w:cs="Calibri"/>
                <w:color w:val="000000"/>
                <w:szCs w:val="22"/>
                <w:lang w:val="es-ES_tradnl"/>
              </w:rPr>
              <w:t> </w:t>
            </w:r>
          </w:p>
        </w:tc>
      </w:tr>
      <w:tr w:rsidR="00E2336B" w:rsidRPr="000123AA" w:rsidTr="008466BC">
        <w:trPr>
          <w:trHeight w:val="315"/>
        </w:trPr>
        <w:tc>
          <w:tcPr>
            <w:tcW w:w="656" w:type="dxa"/>
            <w:tcBorders>
              <w:top w:val="nil"/>
              <w:left w:val="nil"/>
              <w:bottom w:val="nil"/>
              <w:right w:val="nil"/>
            </w:tcBorders>
            <w:shd w:val="clear" w:color="000000" w:fill="BFBFBF"/>
            <w:noWrap/>
          </w:tcPr>
          <w:p w:rsidR="00E2336B" w:rsidRPr="000123AA" w:rsidRDefault="00E2336B" w:rsidP="000123AA">
            <w:pPr>
              <w:rPr>
                <w:rFonts w:ascii="MinionPro-Regular" w:hAnsi="MinionPro-Regular" w:cs="Calibri"/>
                <w:b/>
                <w:bCs/>
                <w:color w:val="000000"/>
                <w:szCs w:val="22"/>
                <w:lang w:val="es-ES_tradnl"/>
              </w:rPr>
            </w:pPr>
            <w:r w:rsidRPr="000123AA">
              <w:rPr>
                <w:rFonts w:ascii="MinionPro-Regular" w:hAnsi="MinionPro-Regular" w:cs="Calibri"/>
                <w:b/>
                <w:bCs/>
                <w:color w:val="000000"/>
                <w:szCs w:val="22"/>
                <w:lang w:val="es-ES_tradnl"/>
              </w:rPr>
              <w:t> </w:t>
            </w:r>
          </w:p>
        </w:tc>
        <w:tc>
          <w:tcPr>
            <w:tcW w:w="7883" w:type="dxa"/>
            <w:tcBorders>
              <w:top w:val="nil"/>
              <w:left w:val="nil"/>
              <w:bottom w:val="nil"/>
              <w:right w:val="nil"/>
            </w:tcBorders>
            <w:shd w:val="clear" w:color="000000" w:fill="BFBFBF"/>
            <w:vAlign w:val="center"/>
          </w:tcPr>
          <w:p w:rsidR="00E2336B" w:rsidRPr="000123AA" w:rsidRDefault="00E2336B" w:rsidP="000123AA">
            <w:pPr>
              <w:rPr>
                <w:rFonts w:ascii="MinionPro-Regular" w:hAnsi="MinionPro-Regular" w:cs="Calibri"/>
                <w:b/>
                <w:bCs/>
                <w:color w:val="000000"/>
                <w:szCs w:val="22"/>
                <w:lang w:val="es-ES_tradnl"/>
              </w:rPr>
            </w:pPr>
            <w:r w:rsidRPr="000123AA">
              <w:rPr>
                <w:rFonts w:ascii="MinionPro-Regular" w:hAnsi="MinionPro-Regular" w:cs="Calibri"/>
                <w:b/>
                <w:bCs/>
                <w:color w:val="000000"/>
                <w:szCs w:val="22"/>
                <w:lang w:val="es-ES_tradnl"/>
              </w:rPr>
              <w:t> </w:t>
            </w:r>
          </w:p>
        </w:tc>
      </w:tr>
      <w:tr w:rsidR="00E2336B" w:rsidRPr="000123AA" w:rsidTr="008466BC">
        <w:trPr>
          <w:trHeight w:val="300"/>
        </w:trPr>
        <w:tc>
          <w:tcPr>
            <w:tcW w:w="8539" w:type="dxa"/>
            <w:gridSpan w:val="2"/>
            <w:tcBorders>
              <w:top w:val="nil"/>
              <w:left w:val="nil"/>
              <w:bottom w:val="nil"/>
              <w:right w:val="nil"/>
            </w:tcBorders>
            <w:shd w:val="clear" w:color="000000" w:fill="BFBFBF"/>
            <w:noWrap/>
          </w:tcPr>
          <w:p w:rsidR="00E2336B" w:rsidRPr="000123AA" w:rsidRDefault="00E2336B" w:rsidP="000123AA">
            <w:pPr>
              <w:rPr>
                <w:rFonts w:ascii="MinionPro-Regular" w:hAnsi="MinionPro-Regular" w:cs="Calibri"/>
                <w:b/>
                <w:bCs/>
                <w:color w:val="000000"/>
                <w:szCs w:val="22"/>
                <w:lang w:val="en-US"/>
              </w:rPr>
            </w:pPr>
            <w:r w:rsidRPr="000123AA">
              <w:rPr>
                <w:rFonts w:ascii="MinionPro-Regular" w:hAnsi="MinionPro-Regular" w:cs="Calibri"/>
                <w:b/>
                <w:bCs/>
                <w:color w:val="000000"/>
                <w:szCs w:val="22"/>
                <w:lang w:val="en-US"/>
              </w:rPr>
              <w:t>4. DATOS DE CONTACTO</w:t>
            </w:r>
          </w:p>
        </w:tc>
      </w:tr>
      <w:tr w:rsidR="00E2336B" w:rsidRPr="000123AA" w:rsidTr="008466BC">
        <w:trPr>
          <w:trHeight w:val="300"/>
        </w:trPr>
        <w:tc>
          <w:tcPr>
            <w:tcW w:w="656" w:type="dxa"/>
            <w:tcBorders>
              <w:top w:val="nil"/>
              <w:left w:val="nil"/>
              <w:bottom w:val="nil"/>
              <w:right w:val="nil"/>
            </w:tcBorders>
            <w:shd w:val="clear" w:color="000000" w:fill="BFBFBF"/>
            <w:noWrap/>
          </w:tcPr>
          <w:p w:rsidR="00E2336B" w:rsidRPr="000123AA" w:rsidRDefault="00E2336B" w:rsidP="000123AA">
            <w:pPr>
              <w:rPr>
                <w:rFonts w:ascii="MinionPro-Regular" w:hAnsi="MinionPro-Regular" w:cs="Calibri"/>
                <w:color w:val="000000"/>
                <w:szCs w:val="22"/>
                <w:lang w:val="en-US"/>
              </w:rPr>
            </w:pPr>
            <w:r w:rsidRPr="000123AA">
              <w:rPr>
                <w:rFonts w:ascii="MinionPro-Regular" w:hAnsi="MinionPro-Regular" w:cs="Calibri"/>
                <w:color w:val="000000"/>
                <w:szCs w:val="22"/>
                <w:lang w:val="en-US"/>
              </w:rPr>
              <w:lastRenderedPageBreak/>
              <w:t>4.1.</w:t>
            </w:r>
          </w:p>
        </w:tc>
        <w:tc>
          <w:tcPr>
            <w:tcW w:w="7883" w:type="dxa"/>
            <w:tcBorders>
              <w:top w:val="nil"/>
              <w:left w:val="nil"/>
              <w:bottom w:val="nil"/>
              <w:right w:val="nil"/>
            </w:tcBorders>
            <w:shd w:val="clear" w:color="000000" w:fill="BFBFBF"/>
            <w:noWrap/>
            <w:vAlign w:val="bottom"/>
          </w:tcPr>
          <w:p w:rsidR="00E2336B" w:rsidRPr="000123AA" w:rsidRDefault="00E2336B" w:rsidP="000123AA">
            <w:pPr>
              <w:rPr>
                <w:rFonts w:ascii="MinionPro-Regular" w:hAnsi="MinionPro-Regular" w:cs="Calibri"/>
                <w:color w:val="000000"/>
                <w:szCs w:val="22"/>
                <w:lang w:val="es-ES_tradnl"/>
              </w:rPr>
            </w:pPr>
            <w:r w:rsidRPr="000123AA">
              <w:rPr>
                <w:rFonts w:ascii="MinionPro-Regular" w:hAnsi="MinionPro-Regular" w:cs="Calibri"/>
                <w:color w:val="000000"/>
                <w:szCs w:val="22"/>
                <w:lang w:val="es-ES_tradnl"/>
              </w:rPr>
              <w:t>Nombre del Centro Especial de Empleo:</w:t>
            </w:r>
          </w:p>
        </w:tc>
      </w:tr>
      <w:tr w:rsidR="00E2336B" w:rsidRPr="000123AA" w:rsidTr="008466BC">
        <w:trPr>
          <w:trHeight w:val="300"/>
        </w:trPr>
        <w:tc>
          <w:tcPr>
            <w:tcW w:w="656" w:type="dxa"/>
            <w:tcBorders>
              <w:top w:val="nil"/>
              <w:left w:val="nil"/>
              <w:bottom w:val="nil"/>
              <w:right w:val="nil"/>
            </w:tcBorders>
            <w:shd w:val="clear" w:color="000000" w:fill="BFBFBF"/>
            <w:noWrap/>
          </w:tcPr>
          <w:p w:rsidR="00E2336B" w:rsidRPr="000123AA" w:rsidRDefault="00E2336B" w:rsidP="000123AA">
            <w:pPr>
              <w:rPr>
                <w:rFonts w:ascii="MinionPro-Regular" w:hAnsi="MinionPro-Regular" w:cs="Calibri"/>
                <w:color w:val="000000"/>
                <w:szCs w:val="22"/>
                <w:lang w:val="en-US"/>
              </w:rPr>
            </w:pPr>
            <w:r w:rsidRPr="000123AA">
              <w:rPr>
                <w:rFonts w:ascii="MinionPro-Regular" w:hAnsi="MinionPro-Regular" w:cs="Calibri"/>
                <w:color w:val="000000"/>
                <w:szCs w:val="22"/>
                <w:lang w:val="en-US"/>
              </w:rPr>
              <w:t>4.2.</w:t>
            </w:r>
          </w:p>
        </w:tc>
        <w:tc>
          <w:tcPr>
            <w:tcW w:w="7883" w:type="dxa"/>
            <w:tcBorders>
              <w:top w:val="nil"/>
              <w:left w:val="nil"/>
              <w:bottom w:val="nil"/>
              <w:right w:val="nil"/>
            </w:tcBorders>
            <w:shd w:val="clear" w:color="000000" w:fill="BFBFBF"/>
            <w:vAlign w:val="center"/>
          </w:tcPr>
          <w:p w:rsidR="00E2336B" w:rsidRPr="000123AA" w:rsidRDefault="00E2336B" w:rsidP="000123AA">
            <w:pPr>
              <w:rPr>
                <w:rFonts w:ascii="MinionPro-Regular" w:hAnsi="MinionPro-Regular" w:cs="Calibri"/>
                <w:color w:val="000000"/>
                <w:szCs w:val="22"/>
                <w:lang w:val="en-US"/>
              </w:rPr>
            </w:pPr>
            <w:r w:rsidRPr="000123AA">
              <w:rPr>
                <w:rFonts w:ascii="MinionPro-Regular" w:hAnsi="MinionPro-Regular" w:cs="Calibri"/>
                <w:color w:val="000000"/>
                <w:szCs w:val="22"/>
                <w:lang w:val="en-US"/>
              </w:rPr>
              <w:t xml:space="preserve">Dirección: </w:t>
            </w:r>
          </w:p>
        </w:tc>
      </w:tr>
      <w:tr w:rsidR="00E2336B" w:rsidRPr="000123AA" w:rsidTr="008466BC">
        <w:trPr>
          <w:trHeight w:val="300"/>
        </w:trPr>
        <w:tc>
          <w:tcPr>
            <w:tcW w:w="656" w:type="dxa"/>
            <w:tcBorders>
              <w:top w:val="nil"/>
              <w:left w:val="nil"/>
              <w:bottom w:val="nil"/>
              <w:right w:val="nil"/>
            </w:tcBorders>
            <w:shd w:val="clear" w:color="000000" w:fill="BFBFBF"/>
            <w:noWrap/>
          </w:tcPr>
          <w:p w:rsidR="00E2336B" w:rsidRPr="000123AA" w:rsidRDefault="00E2336B" w:rsidP="000123AA">
            <w:pPr>
              <w:rPr>
                <w:rFonts w:ascii="MinionPro-Regular" w:hAnsi="MinionPro-Regular" w:cs="Calibri"/>
                <w:color w:val="000000"/>
                <w:szCs w:val="22"/>
                <w:lang w:val="en-US"/>
              </w:rPr>
            </w:pPr>
            <w:r w:rsidRPr="000123AA">
              <w:rPr>
                <w:rFonts w:ascii="MinionPro-Regular" w:hAnsi="MinionPro-Regular" w:cs="Calibri"/>
                <w:color w:val="000000"/>
                <w:szCs w:val="22"/>
                <w:lang w:val="en-US"/>
              </w:rPr>
              <w:t>4.3.</w:t>
            </w:r>
          </w:p>
        </w:tc>
        <w:tc>
          <w:tcPr>
            <w:tcW w:w="7883" w:type="dxa"/>
            <w:tcBorders>
              <w:top w:val="nil"/>
              <w:left w:val="nil"/>
              <w:bottom w:val="nil"/>
              <w:right w:val="nil"/>
            </w:tcBorders>
            <w:shd w:val="clear" w:color="000000" w:fill="BFBFBF"/>
            <w:vAlign w:val="center"/>
          </w:tcPr>
          <w:p w:rsidR="00E2336B" w:rsidRPr="000123AA" w:rsidRDefault="00E2336B" w:rsidP="000123AA">
            <w:pPr>
              <w:rPr>
                <w:rFonts w:ascii="MinionPro-Regular" w:hAnsi="MinionPro-Regular" w:cs="Calibri"/>
                <w:color w:val="000000"/>
                <w:szCs w:val="22"/>
                <w:lang w:val="en-US"/>
              </w:rPr>
            </w:pPr>
            <w:r w:rsidRPr="000123AA">
              <w:rPr>
                <w:rFonts w:ascii="MinionPro-Regular" w:hAnsi="MinionPro-Regular" w:cs="Calibri"/>
                <w:color w:val="000000"/>
                <w:szCs w:val="22"/>
                <w:lang w:val="en-US"/>
              </w:rPr>
              <w:t>Teléfono:</w:t>
            </w:r>
          </w:p>
        </w:tc>
      </w:tr>
      <w:tr w:rsidR="00E2336B" w:rsidRPr="000123AA" w:rsidTr="008466BC">
        <w:trPr>
          <w:trHeight w:val="300"/>
        </w:trPr>
        <w:tc>
          <w:tcPr>
            <w:tcW w:w="656" w:type="dxa"/>
            <w:tcBorders>
              <w:top w:val="nil"/>
              <w:left w:val="nil"/>
              <w:bottom w:val="nil"/>
              <w:right w:val="nil"/>
            </w:tcBorders>
            <w:shd w:val="clear" w:color="000000" w:fill="BFBFBF"/>
            <w:noWrap/>
          </w:tcPr>
          <w:p w:rsidR="00E2336B" w:rsidRPr="000123AA" w:rsidRDefault="00E2336B" w:rsidP="000123AA">
            <w:pPr>
              <w:rPr>
                <w:rFonts w:ascii="MinionPro-Regular" w:hAnsi="MinionPro-Regular" w:cs="Calibri"/>
                <w:color w:val="000000"/>
                <w:szCs w:val="22"/>
                <w:lang w:val="en-US"/>
              </w:rPr>
            </w:pPr>
            <w:r w:rsidRPr="000123AA">
              <w:rPr>
                <w:rFonts w:ascii="MinionPro-Regular" w:hAnsi="MinionPro-Regular" w:cs="Calibri"/>
                <w:color w:val="000000"/>
                <w:szCs w:val="22"/>
                <w:lang w:val="en-US"/>
              </w:rPr>
              <w:t>4.4.</w:t>
            </w:r>
          </w:p>
        </w:tc>
        <w:tc>
          <w:tcPr>
            <w:tcW w:w="7883" w:type="dxa"/>
            <w:tcBorders>
              <w:top w:val="nil"/>
              <w:left w:val="nil"/>
              <w:bottom w:val="nil"/>
              <w:right w:val="nil"/>
            </w:tcBorders>
            <w:shd w:val="clear" w:color="000000" w:fill="BFBFBF"/>
            <w:vAlign w:val="center"/>
          </w:tcPr>
          <w:p w:rsidR="00E2336B" w:rsidRPr="000123AA" w:rsidRDefault="00E2336B" w:rsidP="000123AA">
            <w:pPr>
              <w:rPr>
                <w:rFonts w:ascii="MinionPro-Regular" w:hAnsi="MinionPro-Regular" w:cs="Calibri"/>
                <w:color w:val="000000"/>
                <w:szCs w:val="22"/>
                <w:lang w:val="en-US"/>
              </w:rPr>
            </w:pPr>
            <w:r w:rsidRPr="000123AA">
              <w:rPr>
                <w:rFonts w:ascii="MinionPro-Regular" w:hAnsi="MinionPro-Regular" w:cs="Calibri"/>
                <w:color w:val="000000"/>
                <w:szCs w:val="22"/>
                <w:lang w:val="en-US"/>
              </w:rPr>
              <w:t>Correo electrónico:</w:t>
            </w:r>
          </w:p>
        </w:tc>
      </w:tr>
      <w:tr w:rsidR="00E2336B" w:rsidRPr="000123AA" w:rsidTr="008466BC">
        <w:trPr>
          <w:trHeight w:val="300"/>
        </w:trPr>
        <w:tc>
          <w:tcPr>
            <w:tcW w:w="656" w:type="dxa"/>
            <w:tcBorders>
              <w:top w:val="nil"/>
              <w:left w:val="nil"/>
              <w:bottom w:val="nil"/>
              <w:right w:val="nil"/>
            </w:tcBorders>
            <w:shd w:val="clear" w:color="000000" w:fill="BFBFBF"/>
            <w:noWrap/>
          </w:tcPr>
          <w:p w:rsidR="00E2336B" w:rsidRPr="000123AA" w:rsidRDefault="00E2336B" w:rsidP="000123AA">
            <w:pPr>
              <w:rPr>
                <w:rFonts w:ascii="MinionPro-Regular" w:hAnsi="MinionPro-Regular" w:cs="Calibri"/>
                <w:color w:val="000000"/>
                <w:szCs w:val="22"/>
                <w:lang w:val="en-US"/>
              </w:rPr>
            </w:pPr>
            <w:r w:rsidRPr="000123AA">
              <w:rPr>
                <w:rFonts w:ascii="MinionPro-Regular" w:hAnsi="MinionPro-Regular" w:cs="Calibri"/>
                <w:color w:val="000000"/>
                <w:szCs w:val="22"/>
                <w:lang w:val="en-US"/>
              </w:rPr>
              <w:t>4.5.</w:t>
            </w:r>
          </w:p>
        </w:tc>
        <w:tc>
          <w:tcPr>
            <w:tcW w:w="7883" w:type="dxa"/>
            <w:tcBorders>
              <w:top w:val="nil"/>
              <w:left w:val="nil"/>
              <w:bottom w:val="nil"/>
              <w:right w:val="nil"/>
            </w:tcBorders>
            <w:shd w:val="clear" w:color="000000" w:fill="BFBFBF"/>
            <w:vAlign w:val="center"/>
          </w:tcPr>
          <w:p w:rsidR="00E2336B" w:rsidRPr="000123AA" w:rsidRDefault="00E2336B" w:rsidP="000123AA">
            <w:pPr>
              <w:rPr>
                <w:rFonts w:ascii="MinionPro-Regular" w:hAnsi="MinionPro-Regular" w:cs="Calibri"/>
                <w:color w:val="000000"/>
                <w:szCs w:val="22"/>
                <w:lang w:val="en-US"/>
              </w:rPr>
            </w:pPr>
            <w:r w:rsidRPr="000123AA">
              <w:rPr>
                <w:rFonts w:ascii="MinionPro-Regular" w:hAnsi="MinionPro-Regular" w:cs="Calibri"/>
                <w:color w:val="000000"/>
                <w:szCs w:val="22"/>
                <w:lang w:val="en-US"/>
              </w:rPr>
              <w:t>Nombre del contacto:</w:t>
            </w:r>
          </w:p>
        </w:tc>
      </w:tr>
      <w:tr w:rsidR="00E2336B" w:rsidRPr="000123AA" w:rsidTr="008466BC">
        <w:trPr>
          <w:trHeight w:val="300"/>
        </w:trPr>
        <w:tc>
          <w:tcPr>
            <w:tcW w:w="656" w:type="dxa"/>
            <w:tcBorders>
              <w:top w:val="nil"/>
              <w:left w:val="nil"/>
              <w:bottom w:val="nil"/>
              <w:right w:val="nil"/>
            </w:tcBorders>
            <w:shd w:val="clear" w:color="000000" w:fill="BFBFBF"/>
            <w:noWrap/>
          </w:tcPr>
          <w:p w:rsidR="00E2336B" w:rsidRPr="000123AA" w:rsidRDefault="00E2336B" w:rsidP="000123AA">
            <w:pPr>
              <w:rPr>
                <w:rFonts w:ascii="MinionPro-Regular" w:hAnsi="MinionPro-Regular" w:cs="Calibri"/>
                <w:color w:val="000000"/>
                <w:szCs w:val="22"/>
                <w:lang w:val="en-US"/>
              </w:rPr>
            </w:pPr>
            <w:r w:rsidRPr="000123AA">
              <w:rPr>
                <w:rFonts w:ascii="MinionPro-Regular" w:hAnsi="MinionPro-Regular" w:cs="Calibri"/>
                <w:color w:val="000000"/>
                <w:szCs w:val="22"/>
                <w:lang w:val="en-US"/>
              </w:rPr>
              <w:t>4.6.</w:t>
            </w:r>
          </w:p>
        </w:tc>
        <w:tc>
          <w:tcPr>
            <w:tcW w:w="7883" w:type="dxa"/>
            <w:tcBorders>
              <w:top w:val="nil"/>
              <w:left w:val="nil"/>
              <w:bottom w:val="nil"/>
              <w:right w:val="nil"/>
            </w:tcBorders>
            <w:shd w:val="clear" w:color="000000" w:fill="BFBFBF"/>
            <w:vAlign w:val="center"/>
          </w:tcPr>
          <w:p w:rsidR="00E2336B" w:rsidRPr="000123AA" w:rsidRDefault="00E2336B" w:rsidP="000123AA">
            <w:pPr>
              <w:rPr>
                <w:rFonts w:ascii="MinionPro-Regular" w:hAnsi="MinionPro-Regular" w:cs="Calibri"/>
                <w:color w:val="000000"/>
                <w:szCs w:val="22"/>
                <w:lang w:val="en-US"/>
              </w:rPr>
            </w:pPr>
            <w:r w:rsidRPr="000123AA">
              <w:rPr>
                <w:rFonts w:ascii="MinionPro-Regular" w:hAnsi="MinionPro-Regular" w:cs="Calibri"/>
                <w:color w:val="000000"/>
                <w:szCs w:val="22"/>
                <w:lang w:val="en-US"/>
              </w:rPr>
              <w:t>Puesto del contacto:</w:t>
            </w:r>
          </w:p>
        </w:tc>
      </w:tr>
      <w:tr w:rsidR="00E2336B" w:rsidRPr="000123AA" w:rsidTr="008466BC">
        <w:trPr>
          <w:trHeight w:val="300"/>
        </w:trPr>
        <w:tc>
          <w:tcPr>
            <w:tcW w:w="656" w:type="dxa"/>
            <w:tcBorders>
              <w:top w:val="nil"/>
              <w:left w:val="nil"/>
              <w:bottom w:val="nil"/>
              <w:right w:val="nil"/>
            </w:tcBorders>
            <w:shd w:val="clear" w:color="000000" w:fill="BFBFBF"/>
            <w:noWrap/>
          </w:tcPr>
          <w:p w:rsidR="00E2336B" w:rsidRPr="000123AA" w:rsidRDefault="00E2336B" w:rsidP="000123AA">
            <w:pPr>
              <w:rPr>
                <w:rFonts w:ascii="MinionPro-Regular" w:hAnsi="MinionPro-Regular" w:cs="Calibri"/>
                <w:color w:val="000000"/>
                <w:szCs w:val="22"/>
                <w:lang w:val="en-US"/>
              </w:rPr>
            </w:pPr>
            <w:r w:rsidRPr="000123AA">
              <w:rPr>
                <w:rFonts w:ascii="MinionPro-Regular" w:hAnsi="MinionPro-Regular" w:cs="Calibri"/>
                <w:color w:val="000000"/>
                <w:szCs w:val="22"/>
                <w:lang w:val="en-US"/>
              </w:rPr>
              <w:t>4.7.</w:t>
            </w:r>
          </w:p>
        </w:tc>
        <w:tc>
          <w:tcPr>
            <w:tcW w:w="7883" w:type="dxa"/>
            <w:tcBorders>
              <w:top w:val="nil"/>
              <w:left w:val="nil"/>
              <w:bottom w:val="nil"/>
              <w:right w:val="nil"/>
            </w:tcBorders>
            <w:shd w:val="clear" w:color="000000" w:fill="BFBFBF"/>
            <w:vAlign w:val="center"/>
          </w:tcPr>
          <w:p w:rsidR="00E2336B" w:rsidRPr="000123AA" w:rsidRDefault="00E2336B" w:rsidP="000123AA">
            <w:pPr>
              <w:rPr>
                <w:rFonts w:ascii="MinionPro-Regular" w:hAnsi="MinionPro-Regular" w:cs="Calibri"/>
                <w:color w:val="000000"/>
                <w:szCs w:val="22"/>
                <w:lang w:val="es-ES_tradnl"/>
              </w:rPr>
            </w:pPr>
            <w:r w:rsidRPr="000123AA">
              <w:rPr>
                <w:rFonts w:ascii="MinionPro-Regular" w:hAnsi="MinionPro-Regular" w:cs="Calibri"/>
                <w:color w:val="000000"/>
                <w:szCs w:val="22"/>
                <w:lang w:val="es-ES_tradnl"/>
              </w:rPr>
              <w:t>Nivel académico y formativo del gestor del CEE:</w:t>
            </w:r>
          </w:p>
        </w:tc>
      </w:tr>
    </w:tbl>
    <w:p w:rsidR="00E2336B" w:rsidRDefault="00E2336B">
      <w:pPr>
        <w:rPr>
          <w:rFonts w:ascii="MinionPro-Regular" w:hAnsi="MinionPro-Regular"/>
          <w:b/>
          <w:sz w:val="28"/>
          <w:lang w:val="es-ES_tradnl"/>
        </w:rPr>
      </w:pPr>
      <w:r>
        <w:rPr>
          <w:rFonts w:ascii="MinionPro-Regular" w:hAnsi="MinionPro-Regular"/>
          <w:lang w:val="es-ES_tradnl"/>
        </w:rPr>
        <w:br w:type="page"/>
      </w:r>
    </w:p>
    <w:p w:rsidR="00E2336B" w:rsidRDefault="00E2336B" w:rsidP="0007541A">
      <w:pPr>
        <w:pStyle w:val="Ttulo2"/>
        <w:numPr>
          <w:ilvl w:val="1"/>
          <w:numId w:val="3"/>
        </w:numPr>
        <w:ind w:left="0"/>
        <w:rPr>
          <w:rFonts w:ascii="MinionPro-Regular" w:hAnsi="MinionPro-Regular"/>
          <w:lang w:val="es-ES_tradnl"/>
        </w:rPr>
      </w:pPr>
      <w:bookmarkStart w:id="607" w:name="_Toc352773629"/>
      <w:r w:rsidRPr="00EA0C09">
        <w:rPr>
          <w:rFonts w:ascii="MinionPro-Regular" w:hAnsi="MinionPro-Regular"/>
          <w:lang w:val="es-ES_tradnl"/>
        </w:rPr>
        <w:lastRenderedPageBreak/>
        <w:t>Anexo I</w:t>
      </w:r>
      <w:r>
        <w:rPr>
          <w:rFonts w:ascii="MinionPro-Regular" w:hAnsi="MinionPro-Regular"/>
          <w:lang w:val="es-ES_tradnl"/>
        </w:rPr>
        <w:t>II</w:t>
      </w:r>
      <w:r w:rsidRPr="00EA0C09">
        <w:rPr>
          <w:rFonts w:ascii="MinionPro-Regular" w:hAnsi="MinionPro-Regular"/>
          <w:lang w:val="es-ES_tradnl"/>
        </w:rPr>
        <w:t xml:space="preserve">: </w:t>
      </w:r>
      <w:r>
        <w:rPr>
          <w:rFonts w:ascii="MinionPro-Regular" w:hAnsi="MinionPro-Regular"/>
          <w:lang w:val="es-ES_tradnl"/>
        </w:rPr>
        <w:t>Mesas de trabajo</w:t>
      </w:r>
      <w:bookmarkEnd w:id="607"/>
    </w:p>
    <w:p w:rsidR="00E2336B" w:rsidRDefault="00E2336B" w:rsidP="004C24F1">
      <w:pPr>
        <w:pStyle w:val="Textoindependiente"/>
        <w:spacing w:line="360" w:lineRule="auto"/>
        <w:rPr>
          <w:rFonts w:ascii="MinionPro-Regular" w:hAnsi="MinionPro-Regular"/>
          <w:sz w:val="24"/>
          <w:szCs w:val="24"/>
          <w:lang w:val="es-ES_tradnl"/>
        </w:rPr>
      </w:pPr>
    </w:p>
    <w:p w:rsidR="00E2336B" w:rsidRDefault="00E2336B" w:rsidP="004C24F1">
      <w:pPr>
        <w:pStyle w:val="Textoindependiente"/>
        <w:spacing w:line="360" w:lineRule="auto"/>
        <w:rPr>
          <w:rFonts w:ascii="MinionPro-Regular" w:hAnsi="MinionPro-Regular"/>
          <w:sz w:val="24"/>
          <w:szCs w:val="24"/>
          <w:lang w:val="es-ES_tradnl"/>
        </w:rPr>
      </w:pPr>
      <w:r>
        <w:rPr>
          <w:rFonts w:ascii="MinionPro-Regular" w:hAnsi="MinionPro-Regular"/>
          <w:sz w:val="24"/>
          <w:szCs w:val="24"/>
          <w:lang w:val="es-ES_tradnl"/>
        </w:rPr>
        <w:t>Cuestiones planteadas para debate de los asistentes en las sesiones celebradas</w:t>
      </w:r>
      <w:r>
        <w:rPr>
          <w:rStyle w:val="Refdenotaalpie"/>
          <w:rFonts w:ascii="MinionPro-Regular" w:hAnsi="MinionPro-Regular"/>
          <w:sz w:val="24"/>
          <w:szCs w:val="24"/>
          <w:lang w:val="es-ES_tradnl"/>
        </w:rPr>
        <w:footnoteReference w:id="73"/>
      </w:r>
      <w:r>
        <w:rPr>
          <w:rFonts w:ascii="MinionPro-Regular" w:hAnsi="MinionPro-Regular"/>
          <w:sz w:val="24"/>
          <w:szCs w:val="24"/>
          <w:lang w:val="es-ES_tradnl"/>
        </w:rPr>
        <w:t>:</w:t>
      </w:r>
    </w:p>
    <w:p w:rsidR="00E2336B" w:rsidRDefault="00E2336B" w:rsidP="0007541A">
      <w:pPr>
        <w:pStyle w:val="Textoindependiente"/>
        <w:numPr>
          <w:ilvl w:val="0"/>
          <w:numId w:val="20"/>
        </w:numPr>
        <w:spacing w:line="360" w:lineRule="auto"/>
        <w:rPr>
          <w:rFonts w:ascii="MinionPro-Regular" w:hAnsi="MinionPro-Regular"/>
          <w:sz w:val="24"/>
          <w:szCs w:val="24"/>
          <w:lang w:val="es-ES_tradnl"/>
        </w:rPr>
      </w:pPr>
      <w:r>
        <w:rPr>
          <w:rFonts w:ascii="MinionPro-Regular" w:hAnsi="MinionPro-Regular"/>
          <w:sz w:val="24"/>
          <w:szCs w:val="24"/>
          <w:lang w:val="es-ES_tradnl"/>
        </w:rPr>
        <w:t>¿Qué habría que hacer para alcanzar la visión 2020 y cumplir el objetivo de aumentar la capacidad de los centros especiales de empleo de incorporar a personas con discapacidad al mercado laboral?</w:t>
      </w:r>
    </w:p>
    <w:p w:rsidR="00E2336B" w:rsidRDefault="00E2336B" w:rsidP="0007541A">
      <w:pPr>
        <w:pStyle w:val="Textoindependiente"/>
        <w:numPr>
          <w:ilvl w:val="0"/>
          <w:numId w:val="20"/>
        </w:numPr>
        <w:spacing w:line="360" w:lineRule="auto"/>
        <w:rPr>
          <w:rFonts w:ascii="MinionPro-Regular" w:hAnsi="MinionPro-Regular"/>
          <w:sz w:val="24"/>
          <w:szCs w:val="24"/>
          <w:lang w:val="es-ES_tradnl"/>
        </w:rPr>
      </w:pPr>
      <w:r>
        <w:rPr>
          <w:rFonts w:ascii="MinionPro-Regular" w:hAnsi="MinionPro-Regular"/>
          <w:sz w:val="24"/>
          <w:szCs w:val="24"/>
          <w:lang w:val="es-ES_tradnl"/>
        </w:rPr>
        <w:t>¿Se debería ser más exigente o menos exigente en las empresas que optan por este modelo?</w:t>
      </w:r>
    </w:p>
    <w:p w:rsidR="00E2336B" w:rsidRDefault="00E2336B" w:rsidP="0007541A">
      <w:pPr>
        <w:pStyle w:val="Textoindependiente"/>
        <w:numPr>
          <w:ilvl w:val="0"/>
          <w:numId w:val="20"/>
        </w:numPr>
        <w:spacing w:line="360" w:lineRule="auto"/>
        <w:rPr>
          <w:rFonts w:ascii="MinionPro-Regular" w:hAnsi="MinionPro-Regular"/>
          <w:sz w:val="24"/>
          <w:szCs w:val="24"/>
          <w:lang w:val="es-ES_tradnl"/>
        </w:rPr>
      </w:pPr>
      <w:r>
        <w:rPr>
          <w:rFonts w:ascii="MinionPro-Regular" w:hAnsi="MinionPro-Regular"/>
          <w:sz w:val="24"/>
          <w:szCs w:val="24"/>
          <w:lang w:val="es-ES_tradnl"/>
        </w:rPr>
        <w:t>Más allá del 70/33.</w:t>
      </w:r>
    </w:p>
    <w:p w:rsidR="00E2336B" w:rsidRDefault="00E2336B" w:rsidP="0007541A">
      <w:pPr>
        <w:pStyle w:val="Textoindependiente"/>
        <w:numPr>
          <w:ilvl w:val="0"/>
          <w:numId w:val="20"/>
        </w:numPr>
        <w:spacing w:line="360" w:lineRule="auto"/>
        <w:rPr>
          <w:rFonts w:ascii="MinionPro-Regular" w:hAnsi="MinionPro-Regular"/>
          <w:sz w:val="24"/>
          <w:szCs w:val="24"/>
          <w:lang w:val="es-ES_tradnl"/>
        </w:rPr>
      </w:pPr>
      <w:r>
        <w:rPr>
          <w:rFonts w:ascii="MinionPro-Regular" w:hAnsi="MinionPro-Regular"/>
          <w:sz w:val="24"/>
          <w:szCs w:val="24"/>
          <w:lang w:val="es-ES_tradnl"/>
        </w:rPr>
        <w:t>¿Qué habría que cambiar del actual marco regulatorio de los centros especiales de empleo? ¿Cómo deberían ser las ayudas?</w:t>
      </w:r>
    </w:p>
    <w:p w:rsidR="00E2336B" w:rsidRDefault="00E2336B" w:rsidP="0007541A">
      <w:pPr>
        <w:pStyle w:val="Textoindependiente"/>
        <w:numPr>
          <w:ilvl w:val="0"/>
          <w:numId w:val="20"/>
        </w:numPr>
        <w:spacing w:line="360" w:lineRule="auto"/>
        <w:rPr>
          <w:rFonts w:ascii="MinionPro-Regular" w:hAnsi="MinionPro-Regular"/>
          <w:sz w:val="24"/>
          <w:szCs w:val="24"/>
          <w:lang w:val="es-ES_tradnl"/>
        </w:rPr>
      </w:pPr>
      <w:r>
        <w:rPr>
          <w:rFonts w:ascii="MinionPro-Regular" w:hAnsi="MinionPro-Regular"/>
          <w:sz w:val="24"/>
          <w:szCs w:val="24"/>
          <w:lang w:val="es-ES_tradnl"/>
        </w:rPr>
        <w:t>¿Cuáles deberían ser los atributos distintivos de los centros especiales de empleo? ¿Cómo es posible hacerlos más inidentificables o visibles para la sociedad?</w:t>
      </w:r>
    </w:p>
    <w:p w:rsidR="00E2336B" w:rsidRDefault="00E2336B" w:rsidP="0007541A">
      <w:pPr>
        <w:pStyle w:val="Textoindependiente"/>
        <w:numPr>
          <w:ilvl w:val="0"/>
          <w:numId w:val="20"/>
        </w:numPr>
        <w:spacing w:line="360" w:lineRule="auto"/>
        <w:rPr>
          <w:rFonts w:ascii="MinionPro-Regular" w:hAnsi="MinionPro-Regular"/>
          <w:sz w:val="24"/>
          <w:szCs w:val="24"/>
          <w:lang w:val="es-ES_tradnl"/>
        </w:rPr>
      </w:pPr>
      <w:r>
        <w:rPr>
          <w:rFonts w:ascii="MinionPro-Regular" w:hAnsi="MinionPro-Regular"/>
          <w:sz w:val="24"/>
          <w:szCs w:val="24"/>
          <w:lang w:val="es-ES_tradnl"/>
        </w:rPr>
        <w:t>¿Cuáles deberían ser los atributos de confianza distintivos de los centros especiales de empleo?</w:t>
      </w:r>
    </w:p>
    <w:p w:rsidR="00E2336B" w:rsidRDefault="00E2336B" w:rsidP="0007541A">
      <w:pPr>
        <w:pStyle w:val="Textoindependiente"/>
        <w:numPr>
          <w:ilvl w:val="0"/>
          <w:numId w:val="20"/>
        </w:numPr>
        <w:spacing w:line="360" w:lineRule="auto"/>
        <w:rPr>
          <w:rFonts w:ascii="MinionPro-Regular" w:hAnsi="MinionPro-Regular"/>
          <w:sz w:val="24"/>
          <w:szCs w:val="24"/>
          <w:lang w:val="es-ES_tradnl"/>
        </w:rPr>
      </w:pPr>
      <w:r>
        <w:rPr>
          <w:rFonts w:ascii="MinionPro-Regular" w:hAnsi="MinionPro-Regular"/>
          <w:sz w:val="24"/>
          <w:szCs w:val="24"/>
          <w:lang w:val="es-ES_tradnl"/>
        </w:rPr>
        <w:lastRenderedPageBreak/>
        <w:t>¿Cuáles son los factores de éxito empresarial de los centros especiales de empleo?</w:t>
      </w:r>
    </w:p>
    <w:p w:rsidR="00E2336B" w:rsidRDefault="00E2336B" w:rsidP="0007541A">
      <w:pPr>
        <w:pStyle w:val="Textoindependiente"/>
        <w:numPr>
          <w:ilvl w:val="0"/>
          <w:numId w:val="20"/>
        </w:numPr>
        <w:spacing w:line="360" w:lineRule="auto"/>
        <w:rPr>
          <w:rFonts w:ascii="MinionPro-Regular" w:hAnsi="MinionPro-Regular"/>
          <w:sz w:val="24"/>
          <w:szCs w:val="24"/>
          <w:lang w:val="es-ES_tradnl"/>
        </w:rPr>
      </w:pPr>
      <w:r>
        <w:rPr>
          <w:rFonts w:ascii="MinionPro-Regular" w:hAnsi="MinionPro-Regular"/>
          <w:sz w:val="24"/>
          <w:szCs w:val="24"/>
          <w:lang w:val="es-ES_tradnl"/>
        </w:rPr>
        <w:t>¿Cuáles son los factores clave para el desarrollo de las personas en los centros especiales de empleo?</w:t>
      </w:r>
    </w:p>
    <w:p w:rsidR="00F61DE8" w:rsidRDefault="00F61DE8">
      <w:pPr>
        <w:rPr>
          <w:rFonts w:ascii="MinionPro-Regular" w:hAnsi="MinionPro-Regular"/>
          <w:sz w:val="24"/>
          <w:szCs w:val="24"/>
          <w:lang w:val="es-ES_tradnl"/>
        </w:rPr>
      </w:pPr>
      <w:bookmarkStart w:id="608" w:name="_Toc341468501"/>
      <w:bookmarkStart w:id="609" w:name="_Toc341468551"/>
      <w:bookmarkStart w:id="610" w:name="_Toc341470539"/>
      <w:bookmarkStart w:id="611" w:name="_Toc341470542"/>
      <w:bookmarkStart w:id="612" w:name="empleopr"/>
      <w:bookmarkEnd w:id="608"/>
      <w:bookmarkEnd w:id="609"/>
      <w:bookmarkEnd w:id="610"/>
      <w:bookmarkEnd w:id="611"/>
      <w:bookmarkEnd w:id="612"/>
    </w:p>
    <w:sectPr w:rsidR="00F61DE8" w:rsidSect="001C49E5">
      <w:headerReference w:type="even" r:id="rId151"/>
      <w:headerReference w:type="default" r:id="rId152"/>
      <w:footerReference w:type="default" r:id="rId153"/>
      <w:headerReference w:type="first" r:id="rId154"/>
      <w:pgSz w:w="11907" w:h="16840" w:code="9"/>
      <w:pgMar w:top="2835" w:right="1474" w:bottom="1588" w:left="1474" w:header="1077" w:footer="709" w:gutter="454"/>
      <w:pgNumType w:start="1"/>
      <w:cols w:space="737"/>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D3532" w:rsidRDefault="001D3532">
      <w:r>
        <w:separator/>
      </w:r>
    </w:p>
  </w:endnote>
  <w:endnote w:type="continuationSeparator" w:id="0">
    <w:p w:rsidR="001D3532" w:rsidRDefault="001D3532">
      <w:r>
        <w:continuationSeparator/>
      </w:r>
    </w:p>
  </w:endnote>
</w:endnotes>
</file>

<file path=word/fontTable.xml><?xml version="1.0" encoding="utf-8"?>
<w:fonts xmlns:r="http://schemas.openxmlformats.org/officeDocument/2006/relationships" xmlns:w="http://schemas.openxmlformats.org/wordprocessingml/2006/main">
  <w:font w:name="9999999">
    <w:altName w:val="Times New Roman"/>
    <w:panose1 w:val="00000000000000000000"/>
    <w:charset w:val="00"/>
    <w:family w:val="roman"/>
    <w:notTrueType/>
    <w:pitch w:val="default"/>
    <w:sig w:usb0="00000000" w:usb1="00000000" w:usb2="00000000" w:usb3="00000000" w:csb0="0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MinionPro-Regular">
    <w:altName w:val="Times New Roman"/>
    <w:panose1 w:val="00000000000000000000"/>
    <w:charset w:val="00"/>
    <w:family w:val="auto"/>
    <w:notTrueType/>
    <w:pitch w:val="default"/>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ms Rmn">
    <w:altName w:val="Times New Roman"/>
    <w:panose1 w:val="020206030405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 45 Light">
    <w:charset w:val="00"/>
    <w:family w:val="auto"/>
    <w:pitch w:val="variable"/>
    <w:sig w:usb0="8000002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Univers 55">
    <w:altName w:val="Times New Roman"/>
    <w:charset w:val="00"/>
    <w:family w:val="auto"/>
    <w:pitch w:val="variable"/>
    <w:sig w:usb0="00000003" w:usb1="00000000" w:usb2="00000000" w:usb3="00000000" w:csb0="00000001" w:csb1="00000000"/>
  </w:font>
  <w:font w:name="KPMG Logo">
    <w:altName w:val="Courier"/>
    <w:charset w:val="00"/>
    <w:family w:val="auto"/>
    <w:pitch w:val="variable"/>
    <w:sig w:usb0="00000003" w:usb1="00000000" w:usb2="00000000" w:usb3="00000000" w:csb0="00000001" w:csb1="00000000"/>
  </w:font>
  <w:font w:name="Times New Roman MT Std">
    <w:altName w:val="Times New Roman MT Std"/>
    <w:panose1 w:val="00000000000000000000"/>
    <w:charset w:val="00"/>
    <w:family w:val="roman"/>
    <w:notTrueType/>
    <w:pitch w:val="default"/>
    <w:sig w:usb0="00000003" w:usb1="00000000" w:usb2="00000000" w:usb3="00000000" w:csb0="00000001" w:csb1="00000000"/>
  </w:font>
  <w:font w:name="Myriad Pro SemiCond">
    <w:altName w:val="Myriad Pro SemiCond"/>
    <w:panose1 w:val="00000000000000000000"/>
    <w:charset w:val="00"/>
    <w:family w:val="swiss"/>
    <w:notTrueType/>
    <w:pitch w:val="default"/>
    <w:sig w:usb0="00000003" w:usb1="00000000" w:usb2="00000000" w:usb3="00000000" w:csb0="00000001" w:csb1="00000000"/>
  </w:font>
  <w:font w:name="Microsoft Sans Serif">
    <w:panose1 w:val="020B0604020202020204"/>
    <w:charset w:val="00"/>
    <w:family w:val="swiss"/>
    <w:pitch w:val="variable"/>
    <w:sig w:usb0="E1002AFF" w:usb1="C0000002" w:usb2="00000008" w:usb3="00000000" w:csb0="000101FF" w:csb1="00000000"/>
  </w:font>
  <w:font w:name="MineonPro-Regular">
    <w:altName w:val="Times New Roman"/>
    <w:panose1 w:val="00000000000000000000"/>
    <w:charset w:val="00"/>
    <w:family w:val="roman"/>
    <w:notTrueType/>
    <w:pitch w:val="default"/>
    <w:sig w:usb0="00000003" w:usb1="00000000" w:usb2="00000000" w:usb3="00000000" w:csb0="00000001" w:csb1="00000000"/>
  </w:font>
  <w:font w:name="MS Shell Dlg 2">
    <w:panose1 w:val="020B0604030504040204"/>
    <w:charset w:val="00"/>
    <w:family w:val="swiss"/>
    <w:pitch w:val="variable"/>
    <w:sig w:usb0="61002A87" w:usb1="80000000" w:usb2="00000008" w:usb3="00000000" w:csb0="000101FF" w:csb1="00000000"/>
  </w:font>
  <w:font w:name="BookAntiqua-Italic">
    <w:panose1 w:val="00000000000000000000"/>
    <w:charset w:val="00"/>
    <w:family w:val="roman"/>
    <w:notTrueType/>
    <w:pitch w:val="default"/>
    <w:sig w:usb0="00000003" w:usb1="00000000"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 w:name="MSTT31c280">
    <w:panose1 w:val="00000000000000000000"/>
    <w:charset w:val="00"/>
    <w:family w:val="auto"/>
    <w:notTrueType/>
    <w:pitch w:val="default"/>
    <w:sig w:usb0="00000003" w:usb1="00000000" w:usb2="00000000" w:usb3="00000000" w:csb0="00000001" w:csb1="00000000"/>
  </w:font>
  <w:font w:name="MinonPro-Regular">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57D" w:rsidRDefault="009154AB">
    <w:pPr>
      <w:pStyle w:val="Piedepgina"/>
      <w:framePr w:hSpace="181" w:wrap="around" w:vAnchor="text" w:hAnchor="text" w:xAlign="right" w:y="1"/>
    </w:pPr>
    <w:fldSimple w:instr=" FILENAME ">
      <w:r w:rsidR="00A5357D">
        <w:rPr>
          <w:noProof/>
        </w:rPr>
        <w:t>Fundación ONCE__DS_01_IN_230313_sin_Anexos</w:t>
      </w:r>
    </w:fldSimple>
    <w:r w:rsidR="00A5357D">
      <w:t xml:space="preserve"> - </w:t>
    </w:r>
    <w:r>
      <w:fldChar w:fldCharType="begin"/>
    </w:r>
    <w:r w:rsidR="00A5357D">
      <w:instrText xml:space="preserve"> SAVEDATE  \@ </w:instrText>
    </w:r>
    <w:fldSimple w:instr=" DOCPROPERTY &quot;KISDateFmt&quot; ">
      <w:r w:rsidR="00A5357D">
        <w:instrText>dd/MM/yyyy</w:instrText>
      </w:r>
    </w:fldSimple>
    <w:r w:rsidR="00A5357D">
      <w:instrText xml:space="preserve"> </w:instrText>
    </w:r>
    <w:r>
      <w:fldChar w:fldCharType="separate"/>
    </w:r>
    <w:r w:rsidR="006855A9">
      <w:rPr>
        <w:noProof/>
      </w:rPr>
      <w:t>27/09/2013</w:t>
    </w:r>
    <w:r>
      <w:fldChar w:fldCharType="end"/>
    </w:r>
  </w:p>
  <w:p w:rsidR="00A5357D" w:rsidRDefault="009154AB">
    <w:pPr>
      <w:pStyle w:val="Piedepgina"/>
    </w:pPr>
    <w:r>
      <w:rPr>
        <w:noProof/>
        <w:lang w:eastAsia="es-ES"/>
      </w:rPr>
      <w:pict>
        <v:shapetype id="_x0000_t202" coordsize="21600,21600" o:spt="202" path="m,l,21600r21600,l21600,xe">
          <v:stroke joinstyle="miter"/>
          <v:path gradientshapeok="t" o:connecttype="rect"/>
        </v:shapetype>
        <v:shape id="_x0000_s2049" type="#_x0000_t202" style="position:absolute;margin-left:0;margin-top:0;width:190.85pt;height:31.8pt;z-index:251652096;mso-position-horizontal:center;mso-position-vertical:bottom;mso-position-vertical-relative:page" filled="f" stroked="f">
          <v:textbox style="mso-next-textbox:#_x0000_s2049">
            <w:txbxContent>
              <w:p w:rsidR="00A5357D" w:rsidRPr="00374404" w:rsidRDefault="00A5357D">
                <w:pPr>
                  <w:jc w:val="center"/>
                  <w:rPr>
                    <w:rFonts w:ascii="Univers 55" w:hAnsi="Univers 55"/>
                    <w:sz w:val="12"/>
                    <w:lang w:val="en-US"/>
                  </w:rPr>
                </w:pPr>
                <w:r w:rsidRPr="00374404">
                  <w:rPr>
                    <w:rFonts w:ascii="Univers 55" w:hAnsi="Univers 55" w:cs="Arial"/>
                    <w:sz w:val="12"/>
                    <w:lang w:val="en-US"/>
                  </w:rPr>
                  <w:t xml:space="preserve">© </w:t>
                </w:r>
                <w:r w:rsidR="009154AB">
                  <w:rPr>
                    <w:rFonts w:ascii="Univers 55" w:hAnsi="Univers 55" w:cs="Arial"/>
                    <w:sz w:val="12"/>
                  </w:rPr>
                  <w:fldChar w:fldCharType="begin"/>
                </w:r>
                <w:r>
                  <w:rPr>
                    <w:rFonts w:ascii="Univers 55" w:hAnsi="Univers 55" w:cs="Arial"/>
                    <w:sz w:val="12"/>
                  </w:rPr>
                  <w:instrText xml:space="preserve"> SAVEDATE \@ "yyyy" </w:instrText>
                </w:r>
                <w:r w:rsidR="009154AB">
                  <w:rPr>
                    <w:rFonts w:ascii="Univers 55" w:hAnsi="Univers 55" w:cs="Arial"/>
                    <w:sz w:val="12"/>
                  </w:rPr>
                  <w:fldChar w:fldCharType="separate"/>
                </w:r>
                <w:r w:rsidR="006855A9">
                  <w:rPr>
                    <w:rFonts w:ascii="Univers 55" w:hAnsi="Univers 55" w:cs="Arial"/>
                    <w:noProof/>
                    <w:sz w:val="12"/>
                  </w:rPr>
                  <w:t>2013</w:t>
                </w:r>
                <w:r w:rsidR="009154AB">
                  <w:rPr>
                    <w:rFonts w:ascii="Univers 55" w:hAnsi="Univers 55" w:cs="Arial"/>
                    <w:sz w:val="12"/>
                  </w:rPr>
                  <w:fldChar w:fldCharType="end"/>
                </w:r>
                <w:r w:rsidRPr="00374404">
                  <w:rPr>
                    <w:rFonts w:ascii="Univers 55" w:hAnsi="Univers 55" w:cs="Arial"/>
                    <w:sz w:val="12"/>
                    <w:lang w:val="en-US"/>
                  </w:rPr>
                  <w:t xml:space="preserve"> </w:t>
                </w:r>
                <w:r w:rsidR="009154AB" w:rsidRPr="00374404">
                  <w:rPr>
                    <w:rFonts w:ascii="Univers 55" w:hAnsi="Univers 55" w:cs="Arial"/>
                    <w:sz w:val="12"/>
                    <w:lang w:val="en-US"/>
                  </w:rPr>
                  <w:fldChar w:fldCharType="begin"/>
                </w:r>
                <w:r w:rsidRPr="00374404">
                  <w:rPr>
                    <w:rFonts w:ascii="Univers 55" w:hAnsi="Univers 55" w:cs="Arial"/>
                    <w:sz w:val="12"/>
                    <w:lang w:val="en-US"/>
                  </w:rPr>
                  <w:instrText xml:space="preserve"> if </w:instrText>
                </w:r>
                <w:r w:rsidR="009154AB" w:rsidRPr="00374404">
                  <w:rPr>
                    <w:rFonts w:ascii="Univers 55" w:hAnsi="Univers 55" w:cs="Arial"/>
                    <w:sz w:val="12"/>
                    <w:lang w:val="en-US"/>
                  </w:rPr>
                  <w:fldChar w:fldCharType="begin"/>
                </w:r>
                <w:r w:rsidRPr="00374404">
                  <w:rPr>
                    <w:rFonts w:ascii="Univers 55" w:hAnsi="Univers 55" w:cs="Arial"/>
                    <w:sz w:val="12"/>
                    <w:lang w:val="en-US"/>
                  </w:rPr>
                  <w:instrText xml:space="preserve"> DOCPROPERTY "KISFirmPrtName" </w:instrText>
                </w:r>
                <w:r w:rsidR="009154AB" w:rsidRPr="00374404">
                  <w:rPr>
                    <w:rFonts w:ascii="Univers 55" w:hAnsi="Univers 55" w:cs="Arial"/>
                    <w:sz w:val="12"/>
                    <w:lang w:val="en-US"/>
                  </w:rPr>
                  <w:fldChar w:fldCharType="separate"/>
                </w:r>
                <w:r>
                  <w:rPr>
                    <w:rFonts w:ascii="Univers 55" w:hAnsi="Univers 55" w:cs="Arial"/>
                    <w:sz w:val="12"/>
                    <w:lang w:val="en-US"/>
                  </w:rPr>
                  <w:instrText>KPMG Asesores S.L.</w:instrText>
                </w:r>
                <w:r w:rsidR="009154AB" w:rsidRPr="00374404">
                  <w:rPr>
                    <w:rFonts w:ascii="Univers 55" w:hAnsi="Univers 55" w:cs="Arial"/>
                    <w:sz w:val="12"/>
                    <w:lang w:val="en-US"/>
                  </w:rPr>
                  <w:fldChar w:fldCharType="end"/>
                </w:r>
                <w:r w:rsidRPr="00374404">
                  <w:rPr>
                    <w:rFonts w:ascii="Univers 55" w:hAnsi="Univers 55" w:cs="Arial"/>
                    <w:sz w:val="12"/>
                    <w:lang w:val="en-US"/>
                  </w:rPr>
                  <w:instrText xml:space="preserve"> &lt;&gt; "" "</w:instrText>
                </w:r>
                <w:r w:rsidR="009154AB" w:rsidRPr="00374404">
                  <w:rPr>
                    <w:rFonts w:ascii="Univers 55" w:hAnsi="Univers 55" w:cs="Arial"/>
                    <w:sz w:val="12"/>
                    <w:lang w:val="en-US"/>
                  </w:rPr>
                  <w:fldChar w:fldCharType="begin"/>
                </w:r>
                <w:r w:rsidRPr="00374404">
                  <w:rPr>
                    <w:rFonts w:ascii="Univers 55" w:hAnsi="Univers 55" w:cs="Arial"/>
                    <w:sz w:val="12"/>
                    <w:lang w:val="en-US"/>
                  </w:rPr>
                  <w:instrText xml:space="preserve"> DOCPROPERTY "KISFirmPrtName" </w:instrText>
                </w:r>
                <w:r w:rsidR="009154AB" w:rsidRPr="00374404">
                  <w:rPr>
                    <w:rFonts w:ascii="Univers 55" w:hAnsi="Univers 55" w:cs="Arial"/>
                    <w:sz w:val="12"/>
                    <w:lang w:val="en-US"/>
                  </w:rPr>
                  <w:fldChar w:fldCharType="separate"/>
                </w:r>
                <w:r>
                  <w:rPr>
                    <w:rFonts w:ascii="Univers 55" w:hAnsi="Univers 55" w:cs="Arial"/>
                    <w:sz w:val="12"/>
                    <w:lang w:val="en-US"/>
                  </w:rPr>
                  <w:instrText>KPMG Asesores S.L.</w:instrText>
                </w:r>
                <w:r w:rsidR="009154AB" w:rsidRPr="00374404">
                  <w:rPr>
                    <w:rFonts w:ascii="Univers 55" w:hAnsi="Univers 55" w:cs="Arial"/>
                    <w:sz w:val="12"/>
                    <w:lang w:val="en-US"/>
                  </w:rPr>
                  <w:fldChar w:fldCharType="end"/>
                </w:r>
                <w:r w:rsidRPr="00374404">
                  <w:rPr>
                    <w:rFonts w:ascii="Univers 55" w:hAnsi="Univers 55" w:cs="Arial"/>
                    <w:sz w:val="12"/>
                    <w:lang w:val="en-US"/>
                  </w:rPr>
                  <w:instrText xml:space="preserve">" "KPMG </w:instrText>
                </w:r>
                <w:r w:rsidR="009154AB" w:rsidRPr="00374404">
                  <w:rPr>
                    <w:rFonts w:ascii="Univers 55" w:hAnsi="Univers 55" w:cs="Arial"/>
                    <w:sz w:val="12"/>
                    <w:lang w:val="en-US"/>
                  </w:rPr>
                  <w:fldChar w:fldCharType="begin"/>
                </w:r>
                <w:r w:rsidRPr="00374404">
                  <w:rPr>
                    <w:rFonts w:ascii="Univers 55" w:hAnsi="Univers 55" w:cs="Arial"/>
                    <w:sz w:val="12"/>
                    <w:lang w:val="en-US"/>
                  </w:rPr>
                  <w:instrText xml:space="preserve"> DOCPROPERTY "KISSvcPrtName" </w:instrText>
                </w:r>
                <w:r w:rsidR="009154AB" w:rsidRPr="00374404">
                  <w:rPr>
                    <w:rFonts w:ascii="Univers 55" w:hAnsi="Univers 55" w:cs="Arial"/>
                    <w:sz w:val="12"/>
                    <w:lang w:val="en-US"/>
                  </w:rPr>
                  <w:fldChar w:fldCharType="separate"/>
                </w:r>
                <w:r w:rsidRPr="00374404">
                  <w:rPr>
                    <w:rFonts w:ascii="Univers 55" w:hAnsi="Univers 55" w:cs="Arial"/>
                    <w:sz w:val="12"/>
                    <w:lang w:val="en-US"/>
                  </w:rPr>
                  <w:instrText>Core service or market</w:instrText>
                </w:r>
                <w:r w:rsidR="009154AB" w:rsidRPr="00374404">
                  <w:rPr>
                    <w:rFonts w:ascii="Univers 55" w:hAnsi="Univers 55" w:cs="Arial"/>
                    <w:sz w:val="12"/>
                    <w:lang w:val="en-US"/>
                  </w:rPr>
                  <w:fldChar w:fldCharType="end"/>
                </w:r>
                <w:r w:rsidRPr="00374404">
                  <w:rPr>
                    <w:rFonts w:ascii="Univers 55" w:hAnsi="Univers 55" w:cs="Arial"/>
                    <w:sz w:val="12"/>
                    <w:lang w:val="en-US"/>
                  </w:rPr>
                  <w:instrText xml:space="preserve">" </w:instrText>
                </w:r>
                <w:r w:rsidR="009154AB" w:rsidRPr="00374404">
                  <w:rPr>
                    <w:rFonts w:ascii="Univers 55" w:hAnsi="Univers 55" w:cs="Arial"/>
                    <w:sz w:val="12"/>
                    <w:lang w:val="en-US"/>
                  </w:rPr>
                  <w:fldChar w:fldCharType="separate"/>
                </w:r>
                <w:r w:rsidR="006855A9">
                  <w:rPr>
                    <w:rFonts w:ascii="Univers 55" w:hAnsi="Univers 55" w:cs="Arial"/>
                    <w:noProof/>
                    <w:sz w:val="12"/>
                    <w:lang w:val="en-US"/>
                  </w:rPr>
                  <w:t>KPMG Asesores S.L.</w:t>
                </w:r>
                <w:r w:rsidR="009154AB" w:rsidRPr="00374404">
                  <w:rPr>
                    <w:rFonts w:ascii="Univers 55" w:hAnsi="Univers 55" w:cs="Arial"/>
                    <w:sz w:val="12"/>
                    <w:lang w:val="en-US"/>
                  </w:rPr>
                  <w:fldChar w:fldCharType="end"/>
                </w:r>
                <w:r w:rsidRPr="00374404">
                  <w:rPr>
                    <w:rFonts w:ascii="Univers 55" w:hAnsi="Univers 55" w:cs="Arial"/>
                    <w:sz w:val="12"/>
                    <w:lang w:val="en-US"/>
                  </w:rPr>
                  <w:t>. All rights reserved.</w:t>
                </w:r>
              </w:p>
            </w:txbxContent>
          </v:textbox>
          <w10:wrap anchory="page"/>
        </v:shape>
      </w:pict>
    </w:r>
    <w:r>
      <w:rPr>
        <w:rStyle w:val="Nmerodepgina"/>
      </w:rPr>
      <w:fldChar w:fldCharType="begin"/>
    </w:r>
    <w:r w:rsidR="00A5357D">
      <w:rPr>
        <w:rStyle w:val="Nmerodepgina"/>
      </w:rPr>
      <w:instrText xml:space="preserve"> PAGE </w:instrText>
    </w:r>
    <w:r>
      <w:rPr>
        <w:rStyle w:val="Nmerodepgina"/>
      </w:rPr>
      <w:fldChar w:fldCharType="separate"/>
    </w:r>
    <w:r w:rsidR="00A5357D">
      <w:rPr>
        <w:rStyle w:val="Nmerodepgina"/>
        <w:noProof/>
      </w:rPr>
      <w:t>ii</w:t>
    </w:r>
    <w:r>
      <w:rPr>
        <w:rStyle w:val="Nmerodepgina"/>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57D" w:rsidRDefault="009154AB">
    <w:pPr>
      <w:pStyle w:val="Piedepgina"/>
      <w:framePr w:hSpace="181" w:wrap="around" w:vAnchor="text" w:hAnchor="text" w:xAlign="right" w:y="1"/>
    </w:pPr>
    <w:r>
      <w:rPr>
        <w:rStyle w:val="Nmerodepgina"/>
      </w:rPr>
      <w:fldChar w:fldCharType="begin"/>
    </w:r>
    <w:r w:rsidR="00A5357D">
      <w:rPr>
        <w:rStyle w:val="Nmerodepgina"/>
      </w:rPr>
      <w:instrText xml:space="preserve"> PAGE </w:instrText>
    </w:r>
    <w:r>
      <w:rPr>
        <w:rStyle w:val="Nmerodepgina"/>
      </w:rPr>
      <w:fldChar w:fldCharType="separate"/>
    </w:r>
    <w:r w:rsidR="006855A9">
      <w:rPr>
        <w:rStyle w:val="Nmerodepgina"/>
        <w:noProof/>
      </w:rPr>
      <w:t>ii</w:t>
    </w:r>
    <w:r>
      <w:rPr>
        <w:rStyle w:val="Nmerodepgina"/>
      </w:rPr>
      <w:fldChar w:fldCharType="end"/>
    </w:r>
  </w:p>
  <w:p w:rsidR="00A5357D" w:rsidRDefault="00A5357D" w:rsidP="005F45FF">
    <w:pPr>
      <w:pStyle w:val="Piedepg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57D" w:rsidRDefault="00A5357D">
    <w:pPr>
      <w:pStyle w:val="Piedepgina"/>
      <w:framePr w:hSpace="181" w:wrap="around" w:vAnchor="text" w:hAnchor="text" w:xAlign="right" w:y="1"/>
    </w:pPr>
    <w:r>
      <w:rPr>
        <w:rStyle w:val="Nmerodepgina"/>
      </w:rPr>
      <w:pgNum/>
    </w:r>
  </w:p>
  <w:p w:rsidR="00A5357D" w:rsidRDefault="00A5357D" w:rsidP="002E6515">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D3532" w:rsidRDefault="001D3532">
      <w:r>
        <w:separator/>
      </w:r>
    </w:p>
  </w:footnote>
  <w:footnote w:type="continuationSeparator" w:id="0">
    <w:p w:rsidR="001D3532" w:rsidRDefault="001D3532">
      <w:r>
        <w:continuationSeparator/>
      </w:r>
    </w:p>
  </w:footnote>
  <w:footnote w:id="1">
    <w:p w:rsidR="00A5357D" w:rsidRPr="002959F0" w:rsidRDefault="00A5357D">
      <w:pPr>
        <w:pStyle w:val="Default"/>
        <w:rPr>
          <w:lang w:val="es-ES_tradnl"/>
        </w:rPr>
      </w:pPr>
      <w:r>
        <w:rPr>
          <w:rStyle w:val="Refdenotaalpie"/>
          <w:rFonts w:cs="Arial"/>
        </w:rPr>
        <w:footnoteRef/>
      </w:r>
      <w:r>
        <w:rPr>
          <w:rFonts w:ascii="MinionPro-Regular" w:hAnsi="MinionPro-Regular" w:cs="Times New Roman"/>
          <w:color w:val="auto"/>
          <w:sz w:val="18"/>
          <w:lang w:eastAsia="en-US"/>
        </w:rPr>
        <w:t>“</w:t>
      </w:r>
      <w:r w:rsidRPr="00455028">
        <w:rPr>
          <w:rFonts w:ascii="MinionPro-Regular" w:hAnsi="MinionPro-Regular" w:cs="Times New Roman"/>
          <w:color w:val="auto"/>
          <w:sz w:val="18"/>
          <w:lang w:eastAsia="en-US"/>
        </w:rPr>
        <w:t>GP experience of the impact of austerity on patients and general practices in very deprived areas</w:t>
      </w:r>
      <w:r>
        <w:rPr>
          <w:rFonts w:ascii="MinionPro-Regular" w:hAnsi="MinionPro-Regular" w:cs="Times New Roman"/>
          <w:color w:val="auto"/>
          <w:sz w:val="18"/>
          <w:lang w:eastAsia="en-US"/>
        </w:rPr>
        <w:t>”</w:t>
      </w:r>
      <w:r w:rsidRPr="00455028">
        <w:rPr>
          <w:rFonts w:ascii="MinionPro-Regular" w:hAnsi="MinionPro-Regular" w:cs="Times New Roman"/>
          <w:color w:val="auto"/>
          <w:sz w:val="18"/>
          <w:lang w:eastAsia="en-US"/>
        </w:rPr>
        <w:t xml:space="preserve"> University of Glasgow</w:t>
      </w:r>
      <w:r>
        <w:rPr>
          <w:rFonts w:ascii="MinionPro-Regular" w:hAnsi="MinionPro-Regular" w:cs="Times New Roman"/>
          <w:color w:val="auto"/>
          <w:sz w:val="18"/>
          <w:lang w:eastAsia="en-US"/>
        </w:rPr>
        <w:t xml:space="preserve">. </w:t>
      </w:r>
      <w:r w:rsidRPr="00455028">
        <w:rPr>
          <w:rFonts w:ascii="MinionPro-Regular" w:hAnsi="MinionPro-Regular" w:cs="Times New Roman"/>
          <w:color w:val="auto"/>
          <w:sz w:val="18"/>
          <w:lang w:val="es-ES_tradnl" w:eastAsia="en-US"/>
        </w:rPr>
        <w:t>Mar</w:t>
      </w:r>
      <w:r>
        <w:rPr>
          <w:rFonts w:ascii="MinionPro-Regular" w:hAnsi="MinionPro-Regular" w:cs="Times New Roman"/>
          <w:color w:val="auto"/>
          <w:sz w:val="18"/>
          <w:lang w:val="es-ES_tradnl" w:eastAsia="en-US"/>
        </w:rPr>
        <w:t>zo</w:t>
      </w:r>
      <w:r w:rsidRPr="00455028">
        <w:rPr>
          <w:rFonts w:ascii="MinionPro-Regular" w:hAnsi="MinionPro-Regular" w:cs="Times New Roman"/>
          <w:color w:val="auto"/>
          <w:sz w:val="18"/>
          <w:lang w:val="es-ES_tradnl" w:eastAsia="en-US"/>
        </w:rPr>
        <w:t xml:space="preserve"> 2012.</w:t>
      </w:r>
    </w:p>
  </w:footnote>
  <w:footnote w:id="2">
    <w:p w:rsidR="00A5357D" w:rsidRPr="00F53FA0" w:rsidRDefault="00A5357D">
      <w:pPr>
        <w:pStyle w:val="Textonotapie"/>
        <w:rPr>
          <w:lang w:val="es-ES_tradnl"/>
        </w:rPr>
      </w:pPr>
      <w:r>
        <w:rPr>
          <w:rStyle w:val="Refdenotaalpie"/>
        </w:rPr>
        <w:footnoteRef/>
      </w:r>
      <w:r>
        <w:t xml:space="preserve"> </w:t>
      </w:r>
      <w:r>
        <w:rPr>
          <w:lang w:val="es-ES_tradnl"/>
        </w:rPr>
        <w:t>Fuente: Comisión Europea, Europa 2020: Una estrategia para un crecimiento inteligente, sostenible e integrador.</w:t>
      </w:r>
    </w:p>
  </w:footnote>
  <w:footnote w:id="3">
    <w:p w:rsidR="00A5357D" w:rsidRDefault="00A5357D" w:rsidP="00F845E5">
      <w:pPr>
        <w:pStyle w:val="Textonotapie"/>
      </w:pPr>
      <w:r w:rsidRPr="00794594">
        <w:rPr>
          <w:rStyle w:val="Refdenotaalpie"/>
          <w:rFonts w:ascii="MinionPro-Regular" w:hAnsi="MinionPro-Regular"/>
        </w:rPr>
        <w:footnoteRef/>
      </w:r>
      <w:r w:rsidRPr="00794594">
        <w:rPr>
          <w:rFonts w:ascii="MinionPro-Regular" w:hAnsi="MinionPro-Regular"/>
        </w:rPr>
        <w:t xml:space="preserve"> http://www.oecd.org/els/socialpoliciesanddata/46488022.pdf</w:t>
      </w:r>
    </w:p>
  </w:footnote>
  <w:footnote w:id="4">
    <w:p w:rsidR="00A5357D" w:rsidRDefault="00A5357D">
      <w:pPr>
        <w:pStyle w:val="Textonotapie"/>
      </w:pPr>
      <w:r w:rsidRPr="00794594">
        <w:rPr>
          <w:rStyle w:val="Refdenotaalpie"/>
          <w:rFonts w:ascii="MinionPro-Regular" w:hAnsi="MinionPro-Regular"/>
        </w:rPr>
        <w:footnoteRef/>
      </w:r>
      <w:r w:rsidRPr="00794594">
        <w:rPr>
          <w:rFonts w:ascii="MinionPro-Regular" w:hAnsi="MinionPro-Regular"/>
        </w:rPr>
        <w:t xml:space="preserve"> Colección Estudios Sociales Num. 33. Discapacidades e inclusión social. La Caixa.</w:t>
      </w:r>
    </w:p>
  </w:footnote>
  <w:footnote w:id="5">
    <w:p w:rsidR="00A5357D" w:rsidRDefault="00A5357D" w:rsidP="006436B1">
      <w:pPr>
        <w:pStyle w:val="Textonotapie"/>
      </w:pPr>
      <w:r w:rsidRPr="00794594">
        <w:rPr>
          <w:rStyle w:val="Refdenotaalpie"/>
          <w:rFonts w:ascii="MinionPro-Regular" w:hAnsi="MinionPro-Regular"/>
        </w:rPr>
        <w:footnoteRef/>
      </w:r>
      <w:r w:rsidRPr="00794594">
        <w:rPr>
          <w:rFonts w:ascii="MinionPro-Regular" w:hAnsi="MinionPro-Regular"/>
        </w:rPr>
        <w:t xml:space="preserve"> Informe Mundial sobre discapacidad. Organización Mundial de la Salud y Banco Mundial</w:t>
      </w:r>
    </w:p>
  </w:footnote>
  <w:footnote w:id="6">
    <w:p w:rsidR="00A5357D" w:rsidRDefault="00A5357D">
      <w:pPr>
        <w:pStyle w:val="Textonotapie"/>
      </w:pPr>
      <w:r w:rsidRPr="00794594">
        <w:rPr>
          <w:rStyle w:val="Refdenotaalpie"/>
          <w:rFonts w:ascii="MinionPro-Regular" w:hAnsi="MinionPro-Regular"/>
        </w:rPr>
        <w:footnoteRef/>
      </w:r>
      <w:r w:rsidRPr="00794594">
        <w:rPr>
          <w:rFonts w:ascii="MinionPro-Regular" w:hAnsi="MinionPro-Regular"/>
        </w:rPr>
        <w:t xml:space="preserve"> Estudio sobre el agravio comparativo económico que ocasiona la discapacidad. Universidad Carlos III y Ministerio de Sanidad, Política Social e Igualdad. </w:t>
      </w:r>
      <w:r w:rsidRPr="0081432A">
        <w:rPr>
          <w:rFonts w:ascii="MinionPro-Regular" w:hAnsi="MinionPro-Regular"/>
        </w:rPr>
        <w:t>Año 2008.</w:t>
      </w:r>
    </w:p>
  </w:footnote>
  <w:footnote w:id="7">
    <w:p w:rsidR="00A5357D" w:rsidRDefault="00A5357D">
      <w:pPr>
        <w:pStyle w:val="Textonotapie"/>
      </w:pPr>
      <w:r>
        <w:rPr>
          <w:rStyle w:val="Refdenotaalpie"/>
        </w:rPr>
        <w:footnoteRef/>
      </w:r>
      <w:r>
        <w:t xml:space="preserve"> </w:t>
      </w:r>
      <w:r>
        <w:rPr>
          <w:lang w:val="es-ES_tradnl"/>
        </w:rPr>
        <w:t>Informe del Mercado de Trabajo Estatal. SPEE. Datos 2011.</w:t>
      </w:r>
    </w:p>
  </w:footnote>
  <w:footnote w:id="8">
    <w:p w:rsidR="00A5357D" w:rsidRDefault="00A5357D">
      <w:pPr>
        <w:pStyle w:val="Textonotapie"/>
      </w:pPr>
      <w:r w:rsidRPr="00794594">
        <w:rPr>
          <w:rStyle w:val="Refdenotaalpie"/>
          <w:rFonts w:ascii="MinionPro-Regular" w:hAnsi="MinionPro-Regular"/>
        </w:rPr>
        <w:footnoteRef/>
      </w:r>
      <w:r w:rsidRPr="0081432A">
        <w:rPr>
          <w:rFonts w:ascii="MinionPro-Regular" w:hAnsi="MinionPro-Regular"/>
        </w:rPr>
        <w:t xml:space="preserve"> Discrimination in the EU, Eurobarómetro 71.2</w:t>
      </w:r>
    </w:p>
  </w:footnote>
  <w:footnote w:id="9">
    <w:p w:rsidR="00A5357D" w:rsidRPr="002959F0" w:rsidRDefault="00A5357D" w:rsidP="004D03DD">
      <w:pPr>
        <w:pStyle w:val="Textonotapie"/>
        <w:rPr>
          <w:lang w:val="en-US"/>
        </w:rPr>
      </w:pPr>
      <w:r w:rsidRPr="00794594">
        <w:rPr>
          <w:rStyle w:val="Refdenotaalpie"/>
          <w:rFonts w:ascii="MinionPro-Regular" w:hAnsi="MinionPro-Regular"/>
        </w:rPr>
        <w:footnoteRef/>
      </w:r>
      <w:r w:rsidRPr="00794594">
        <w:rPr>
          <w:rFonts w:ascii="MinionPro-Regular" w:hAnsi="MinionPro-Regular"/>
          <w:lang w:val="en-US"/>
        </w:rPr>
        <w:t xml:space="preserve"> </w:t>
      </w:r>
      <w:r w:rsidRPr="0081432A">
        <w:rPr>
          <w:rFonts w:ascii="MinionPro-Regular" w:hAnsi="MinionPro-Regular" w:cs="Myriad Pro SemiCond"/>
          <w:iCs/>
          <w:color w:val="211D1E"/>
          <w:szCs w:val="18"/>
          <w:lang w:val="en-US"/>
        </w:rPr>
        <w:t>Quality in and equality of access to healthcare services</w:t>
      </w:r>
      <w:r w:rsidRPr="00794594">
        <w:rPr>
          <w:rFonts w:ascii="MinionPro-Regular" w:hAnsi="MinionPro-Regular" w:cs="Myriad Pro SemiCond"/>
          <w:color w:val="211D1E"/>
          <w:szCs w:val="18"/>
          <w:lang w:val="en-US"/>
        </w:rPr>
        <w:t>. Brussels, European Commission, Directorate General for Employment, Social Affairs and Equal Opportunities, 2008.</w:t>
      </w:r>
    </w:p>
  </w:footnote>
  <w:footnote w:id="10">
    <w:p w:rsidR="00A5357D" w:rsidRPr="002959F0" w:rsidRDefault="00A5357D" w:rsidP="004D03DD">
      <w:pPr>
        <w:pStyle w:val="Textonotapie"/>
        <w:rPr>
          <w:lang w:val="en-US"/>
        </w:rPr>
      </w:pPr>
      <w:r>
        <w:rPr>
          <w:rStyle w:val="Refdenotaalpie"/>
        </w:rPr>
        <w:footnoteRef/>
      </w:r>
      <w:r w:rsidRPr="00396C4E">
        <w:rPr>
          <w:lang w:val="en-US"/>
        </w:rPr>
        <w:t xml:space="preserve"> </w:t>
      </w:r>
      <w:r>
        <w:rPr>
          <w:lang w:val="en-US"/>
        </w:rPr>
        <w:t>www.do.se</w:t>
      </w:r>
    </w:p>
  </w:footnote>
  <w:footnote w:id="11">
    <w:p w:rsidR="00A5357D" w:rsidRPr="002959F0" w:rsidRDefault="00A5357D" w:rsidP="004D03DD">
      <w:pPr>
        <w:pStyle w:val="Textonotapie"/>
        <w:rPr>
          <w:lang w:val="en-US"/>
        </w:rPr>
      </w:pPr>
      <w:r w:rsidRPr="00BF365F">
        <w:rPr>
          <w:rStyle w:val="Refdenotaalpie"/>
          <w:rFonts w:ascii="MinionPro-Regular" w:hAnsi="MinionPro-Regular"/>
        </w:rPr>
        <w:footnoteRef/>
      </w:r>
      <w:r w:rsidRPr="00BF365F">
        <w:rPr>
          <w:rFonts w:ascii="MinionPro-Regular" w:hAnsi="MinionPro-Regular"/>
          <w:lang w:val="en-US"/>
        </w:rPr>
        <w:t xml:space="preserve"> http://www.euro.centre.org/data/1201610451_25081.pdf</w:t>
      </w:r>
    </w:p>
  </w:footnote>
  <w:footnote w:id="12">
    <w:p w:rsidR="00A5357D" w:rsidRPr="002959F0" w:rsidRDefault="00A5357D">
      <w:pPr>
        <w:rPr>
          <w:lang w:val="en-US"/>
        </w:rPr>
      </w:pPr>
      <w:r w:rsidRPr="00BF365F">
        <w:rPr>
          <w:rStyle w:val="Refdenotaalpie"/>
          <w:rFonts w:ascii="MinionPro-Regular" w:hAnsi="MinionPro-Regular"/>
        </w:rPr>
        <w:footnoteRef/>
      </w:r>
      <w:r w:rsidRPr="00D53CAB">
        <w:rPr>
          <w:rFonts w:ascii="MinionPro-Regular" w:hAnsi="MinionPro-Regular"/>
          <w:lang w:val="en-US"/>
        </w:rPr>
        <w:t xml:space="preserve"> </w:t>
      </w:r>
      <w:r w:rsidRPr="00BF365F">
        <w:rPr>
          <w:rFonts w:ascii="MinionPro-Regular" w:hAnsi="MinionPro-Regular"/>
          <w:sz w:val="18"/>
          <w:szCs w:val="18"/>
          <w:lang w:val="en-US"/>
        </w:rPr>
        <w:t>Equality Act 2010</w:t>
      </w:r>
    </w:p>
  </w:footnote>
  <w:footnote w:id="13">
    <w:p w:rsidR="00A5357D" w:rsidRPr="002959F0" w:rsidRDefault="00A5357D" w:rsidP="006F3A94">
      <w:pPr>
        <w:pStyle w:val="Textonotapie"/>
        <w:rPr>
          <w:lang w:val="en-US"/>
        </w:rPr>
      </w:pPr>
      <w:r w:rsidRPr="00BF365F">
        <w:rPr>
          <w:rStyle w:val="Refdenotaalpie"/>
          <w:rFonts w:ascii="MinionPro-Regular" w:hAnsi="MinionPro-Regular"/>
        </w:rPr>
        <w:footnoteRef/>
      </w:r>
      <w:r w:rsidRPr="00BF365F">
        <w:rPr>
          <w:rFonts w:ascii="MinionPro-Regular" w:hAnsi="MinionPro-Regular"/>
          <w:lang w:val="en-US"/>
        </w:rPr>
        <w:t xml:space="preserve"> Act on Social Enterprises 2003</w:t>
      </w:r>
    </w:p>
  </w:footnote>
  <w:footnote w:id="14">
    <w:p w:rsidR="00A5357D" w:rsidRDefault="00A5357D" w:rsidP="006F3A94">
      <w:pPr>
        <w:pStyle w:val="Textonotapie"/>
      </w:pPr>
      <w:r w:rsidRPr="00BF365F">
        <w:rPr>
          <w:rStyle w:val="Refdenotaalpie"/>
          <w:rFonts w:ascii="MinionPro-Regular" w:hAnsi="MinionPro-Regular"/>
        </w:rPr>
        <w:footnoteRef/>
      </w:r>
      <w:r w:rsidRPr="00BF365F">
        <w:rPr>
          <w:rFonts w:ascii="MinionPro-Regular" w:hAnsi="MinionPro-Regular"/>
          <w:lang w:val="en-US"/>
        </w:rPr>
        <w:t xml:space="preserve"> The Labour Market Situation of People with Disabilities in EU25. </w:t>
      </w:r>
      <w:r w:rsidRPr="0081432A">
        <w:rPr>
          <w:rFonts w:ascii="MinionPro-Regular" w:hAnsi="MinionPro-Regular"/>
        </w:rPr>
        <w:t>The European Centre. 2008</w:t>
      </w:r>
    </w:p>
  </w:footnote>
  <w:footnote w:id="15">
    <w:p w:rsidR="00A5357D" w:rsidRDefault="00A5357D">
      <w:pPr>
        <w:pStyle w:val="Textonotapie"/>
      </w:pPr>
      <w:r w:rsidRPr="00BF365F">
        <w:rPr>
          <w:rStyle w:val="Refdenotaalpie"/>
          <w:rFonts w:ascii="MinionPro-Regular" w:hAnsi="MinionPro-Regular"/>
        </w:rPr>
        <w:footnoteRef/>
      </w:r>
      <w:r w:rsidRPr="00BF365F">
        <w:rPr>
          <w:rFonts w:ascii="MinionPro-Regular" w:hAnsi="MinionPro-Regular"/>
        </w:rPr>
        <w:t xml:space="preserve"> Estrategia global de acción para el empleo de personas con discapacidad 2008-2012. Ministerio de Trabajo e Inmigración.</w:t>
      </w:r>
    </w:p>
  </w:footnote>
  <w:footnote w:id="16">
    <w:p w:rsidR="00A5357D" w:rsidRDefault="00A5357D">
      <w:pPr>
        <w:pStyle w:val="Textonotapie"/>
      </w:pPr>
      <w:r w:rsidRPr="00347B59">
        <w:rPr>
          <w:rStyle w:val="Refdenotaalpie"/>
          <w:rFonts w:ascii="MinionPro-Regular" w:hAnsi="MinionPro-Regular"/>
        </w:rPr>
        <w:footnoteRef/>
      </w:r>
      <w:r w:rsidRPr="00F23441">
        <w:rPr>
          <w:rFonts w:ascii="MinionPro-Regular" w:hAnsi="MinionPro-Regular"/>
          <w:lang w:val="es-ES_tradnl"/>
        </w:rPr>
        <w:t xml:space="preserve"> Naheed Nawazesh Roni. Manchester Metropolitan University. </w:t>
      </w:r>
      <w:r w:rsidRPr="00347B59">
        <w:rPr>
          <w:rFonts w:ascii="MinionPro-Regular" w:hAnsi="MinionPro-Regular"/>
          <w:lang w:val="es-ES_tradnl"/>
        </w:rPr>
        <w:t>2009</w:t>
      </w:r>
    </w:p>
  </w:footnote>
  <w:footnote w:id="17">
    <w:p w:rsidR="00A5357D" w:rsidRDefault="00A5357D" w:rsidP="004B21DB">
      <w:pPr>
        <w:pStyle w:val="Textonotapie"/>
      </w:pPr>
      <w:r w:rsidRPr="007E120F">
        <w:rPr>
          <w:rStyle w:val="Refdenotaalpie"/>
          <w:rFonts w:ascii="MinionPro-Regular" w:hAnsi="MinionPro-Regular"/>
        </w:rPr>
        <w:footnoteRef/>
      </w:r>
      <w:r w:rsidRPr="00455028">
        <w:rPr>
          <w:rFonts w:ascii="MinionPro-Regular" w:hAnsi="MinionPro-Regular"/>
        </w:rPr>
        <w:t xml:space="preserve"> Informe mundial sobre discapacidad. </w:t>
      </w:r>
      <w:r w:rsidRPr="007E120F">
        <w:rPr>
          <w:rFonts w:ascii="MinionPro-Regular" w:hAnsi="MinionPro-Regular"/>
        </w:rPr>
        <w:t>Organización Mundial de la Salud y Banco Mundial</w:t>
      </w:r>
    </w:p>
  </w:footnote>
  <w:footnote w:id="18">
    <w:p w:rsidR="00A5357D" w:rsidRDefault="00A5357D">
      <w:pPr>
        <w:pStyle w:val="Textonotapie"/>
      </w:pPr>
      <w:r>
        <w:rPr>
          <w:rStyle w:val="Refdenotaalpie"/>
        </w:rPr>
        <w:footnoteRef/>
      </w:r>
      <w:r>
        <w:t xml:space="preserve"> </w:t>
      </w:r>
      <w:r w:rsidRPr="00F35E6D">
        <w:t>http://www.oecd.org/els/familiesandchildren/CO3.1%20Educational%20attainment%20by%20gender%20-%20updated%20051012.pdf</w:t>
      </w:r>
    </w:p>
  </w:footnote>
  <w:footnote w:id="19">
    <w:p w:rsidR="00A5357D" w:rsidRPr="002959F0" w:rsidRDefault="00A5357D" w:rsidP="001B0EA4">
      <w:pPr>
        <w:pStyle w:val="Textonotapie"/>
        <w:rPr>
          <w:lang w:val="en-US"/>
        </w:rPr>
      </w:pPr>
      <w:r w:rsidRPr="00347B59">
        <w:rPr>
          <w:rStyle w:val="Refdenotaalpie"/>
          <w:rFonts w:ascii="MineonPro-Regular" w:hAnsi="MineonPro-Regular"/>
        </w:rPr>
        <w:footnoteRef/>
      </w:r>
      <w:r w:rsidRPr="00347B59">
        <w:rPr>
          <w:rFonts w:ascii="MineonPro-Regular" w:hAnsi="MineonPro-Regular"/>
          <w:lang w:val="en-US"/>
        </w:rPr>
        <w:t xml:space="preserve"> Sickness, Disability and Work. OCDE.</w:t>
      </w:r>
    </w:p>
  </w:footnote>
  <w:footnote w:id="20">
    <w:p w:rsidR="00A5357D" w:rsidRPr="007A408D" w:rsidRDefault="00A5357D">
      <w:r w:rsidRPr="007A408D">
        <w:rPr>
          <w:rStyle w:val="Refdenotaalpie"/>
        </w:rPr>
        <w:footnoteRef/>
      </w:r>
      <w:r w:rsidRPr="007A408D">
        <w:t xml:space="preserve"> </w:t>
      </w:r>
      <w:r w:rsidRPr="007A408D">
        <w:rPr>
          <w:rFonts w:ascii="MS Shell Dlg 2" w:hAnsi="MS Shell Dlg 2"/>
          <w:sz w:val="18"/>
          <w:szCs w:val="18"/>
          <w:lang w:eastAsia="es-ES"/>
        </w:rPr>
        <w:t>ONU</w:t>
      </w:r>
      <w:r w:rsidRPr="007A408D">
        <w:rPr>
          <w:rFonts w:ascii="MS Shell Dlg 2" w:hAnsi="MS Shell Dlg 2"/>
          <w:szCs w:val="18"/>
          <w:lang w:eastAsia="es-ES"/>
        </w:rPr>
        <w:t xml:space="preserve">. </w:t>
      </w:r>
      <w:r w:rsidRPr="007A408D">
        <w:rPr>
          <w:rFonts w:ascii="MS Shell Dlg 2" w:hAnsi="MS Shell Dlg 2"/>
          <w:sz w:val="18"/>
          <w:szCs w:val="18"/>
          <w:lang w:eastAsia="es-ES"/>
        </w:rPr>
        <w:t>Convención sobre los derechos de las personas con discapacidad.</w:t>
      </w:r>
    </w:p>
  </w:footnote>
  <w:footnote w:id="21">
    <w:p w:rsidR="00A5357D" w:rsidRDefault="00A5357D" w:rsidP="001B0EA4">
      <w:r>
        <w:rPr>
          <w:rStyle w:val="Refdenotaalpie"/>
        </w:rPr>
        <w:footnoteRef/>
      </w:r>
      <w:r w:rsidRPr="00DE7997">
        <w:t xml:space="preserve"> </w:t>
      </w:r>
      <w:r w:rsidRPr="00835CB6">
        <w:rPr>
          <w:rFonts w:ascii="MS Shell Dlg 2" w:hAnsi="MS Shell Dlg 2"/>
          <w:color w:val="000000"/>
          <w:sz w:val="18"/>
          <w:szCs w:val="18"/>
          <w:lang w:eastAsia="es-ES"/>
        </w:rPr>
        <w:t>Instituto de Mayores y Servicios Sociales</w:t>
      </w:r>
      <w:r>
        <w:rPr>
          <w:rFonts w:ascii="MS Shell Dlg 2" w:hAnsi="MS Shell Dlg 2"/>
          <w:color w:val="000000"/>
          <w:sz w:val="18"/>
          <w:szCs w:val="18"/>
          <w:lang w:eastAsia="es-ES"/>
        </w:rPr>
        <w:t xml:space="preserve"> (INSERSO) Ministerio de Sanidad, Servicios Sociales e Igualdad.</w:t>
      </w:r>
    </w:p>
  </w:footnote>
  <w:footnote w:id="22">
    <w:p w:rsidR="00A5357D" w:rsidRPr="00142B0F" w:rsidRDefault="00A5357D" w:rsidP="001B0EA4">
      <w:pPr>
        <w:pStyle w:val="Textonotapie"/>
        <w:rPr>
          <w:lang w:val="en-US"/>
        </w:rPr>
      </w:pPr>
      <w:r w:rsidRPr="0059082A">
        <w:rPr>
          <w:rStyle w:val="Refdenotaalpie"/>
          <w:lang w:val="en-US"/>
        </w:rPr>
        <w:footnoteRef/>
      </w:r>
      <w:r w:rsidRPr="0059082A">
        <w:rPr>
          <w:lang w:val="en-US"/>
        </w:rPr>
        <w:t xml:space="preserve"> Definitions of disability in Europe, a comparative analysis. Employment and social affairs. European Commission. </w:t>
      </w:r>
      <w:r w:rsidRPr="00142B0F">
        <w:rPr>
          <w:lang w:val="en-US"/>
        </w:rPr>
        <w:t>2002.</w:t>
      </w:r>
    </w:p>
  </w:footnote>
  <w:footnote w:id="23">
    <w:p w:rsidR="00A5357D" w:rsidRPr="003737D2" w:rsidRDefault="00A5357D">
      <w:pPr>
        <w:pStyle w:val="Textonotapie"/>
      </w:pPr>
      <w:r w:rsidRPr="003737D2">
        <w:rPr>
          <w:rStyle w:val="Refdenotaalpie"/>
        </w:rPr>
        <w:footnoteRef/>
      </w:r>
      <w:r w:rsidRPr="003737D2">
        <w:rPr>
          <w:lang w:val="en-US"/>
        </w:rPr>
        <w:t xml:space="preserve"> Swedish disability movement’s alternative report to the UN Committee on the Rights of Persons with Disabilities. </w:t>
      </w:r>
      <w:r w:rsidRPr="003737D2">
        <w:t>The Swedish Disability Federation.</w:t>
      </w:r>
    </w:p>
  </w:footnote>
  <w:footnote w:id="24">
    <w:p w:rsidR="00A5357D" w:rsidRPr="002959F0" w:rsidRDefault="00A5357D" w:rsidP="001B0EA4">
      <w:pPr>
        <w:pStyle w:val="Textonotapie"/>
        <w:rPr>
          <w:lang w:val="en-US"/>
        </w:rPr>
      </w:pPr>
      <w:r w:rsidRPr="007E120F">
        <w:rPr>
          <w:rStyle w:val="Refdenotaalpie"/>
          <w:rFonts w:ascii="MinionPro-Regular" w:hAnsi="MinionPro-Regular"/>
        </w:rPr>
        <w:footnoteRef/>
      </w:r>
      <w:r w:rsidRPr="007E120F">
        <w:rPr>
          <w:rFonts w:ascii="MinionPro-Regular" w:hAnsi="MinionPro-Regular"/>
          <w:lang w:val="es-ES_tradnl"/>
        </w:rPr>
        <w:t xml:space="preserve"> Discapacidad y exclusión social en la Unión Europea. Tiempo de cambio, herramientas para el cambio. </w:t>
      </w:r>
      <w:r w:rsidRPr="00F23441">
        <w:rPr>
          <w:rFonts w:ascii="MinionPro-Regular" w:hAnsi="MinionPro-Regular"/>
          <w:lang w:val="en-US"/>
        </w:rPr>
        <w:t>CERMI.</w:t>
      </w:r>
    </w:p>
  </w:footnote>
  <w:footnote w:id="25">
    <w:p w:rsidR="00A5357D" w:rsidRPr="002959F0" w:rsidRDefault="00A5357D" w:rsidP="001B0EA4">
      <w:pPr>
        <w:pStyle w:val="Textonotapie"/>
        <w:rPr>
          <w:lang w:val="en-US"/>
        </w:rPr>
      </w:pPr>
      <w:r w:rsidRPr="007E120F">
        <w:rPr>
          <w:rStyle w:val="Refdenotaalpie"/>
          <w:rFonts w:ascii="MinionPro-Regular" w:hAnsi="MinionPro-Regular"/>
        </w:rPr>
        <w:footnoteRef/>
      </w:r>
      <w:r w:rsidRPr="0081432A">
        <w:rPr>
          <w:rFonts w:ascii="MinionPro-Regular" w:hAnsi="MinionPro-Regular"/>
          <w:lang w:val="en-US"/>
        </w:rPr>
        <w:t xml:space="preserve"> IDEE Indicators Of Disability Equality In Europe. ANED 2011.</w:t>
      </w:r>
    </w:p>
  </w:footnote>
  <w:footnote w:id="26">
    <w:p w:rsidR="00A5357D" w:rsidRPr="002959F0" w:rsidRDefault="00A5357D" w:rsidP="001B0EA4">
      <w:pPr>
        <w:pStyle w:val="Textonotapie"/>
        <w:rPr>
          <w:lang w:val="en-US"/>
        </w:rPr>
      </w:pPr>
      <w:r>
        <w:rPr>
          <w:rStyle w:val="Refdenotaalpie"/>
        </w:rPr>
        <w:footnoteRef/>
      </w:r>
      <w:r w:rsidRPr="0081432A">
        <w:rPr>
          <w:lang w:val="en-US"/>
        </w:rPr>
        <w:t xml:space="preserve"> </w:t>
      </w:r>
      <w:r w:rsidRPr="0081432A">
        <w:rPr>
          <w:rFonts w:ascii="MinionPro-Regular" w:hAnsi="MinionPro-Regular"/>
          <w:lang w:val="en-US"/>
        </w:rPr>
        <w:t>Study of compilation of disability statistical data from the administrative register of the member states.</w:t>
      </w:r>
    </w:p>
  </w:footnote>
  <w:footnote w:id="27">
    <w:p w:rsidR="00A5357D" w:rsidRPr="002959F0" w:rsidRDefault="00A5357D" w:rsidP="001B0EA4">
      <w:pPr>
        <w:pStyle w:val="Textonotapie"/>
        <w:rPr>
          <w:lang w:val="en-US"/>
        </w:rPr>
      </w:pPr>
      <w:r w:rsidRPr="007E120F">
        <w:rPr>
          <w:rStyle w:val="Refdenotaalpie"/>
          <w:rFonts w:ascii="MinionPro-Regular" w:hAnsi="MinionPro-Regular"/>
        </w:rPr>
        <w:footnoteRef/>
      </w:r>
      <w:r w:rsidRPr="0081432A">
        <w:rPr>
          <w:rFonts w:ascii="MinionPro-Regular" w:hAnsi="MinionPro-Regular"/>
          <w:lang w:val="en-US"/>
        </w:rPr>
        <w:t xml:space="preserve"> </w:t>
      </w:r>
      <w:r w:rsidRPr="00C07811">
        <w:rPr>
          <w:rFonts w:ascii="MinionPro-Regular" w:hAnsi="MinionPro-Regular"/>
          <w:lang w:val="en-US"/>
        </w:rPr>
        <w:t>Research and Policy Development on Part V of Disability Act 2005 – Statutory targets on employment of people with disabilities in the public sector</w:t>
      </w:r>
      <w:r w:rsidRPr="0081432A">
        <w:rPr>
          <w:rFonts w:ascii="MinionPro-Regular" w:hAnsi="MinionPro-Regular"/>
          <w:lang w:val="en-US"/>
        </w:rPr>
        <w:t>.</w:t>
      </w:r>
      <w:r>
        <w:rPr>
          <w:rFonts w:ascii="MinionPro-Regular" w:hAnsi="MinionPro-Regular"/>
          <w:lang w:val="en-US"/>
        </w:rPr>
        <w:t xml:space="preserve"> Ireland – 2007.</w:t>
      </w:r>
    </w:p>
  </w:footnote>
  <w:footnote w:id="28">
    <w:p w:rsidR="00A5357D" w:rsidRPr="002959F0" w:rsidRDefault="00A5357D" w:rsidP="001B0EA4">
      <w:pPr>
        <w:pStyle w:val="Textonotapie"/>
        <w:rPr>
          <w:lang w:val="en-US"/>
        </w:rPr>
      </w:pPr>
      <w:r w:rsidRPr="007E120F">
        <w:rPr>
          <w:rStyle w:val="Refdenotaalpie"/>
          <w:rFonts w:ascii="MinionPro-Regular" w:hAnsi="MinionPro-Regular"/>
        </w:rPr>
        <w:footnoteRef/>
      </w:r>
      <w:r w:rsidRPr="0081432A">
        <w:rPr>
          <w:rFonts w:ascii="MinionPro-Regular" w:hAnsi="MinionPro-Regular"/>
          <w:lang w:val="en-US"/>
        </w:rPr>
        <w:t xml:space="preserve"> </w:t>
      </w:r>
      <w:r w:rsidRPr="0081432A">
        <w:rPr>
          <w:rFonts w:ascii="MinionPro-Regular" w:hAnsi="MinionPro-Regular" w:cs="BookAntiqua-Italic"/>
          <w:iCs/>
          <w:sz w:val="19"/>
          <w:szCs w:val="19"/>
          <w:lang w:val="en-US" w:eastAsia="en-AU"/>
        </w:rPr>
        <w:t>Integrationsamt</w:t>
      </w:r>
    </w:p>
  </w:footnote>
  <w:footnote w:id="29">
    <w:p w:rsidR="00A5357D" w:rsidRPr="002959F0" w:rsidRDefault="00A5357D" w:rsidP="001B0EA4">
      <w:pPr>
        <w:pStyle w:val="Textonotapie"/>
        <w:rPr>
          <w:lang w:val="en-US"/>
        </w:rPr>
      </w:pPr>
      <w:r w:rsidRPr="007E120F">
        <w:rPr>
          <w:rStyle w:val="Refdenotaalpie"/>
          <w:rFonts w:ascii="MinionPro-Regular" w:hAnsi="MinionPro-Regular"/>
        </w:rPr>
        <w:footnoteRef/>
      </w:r>
      <w:r w:rsidRPr="0081432A">
        <w:rPr>
          <w:rFonts w:ascii="MinionPro-Regular" w:hAnsi="MinionPro-Regular"/>
          <w:lang w:val="en-US"/>
        </w:rPr>
        <w:t xml:space="preserve"> Company Integration Management</w:t>
      </w:r>
    </w:p>
  </w:footnote>
  <w:footnote w:id="30">
    <w:p w:rsidR="00A5357D" w:rsidRPr="002959F0" w:rsidRDefault="00A5357D" w:rsidP="001B0EA4">
      <w:pPr>
        <w:pStyle w:val="Textonotapie"/>
        <w:rPr>
          <w:lang w:val="en-US"/>
        </w:rPr>
      </w:pPr>
      <w:r w:rsidRPr="007E120F">
        <w:rPr>
          <w:rStyle w:val="Refdenotaalpie"/>
          <w:rFonts w:ascii="MinionPro-Regular" w:hAnsi="MinionPro-Regular"/>
        </w:rPr>
        <w:footnoteRef/>
      </w:r>
      <w:r w:rsidRPr="0081432A">
        <w:rPr>
          <w:rFonts w:ascii="MinionPro-Regular" w:hAnsi="MinionPro-Regular"/>
          <w:lang w:val="en-US"/>
        </w:rPr>
        <w:t xml:space="preserve"> Ombudsman</w:t>
      </w:r>
    </w:p>
  </w:footnote>
  <w:footnote w:id="31">
    <w:p w:rsidR="00A5357D" w:rsidRPr="002959F0" w:rsidRDefault="00A5357D" w:rsidP="001B0EA4">
      <w:pPr>
        <w:pStyle w:val="Textonotapie"/>
        <w:rPr>
          <w:lang w:val="en-US"/>
        </w:rPr>
      </w:pPr>
      <w:r w:rsidRPr="007E120F">
        <w:rPr>
          <w:rStyle w:val="Refdenotaalpie"/>
          <w:rFonts w:ascii="MinionPro-Regular" w:hAnsi="MinionPro-Regular"/>
        </w:rPr>
        <w:footnoteRef/>
      </w:r>
      <w:r w:rsidRPr="0081432A">
        <w:rPr>
          <w:rFonts w:ascii="MinionPro-Regular" w:hAnsi="MinionPro-Regular"/>
          <w:lang w:val="en-US"/>
        </w:rPr>
        <w:t xml:space="preserve"> Främjandelagen</w:t>
      </w:r>
    </w:p>
  </w:footnote>
  <w:footnote w:id="32">
    <w:p w:rsidR="00A5357D" w:rsidRPr="002959F0" w:rsidRDefault="00A5357D" w:rsidP="001B0EA4">
      <w:pPr>
        <w:pStyle w:val="Textonotapie"/>
        <w:rPr>
          <w:lang w:val="en-US"/>
        </w:rPr>
      </w:pPr>
      <w:r w:rsidRPr="0081432A">
        <w:rPr>
          <w:rFonts w:ascii="MinionPro-Regular" w:hAnsi="MinionPro-Regular"/>
          <w:lang w:val="en-US"/>
        </w:rPr>
        <w:footnoteRef/>
      </w:r>
      <w:r w:rsidRPr="00E7587A">
        <w:rPr>
          <w:rFonts w:ascii="MinionPro-Regular" w:hAnsi="MinionPro-Regular"/>
          <w:lang w:val="en-US"/>
        </w:rPr>
        <w:t xml:space="preserve"> </w:t>
      </w:r>
      <w:r w:rsidRPr="0081432A">
        <w:rPr>
          <w:rFonts w:ascii="MinionPro-Regular" w:hAnsi="MinionPro-Regular"/>
          <w:lang w:val="en-US"/>
        </w:rPr>
        <w:t xml:space="preserve"> http://www.remploy.co.uk/about-us.ashx</w:t>
      </w:r>
    </w:p>
  </w:footnote>
  <w:footnote w:id="33">
    <w:p w:rsidR="00A5357D" w:rsidRPr="002959F0" w:rsidRDefault="00A5357D" w:rsidP="001B0EA4">
      <w:pPr>
        <w:pStyle w:val="Textonotapie"/>
        <w:rPr>
          <w:lang w:val="en-US"/>
        </w:rPr>
      </w:pPr>
      <w:r>
        <w:rPr>
          <w:rStyle w:val="Refdenotaalpie"/>
        </w:rPr>
        <w:footnoteRef/>
      </w:r>
      <w:r w:rsidRPr="0081432A">
        <w:rPr>
          <w:lang w:val="en-US"/>
        </w:rPr>
        <w:t xml:space="preserve"> </w:t>
      </w:r>
      <w:r w:rsidRPr="0081432A">
        <w:rPr>
          <w:rFonts w:ascii="MinionPro-Regular" w:hAnsi="MinionPro-Regular" w:cs="ArialMT"/>
          <w:szCs w:val="18"/>
          <w:lang w:val="en-US" w:eastAsia="en-AU"/>
        </w:rPr>
        <w:t>Study of compilation of disability statistical data from the administrative register of the member states</w:t>
      </w:r>
    </w:p>
  </w:footnote>
  <w:footnote w:id="34">
    <w:p w:rsidR="00A5357D" w:rsidRPr="002959F0" w:rsidRDefault="00A5357D" w:rsidP="001B0EA4">
      <w:pPr>
        <w:pStyle w:val="Textonotapie"/>
        <w:rPr>
          <w:lang w:val="en-US"/>
        </w:rPr>
      </w:pPr>
      <w:r w:rsidRPr="00F8552D">
        <w:rPr>
          <w:rStyle w:val="Refdenotaalpie"/>
          <w:szCs w:val="18"/>
        </w:rPr>
        <w:footnoteRef/>
      </w:r>
      <w:r w:rsidRPr="0081432A">
        <w:rPr>
          <w:szCs w:val="18"/>
          <w:lang w:val="en-US"/>
        </w:rPr>
        <w:t xml:space="preserve"> </w:t>
      </w:r>
      <w:r w:rsidRPr="0081432A">
        <w:rPr>
          <w:rFonts w:ascii="MinionPro-Regular" w:hAnsi="MinionPro-Regular" w:cs="ArialMT"/>
          <w:szCs w:val="18"/>
          <w:lang w:val="en-US" w:eastAsia="en-AU"/>
        </w:rPr>
        <w:t>The labour market situation of disabled people in European countries and implementation of employment policies: a summary of evidence from country reports and research studies. ANED.</w:t>
      </w:r>
    </w:p>
  </w:footnote>
  <w:footnote w:id="35">
    <w:p w:rsidR="00A5357D" w:rsidRPr="002959F0" w:rsidRDefault="00A5357D" w:rsidP="001B0EA4">
      <w:pPr>
        <w:pStyle w:val="Textonotapie"/>
        <w:rPr>
          <w:lang w:val="en-US"/>
        </w:rPr>
      </w:pPr>
      <w:r w:rsidRPr="0081432A">
        <w:rPr>
          <w:rStyle w:val="Refdenotaalpie"/>
          <w:rFonts w:ascii="MinionPro-Regular" w:hAnsi="MinionPro-Regular"/>
          <w:sz w:val="20"/>
        </w:rPr>
        <w:footnoteRef/>
      </w:r>
      <w:r w:rsidRPr="0081432A">
        <w:rPr>
          <w:rFonts w:ascii="MinionPro-Regular" w:hAnsi="MinionPro-Regular"/>
          <w:sz w:val="20"/>
          <w:lang w:val="en-US"/>
        </w:rPr>
        <w:t xml:space="preserve"> </w:t>
      </w:r>
      <w:r w:rsidRPr="0081432A">
        <w:rPr>
          <w:rFonts w:ascii="MinionPro-Regular" w:hAnsi="MinionPro-Regular" w:cs="MSTT31c280"/>
          <w:szCs w:val="16"/>
          <w:lang w:val="en-US" w:eastAsia="en-AU"/>
        </w:rPr>
        <w:t>Sheltered employment for persons with disabilities. International Labour Review, Vol.137 (1998), No 3.</w:t>
      </w:r>
    </w:p>
  </w:footnote>
  <w:footnote w:id="36">
    <w:p w:rsidR="00A5357D" w:rsidRPr="002959F0" w:rsidRDefault="00A5357D" w:rsidP="001B0EA4">
      <w:pPr>
        <w:pStyle w:val="Textonotapie"/>
        <w:rPr>
          <w:lang w:val="en-US"/>
        </w:rPr>
      </w:pPr>
      <w:r w:rsidRPr="00B95EF1">
        <w:rPr>
          <w:rFonts w:ascii="MinionPro-Regular" w:hAnsi="MinionPro-Regular" w:cs="ArialMT"/>
          <w:szCs w:val="18"/>
          <w:vertAlign w:val="superscript"/>
          <w:lang w:val="en-US" w:eastAsia="en-AU"/>
        </w:rPr>
        <w:footnoteRef/>
      </w:r>
      <w:r w:rsidRPr="00B95EF1">
        <w:rPr>
          <w:rFonts w:ascii="MinionPro-Regular" w:hAnsi="MinionPro-Regular" w:cs="ArialMT"/>
          <w:szCs w:val="18"/>
          <w:vertAlign w:val="superscript"/>
          <w:lang w:val="en-US" w:eastAsia="en-AU"/>
        </w:rPr>
        <w:t xml:space="preserve"> </w:t>
      </w:r>
      <w:r w:rsidRPr="000354CC">
        <w:rPr>
          <w:rFonts w:ascii="MinionPro-Regular" w:hAnsi="MinionPro-Regular" w:cs="ArialMT"/>
          <w:szCs w:val="18"/>
          <w:lang w:val="en-US" w:eastAsia="en-AU"/>
        </w:rPr>
        <w:t>Social co-operatives in Italy: Lessons</w:t>
      </w:r>
      <w:r>
        <w:rPr>
          <w:rFonts w:ascii="MinionPro-Regular" w:hAnsi="MinionPro-Regular" w:cs="ArialMT"/>
          <w:szCs w:val="18"/>
          <w:lang w:val="en-US" w:eastAsia="en-AU"/>
        </w:rPr>
        <w:t xml:space="preserve"> for the UK, Social Enterprise London</w:t>
      </w:r>
    </w:p>
  </w:footnote>
  <w:footnote w:id="37">
    <w:p w:rsidR="00A5357D" w:rsidRPr="002959F0" w:rsidRDefault="00A5357D" w:rsidP="001B0EA4">
      <w:pPr>
        <w:pStyle w:val="Textonotapie"/>
        <w:rPr>
          <w:lang w:val="en-US"/>
        </w:rPr>
      </w:pPr>
      <w:r>
        <w:rPr>
          <w:rStyle w:val="Refdenotaalpie"/>
        </w:rPr>
        <w:footnoteRef/>
      </w:r>
      <w:r w:rsidRPr="0081432A">
        <w:rPr>
          <w:lang w:val="en-US"/>
        </w:rPr>
        <w:t xml:space="preserve"> </w:t>
      </w:r>
      <w:r w:rsidRPr="00F14D94">
        <w:rPr>
          <w:lang w:val="en-US"/>
        </w:rPr>
        <w:t>Social co-operatives in Italy:</w:t>
      </w:r>
      <w:r>
        <w:rPr>
          <w:lang w:val="en-US"/>
        </w:rPr>
        <w:t xml:space="preserve"> </w:t>
      </w:r>
      <w:r w:rsidRPr="00F14D94">
        <w:rPr>
          <w:lang w:val="en-US"/>
        </w:rPr>
        <w:t>Lessons for the UK</w:t>
      </w:r>
    </w:p>
  </w:footnote>
  <w:footnote w:id="38">
    <w:p w:rsidR="00A5357D" w:rsidRPr="002959F0" w:rsidRDefault="00A5357D" w:rsidP="001B0EA4">
      <w:pPr>
        <w:pStyle w:val="Textonotapie"/>
        <w:rPr>
          <w:lang w:val="en-US"/>
        </w:rPr>
      </w:pPr>
      <w:r>
        <w:rPr>
          <w:rStyle w:val="Refdenotaalpie"/>
        </w:rPr>
        <w:footnoteRef/>
      </w:r>
      <w:r w:rsidRPr="0081432A">
        <w:rPr>
          <w:lang w:val="en-US"/>
        </w:rPr>
        <w:t xml:space="preserve"> http://www.samhall.se/In-English/About-Samhall/</w:t>
      </w:r>
    </w:p>
  </w:footnote>
  <w:footnote w:id="39">
    <w:p w:rsidR="00A5357D" w:rsidRPr="002959F0" w:rsidRDefault="00A5357D" w:rsidP="001B0EA4">
      <w:pPr>
        <w:pStyle w:val="Textonotapie"/>
        <w:rPr>
          <w:lang w:val="en-US"/>
        </w:rPr>
      </w:pPr>
      <w:r>
        <w:rPr>
          <w:rStyle w:val="Refdenotaalpie"/>
        </w:rPr>
        <w:footnoteRef/>
      </w:r>
      <w:r w:rsidRPr="0081432A">
        <w:rPr>
          <w:lang w:val="en-US"/>
        </w:rPr>
        <w:t xml:space="preserve"> </w:t>
      </w:r>
      <w:r w:rsidRPr="0081432A">
        <w:rPr>
          <w:rFonts w:ascii="MinionPro-Regular" w:hAnsi="MinionPro-Regular"/>
          <w:lang w:val="en-US"/>
        </w:rPr>
        <w:t>www.dwp.gov.uk/jobcentreplus</w:t>
      </w:r>
    </w:p>
  </w:footnote>
  <w:footnote w:id="40">
    <w:p w:rsidR="00A5357D" w:rsidRPr="002959F0" w:rsidRDefault="00A5357D" w:rsidP="001B0EA4">
      <w:pPr>
        <w:pStyle w:val="Textonotapie"/>
        <w:rPr>
          <w:lang w:val="en-US"/>
        </w:rPr>
      </w:pPr>
      <w:r>
        <w:rPr>
          <w:rStyle w:val="Refdenotaalpie"/>
        </w:rPr>
        <w:footnoteRef/>
      </w:r>
      <w:r w:rsidRPr="0081432A">
        <w:rPr>
          <w:lang w:val="en-US"/>
        </w:rPr>
        <w:t xml:space="preserve"> </w:t>
      </w:r>
      <w:r w:rsidRPr="00276CCD">
        <w:rPr>
          <w:rFonts w:ascii="MinionPro-Regular" w:hAnsi="MinionPro-Regular"/>
          <w:lang w:val="en-US"/>
        </w:rPr>
        <w:t>Sayce L (2010) Getting in, staying in and getting on.</w:t>
      </w:r>
    </w:p>
  </w:footnote>
  <w:footnote w:id="41">
    <w:p w:rsidR="00A5357D" w:rsidRPr="002959F0" w:rsidRDefault="00A5357D" w:rsidP="001B0EA4">
      <w:pPr>
        <w:pStyle w:val="Textonotapie"/>
        <w:rPr>
          <w:lang w:val="en-US"/>
        </w:rPr>
      </w:pPr>
      <w:r>
        <w:rPr>
          <w:rStyle w:val="Refdenotaalpie"/>
        </w:rPr>
        <w:footnoteRef/>
      </w:r>
      <w:r w:rsidRPr="0081432A">
        <w:rPr>
          <w:lang w:val="en-US"/>
        </w:rPr>
        <w:t xml:space="preserve"> </w:t>
      </w:r>
      <w:r w:rsidRPr="004C6720">
        <w:rPr>
          <w:lang w:val="en-US"/>
        </w:rPr>
        <w:t>www.pluss.org.uk/what-work-choice</w:t>
      </w:r>
    </w:p>
  </w:footnote>
  <w:footnote w:id="42">
    <w:p w:rsidR="00A5357D" w:rsidRPr="002959F0" w:rsidRDefault="00A5357D" w:rsidP="001B0EA4">
      <w:pPr>
        <w:pStyle w:val="Textonotapie"/>
        <w:rPr>
          <w:lang w:val="en-US"/>
        </w:rPr>
      </w:pPr>
      <w:r>
        <w:rPr>
          <w:rStyle w:val="Refdenotaalpie"/>
        </w:rPr>
        <w:footnoteRef/>
      </w:r>
      <w:r w:rsidRPr="0081432A">
        <w:rPr>
          <w:lang w:val="en-US"/>
        </w:rPr>
        <w:t xml:space="preserve"> </w:t>
      </w:r>
      <w:r w:rsidRPr="0081432A">
        <w:rPr>
          <w:rFonts w:ascii="MinionPro-Regular" w:hAnsi="MinionPro-Regular"/>
          <w:lang w:val="en-US"/>
        </w:rPr>
        <w:t>Valuing Employment Now: real jobs for people with learning disabilities</w:t>
      </w:r>
    </w:p>
  </w:footnote>
  <w:footnote w:id="43">
    <w:p w:rsidR="00A5357D" w:rsidRPr="002959F0" w:rsidRDefault="00A5357D" w:rsidP="001B0EA4">
      <w:pPr>
        <w:pStyle w:val="Textonotapie"/>
        <w:rPr>
          <w:lang w:val="en-US"/>
        </w:rPr>
      </w:pPr>
      <w:r>
        <w:rPr>
          <w:rStyle w:val="Refdenotaalpie"/>
        </w:rPr>
        <w:footnoteRef/>
      </w:r>
      <w:r w:rsidRPr="0081432A">
        <w:rPr>
          <w:lang w:val="en-US"/>
        </w:rPr>
        <w:t xml:space="preserve"> </w:t>
      </w:r>
      <w:r w:rsidRPr="002B75D7">
        <w:rPr>
          <w:rFonts w:ascii="MinionPro-Regular" w:hAnsi="MinionPro-Regular" w:cs="ArialMT"/>
          <w:szCs w:val="18"/>
          <w:lang w:val="en-US" w:eastAsia="en-AU"/>
        </w:rPr>
        <w:t xml:space="preserve">The labour market situation of disabled people in European countries and implementation of employment policies: a summary of evidence from country reports and research studies. </w:t>
      </w:r>
      <w:r w:rsidRPr="00FB3E71">
        <w:rPr>
          <w:rFonts w:ascii="MinionPro-Regular" w:hAnsi="MinionPro-Regular" w:cs="ArialMT"/>
          <w:szCs w:val="18"/>
          <w:lang w:val="en-US" w:eastAsia="en-AU"/>
        </w:rPr>
        <w:t>ANED.</w:t>
      </w:r>
    </w:p>
  </w:footnote>
  <w:footnote w:id="44">
    <w:p w:rsidR="00A5357D" w:rsidRPr="002959F0" w:rsidRDefault="00A5357D" w:rsidP="001B0EA4">
      <w:pPr>
        <w:pStyle w:val="Textonotapie"/>
        <w:rPr>
          <w:lang w:val="en-US"/>
        </w:rPr>
      </w:pPr>
      <w:r>
        <w:rPr>
          <w:rStyle w:val="Refdenotaalpie"/>
        </w:rPr>
        <w:footnoteRef/>
      </w:r>
      <w:r w:rsidRPr="00FB3E71">
        <w:rPr>
          <w:lang w:val="en-US"/>
        </w:rPr>
        <w:t xml:space="preserve"> http://www.socialfranchising.coop/members-directory/view/cap-supermarket</w:t>
      </w:r>
    </w:p>
  </w:footnote>
  <w:footnote w:id="45">
    <w:p w:rsidR="00A5357D" w:rsidRPr="002959F0" w:rsidRDefault="00A5357D" w:rsidP="001B0EA4">
      <w:pPr>
        <w:pStyle w:val="Textonotapie"/>
        <w:rPr>
          <w:lang w:val="en-US"/>
        </w:rPr>
      </w:pPr>
      <w:r>
        <w:rPr>
          <w:rStyle w:val="Refdenotaalpie"/>
        </w:rPr>
        <w:footnoteRef/>
      </w:r>
      <w:r w:rsidRPr="0081432A">
        <w:rPr>
          <w:lang w:val="en-US"/>
        </w:rPr>
        <w:t xml:space="preserve"> </w:t>
      </w:r>
      <w:r w:rsidRPr="00D76A8B">
        <w:rPr>
          <w:lang w:val="en-US"/>
        </w:rPr>
        <w:t>http://www.spazioaperto.coop/</w:t>
      </w:r>
    </w:p>
  </w:footnote>
  <w:footnote w:id="46">
    <w:p w:rsidR="00A5357D" w:rsidRPr="002959F0" w:rsidRDefault="00A5357D" w:rsidP="001B0EA4">
      <w:pPr>
        <w:pStyle w:val="Textonotapie"/>
        <w:rPr>
          <w:lang w:val="en-US"/>
        </w:rPr>
      </w:pPr>
      <w:r>
        <w:rPr>
          <w:rStyle w:val="Refdenotaalpie"/>
        </w:rPr>
        <w:footnoteRef/>
      </w:r>
      <w:r w:rsidRPr="0081432A">
        <w:rPr>
          <w:lang w:val="en-US"/>
        </w:rPr>
        <w:t xml:space="preserve"> http://www.eurofound.europa.eu/areas/socialcohesion/egs/cases/it002.htm</w:t>
      </w:r>
    </w:p>
  </w:footnote>
  <w:footnote w:id="47">
    <w:p w:rsidR="00A5357D" w:rsidRPr="002959F0" w:rsidRDefault="00A5357D" w:rsidP="001B0EA4">
      <w:pPr>
        <w:pStyle w:val="Textonotapie"/>
        <w:rPr>
          <w:lang w:val="en-US"/>
        </w:rPr>
      </w:pPr>
      <w:r>
        <w:rPr>
          <w:rStyle w:val="Refdenotaalpie"/>
        </w:rPr>
        <w:footnoteRef/>
      </w:r>
      <w:r w:rsidRPr="00455028">
        <w:rPr>
          <w:lang w:val="en-US"/>
        </w:rPr>
        <w:t xml:space="preserve"> https://www.gov.uk/browse/benefits/disability</w:t>
      </w:r>
    </w:p>
  </w:footnote>
  <w:footnote w:id="48">
    <w:p w:rsidR="00A5357D" w:rsidRPr="002959F0" w:rsidRDefault="00A5357D" w:rsidP="001B0EA4">
      <w:pPr>
        <w:pStyle w:val="Textonotapie"/>
        <w:rPr>
          <w:lang w:val="en-US"/>
        </w:rPr>
      </w:pPr>
      <w:r>
        <w:rPr>
          <w:rStyle w:val="Refdenotaalpie"/>
        </w:rPr>
        <w:footnoteRef/>
      </w:r>
      <w:r w:rsidRPr="00455028">
        <w:rPr>
          <w:lang w:val="en-US"/>
        </w:rPr>
        <w:t xml:space="preserve"> http://www.tameside.gov.uk/esa/wca#LCW</w:t>
      </w:r>
    </w:p>
  </w:footnote>
  <w:footnote w:id="49">
    <w:p w:rsidR="00A5357D" w:rsidRDefault="00A5357D" w:rsidP="001B0EA4">
      <w:pPr>
        <w:pStyle w:val="Textonotapie"/>
      </w:pPr>
      <w:r>
        <w:rPr>
          <w:rStyle w:val="Refdenotaalpie"/>
        </w:rPr>
        <w:footnoteRef/>
      </w:r>
      <w:r w:rsidRPr="00455028">
        <w:rPr>
          <w:lang w:val="en-US"/>
        </w:rPr>
        <w:t xml:space="preserve"> Access to Work: Official Statistics. </w:t>
      </w:r>
      <w:r w:rsidRPr="00410E9F">
        <w:t>Departamento de Trabajo y Pensiones del gobierno británico</w:t>
      </w:r>
      <w:r>
        <w:t>.</w:t>
      </w:r>
    </w:p>
  </w:footnote>
  <w:footnote w:id="50">
    <w:p w:rsidR="00A5357D" w:rsidRDefault="00A5357D" w:rsidP="001B0EA4">
      <w:pPr>
        <w:pStyle w:val="Textonotapie"/>
      </w:pPr>
      <w:r>
        <w:rPr>
          <w:rStyle w:val="Refdenotaalpie"/>
        </w:rPr>
        <w:footnoteRef/>
      </w:r>
      <w:r>
        <w:t xml:space="preserve"> </w:t>
      </w:r>
      <w:hyperlink r:id="rId1" w:history="1">
        <w:r w:rsidRPr="008E683B">
          <w:rPr>
            <w:rStyle w:val="Hipervnculo"/>
          </w:rPr>
          <w:t>http://www.adp-es.co.uk/adp-news/adp-industry-news/july-2012/businesses-offered-cash-incentives-for-hiring-disabled-people</w:t>
        </w:r>
      </w:hyperlink>
      <w:r>
        <w:t xml:space="preserve"> </w:t>
      </w:r>
      <w:r w:rsidRPr="00B76015">
        <w:t xml:space="preserve">Departamento de Trabajo y Pensiones </w:t>
      </w:r>
      <w:r>
        <w:t>del gobierno británico</w:t>
      </w:r>
    </w:p>
  </w:footnote>
  <w:footnote w:id="51">
    <w:p w:rsidR="00A5357D" w:rsidRPr="002959F0" w:rsidRDefault="00A5357D" w:rsidP="001B0EA4">
      <w:pPr>
        <w:pStyle w:val="Textonotapie"/>
        <w:rPr>
          <w:lang w:val="en-US"/>
        </w:rPr>
      </w:pPr>
      <w:r>
        <w:rPr>
          <w:rStyle w:val="Refdenotaalpie"/>
        </w:rPr>
        <w:footnoteRef/>
      </w:r>
      <w:r w:rsidRPr="00455028">
        <w:rPr>
          <w:lang w:val="en-US"/>
        </w:rPr>
        <w:t xml:space="preserve"> Disability Law in Germany: An Overview of Employment,</w:t>
      </w:r>
      <w:r>
        <w:rPr>
          <w:lang w:val="en-US"/>
        </w:rPr>
        <w:t xml:space="preserve"> </w:t>
      </w:r>
      <w:r w:rsidRPr="00455028">
        <w:rPr>
          <w:lang w:val="en-US"/>
        </w:rPr>
        <w:t>Education and Access Rights</w:t>
      </w:r>
    </w:p>
  </w:footnote>
  <w:footnote w:id="52">
    <w:p w:rsidR="00A5357D" w:rsidRPr="002959F0" w:rsidRDefault="00A5357D" w:rsidP="001B0EA4">
      <w:pPr>
        <w:pStyle w:val="Textonotapie"/>
        <w:rPr>
          <w:lang w:val="en-US"/>
        </w:rPr>
      </w:pPr>
      <w:r>
        <w:rPr>
          <w:rStyle w:val="Refdenotaalpie"/>
        </w:rPr>
        <w:footnoteRef/>
      </w:r>
      <w:r w:rsidRPr="00455028">
        <w:rPr>
          <w:lang w:val="en-US"/>
        </w:rPr>
        <w:t xml:space="preserve"> Mutual Informati</w:t>
      </w:r>
      <w:r>
        <w:rPr>
          <w:lang w:val="en-US"/>
        </w:rPr>
        <w:t xml:space="preserve">on System on Social Protection </w:t>
      </w:r>
      <w:r w:rsidRPr="00455028">
        <w:rPr>
          <w:lang w:val="en-US"/>
        </w:rPr>
        <w:t>(MISSOC)</w:t>
      </w:r>
    </w:p>
  </w:footnote>
  <w:footnote w:id="53">
    <w:p w:rsidR="00A5357D" w:rsidRDefault="00A5357D" w:rsidP="001B0EA4">
      <w:pPr>
        <w:pStyle w:val="Textonotapie"/>
      </w:pPr>
      <w:r>
        <w:rPr>
          <w:rStyle w:val="Refdenotaalpie"/>
        </w:rPr>
        <w:footnoteRef/>
      </w:r>
      <w:r w:rsidRPr="00455028">
        <w:rPr>
          <w:lang w:val="en-US"/>
        </w:rPr>
        <w:t xml:space="preserve"> Pension contribution level in Sweden</w:t>
      </w:r>
      <w:r>
        <w:rPr>
          <w:lang w:val="en-US"/>
        </w:rPr>
        <w:t xml:space="preserve">. </w:t>
      </w:r>
      <w:r w:rsidRPr="00455028">
        <w:rPr>
          <w:lang w:val="es-ES_tradnl"/>
        </w:rPr>
        <w:t>2009.</w:t>
      </w:r>
    </w:p>
  </w:footnote>
  <w:footnote w:id="54">
    <w:p w:rsidR="00A5357D" w:rsidRDefault="00A5357D" w:rsidP="00890FE5">
      <w:pPr>
        <w:pStyle w:val="Textonotapie"/>
      </w:pPr>
      <w:r w:rsidRPr="00807F12">
        <w:rPr>
          <w:rStyle w:val="Refdenotaalpie"/>
          <w:rFonts w:ascii="MinionPro-Regular" w:hAnsi="MinionPro-Regular"/>
        </w:rPr>
        <w:footnoteRef/>
      </w:r>
      <w:r w:rsidRPr="00F23441">
        <w:rPr>
          <w:rFonts w:ascii="MinionPro-Regular" w:hAnsi="MinionPro-Regular"/>
          <w:lang w:val="es-ES_tradnl"/>
        </w:rPr>
        <w:t xml:space="preserve"> http://www.seg-social.es</w:t>
      </w:r>
    </w:p>
  </w:footnote>
  <w:footnote w:id="55">
    <w:p w:rsidR="00A5357D" w:rsidRPr="002959F0" w:rsidRDefault="00A5357D">
      <w:pPr>
        <w:pStyle w:val="Textonotapie"/>
        <w:rPr>
          <w:lang w:val="en-US"/>
        </w:rPr>
      </w:pPr>
      <w:r>
        <w:rPr>
          <w:rStyle w:val="Refdenotaalpie"/>
        </w:rPr>
        <w:footnoteRef/>
      </w:r>
      <w:r w:rsidRPr="00F23441">
        <w:rPr>
          <w:lang w:val="es-ES_tradnl"/>
        </w:rPr>
        <w:t xml:space="preserve"> Malo, M.A., Cueto, B.,</w:t>
      </w:r>
      <w:r>
        <w:rPr>
          <w:lang w:val="es-ES_tradnl"/>
        </w:rPr>
        <w:t xml:space="preserve"> Rodríguez Álvarez, V. (2011), Compatibilidad entre pensiones contributivas por incapacidad y empleo: el caso español. </w:t>
      </w:r>
      <w:r w:rsidRPr="00F23441">
        <w:rPr>
          <w:lang w:val="en-US"/>
        </w:rPr>
        <w:t>Cuadernos de Relaciones Laborales, Vol.29, Núm.1, 125-153.</w:t>
      </w:r>
    </w:p>
  </w:footnote>
  <w:footnote w:id="56">
    <w:p w:rsidR="00A5357D" w:rsidRPr="002959F0" w:rsidRDefault="00A5357D" w:rsidP="00761DAC">
      <w:pPr>
        <w:rPr>
          <w:lang w:val="en-US"/>
        </w:rPr>
      </w:pPr>
      <w:r w:rsidRPr="00807F12">
        <w:rPr>
          <w:rStyle w:val="Refdenotaalpie"/>
          <w:rFonts w:ascii="MinionPro-Regular" w:hAnsi="MinionPro-Regular"/>
          <w:sz w:val="18"/>
          <w:szCs w:val="18"/>
        </w:rPr>
        <w:footnoteRef/>
      </w:r>
      <w:r w:rsidRPr="00807F12">
        <w:rPr>
          <w:rFonts w:ascii="MinionPro-Regular" w:hAnsi="MinionPro-Regular"/>
          <w:sz w:val="18"/>
          <w:szCs w:val="18"/>
          <w:lang w:val="en-US"/>
        </w:rPr>
        <w:t xml:space="preserve"> </w:t>
      </w:r>
      <w:r w:rsidRPr="00807F12">
        <w:rPr>
          <w:rFonts w:ascii="MinionPro-Regular" w:hAnsi="MinionPro-Regular"/>
          <w:iCs/>
          <w:sz w:val="18"/>
          <w:szCs w:val="18"/>
          <w:lang w:val="en-US"/>
        </w:rPr>
        <w:t>Making</w:t>
      </w:r>
      <w:r w:rsidRPr="00807F12">
        <w:rPr>
          <w:rFonts w:ascii="MinionPro-Regular" w:hAnsi="MinionPro-Regular"/>
          <w:iCs/>
          <w:sz w:val="18"/>
          <w:lang w:val="en-US"/>
        </w:rPr>
        <w:t xml:space="preserve"> an impact: Exploring how to measure the mental health impacts of working in a Social Firm”</w:t>
      </w:r>
      <w:r w:rsidRPr="00807F12">
        <w:rPr>
          <w:rFonts w:ascii="MinionPro-Regular" w:hAnsi="MinionPro-Regular"/>
          <w:sz w:val="18"/>
          <w:lang w:val="en-US"/>
        </w:rPr>
        <w:t>, Scottish Development Centre for Mental Health.</w:t>
      </w:r>
    </w:p>
  </w:footnote>
  <w:footnote w:id="57">
    <w:p w:rsidR="00A5357D" w:rsidRDefault="00A5357D" w:rsidP="00761DAC">
      <w:r w:rsidRPr="00807F12">
        <w:rPr>
          <w:rFonts w:ascii="MinionPro-Regular" w:hAnsi="MinionPro-Regular"/>
          <w:iCs/>
          <w:sz w:val="18"/>
          <w:szCs w:val="18"/>
          <w:vertAlign w:val="superscript"/>
          <w:lang w:val="en-US"/>
        </w:rPr>
        <w:footnoteRef/>
      </w:r>
      <w:r w:rsidRPr="00807F12">
        <w:rPr>
          <w:rFonts w:ascii="MinionPro-Regular" w:hAnsi="MinionPro-Regular"/>
          <w:iCs/>
          <w:sz w:val="18"/>
          <w:szCs w:val="18"/>
          <w:vertAlign w:val="superscript"/>
        </w:rPr>
        <w:t xml:space="preserve"> </w:t>
      </w:r>
      <w:r w:rsidRPr="00807F12">
        <w:rPr>
          <w:rFonts w:ascii="MinionPro-Regular" w:hAnsi="MinionPro-Regular"/>
          <w:iCs/>
          <w:sz w:val="18"/>
          <w:szCs w:val="18"/>
        </w:rPr>
        <w:t>El porcentaje de personas con enfermedad mental se ha extrapolado de la encuesta online realizada a gestores de centros especiales de empleo.</w:t>
      </w:r>
    </w:p>
  </w:footnote>
  <w:footnote w:id="58">
    <w:p w:rsidR="00A5357D" w:rsidRPr="001A686C" w:rsidRDefault="00A5357D">
      <w:pPr>
        <w:pStyle w:val="Textonotapie"/>
      </w:pPr>
      <w:r>
        <w:rPr>
          <w:rStyle w:val="Refdenotaalpie"/>
        </w:rPr>
        <w:footnoteRef/>
      </w:r>
      <w:r>
        <w:t xml:space="preserve"> Observatorio de la Economía Social 2011.</w:t>
      </w:r>
    </w:p>
  </w:footnote>
  <w:footnote w:id="59">
    <w:p w:rsidR="00A5357D" w:rsidRPr="008115E4" w:rsidRDefault="00A5357D">
      <w:pPr>
        <w:pStyle w:val="Textonotapie"/>
      </w:pPr>
      <w:r>
        <w:rPr>
          <w:rStyle w:val="Refdenotaalpie"/>
        </w:rPr>
        <w:footnoteRef/>
      </w:r>
      <w:r>
        <w:t xml:space="preserve"> CEPES. El impacto socioaconómico de las entidades de economía social.</w:t>
      </w:r>
    </w:p>
  </w:footnote>
  <w:footnote w:id="60">
    <w:p w:rsidR="00A5357D" w:rsidRPr="008115E4" w:rsidRDefault="00A5357D">
      <w:pPr>
        <w:pStyle w:val="Textonotapie"/>
      </w:pPr>
      <w:r>
        <w:rPr>
          <w:rStyle w:val="Refdenotaalpie"/>
        </w:rPr>
        <w:footnoteRef/>
      </w:r>
      <w:r>
        <w:t xml:space="preserve"> INE. Encuesta de población activa cuarto trimestre de 2011.</w:t>
      </w:r>
    </w:p>
  </w:footnote>
  <w:footnote w:id="61">
    <w:p w:rsidR="00A5357D" w:rsidRPr="00523F72" w:rsidRDefault="00A5357D">
      <w:pPr>
        <w:pStyle w:val="Textonotapie"/>
      </w:pPr>
      <w:r>
        <w:rPr>
          <w:rStyle w:val="Refdenotaalpie"/>
        </w:rPr>
        <w:footnoteRef/>
      </w:r>
      <w:r>
        <w:t xml:space="preserve"> Servicio Público de Empleo Estatal. Presupuesto 2011.</w:t>
      </w:r>
    </w:p>
  </w:footnote>
  <w:footnote w:id="62">
    <w:p w:rsidR="00A5357D" w:rsidRDefault="00A5357D" w:rsidP="00056E91">
      <w:pPr>
        <w:pStyle w:val="Textonotapie"/>
      </w:pPr>
      <w:r>
        <w:rPr>
          <w:rStyle w:val="Refdenotaalpie"/>
        </w:rPr>
        <w:footnoteRef/>
      </w:r>
      <w:r>
        <w:t xml:space="preserve"> </w:t>
      </w:r>
      <w:r>
        <w:rPr>
          <w:lang w:val="es-ES_tradnl"/>
        </w:rPr>
        <w:t>Muestra Continua de Laboral (MCVL) 2011 - Seguridad Social.</w:t>
      </w:r>
    </w:p>
  </w:footnote>
  <w:footnote w:id="63">
    <w:p w:rsidR="00A5357D" w:rsidRDefault="00A5357D" w:rsidP="00056E91">
      <w:pPr>
        <w:pStyle w:val="Textonotapie"/>
      </w:pPr>
      <w:r>
        <w:rPr>
          <w:rStyle w:val="Refdenotaalpie"/>
        </w:rPr>
        <w:footnoteRef/>
      </w:r>
      <w:r>
        <w:t xml:space="preserve"> </w:t>
      </w:r>
      <w:r>
        <w:rPr>
          <w:lang w:val="es-ES_tradnl"/>
        </w:rPr>
        <w:t>Encuesta de estructura salarial. Instituto Nacional de Estadística. 2010.</w:t>
      </w:r>
    </w:p>
  </w:footnote>
  <w:footnote w:id="64">
    <w:p w:rsidR="00A5357D" w:rsidRDefault="00A5357D" w:rsidP="001D2EFC">
      <w:pPr>
        <w:pStyle w:val="Textonotapie"/>
      </w:pPr>
      <w:r w:rsidRPr="003C5DF9">
        <w:rPr>
          <w:rStyle w:val="Refdenotaalpie"/>
          <w:rFonts w:ascii="MinionPro-Regular" w:hAnsi="MinionPro-Regular"/>
        </w:rPr>
        <w:footnoteRef/>
      </w:r>
      <w:r w:rsidRPr="003C5DF9">
        <w:rPr>
          <w:rFonts w:ascii="MinionPro-Regular" w:hAnsi="MinionPro-Regular"/>
        </w:rPr>
        <w:t xml:space="preserve"> http://www.lamoncloa.gob.es/NR/rdonlyres/CCFCB04D-BBED-4917-A9CD-B9BE4DDC6B45/0/ProgramaNacionalReformasEspana2011.pdf</w:t>
      </w:r>
    </w:p>
  </w:footnote>
  <w:footnote w:id="65">
    <w:p w:rsidR="00A5357D" w:rsidRPr="002959F0" w:rsidRDefault="00A5357D" w:rsidP="001D2EFC">
      <w:pPr>
        <w:pStyle w:val="Textonotapie"/>
        <w:rPr>
          <w:lang w:val="en-US"/>
        </w:rPr>
      </w:pPr>
      <w:r w:rsidRPr="00E25099">
        <w:rPr>
          <w:rFonts w:ascii="MinionPro-Regular" w:hAnsi="MinionPro-Regular"/>
          <w:vertAlign w:val="superscript"/>
          <w:lang w:val="en-US"/>
        </w:rPr>
        <w:footnoteRef/>
      </w:r>
      <w:r w:rsidRPr="00E25099">
        <w:rPr>
          <w:rFonts w:ascii="MinionPro-Regular" w:hAnsi="MinionPro-Regular"/>
          <w:vertAlign w:val="superscript"/>
          <w:lang w:val="en-US"/>
        </w:rPr>
        <w:t xml:space="preserve"> </w:t>
      </w:r>
      <w:r w:rsidRPr="003C5DF9">
        <w:rPr>
          <w:rFonts w:ascii="MinionPro-Regular" w:hAnsi="MinionPro-Regular"/>
          <w:lang w:val="en-US"/>
        </w:rPr>
        <w:t>Will population ageing necessarily lead an increase in the number of persons with disabilities? Alternative scenarios for the European Union. European Demographic Research Papers.</w:t>
      </w:r>
    </w:p>
  </w:footnote>
  <w:footnote w:id="66">
    <w:p w:rsidR="00A5357D" w:rsidRDefault="00A5357D" w:rsidP="00F83E19">
      <w:pPr>
        <w:pStyle w:val="Textonotapie"/>
      </w:pPr>
      <w:r>
        <w:rPr>
          <w:rStyle w:val="Refdenotaalpie"/>
        </w:rPr>
        <w:footnoteRef/>
      </w:r>
      <w:r>
        <w:t xml:space="preserve"> </w:t>
      </w:r>
      <w:r>
        <w:rPr>
          <w:rFonts w:ascii="MinionPro-Regular" w:hAnsi="MinionPro-Regular"/>
          <w:szCs w:val="24"/>
          <w:lang w:val="es-ES_tradnl"/>
        </w:rPr>
        <w:t>N</w:t>
      </w:r>
      <w:r w:rsidRPr="00621A97">
        <w:rPr>
          <w:rFonts w:ascii="MinionPro-Regular" w:hAnsi="MinionPro-Regular"/>
          <w:szCs w:val="24"/>
          <w:lang w:val="es-ES_tradnl"/>
        </w:rPr>
        <w:t>úmero 33 de la Colección de Estudios Sociales.</w:t>
      </w:r>
    </w:p>
  </w:footnote>
  <w:footnote w:id="67">
    <w:p w:rsidR="00A5357D" w:rsidRDefault="00A5357D" w:rsidP="00F83E19">
      <w:pPr>
        <w:pStyle w:val="Textonotapie"/>
      </w:pPr>
      <w:r w:rsidRPr="007949F6">
        <w:rPr>
          <w:rStyle w:val="Refdenotaalpie"/>
        </w:rPr>
        <w:footnoteRef/>
      </w:r>
      <w:r w:rsidRPr="007949F6">
        <w:t xml:space="preserve"> Datos obtenidos del Servicio Público de Empleo (SP</w:t>
      </w:r>
      <w:r>
        <w:t>E</w:t>
      </w:r>
      <w:r w:rsidRPr="007949F6">
        <w:t>E)</w:t>
      </w:r>
    </w:p>
  </w:footnote>
  <w:footnote w:id="68">
    <w:p w:rsidR="00A5357D" w:rsidRDefault="00A5357D" w:rsidP="00F83E19">
      <w:pPr>
        <w:pStyle w:val="Textonotapie"/>
      </w:pPr>
      <w:r>
        <w:rPr>
          <w:rStyle w:val="Refdenotaalpie"/>
        </w:rPr>
        <w:footnoteRef/>
      </w:r>
      <w:r>
        <w:t xml:space="preserve"> </w:t>
      </w:r>
      <w:r>
        <w:rPr>
          <w:lang w:val="es-ES_tradnl"/>
        </w:rPr>
        <w:t>Encuesta de estructura salarial. Instituto Nacional de Estadística. 2010.</w:t>
      </w:r>
    </w:p>
  </w:footnote>
  <w:footnote w:id="69">
    <w:p w:rsidR="00A5357D" w:rsidRDefault="00A5357D" w:rsidP="00F83E19">
      <w:pPr>
        <w:pStyle w:val="Textonotapie"/>
      </w:pPr>
      <w:r>
        <w:rPr>
          <w:rStyle w:val="Refdenotaalpie"/>
        </w:rPr>
        <w:footnoteRef/>
      </w:r>
      <w:r>
        <w:t xml:space="preserve"> </w:t>
      </w:r>
      <w:r>
        <w:rPr>
          <w:lang w:val="es-ES_tradnl"/>
        </w:rPr>
        <w:t>Muestra Continua de Laboral (MCVL) 2011 - Seguridad Social.</w:t>
      </w:r>
    </w:p>
  </w:footnote>
  <w:footnote w:id="70">
    <w:p w:rsidR="00A5357D" w:rsidRDefault="00A5357D">
      <w:pPr>
        <w:pStyle w:val="Textonotapie"/>
      </w:pPr>
      <w:r>
        <w:rPr>
          <w:rStyle w:val="Refdenotaalpie"/>
        </w:rPr>
        <w:footnoteRef/>
      </w:r>
      <w:r>
        <w:t xml:space="preserve"> Nuria García, Ignacio Rodríguez, Pablo Gómez, Pablo Moratalla, Pedro Sáez Cruz, Josep María Solanellas, Elena pérez Cayuela, Miguel Laloma García, Miguel Ángel Verdugo Alonso, Francisco de Borja Urríes, Gregorio rodríguez Cabrero, Jesús Lahera, y Vicente Mora.</w:t>
      </w:r>
    </w:p>
  </w:footnote>
  <w:footnote w:id="71">
    <w:p w:rsidR="00A5357D" w:rsidRDefault="00A5357D">
      <w:pPr>
        <w:pStyle w:val="Textonotapie"/>
      </w:pPr>
      <w:r>
        <w:rPr>
          <w:rStyle w:val="Refdenotaalpie"/>
        </w:rPr>
        <w:footnoteRef/>
      </w:r>
      <w:r>
        <w:t xml:space="preserve"> </w:t>
      </w:r>
      <w:r>
        <w:rPr>
          <w:lang w:val="es-ES_tradnl"/>
        </w:rPr>
        <w:t>Amiab (Albacete), Arans-Bur (Burgos), La Fageda (Gerona), Flisa (Sevilla), Fundación Dau (Barcelona), Gesser (Cádiz),  Integra (Madrid), Lantegui (Bilbao), MLV (Valencia), Technosite (Madrid), Trameve (La Coruña).</w:t>
      </w:r>
    </w:p>
  </w:footnote>
  <w:footnote w:id="72">
    <w:p w:rsidR="00A5357D" w:rsidRDefault="00A5357D">
      <w:pPr>
        <w:pStyle w:val="Textonotapie"/>
      </w:pPr>
      <w:r>
        <w:rPr>
          <w:rStyle w:val="Refdenotaalpie"/>
        </w:rPr>
        <w:footnoteRef/>
      </w:r>
      <w:r>
        <w:t xml:space="preserve"> Al no existir un registro estatal de centros especiales de empleo, se han utilizado las</w:t>
      </w:r>
      <w:r>
        <w:rPr>
          <w:lang w:val="es-ES_tradnl"/>
        </w:rPr>
        <w:t xml:space="preserve"> bases de datos de FEACEM y de CONACEE publicadas en la red. </w:t>
      </w:r>
      <w:hyperlink r:id="rId2" w:history="1">
        <w:r w:rsidRPr="00F05F31">
          <w:rPr>
            <w:rStyle w:val="Hipervnculo"/>
            <w:lang w:val="es-ES_tradnl"/>
          </w:rPr>
          <w:t>http://www.feacem.es/FEACEM/CEE/Catalogo/</w:t>
        </w:r>
      </w:hyperlink>
      <w:r>
        <w:rPr>
          <w:lang w:val="es-ES_tradnl"/>
        </w:rPr>
        <w:t xml:space="preserve">. </w:t>
      </w:r>
      <w:hyperlink r:id="rId3" w:history="1">
        <w:r w:rsidRPr="00F05F31">
          <w:rPr>
            <w:rStyle w:val="Hipervnculo"/>
            <w:lang w:val="es-ES_tradnl"/>
          </w:rPr>
          <w:t>http://conacee.org/buscador/guia_cent.php</w:t>
        </w:r>
      </w:hyperlink>
      <w:r>
        <w:rPr>
          <w:lang w:val="es-ES_tradnl"/>
        </w:rPr>
        <w:t>. Adicionalmente, se han incluido algunos centros especiales de empleo de de las comunidades en las que están poco representadas por las asociaciones anteriormente mencionadas.</w:t>
      </w:r>
    </w:p>
  </w:footnote>
  <w:footnote w:id="73">
    <w:p w:rsidR="00A5357D" w:rsidRDefault="00A5357D">
      <w:pPr>
        <w:pStyle w:val="Textonotapie"/>
        <w:rPr>
          <w:lang w:val="es-ES_tradnl"/>
        </w:rPr>
      </w:pPr>
      <w:r>
        <w:rPr>
          <w:rStyle w:val="Refdenotaalpie"/>
        </w:rPr>
        <w:footnoteRef/>
      </w:r>
      <w:r>
        <w:t xml:space="preserve"> </w:t>
      </w:r>
      <w:r w:rsidRPr="00BB1A80">
        <w:rPr>
          <w:b/>
          <w:lang w:val="es-ES_tradnl"/>
        </w:rPr>
        <w:t>Madrid</w:t>
      </w:r>
      <w:r>
        <w:rPr>
          <w:lang w:val="es-ES_tradnl"/>
        </w:rPr>
        <w:t>; Primera sesión: Miguel Laloma (Fundación SERES y Empresa Responsable), Marta Martín Martín (NH), Juan García Olmo (COCEMFE), Mar Sánchez (Grupo Fundosa), Nuría García (AFEM), Gregorio Bercedo (Fundación Manantial), Luisa Staatsmann (CCOO), Elena Martín Checa (SPEE), José Luis Henarejos (CEPES), Alicia Fernández del Viso (Indra), Pedro Buesa (Grupo Alentis). Sesión segunda: Diego Javier Álvarez-Ossorio (Integra), Jesús Mª Ordóñez (Lanbide), Cristóbal Cuevas (Grupo Flisa), José Félix Sanz (Fundación Polibea), Luis Alonso (CERMI), Rubén Gil (Grupo SIRO), Pablo Álvarez Enciso (Acciona), Alberto Sánchez Meynial (Ibermática), Antonio Jiménez Lara (sociólogo), María Isabel Rodríguez (FEAFES), Teresa Regalado (Comunidad de Madrid), Cristina González Hipólito (DKV Integralia), Pablo Gómez (Intras).</w:t>
      </w:r>
    </w:p>
    <w:p w:rsidR="00A5357D" w:rsidRDefault="00A5357D">
      <w:pPr>
        <w:pStyle w:val="Textonotapie"/>
        <w:rPr>
          <w:lang w:val="es-ES_tradnl"/>
        </w:rPr>
      </w:pPr>
      <w:r w:rsidRPr="00BB1A80">
        <w:rPr>
          <w:b/>
          <w:lang w:val="es-ES_tradnl"/>
        </w:rPr>
        <w:t>Sevilla</w:t>
      </w:r>
      <w:r>
        <w:rPr>
          <w:lang w:val="es-ES_tradnl"/>
        </w:rPr>
        <w:t>: Francisco del Río Noriega (Área Salud Mental Cádiz), Francisco Álvarez (FAISEM), Francisco López Aguado (FSC-INSERTA), Juan Baños (CEE Gesser S.L), Jesús Cruz Villalón (Universidad de Sevilla), Daniel Moreno (CCOO), maría del Mar Martín (ACECA), Nieves García Jiménez (UGT Andalucía), Santiago Cañizares (FEPAMIC), Mercedes Aguilar (Junta de Andalucía).</w:t>
      </w:r>
    </w:p>
    <w:p w:rsidR="00A5357D" w:rsidRDefault="00A5357D">
      <w:pPr>
        <w:pStyle w:val="Textonotapie"/>
        <w:rPr>
          <w:lang w:val="es-ES_tradnl"/>
        </w:rPr>
      </w:pPr>
      <w:r w:rsidRPr="00BB1A80">
        <w:rPr>
          <w:b/>
          <w:lang w:val="es-ES_tradnl"/>
        </w:rPr>
        <w:t>Bilbao</w:t>
      </w:r>
      <w:r>
        <w:rPr>
          <w:lang w:val="es-ES_tradnl"/>
        </w:rPr>
        <w:t>: Pablo Moratalla (EHLABE), Joachim Meissner (Fundación Eragintza), Gorka Rojas Arca (Observatorio Vasco de Economía Social), Andoni Basterra (CCOO), Aitor Bengoetxea (Universidad del País Vasco), Patxi Sestafe (ASPACE), José Pérez Plano (Tasubinsa), Íñigo Iriarte (Federación Vasca de asociaciones a favor de las personas con discapacidad intelectual).</w:t>
      </w:r>
    </w:p>
    <w:p w:rsidR="00A5357D" w:rsidRDefault="00A5357D">
      <w:pPr>
        <w:pStyle w:val="Textonotapie"/>
      </w:pPr>
      <w:r w:rsidRPr="00BB1A80">
        <w:rPr>
          <w:b/>
          <w:lang w:val="es-ES_tradnl"/>
        </w:rPr>
        <w:t>Barcelona:</w:t>
      </w:r>
      <w:r>
        <w:rPr>
          <w:lang w:val="es-ES_tradnl"/>
        </w:rPr>
        <w:t xml:space="preserve"> Mª José Pujol (ICARIA), Leandro Tacons (AMMFEINA), Montserrat Canals (Grupo Flisa), Rafael Ruano (FECETC), Julio Martínez (MITON), Estrella Gutiérrez (CCOO), David Mendoza (Abogado consultor discapacidad), Isabel Llorens (Fundación Dau), Lola de la Fuente (Esclatec), Francesc Durá (DINCAT), Maria Antonia López Sala (Generalitat de Catalunya).</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57D" w:rsidRDefault="00A5357D">
    <w:pPr>
      <w:pStyle w:val="Encabezado"/>
      <w:framePr w:hSpace="181" w:wrap="around" w:vAnchor="text" w:hAnchor="margin" w:y="-407"/>
      <w:jc w:val="left"/>
      <w:rPr>
        <w:i w:val="0"/>
        <w:sz w:val="26"/>
        <w:szCs w:val="26"/>
      </w:rPr>
    </w:pPr>
    <w:r>
      <w:rPr>
        <w:rFonts w:ascii="KPMG Logo" w:hAnsi="KPMG Logo"/>
        <w:i w:val="0"/>
        <w:sz w:val="26"/>
        <w:szCs w:val="26"/>
      </w:rPr>
      <w:t>ABCD</w:t>
    </w:r>
  </w:p>
  <w:tbl>
    <w:tblPr>
      <w:tblW w:w="0" w:type="auto"/>
      <w:tblLayout w:type="fixed"/>
      <w:tblCellMar>
        <w:left w:w="71" w:type="dxa"/>
        <w:right w:w="71" w:type="dxa"/>
      </w:tblCellMar>
      <w:tblLook w:val="0000"/>
    </w:tblPr>
    <w:tblGrid>
      <w:gridCol w:w="4111"/>
    </w:tblGrid>
    <w:tr w:rsidR="00A5357D">
      <w:trPr>
        <w:trHeight w:hRule="exact" w:val="220"/>
      </w:trPr>
      <w:tc>
        <w:tcPr>
          <w:tcW w:w="4111" w:type="dxa"/>
        </w:tcPr>
        <w:p w:rsidR="00A5357D" w:rsidRDefault="009154AB">
          <w:pPr>
            <w:pStyle w:val="Encabezado"/>
            <w:framePr w:hSpace="181" w:wrap="around" w:vAnchor="text" w:hAnchor="text" w:xAlign="right" w:y="1"/>
            <w:rPr>
              <w:b/>
            </w:rPr>
          </w:pPr>
          <w:r>
            <w:rPr>
              <w:b/>
            </w:rPr>
            <w:fldChar w:fldCharType="begin"/>
          </w:r>
          <w:r w:rsidR="00A5357D">
            <w:rPr>
              <w:b/>
            </w:rPr>
            <w:instrText xml:space="preserve"> DocProperty KISClient \* charformat </w:instrText>
          </w:r>
          <w:r>
            <w:rPr>
              <w:b/>
            </w:rPr>
            <w:fldChar w:fldCharType="separate"/>
          </w:r>
          <w:r w:rsidR="00A5357D">
            <w:rPr>
              <w:b/>
            </w:rPr>
            <w:t>Fundación ONCE</w:t>
          </w:r>
          <w:r>
            <w:rPr>
              <w:b/>
            </w:rPr>
            <w:fldChar w:fldCharType="end"/>
          </w:r>
        </w:p>
      </w:tc>
    </w:tr>
    <w:tr w:rsidR="00A5357D">
      <w:trPr>
        <w:trHeight w:hRule="exact" w:val="220"/>
      </w:trPr>
      <w:tc>
        <w:tcPr>
          <w:tcW w:w="4111" w:type="dxa"/>
        </w:tcPr>
        <w:p w:rsidR="00A5357D" w:rsidRDefault="009154AB">
          <w:pPr>
            <w:pStyle w:val="Encabezado"/>
            <w:framePr w:hSpace="181" w:wrap="around" w:vAnchor="text" w:hAnchor="text" w:xAlign="right" w:y="1"/>
          </w:pPr>
          <w:fldSimple w:instr=" DocProperty KISSubject  \* charformat ">
            <w:r w:rsidR="00A5357D">
              <w:t>Presente y futuro de los centros especiales de empleo</w:t>
            </w:r>
          </w:fldSimple>
        </w:p>
      </w:tc>
    </w:tr>
    <w:tr w:rsidR="00A5357D" w:rsidRPr="00374404">
      <w:tc>
        <w:tcPr>
          <w:tcW w:w="4111" w:type="dxa"/>
        </w:tcPr>
        <w:p w:rsidR="00A5357D" w:rsidRPr="00374404" w:rsidRDefault="009154AB">
          <w:pPr>
            <w:pStyle w:val="Encabezado"/>
            <w:framePr w:hSpace="181" w:wrap="around" w:vAnchor="text" w:hAnchor="text" w:xAlign="right" w:y="1"/>
            <w:rPr>
              <w:lang w:val="en-US"/>
            </w:rPr>
          </w:pPr>
          <w:r w:rsidRPr="00374404">
            <w:rPr>
              <w:lang w:val="en-US"/>
            </w:rPr>
            <w:fldChar w:fldCharType="begin"/>
          </w:r>
          <w:r w:rsidR="00A5357D" w:rsidRPr="00374404">
            <w:rPr>
              <w:lang w:val="en-US"/>
            </w:rPr>
            <w:instrText xml:space="preserve"> DocProperty KISHdrInfo \* charformat </w:instrText>
          </w:r>
          <w:r w:rsidRPr="00374404">
            <w:rPr>
              <w:lang w:val="en-US"/>
            </w:rPr>
            <w:fldChar w:fldCharType="separate"/>
          </w:r>
          <w:r w:rsidR="00A5357D">
            <w:rPr>
              <w:lang w:val="en-US"/>
            </w:rPr>
            <w:t>noviembre 2012</w:t>
          </w:r>
          <w:r w:rsidRPr="00374404">
            <w:rPr>
              <w:lang w:val="en-US"/>
            </w:rPr>
            <w:fldChar w:fldCharType="end"/>
          </w:r>
        </w:p>
      </w:tc>
    </w:tr>
  </w:tbl>
  <w:p w:rsidR="00A5357D" w:rsidRPr="00374404" w:rsidRDefault="00A5357D">
    <w:pPr>
      <w:pStyle w:val="Encabezado"/>
      <w:rPr>
        <w:lang w:val="en-US"/>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57D" w:rsidRDefault="00A5357D">
    <w:pPr>
      <w:pStyle w:val="Encabezado"/>
      <w:tabs>
        <w:tab w:val="left" w:pos="284"/>
        <w:tab w:val="right" w:pos="8789"/>
      </w:tabs>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57D" w:rsidRDefault="00A5357D">
    <w:pPr>
      <w:pStyle w:val="Encabezado"/>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57D" w:rsidRPr="00374404" w:rsidRDefault="00A5357D" w:rsidP="00360D98">
    <w:pPr>
      <w:pStyle w:val="Encabezado"/>
      <w:rPr>
        <w:lang w:val="en-US"/>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57D" w:rsidRDefault="00A5357D">
    <w:pPr>
      <w:pStyle w:val="Encabezado"/>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57D" w:rsidRDefault="00A5357D">
    <w:pPr>
      <w:pStyle w:val="Encabezado"/>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57D" w:rsidRDefault="00A5357D">
    <w:pPr>
      <w:pStyle w:val="Encabezado"/>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57D" w:rsidRDefault="00A5357D">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1"/>
    <w:multiLevelType w:val="singleLevel"/>
    <w:tmpl w:val="4C0E3BDA"/>
    <w:lvl w:ilvl="0">
      <w:start w:val="1"/>
      <w:numFmt w:val="bullet"/>
      <w:pStyle w:val="Listaconvietas4"/>
      <w:lvlText w:val="-"/>
      <w:lvlJc w:val="left"/>
      <w:pPr>
        <w:tabs>
          <w:tab w:val="num" w:pos="680"/>
        </w:tabs>
        <w:ind w:left="680" w:hanging="340"/>
      </w:pPr>
      <w:rPr>
        <w:rFonts w:ascii="9999999" w:hAnsi="9999999" w:hint="default"/>
      </w:rPr>
    </w:lvl>
  </w:abstractNum>
  <w:abstractNum w:abstractNumId="1">
    <w:nsid w:val="FFFFFF82"/>
    <w:multiLevelType w:val="singleLevel"/>
    <w:tmpl w:val="09DC7A00"/>
    <w:lvl w:ilvl="0">
      <w:start w:val="1"/>
      <w:numFmt w:val="bullet"/>
      <w:pStyle w:val="Listaconvietas3"/>
      <w:lvlText w:val=""/>
      <w:lvlJc w:val="left"/>
      <w:pPr>
        <w:tabs>
          <w:tab w:val="num" w:pos="340"/>
        </w:tabs>
        <w:ind w:left="340" w:hanging="340"/>
      </w:pPr>
      <w:rPr>
        <w:rFonts w:ascii="Symbol" w:hAnsi="Symbol" w:hint="default"/>
        <w:color w:val="auto"/>
        <w:sz w:val="18"/>
      </w:rPr>
    </w:lvl>
  </w:abstractNum>
  <w:abstractNum w:abstractNumId="2">
    <w:nsid w:val="FFFFFF83"/>
    <w:multiLevelType w:val="singleLevel"/>
    <w:tmpl w:val="759ECFEC"/>
    <w:lvl w:ilvl="0">
      <w:start w:val="1"/>
      <w:numFmt w:val="bullet"/>
      <w:lvlText w:val=""/>
      <w:lvlJc w:val="left"/>
      <w:pPr>
        <w:tabs>
          <w:tab w:val="num" w:pos="643"/>
        </w:tabs>
        <w:ind w:left="643" w:hanging="360"/>
      </w:pPr>
      <w:rPr>
        <w:rFonts w:ascii="Symbol" w:hAnsi="Symbol" w:hint="default"/>
      </w:rPr>
    </w:lvl>
  </w:abstractNum>
  <w:abstractNum w:abstractNumId="3">
    <w:nsid w:val="029E0655"/>
    <w:multiLevelType w:val="hybridMultilevel"/>
    <w:tmpl w:val="14CE669E"/>
    <w:lvl w:ilvl="0" w:tplc="2C2CD7A2">
      <w:numFmt w:val="bullet"/>
      <w:lvlText w:val="-"/>
      <w:lvlJc w:val="left"/>
      <w:pPr>
        <w:ind w:left="720" w:hanging="360"/>
      </w:pPr>
      <w:rPr>
        <w:rFonts w:ascii="MinionPro-Regular" w:eastAsia="Times New Roman" w:hAnsi="MinionPro-Regular"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2AD6666"/>
    <w:multiLevelType w:val="hybridMultilevel"/>
    <w:tmpl w:val="9AAE6A28"/>
    <w:lvl w:ilvl="0" w:tplc="1714A642">
      <w:start w:val="1"/>
      <w:numFmt w:val="bullet"/>
      <w:pStyle w:val="Listaconvietas"/>
      <w:lvlText w:val=""/>
      <w:lvlJc w:val="left"/>
      <w:pPr>
        <w:tabs>
          <w:tab w:val="num" w:pos="340"/>
        </w:tabs>
        <w:ind w:left="340" w:hanging="340"/>
      </w:pPr>
      <w:rPr>
        <w:rFonts w:ascii="Symbol" w:hAnsi="Symbol" w:hint="default"/>
        <w:color w:val="auto"/>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6372271"/>
    <w:multiLevelType w:val="hybridMultilevel"/>
    <w:tmpl w:val="12DE451C"/>
    <w:lvl w:ilvl="0" w:tplc="8E48CCF8">
      <w:start w:val="1"/>
      <w:numFmt w:val="bullet"/>
      <w:lvlText w:val=""/>
      <w:lvlJc w:val="left"/>
      <w:pPr>
        <w:ind w:left="720" w:hanging="360"/>
      </w:pPr>
      <w:rPr>
        <w:rFonts w:ascii="Symbol" w:hAnsi="Symbol" w:hint="default"/>
        <w:color w:val="auto"/>
        <w:sz w:val="22"/>
        <w:u w:color="1F497D"/>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080C71FB"/>
    <w:multiLevelType w:val="hybridMultilevel"/>
    <w:tmpl w:val="5826050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092B6A14"/>
    <w:multiLevelType w:val="hybridMultilevel"/>
    <w:tmpl w:val="658280F0"/>
    <w:lvl w:ilvl="0" w:tplc="7F72C0F8">
      <w:numFmt w:val="bullet"/>
      <w:lvlText w:val="-"/>
      <w:lvlJc w:val="left"/>
      <w:pPr>
        <w:ind w:left="720" w:hanging="360"/>
      </w:pPr>
      <w:rPr>
        <w:rFonts w:ascii="MinionPro-Regular" w:eastAsia="Times New Roman" w:hAnsi="MinionPro-Regular"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A2F6B70"/>
    <w:multiLevelType w:val="singleLevel"/>
    <w:tmpl w:val="55249FEE"/>
    <w:lvl w:ilvl="0">
      <w:start w:val="1"/>
      <w:numFmt w:val="bullet"/>
      <w:lvlText w:val=""/>
      <w:lvlJc w:val="left"/>
      <w:pPr>
        <w:tabs>
          <w:tab w:val="num" w:pos="340"/>
        </w:tabs>
        <w:ind w:left="340" w:hanging="340"/>
      </w:pPr>
      <w:rPr>
        <w:rFonts w:ascii="Symbol" w:hAnsi="Symbol" w:hint="default"/>
        <w:color w:val="auto"/>
        <w:sz w:val="22"/>
      </w:rPr>
    </w:lvl>
  </w:abstractNum>
  <w:abstractNum w:abstractNumId="9">
    <w:nsid w:val="0DC73D46"/>
    <w:multiLevelType w:val="singleLevel"/>
    <w:tmpl w:val="A53EA854"/>
    <w:lvl w:ilvl="0">
      <w:start w:val="1"/>
      <w:numFmt w:val="bullet"/>
      <w:lvlText w:val=""/>
      <w:lvlJc w:val="left"/>
      <w:pPr>
        <w:tabs>
          <w:tab w:val="num" w:pos="340"/>
        </w:tabs>
        <w:ind w:left="340" w:hanging="340"/>
      </w:pPr>
      <w:rPr>
        <w:rFonts w:ascii="Symbol" w:hAnsi="Symbol" w:hint="default"/>
        <w:color w:val="auto"/>
        <w:sz w:val="22"/>
      </w:rPr>
    </w:lvl>
  </w:abstractNum>
  <w:abstractNum w:abstractNumId="10">
    <w:nsid w:val="1AC7690A"/>
    <w:multiLevelType w:val="hybridMultilevel"/>
    <w:tmpl w:val="944EDFC0"/>
    <w:lvl w:ilvl="0" w:tplc="C052B134">
      <w:numFmt w:val="bullet"/>
      <w:lvlText w:val="-"/>
      <w:lvlJc w:val="left"/>
      <w:pPr>
        <w:ind w:left="720" w:hanging="360"/>
      </w:pPr>
      <w:rPr>
        <w:rFonts w:ascii="MinionPro-Regular" w:eastAsia="Times New Roman" w:hAnsi="MinionPro-Regular"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DC8456B"/>
    <w:multiLevelType w:val="singleLevel"/>
    <w:tmpl w:val="A5E6E2E6"/>
    <w:lvl w:ilvl="0">
      <w:start w:val="1"/>
      <w:numFmt w:val="bullet"/>
      <w:lvlText w:val=""/>
      <w:lvlJc w:val="left"/>
      <w:pPr>
        <w:tabs>
          <w:tab w:val="num" w:pos="340"/>
        </w:tabs>
        <w:ind w:left="340" w:hanging="340"/>
      </w:pPr>
      <w:rPr>
        <w:rFonts w:ascii="Symbol" w:hAnsi="Symbol" w:hint="default"/>
        <w:color w:val="auto"/>
        <w:sz w:val="22"/>
      </w:rPr>
    </w:lvl>
  </w:abstractNum>
  <w:abstractNum w:abstractNumId="12">
    <w:nsid w:val="24627BFD"/>
    <w:multiLevelType w:val="multilevel"/>
    <w:tmpl w:val="FB4C14DA"/>
    <w:lvl w:ilvl="0">
      <w:start w:val="1"/>
      <w:numFmt w:val="decimal"/>
      <w:lvlText w:val="%1"/>
      <w:lvlJc w:val="left"/>
      <w:pPr>
        <w:tabs>
          <w:tab w:val="num" w:pos="340"/>
        </w:tabs>
        <w:ind w:left="340" w:hanging="340"/>
      </w:pPr>
      <w:rPr>
        <w:rFonts w:ascii="9999999" w:hAnsi="9999999"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13">
    <w:nsid w:val="2597588A"/>
    <w:multiLevelType w:val="singleLevel"/>
    <w:tmpl w:val="E91C82FA"/>
    <w:lvl w:ilvl="0">
      <w:start w:val="1"/>
      <w:numFmt w:val="bullet"/>
      <w:lvlText w:val=""/>
      <w:lvlJc w:val="left"/>
      <w:pPr>
        <w:tabs>
          <w:tab w:val="num" w:pos="340"/>
        </w:tabs>
        <w:ind w:left="340" w:hanging="340"/>
      </w:pPr>
      <w:rPr>
        <w:rFonts w:ascii="Symbol" w:hAnsi="Symbol" w:hint="default"/>
        <w:color w:val="auto"/>
        <w:sz w:val="22"/>
      </w:rPr>
    </w:lvl>
  </w:abstractNum>
  <w:abstractNum w:abstractNumId="14">
    <w:nsid w:val="26122927"/>
    <w:multiLevelType w:val="singleLevel"/>
    <w:tmpl w:val="BDBA1AEC"/>
    <w:lvl w:ilvl="0">
      <w:start w:val="1"/>
      <w:numFmt w:val="bullet"/>
      <w:lvlText w:val=""/>
      <w:lvlJc w:val="left"/>
      <w:pPr>
        <w:tabs>
          <w:tab w:val="num" w:pos="340"/>
        </w:tabs>
        <w:ind w:left="340" w:hanging="340"/>
      </w:pPr>
      <w:rPr>
        <w:rFonts w:ascii="Symbol" w:hAnsi="Symbol" w:hint="default"/>
        <w:color w:val="auto"/>
        <w:sz w:val="22"/>
      </w:rPr>
    </w:lvl>
  </w:abstractNum>
  <w:abstractNum w:abstractNumId="15">
    <w:nsid w:val="310F4276"/>
    <w:multiLevelType w:val="hybridMultilevel"/>
    <w:tmpl w:val="59A0B4A0"/>
    <w:lvl w:ilvl="0" w:tplc="FD52DB6C">
      <w:numFmt w:val="bullet"/>
      <w:lvlText w:val="-"/>
      <w:lvlJc w:val="left"/>
      <w:pPr>
        <w:ind w:left="720" w:hanging="360"/>
      </w:pPr>
      <w:rPr>
        <w:rFonts w:ascii="MinionPro-Regular" w:eastAsia="Times New Roman" w:hAnsi="MinionPro-Regular"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28F4770"/>
    <w:multiLevelType w:val="hybridMultilevel"/>
    <w:tmpl w:val="B42472B0"/>
    <w:lvl w:ilvl="0" w:tplc="8E48CCF8">
      <w:start w:val="1"/>
      <w:numFmt w:val="bullet"/>
      <w:lvlText w:val=""/>
      <w:lvlJc w:val="left"/>
      <w:pPr>
        <w:ind w:left="720" w:hanging="360"/>
      </w:pPr>
      <w:rPr>
        <w:rFonts w:ascii="Symbol" w:hAnsi="Symbol" w:hint="default"/>
        <w:color w:val="auto"/>
        <w:sz w:val="22"/>
        <w:u w:color="1F497D"/>
      </w:rPr>
    </w:lvl>
    <w:lvl w:ilvl="1" w:tplc="0C0A0003">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39996A05"/>
    <w:multiLevelType w:val="hybridMultilevel"/>
    <w:tmpl w:val="1B54B336"/>
    <w:lvl w:ilvl="0" w:tplc="8E48CCF8">
      <w:start w:val="1"/>
      <w:numFmt w:val="bullet"/>
      <w:lvlText w:val=""/>
      <w:lvlJc w:val="left"/>
      <w:pPr>
        <w:ind w:left="720" w:hanging="360"/>
      </w:pPr>
      <w:rPr>
        <w:rFonts w:ascii="Symbol" w:hAnsi="Symbol" w:hint="default"/>
        <w:color w:val="auto"/>
        <w:sz w:val="22"/>
        <w:u w:color="1F497D"/>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3C3B60EA"/>
    <w:multiLevelType w:val="multilevel"/>
    <w:tmpl w:val="68061DBE"/>
    <w:lvl w:ilvl="0">
      <w:start w:val="1"/>
      <w:numFmt w:val="decimal"/>
      <w:lvlText w:val="%1"/>
      <w:lvlJc w:val="left"/>
      <w:pPr>
        <w:tabs>
          <w:tab w:val="num" w:pos="0"/>
        </w:tabs>
        <w:ind w:hanging="964"/>
      </w:pPr>
      <w:rPr>
        <w:rFonts w:cs="Times New Roman"/>
        <w:i w:val="0"/>
      </w:rPr>
    </w:lvl>
    <w:lvl w:ilvl="1">
      <w:start w:val="1"/>
      <w:numFmt w:val="decimal"/>
      <w:lvlText w:val="%1.%2"/>
      <w:lvlJc w:val="left"/>
      <w:pPr>
        <w:tabs>
          <w:tab w:val="num" w:pos="0"/>
        </w:tabs>
        <w:ind w:hanging="964"/>
      </w:pPr>
      <w:rPr>
        <w:rFonts w:ascii="MinionPro-Regular" w:hAnsi="MinionPro-Regular" w:cs="Times New Roman" w:hint="default"/>
        <w:strike w:val="0"/>
        <w:color w:val="auto"/>
        <w:sz w:val="28"/>
      </w:rPr>
    </w:lvl>
    <w:lvl w:ilvl="2">
      <w:start w:val="1"/>
      <w:numFmt w:val="decimal"/>
      <w:lvlText w:val="%1.%2.%3"/>
      <w:lvlJc w:val="left"/>
      <w:pPr>
        <w:tabs>
          <w:tab w:val="num" w:pos="0"/>
        </w:tabs>
        <w:ind w:hanging="964"/>
      </w:pPr>
      <w:rPr>
        <w:rFonts w:cs="Times New Roman"/>
        <w:color w:val="auto"/>
      </w:rPr>
    </w:lvl>
    <w:lvl w:ilvl="3">
      <w:start w:val="1"/>
      <w:numFmt w:val="decimal"/>
      <w:lvlText w:val="%1.%2.%3.%4"/>
      <w:lvlJc w:val="left"/>
      <w:pPr>
        <w:tabs>
          <w:tab w:val="num" w:pos="20"/>
        </w:tabs>
        <w:ind w:hanging="9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9">
    <w:nsid w:val="3CE018BF"/>
    <w:multiLevelType w:val="singleLevel"/>
    <w:tmpl w:val="9690917A"/>
    <w:lvl w:ilvl="0">
      <w:start w:val="1"/>
      <w:numFmt w:val="bullet"/>
      <w:lvlText w:val=""/>
      <w:lvlJc w:val="left"/>
      <w:pPr>
        <w:tabs>
          <w:tab w:val="num" w:pos="340"/>
        </w:tabs>
        <w:ind w:left="340" w:hanging="340"/>
      </w:pPr>
      <w:rPr>
        <w:rFonts w:ascii="Symbol" w:hAnsi="Symbol" w:hint="default"/>
        <w:color w:val="auto"/>
        <w:sz w:val="22"/>
      </w:rPr>
    </w:lvl>
  </w:abstractNum>
  <w:abstractNum w:abstractNumId="20">
    <w:nsid w:val="3F851144"/>
    <w:multiLevelType w:val="singleLevel"/>
    <w:tmpl w:val="9F60ADFE"/>
    <w:lvl w:ilvl="0">
      <w:start w:val="1"/>
      <w:numFmt w:val="bullet"/>
      <w:lvlText w:val=""/>
      <w:lvlJc w:val="left"/>
      <w:pPr>
        <w:tabs>
          <w:tab w:val="num" w:pos="340"/>
        </w:tabs>
        <w:ind w:left="340" w:hanging="340"/>
      </w:pPr>
      <w:rPr>
        <w:rFonts w:ascii="Symbol" w:hAnsi="Symbol" w:hint="default"/>
        <w:color w:val="auto"/>
        <w:sz w:val="22"/>
      </w:rPr>
    </w:lvl>
  </w:abstractNum>
  <w:abstractNum w:abstractNumId="21">
    <w:nsid w:val="441B0A0A"/>
    <w:multiLevelType w:val="hybridMultilevel"/>
    <w:tmpl w:val="07AA8534"/>
    <w:lvl w:ilvl="0" w:tplc="21BED1A6">
      <w:start w:val="1"/>
      <w:numFmt w:val="decimal"/>
      <w:lvlText w:val="%1."/>
      <w:lvlJc w:val="left"/>
      <w:pPr>
        <w:ind w:left="720" w:hanging="360"/>
      </w:pPr>
      <w:rPr>
        <w:rFonts w:cs="Times New Roman" w:hint="default"/>
      </w:rPr>
    </w:lvl>
    <w:lvl w:ilvl="1" w:tplc="71BCBD48" w:tentative="1">
      <w:start w:val="1"/>
      <w:numFmt w:val="lowerLetter"/>
      <w:lvlText w:val="%2."/>
      <w:lvlJc w:val="left"/>
      <w:pPr>
        <w:ind w:left="1440" w:hanging="360"/>
      </w:pPr>
      <w:rPr>
        <w:rFonts w:cs="Times New Roman"/>
      </w:rPr>
    </w:lvl>
    <w:lvl w:ilvl="2" w:tplc="113450AE" w:tentative="1">
      <w:start w:val="1"/>
      <w:numFmt w:val="lowerRoman"/>
      <w:lvlText w:val="%3."/>
      <w:lvlJc w:val="right"/>
      <w:pPr>
        <w:ind w:left="2160" w:hanging="180"/>
      </w:pPr>
      <w:rPr>
        <w:rFonts w:cs="Times New Roman"/>
      </w:rPr>
    </w:lvl>
    <w:lvl w:ilvl="3" w:tplc="B680F38A" w:tentative="1">
      <w:start w:val="1"/>
      <w:numFmt w:val="decimal"/>
      <w:lvlText w:val="%4."/>
      <w:lvlJc w:val="left"/>
      <w:pPr>
        <w:ind w:left="2880" w:hanging="360"/>
      </w:pPr>
      <w:rPr>
        <w:rFonts w:cs="Times New Roman"/>
      </w:rPr>
    </w:lvl>
    <w:lvl w:ilvl="4" w:tplc="BCFE0332" w:tentative="1">
      <w:start w:val="1"/>
      <w:numFmt w:val="lowerLetter"/>
      <w:lvlText w:val="%5."/>
      <w:lvlJc w:val="left"/>
      <w:pPr>
        <w:ind w:left="3600" w:hanging="360"/>
      </w:pPr>
      <w:rPr>
        <w:rFonts w:cs="Times New Roman"/>
      </w:rPr>
    </w:lvl>
    <w:lvl w:ilvl="5" w:tplc="EC4A7DB6" w:tentative="1">
      <w:start w:val="1"/>
      <w:numFmt w:val="lowerRoman"/>
      <w:lvlText w:val="%6."/>
      <w:lvlJc w:val="right"/>
      <w:pPr>
        <w:ind w:left="4320" w:hanging="180"/>
      </w:pPr>
      <w:rPr>
        <w:rFonts w:cs="Times New Roman"/>
      </w:rPr>
    </w:lvl>
    <w:lvl w:ilvl="6" w:tplc="11B26136" w:tentative="1">
      <w:start w:val="1"/>
      <w:numFmt w:val="decimal"/>
      <w:lvlText w:val="%7."/>
      <w:lvlJc w:val="left"/>
      <w:pPr>
        <w:ind w:left="5040" w:hanging="360"/>
      </w:pPr>
      <w:rPr>
        <w:rFonts w:cs="Times New Roman"/>
      </w:rPr>
    </w:lvl>
    <w:lvl w:ilvl="7" w:tplc="AC6C1938" w:tentative="1">
      <w:start w:val="1"/>
      <w:numFmt w:val="lowerLetter"/>
      <w:lvlText w:val="%8."/>
      <w:lvlJc w:val="left"/>
      <w:pPr>
        <w:ind w:left="5760" w:hanging="360"/>
      </w:pPr>
      <w:rPr>
        <w:rFonts w:cs="Times New Roman"/>
      </w:rPr>
    </w:lvl>
    <w:lvl w:ilvl="8" w:tplc="F566D60C" w:tentative="1">
      <w:start w:val="1"/>
      <w:numFmt w:val="lowerRoman"/>
      <w:lvlText w:val="%9."/>
      <w:lvlJc w:val="right"/>
      <w:pPr>
        <w:ind w:left="6480" w:hanging="180"/>
      </w:pPr>
      <w:rPr>
        <w:rFonts w:cs="Times New Roman"/>
      </w:rPr>
    </w:lvl>
  </w:abstractNum>
  <w:abstractNum w:abstractNumId="22">
    <w:nsid w:val="53785E5E"/>
    <w:multiLevelType w:val="singleLevel"/>
    <w:tmpl w:val="6E764438"/>
    <w:lvl w:ilvl="0">
      <w:start w:val="1"/>
      <w:numFmt w:val="bullet"/>
      <w:lvlText w:val=""/>
      <w:lvlJc w:val="left"/>
      <w:pPr>
        <w:tabs>
          <w:tab w:val="num" w:pos="340"/>
        </w:tabs>
        <w:ind w:left="340" w:hanging="340"/>
      </w:pPr>
      <w:rPr>
        <w:rFonts w:ascii="Symbol" w:hAnsi="Symbol" w:hint="default"/>
        <w:color w:val="auto"/>
        <w:sz w:val="22"/>
      </w:rPr>
    </w:lvl>
  </w:abstractNum>
  <w:abstractNum w:abstractNumId="23">
    <w:nsid w:val="567E5B29"/>
    <w:multiLevelType w:val="multilevel"/>
    <w:tmpl w:val="A9387BD8"/>
    <w:lvl w:ilvl="0">
      <w:start w:val="1"/>
      <w:numFmt w:val="decimal"/>
      <w:lvlText w:val="%1"/>
      <w:lvlJc w:val="left"/>
      <w:pPr>
        <w:tabs>
          <w:tab w:val="num" w:pos="907"/>
        </w:tabs>
        <w:ind w:left="907" w:hanging="340"/>
      </w:pPr>
      <w:rPr>
        <w:rFonts w:ascii="9999999" w:hAnsi="9999999" w:cs="Times New Roman" w:hint="default"/>
      </w:rPr>
    </w:lvl>
    <w:lvl w:ilvl="1">
      <w:start w:val="1"/>
      <w:numFmt w:val="bullet"/>
      <w:lvlText w:val=""/>
      <w:lvlJc w:val="left"/>
      <w:pPr>
        <w:tabs>
          <w:tab w:val="num" w:pos="1247"/>
        </w:tabs>
        <w:ind w:left="1247" w:hanging="340"/>
      </w:pPr>
      <w:rPr>
        <w:rFonts w:ascii="Symbol" w:hAnsi="Symbol" w:hint="default"/>
        <w:sz w:val="22"/>
      </w:rPr>
    </w:lvl>
    <w:lvl w:ilvl="2">
      <w:start w:val="1"/>
      <w:numFmt w:val="bullet"/>
      <w:lvlText w:val="-"/>
      <w:lvlJc w:val="left"/>
      <w:pPr>
        <w:tabs>
          <w:tab w:val="num" w:pos="1587"/>
        </w:tabs>
        <w:ind w:left="1587" w:hanging="340"/>
      </w:pPr>
      <w:rPr>
        <w:rFonts w:ascii="9999999" w:hAnsi="9999999" w:hint="default"/>
      </w:rPr>
    </w:lvl>
    <w:lvl w:ilvl="3">
      <w:start w:val="1"/>
      <w:numFmt w:val="bullet"/>
      <w:lvlText w:val=""/>
      <w:lvlJc w:val="left"/>
      <w:pPr>
        <w:tabs>
          <w:tab w:val="num" w:pos="1928"/>
        </w:tabs>
        <w:ind w:left="1928" w:hanging="341"/>
      </w:pPr>
      <w:rPr>
        <w:rFonts w:ascii="Symbol" w:hAnsi="Symbol" w:hint="default"/>
        <w:sz w:val="22"/>
      </w:rPr>
    </w:lvl>
    <w:lvl w:ilvl="4">
      <w:start w:val="1"/>
      <w:numFmt w:val="bullet"/>
      <w:lvlText w:val=""/>
      <w:lvlJc w:val="left"/>
      <w:pPr>
        <w:tabs>
          <w:tab w:val="num" w:pos="2268"/>
        </w:tabs>
        <w:ind w:left="2268" w:hanging="340"/>
      </w:pPr>
      <w:rPr>
        <w:rFonts w:ascii="Symbol" w:hAnsi="Symbol" w:hint="default"/>
      </w:rPr>
    </w:lvl>
    <w:lvl w:ilvl="5">
      <w:start w:val="1"/>
      <w:numFmt w:val="bullet"/>
      <w:lvlText w:val=""/>
      <w:lvlJc w:val="left"/>
      <w:pPr>
        <w:tabs>
          <w:tab w:val="num" w:pos="2608"/>
        </w:tabs>
        <w:ind w:left="2608" w:hanging="340"/>
      </w:pPr>
      <w:rPr>
        <w:rFonts w:ascii="Wingdings" w:hAnsi="Wingdings" w:hint="default"/>
      </w:rPr>
    </w:lvl>
    <w:lvl w:ilvl="6">
      <w:start w:val="1"/>
      <w:numFmt w:val="bullet"/>
      <w:lvlText w:val=""/>
      <w:lvlJc w:val="left"/>
      <w:pPr>
        <w:tabs>
          <w:tab w:val="num" w:pos="2948"/>
        </w:tabs>
        <w:ind w:left="2948" w:hanging="340"/>
      </w:pPr>
      <w:rPr>
        <w:rFonts w:ascii="Wingdings" w:hAnsi="Wingdings" w:hint="default"/>
      </w:rPr>
    </w:lvl>
    <w:lvl w:ilvl="7">
      <w:start w:val="1"/>
      <w:numFmt w:val="bullet"/>
      <w:lvlText w:val=""/>
      <w:lvlJc w:val="left"/>
      <w:pPr>
        <w:tabs>
          <w:tab w:val="num" w:pos="3288"/>
        </w:tabs>
        <w:ind w:left="3288" w:hanging="340"/>
      </w:pPr>
      <w:rPr>
        <w:rFonts w:ascii="Symbol" w:hAnsi="Symbol" w:hint="default"/>
      </w:rPr>
    </w:lvl>
    <w:lvl w:ilvl="8">
      <w:start w:val="1"/>
      <w:numFmt w:val="bullet"/>
      <w:lvlText w:val=""/>
      <w:lvlJc w:val="left"/>
      <w:pPr>
        <w:tabs>
          <w:tab w:val="num" w:pos="3628"/>
        </w:tabs>
        <w:ind w:left="3628" w:hanging="340"/>
      </w:pPr>
      <w:rPr>
        <w:rFonts w:ascii="Symbol" w:hAnsi="Symbol" w:hint="default"/>
      </w:rPr>
    </w:lvl>
  </w:abstractNum>
  <w:abstractNum w:abstractNumId="24">
    <w:nsid w:val="578E39AE"/>
    <w:multiLevelType w:val="singleLevel"/>
    <w:tmpl w:val="06AC6CDC"/>
    <w:lvl w:ilvl="0">
      <w:start w:val="1"/>
      <w:numFmt w:val="bullet"/>
      <w:lvlText w:val=""/>
      <w:lvlJc w:val="left"/>
      <w:pPr>
        <w:tabs>
          <w:tab w:val="num" w:pos="340"/>
        </w:tabs>
        <w:ind w:left="340" w:hanging="340"/>
      </w:pPr>
      <w:rPr>
        <w:rFonts w:ascii="Symbol" w:hAnsi="Symbol" w:hint="default"/>
        <w:color w:val="auto"/>
        <w:sz w:val="22"/>
      </w:rPr>
    </w:lvl>
  </w:abstractNum>
  <w:abstractNum w:abstractNumId="25">
    <w:nsid w:val="583709AD"/>
    <w:multiLevelType w:val="multilevel"/>
    <w:tmpl w:val="298E7994"/>
    <w:lvl w:ilvl="0">
      <w:start w:val="1"/>
      <w:numFmt w:val="decimal"/>
      <w:lvlText w:val="%1"/>
      <w:lvlJc w:val="left"/>
      <w:pPr>
        <w:tabs>
          <w:tab w:val="num" w:pos="340"/>
        </w:tabs>
        <w:ind w:left="340" w:hanging="340"/>
      </w:pPr>
      <w:rPr>
        <w:rFonts w:ascii="9999999" w:hAnsi="9999999" w:cs="Times New Roman" w:hint="default"/>
        <w:color w:val="auto"/>
        <w:sz w:val="22"/>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26">
    <w:nsid w:val="6AAF1A8F"/>
    <w:multiLevelType w:val="singleLevel"/>
    <w:tmpl w:val="F5C640AE"/>
    <w:lvl w:ilvl="0">
      <w:start w:val="1"/>
      <w:numFmt w:val="bullet"/>
      <w:lvlText w:val=""/>
      <w:lvlJc w:val="left"/>
      <w:pPr>
        <w:tabs>
          <w:tab w:val="num" w:pos="340"/>
        </w:tabs>
        <w:ind w:left="340" w:hanging="340"/>
      </w:pPr>
      <w:rPr>
        <w:rFonts w:ascii="Symbol" w:hAnsi="Symbol" w:hint="default"/>
        <w:color w:val="auto"/>
        <w:sz w:val="22"/>
      </w:rPr>
    </w:lvl>
  </w:abstractNum>
  <w:abstractNum w:abstractNumId="27">
    <w:nsid w:val="6C4030FF"/>
    <w:multiLevelType w:val="singleLevel"/>
    <w:tmpl w:val="E6E43430"/>
    <w:lvl w:ilvl="0">
      <w:start w:val="1"/>
      <w:numFmt w:val="bullet"/>
      <w:pStyle w:val="Listaconvietas2"/>
      <w:lvlText w:val="-"/>
      <w:lvlJc w:val="left"/>
      <w:pPr>
        <w:tabs>
          <w:tab w:val="num" w:pos="680"/>
        </w:tabs>
        <w:ind w:left="680" w:hanging="340"/>
      </w:pPr>
      <w:rPr>
        <w:rFonts w:ascii="Times New Roman" w:hAnsi="Times New Roman" w:hint="default"/>
      </w:rPr>
    </w:lvl>
  </w:abstractNum>
  <w:abstractNum w:abstractNumId="28">
    <w:nsid w:val="72E57DCD"/>
    <w:multiLevelType w:val="singleLevel"/>
    <w:tmpl w:val="90A81F94"/>
    <w:lvl w:ilvl="0">
      <w:start w:val="1"/>
      <w:numFmt w:val="bullet"/>
      <w:lvlText w:val=""/>
      <w:lvlJc w:val="left"/>
      <w:pPr>
        <w:tabs>
          <w:tab w:val="num" w:pos="340"/>
        </w:tabs>
        <w:ind w:left="340" w:hanging="340"/>
      </w:pPr>
      <w:rPr>
        <w:rFonts w:ascii="Symbol" w:hAnsi="Symbol" w:hint="default"/>
        <w:color w:val="auto"/>
        <w:sz w:val="22"/>
      </w:rPr>
    </w:lvl>
  </w:abstractNum>
  <w:abstractNum w:abstractNumId="29">
    <w:nsid w:val="777E5F97"/>
    <w:multiLevelType w:val="multilevel"/>
    <w:tmpl w:val="CE12316E"/>
    <w:lvl w:ilvl="0">
      <w:start w:val="1"/>
      <w:numFmt w:val="upperLetter"/>
      <w:pStyle w:val="AppendixHeading"/>
      <w:lvlText w:val="%1"/>
      <w:lvlJc w:val="left"/>
      <w:pPr>
        <w:tabs>
          <w:tab w:val="num" w:pos="0"/>
        </w:tabs>
        <w:ind w:hanging="964"/>
      </w:pPr>
      <w:rPr>
        <w:rFonts w:cs="Times New Roman"/>
      </w:rPr>
    </w:lvl>
    <w:lvl w:ilvl="1">
      <w:start w:val="1"/>
      <w:numFmt w:val="decimal"/>
      <w:lvlText w:val="%1.%2"/>
      <w:lvlJc w:val="left"/>
      <w:pPr>
        <w:tabs>
          <w:tab w:val="num" w:pos="0"/>
        </w:tabs>
        <w:ind w:hanging="964"/>
      </w:pPr>
      <w:rPr>
        <w:rFonts w:cs="Times New Roman"/>
      </w:rPr>
    </w:lvl>
    <w:lvl w:ilvl="2">
      <w:start w:val="1"/>
      <w:numFmt w:val="decimal"/>
      <w:lvlText w:val="%1.%2.%3"/>
      <w:lvlJc w:val="left"/>
      <w:pPr>
        <w:tabs>
          <w:tab w:val="num" w:pos="0"/>
        </w:tabs>
        <w:ind w:hanging="964"/>
      </w:pPr>
      <w:rPr>
        <w:rFonts w:cs="Times New Roman"/>
      </w:rPr>
    </w:lvl>
    <w:lvl w:ilvl="3">
      <w:start w:val="1"/>
      <w:numFmt w:val="decimal"/>
      <w:lvlText w:val="%1.%2.%3.%4"/>
      <w:lvlJc w:val="left"/>
      <w:pPr>
        <w:tabs>
          <w:tab w:val="num" w:pos="0"/>
        </w:tabs>
        <w:ind w:hanging="964"/>
      </w:pPr>
      <w:rPr>
        <w:rFonts w:cs="Times New Roman"/>
      </w:rPr>
    </w:lvl>
    <w:lvl w:ilvl="4">
      <w:start w:val="1"/>
      <w:numFmt w:val="decimal"/>
      <w:lvlText w:val="(%5)"/>
      <w:lvlJc w:val="left"/>
      <w:pPr>
        <w:tabs>
          <w:tab w:val="num" w:pos="3240"/>
        </w:tabs>
        <w:ind w:left="2880"/>
      </w:pPr>
      <w:rPr>
        <w:rFonts w:cs="Times New Roman"/>
      </w:rPr>
    </w:lvl>
    <w:lvl w:ilvl="5">
      <w:start w:val="1"/>
      <w:numFmt w:val="lowerLetter"/>
      <w:lvlText w:val="(%6)"/>
      <w:lvlJc w:val="left"/>
      <w:pPr>
        <w:tabs>
          <w:tab w:val="num" w:pos="3960"/>
        </w:tabs>
        <w:ind w:left="3600"/>
      </w:pPr>
      <w:rPr>
        <w:rFonts w:cs="Times New Roman"/>
      </w:rPr>
    </w:lvl>
    <w:lvl w:ilvl="6">
      <w:start w:val="1"/>
      <w:numFmt w:val="lowerRoman"/>
      <w:lvlText w:val="(%7)"/>
      <w:lvlJc w:val="left"/>
      <w:pPr>
        <w:tabs>
          <w:tab w:val="num" w:pos="4680"/>
        </w:tabs>
        <w:ind w:left="4320"/>
      </w:pPr>
      <w:rPr>
        <w:rFonts w:cs="Times New Roman"/>
      </w:rPr>
    </w:lvl>
    <w:lvl w:ilvl="7">
      <w:start w:val="1"/>
      <w:numFmt w:val="lowerLetter"/>
      <w:lvlText w:val="(%8)"/>
      <w:lvlJc w:val="left"/>
      <w:pPr>
        <w:tabs>
          <w:tab w:val="num" w:pos="5400"/>
        </w:tabs>
        <w:ind w:left="5040"/>
      </w:pPr>
      <w:rPr>
        <w:rFonts w:cs="Times New Roman"/>
      </w:rPr>
    </w:lvl>
    <w:lvl w:ilvl="8">
      <w:start w:val="1"/>
      <w:numFmt w:val="lowerRoman"/>
      <w:lvlText w:val="(%9)"/>
      <w:lvlJc w:val="left"/>
      <w:pPr>
        <w:tabs>
          <w:tab w:val="num" w:pos="6120"/>
        </w:tabs>
        <w:ind w:left="5760"/>
      </w:pPr>
      <w:rPr>
        <w:rFonts w:cs="Times New Roman"/>
      </w:rPr>
    </w:lvl>
  </w:abstractNum>
  <w:abstractNum w:abstractNumId="30">
    <w:nsid w:val="78620C1C"/>
    <w:multiLevelType w:val="multilevel"/>
    <w:tmpl w:val="8E50F6FE"/>
    <w:lvl w:ilvl="0">
      <w:start w:val="1"/>
      <w:numFmt w:val="decimal"/>
      <w:lvlText w:val="%1"/>
      <w:lvlJc w:val="left"/>
      <w:pPr>
        <w:tabs>
          <w:tab w:val="num" w:pos="340"/>
        </w:tabs>
        <w:ind w:left="340" w:hanging="340"/>
      </w:pPr>
      <w:rPr>
        <w:rFonts w:ascii="9999999" w:hAnsi="9999999" w:cs="Times New Roman" w:hint="default"/>
        <w:color w:val="auto"/>
        <w:sz w:val="22"/>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1">
    <w:nsid w:val="79656346"/>
    <w:multiLevelType w:val="singleLevel"/>
    <w:tmpl w:val="F168E5AE"/>
    <w:lvl w:ilvl="0">
      <w:start w:val="1"/>
      <w:numFmt w:val="bullet"/>
      <w:lvlText w:val=""/>
      <w:lvlJc w:val="left"/>
      <w:pPr>
        <w:tabs>
          <w:tab w:val="num" w:pos="340"/>
        </w:tabs>
        <w:ind w:left="340" w:hanging="340"/>
      </w:pPr>
      <w:rPr>
        <w:rFonts w:ascii="Symbol" w:hAnsi="Symbol" w:hint="default"/>
        <w:color w:val="auto"/>
        <w:sz w:val="22"/>
      </w:rPr>
    </w:lvl>
  </w:abstractNum>
  <w:num w:numId="1">
    <w:abstractNumId w:val="2"/>
  </w:num>
  <w:num w:numId="2">
    <w:abstractNumId w:val="27"/>
  </w:num>
  <w:num w:numId="3">
    <w:abstractNumId w:val="18"/>
  </w:num>
  <w:num w:numId="4">
    <w:abstractNumId w:val="29"/>
  </w:num>
  <w:num w:numId="5">
    <w:abstractNumId w:val="1"/>
  </w:num>
  <w:num w:numId="6">
    <w:abstractNumId w:val="0"/>
  </w:num>
  <w:num w:numId="7">
    <w:abstractNumId w:val="4"/>
  </w:num>
  <w:num w:numId="8">
    <w:abstractNumId w:val="14"/>
  </w:num>
  <w:num w:numId="9">
    <w:abstractNumId w:val="5"/>
  </w:num>
  <w:num w:numId="10">
    <w:abstractNumId w:val="16"/>
  </w:num>
  <w:num w:numId="11">
    <w:abstractNumId w:val="17"/>
  </w:num>
  <w:num w:numId="12">
    <w:abstractNumId w:val="24"/>
  </w:num>
  <w:num w:numId="13">
    <w:abstractNumId w:val="25"/>
  </w:num>
  <w:num w:numId="14">
    <w:abstractNumId w:val="9"/>
  </w:num>
  <w:num w:numId="15">
    <w:abstractNumId w:val="10"/>
  </w:num>
  <w:num w:numId="16">
    <w:abstractNumId w:val="3"/>
  </w:num>
  <w:num w:numId="17">
    <w:abstractNumId w:val="7"/>
  </w:num>
  <w:num w:numId="18">
    <w:abstractNumId w:val="15"/>
  </w:num>
  <w:num w:numId="19">
    <w:abstractNumId w:val="21"/>
  </w:num>
  <w:num w:numId="20">
    <w:abstractNumId w:val="6"/>
  </w:num>
  <w:num w:numId="21">
    <w:abstractNumId w:val="31"/>
  </w:num>
  <w:num w:numId="22">
    <w:abstractNumId w:val="8"/>
  </w:num>
  <w:num w:numId="23">
    <w:abstractNumId w:val="26"/>
  </w:num>
  <w:num w:numId="24">
    <w:abstractNumId w:val="23"/>
  </w:num>
  <w:num w:numId="25">
    <w:abstractNumId w:val="13"/>
  </w:num>
  <w:num w:numId="26">
    <w:abstractNumId w:val="30"/>
  </w:num>
  <w:num w:numId="27">
    <w:abstractNumId w:val="20"/>
  </w:num>
  <w:num w:numId="28">
    <w:abstractNumId w:val="12"/>
  </w:num>
  <w:num w:numId="29">
    <w:abstractNumId w:val="19"/>
  </w:num>
  <w:num w:numId="30">
    <w:abstractNumId w:val="22"/>
  </w:num>
  <w:num w:numId="31">
    <w:abstractNumId w:val="28"/>
  </w:num>
  <w:num w:numId="32">
    <w:abstractNumId w:val="11"/>
  </w:num>
  <w:numIdMacAtCleanup w:val="3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hideSpellingErrors/>
  <w:hideGrammaticalErrors/>
  <w:attachedTemplate r:id="rId1"/>
  <w:documentProtection w:edit="readOnly" w:enforcement="1" w:cryptProviderType="rsaFull" w:cryptAlgorithmClass="hash" w:cryptAlgorithmType="typeAny" w:cryptAlgorithmSid="4" w:cryptSpinCount="100000" w:hash="1TaiqmfgWHL5jr2cvbVxQqMawhY=" w:salt="HmduMfzFCjptK3LZIurPxQ=="/>
  <w:defaultTabStop w:val="567"/>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8194"/>
    <o:shapelayout v:ext="edit">
      <o:idmap v:ext="edit" data="2"/>
    </o:shapelayout>
  </w:hdrShapeDefaults>
  <w:footnotePr>
    <w:footnote w:id="-1"/>
    <w:footnote w:id="0"/>
  </w:footnotePr>
  <w:endnotePr>
    <w:endnote w:id="-1"/>
    <w:endnote w:id="0"/>
  </w:endnotePr>
  <w:compat/>
  <w:docVars>
    <w:docVar w:name="CoName" w:val="Fundación ONCE"/>
    <w:docVar w:name="FirmName" w:val="KPMG Asesores S.L. - Español"/>
    <w:docVar w:name="HdrInfo" w:val="noviembre 2012"/>
    <w:docVar w:name="Heading1PageBreaks" w:val="Off"/>
    <w:docVar w:name="KISDocType" w:val="Report"/>
    <w:docVar w:name="KISFilledIn" w:val="Y"/>
    <w:docVar w:name="KISVer" w:val="3.0"/>
    <w:docVar w:name="Num3Paras" w:val="No"/>
    <w:docVar w:name="OffIndex" w:val=" 7"/>
    <w:docVar w:name="OffName" w:val="Madrid (Aud/Abog/Adv/S.A./Fundación)"/>
    <w:docVar w:name="Orientation" w:val="Portrait"/>
    <w:docVar w:name="ReportName" w:val="Presente y futuro de los centros especiales de empleo"/>
    <w:docVar w:name="ReptStyle" w:val=" 0"/>
  </w:docVars>
  <w:rsids>
    <w:rsidRoot w:val="00360D98"/>
    <w:rsid w:val="00000910"/>
    <w:rsid w:val="0000151B"/>
    <w:rsid w:val="00001B32"/>
    <w:rsid w:val="00003594"/>
    <w:rsid w:val="000043AC"/>
    <w:rsid w:val="00004456"/>
    <w:rsid w:val="000050AA"/>
    <w:rsid w:val="00011702"/>
    <w:rsid w:val="00011E38"/>
    <w:rsid w:val="000123AA"/>
    <w:rsid w:val="00012638"/>
    <w:rsid w:val="000134A5"/>
    <w:rsid w:val="000142A7"/>
    <w:rsid w:val="000142BD"/>
    <w:rsid w:val="000149AA"/>
    <w:rsid w:val="00016BFD"/>
    <w:rsid w:val="0001768C"/>
    <w:rsid w:val="00017C55"/>
    <w:rsid w:val="00017C59"/>
    <w:rsid w:val="00020B3D"/>
    <w:rsid w:val="00021AB3"/>
    <w:rsid w:val="00021E50"/>
    <w:rsid w:val="00025846"/>
    <w:rsid w:val="00027A90"/>
    <w:rsid w:val="000303A2"/>
    <w:rsid w:val="000327B0"/>
    <w:rsid w:val="000354CC"/>
    <w:rsid w:val="00035570"/>
    <w:rsid w:val="00035B22"/>
    <w:rsid w:val="00037AA9"/>
    <w:rsid w:val="00040E9D"/>
    <w:rsid w:val="00040F9A"/>
    <w:rsid w:val="0004374A"/>
    <w:rsid w:val="00043C0F"/>
    <w:rsid w:val="0004553B"/>
    <w:rsid w:val="000503B4"/>
    <w:rsid w:val="00050400"/>
    <w:rsid w:val="0005138C"/>
    <w:rsid w:val="000548BA"/>
    <w:rsid w:val="00056E91"/>
    <w:rsid w:val="00057E61"/>
    <w:rsid w:val="00060101"/>
    <w:rsid w:val="000601CE"/>
    <w:rsid w:val="000607C5"/>
    <w:rsid w:val="000609DD"/>
    <w:rsid w:val="00060A4F"/>
    <w:rsid w:val="00065646"/>
    <w:rsid w:val="00065C02"/>
    <w:rsid w:val="00065E01"/>
    <w:rsid w:val="00065F06"/>
    <w:rsid w:val="00066282"/>
    <w:rsid w:val="0006794F"/>
    <w:rsid w:val="0007013E"/>
    <w:rsid w:val="00071439"/>
    <w:rsid w:val="00072AC7"/>
    <w:rsid w:val="00074DD2"/>
    <w:rsid w:val="00074F56"/>
    <w:rsid w:val="0007541A"/>
    <w:rsid w:val="00075B74"/>
    <w:rsid w:val="00075FAB"/>
    <w:rsid w:val="00077AB0"/>
    <w:rsid w:val="0008021C"/>
    <w:rsid w:val="00082C3A"/>
    <w:rsid w:val="0008478C"/>
    <w:rsid w:val="00084EF2"/>
    <w:rsid w:val="0008529A"/>
    <w:rsid w:val="00086353"/>
    <w:rsid w:val="00086E39"/>
    <w:rsid w:val="00090562"/>
    <w:rsid w:val="000906ED"/>
    <w:rsid w:val="00090DC2"/>
    <w:rsid w:val="0009346A"/>
    <w:rsid w:val="00093C87"/>
    <w:rsid w:val="00096686"/>
    <w:rsid w:val="000966EF"/>
    <w:rsid w:val="00097C13"/>
    <w:rsid w:val="000A0727"/>
    <w:rsid w:val="000A3544"/>
    <w:rsid w:val="000A3808"/>
    <w:rsid w:val="000A52AD"/>
    <w:rsid w:val="000A6089"/>
    <w:rsid w:val="000A72B1"/>
    <w:rsid w:val="000A7699"/>
    <w:rsid w:val="000B749C"/>
    <w:rsid w:val="000C0BD8"/>
    <w:rsid w:val="000C1FA9"/>
    <w:rsid w:val="000C23EB"/>
    <w:rsid w:val="000C3258"/>
    <w:rsid w:val="000C36C6"/>
    <w:rsid w:val="000C6B44"/>
    <w:rsid w:val="000D0BE4"/>
    <w:rsid w:val="000D1040"/>
    <w:rsid w:val="000D189F"/>
    <w:rsid w:val="000D19D2"/>
    <w:rsid w:val="000D41EB"/>
    <w:rsid w:val="000D73DF"/>
    <w:rsid w:val="000E07AC"/>
    <w:rsid w:val="000E1947"/>
    <w:rsid w:val="000E2998"/>
    <w:rsid w:val="000E2E1F"/>
    <w:rsid w:val="000E47DE"/>
    <w:rsid w:val="000E4D14"/>
    <w:rsid w:val="000E6B9E"/>
    <w:rsid w:val="000E7F1A"/>
    <w:rsid w:val="000F2542"/>
    <w:rsid w:val="000F390A"/>
    <w:rsid w:val="000F3D58"/>
    <w:rsid w:val="000F501D"/>
    <w:rsid w:val="000F574E"/>
    <w:rsid w:val="000F6263"/>
    <w:rsid w:val="000F6B72"/>
    <w:rsid w:val="000F7CE6"/>
    <w:rsid w:val="00101D28"/>
    <w:rsid w:val="0010216F"/>
    <w:rsid w:val="00102379"/>
    <w:rsid w:val="0010535E"/>
    <w:rsid w:val="0010563B"/>
    <w:rsid w:val="001103C9"/>
    <w:rsid w:val="00110E53"/>
    <w:rsid w:val="001137F5"/>
    <w:rsid w:val="00120BDA"/>
    <w:rsid w:val="0012301A"/>
    <w:rsid w:val="00123630"/>
    <w:rsid w:val="00123948"/>
    <w:rsid w:val="001248D3"/>
    <w:rsid w:val="00124996"/>
    <w:rsid w:val="00125B2A"/>
    <w:rsid w:val="00126444"/>
    <w:rsid w:val="00126B7A"/>
    <w:rsid w:val="00126DE1"/>
    <w:rsid w:val="00127578"/>
    <w:rsid w:val="00133660"/>
    <w:rsid w:val="001364F4"/>
    <w:rsid w:val="00136805"/>
    <w:rsid w:val="001369A7"/>
    <w:rsid w:val="00137160"/>
    <w:rsid w:val="00142B0F"/>
    <w:rsid w:val="00145A66"/>
    <w:rsid w:val="00146CEA"/>
    <w:rsid w:val="00150166"/>
    <w:rsid w:val="001523E4"/>
    <w:rsid w:val="00152466"/>
    <w:rsid w:val="00154FCE"/>
    <w:rsid w:val="001569DE"/>
    <w:rsid w:val="00160390"/>
    <w:rsid w:val="0016050E"/>
    <w:rsid w:val="0016054B"/>
    <w:rsid w:val="00161761"/>
    <w:rsid w:val="00161E2B"/>
    <w:rsid w:val="001621FB"/>
    <w:rsid w:val="001624DD"/>
    <w:rsid w:val="00162CCC"/>
    <w:rsid w:val="001638E5"/>
    <w:rsid w:val="001642E7"/>
    <w:rsid w:val="001678A4"/>
    <w:rsid w:val="0017019E"/>
    <w:rsid w:val="001716E3"/>
    <w:rsid w:val="00172502"/>
    <w:rsid w:val="0017372E"/>
    <w:rsid w:val="001740FD"/>
    <w:rsid w:val="00174560"/>
    <w:rsid w:val="001774F9"/>
    <w:rsid w:val="001800E2"/>
    <w:rsid w:val="00181F44"/>
    <w:rsid w:val="0018495B"/>
    <w:rsid w:val="00184A99"/>
    <w:rsid w:val="001863F1"/>
    <w:rsid w:val="001878B2"/>
    <w:rsid w:val="00187D57"/>
    <w:rsid w:val="0019098F"/>
    <w:rsid w:val="00191020"/>
    <w:rsid w:val="00191E13"/>
    <w:rsid w:val="00192075"/>
    <w:rsid w:val="0019285F"/>
    <w:rsid w:val="00193465"/>
    <w:rsid w:val="00194FCC"/>
    <w:rsid w:val="00196082"/>
    <w:rsid w:val="00196AD1"/>
    <w:rsid w:val="00197377"/>
    <w:rsid w:val="001A09A6"/>
    <w:rsid w:val="001A0F46"/>
    <w:rsid w:val="001A2347"/>
    <w:rsid w:val="001A332A"/>
    <w:rsid w:val="001A3BC2"/>
    <w:rsid w:val="001A576A"/>
    <w:rsid w:val="001A58EC"/>
    <w:rsid w:val="001A686C"/>
    <w:rsid w:val="001A6986"/>
    <w:rsid w:val="001A7100"/>
    <w:rsid w:val="001B0A81"/>
    <w:rsid w:val="001B0EA4"/>
    <w:rsid w:val="001B0FD3"/>
    <w:rsid w:val="001B11C3"/>
    <w:rsid w:val="001B2EED"/>
    <w:rsid w:val="001B4848"/>
    <w:rsid w:val="001B4CD4"/>
    <w:rsid w:val="001B53D4"/>
    <w:rsid w:val="001B6439"/>
    <w:rsid w:val="001B691E"/>
    <w:rsid w:val="001B7E00"/>
    <w:rsid w:val="001C09FC"/>
    <w:rsid w:val="001C2926"/>
    <w:rsid w:val="001C2A6B"/>
    <w:rsid w:val="001C3729"/>
    <w:rsid w:val="001C49E5"/>
    <w:rsid w:val="001C5773"/>
    <w:rsid w:val="001C6641"/>
    <w:rsid w:val="001D011A"/>
    <w:rsid w:val="001D16A8"/>
    <w:rsid w:val="001D16F5"/>
    <w:rsid w:val="001D2916"/>
    <w:rsid w:val="001D2A97"/>
    <w:rsid w:val="001D2EFC"/>
    <w:rsid w:val="001D306D"/>
    <w:rsid w:val="001D3532"/>
    <w:rsid w:val="001D482A"/>
    <w:rsid w:val="001D5625"/>
    <w:rsid w:val="001E04FC"/>
    <w:rsid w:val="001E0871"/>
    <w:rsid w:val="001E1D3D"/>
    <w:rsid w:val="001E46B4"/>
    <w:rsid w:val="001E4A54"/>
    <w:rsid w:val="001E56E7"/>
    <w:rsid w:val="001E5761"/>
    <w:rsid w:val="001E5CA9"/>
    <w:rsid w:val="001F0FB2"/>
    <w:rsid w:val="001F1846"/>
    <w:rsid w:val="001F3CD2"/>
    <w:rsid w:val="001F4045"/>
    <w:rsid w:val="001F43DE"/>
    <w:rsid w:val="001F5B85"/>
    <w:rsid w:val="001F5F36"/>
    <w:rsid w:val="001F6475"/>
    <w:rsid w:val="001F6561"/>
    <w:rsid w:val="001F6BE2"/>
    <w:rsid w:val="001F77AB"/>
    <w:rsid w:val="002000C4"/>
    <w:rsid w:val="00200C9A"/>
    <w:rsid w:val="00200F5F"/>
    <w:rsid w:val="00202837"/>
    <w:rsid w:val="00202C42"/>
    <w:rsid w:val="002065D5"/>
    <w:rsid w:val="0020676B"/>
    <w:rsid w:val="002071F0"/>
    <w:rsid w:val="002118FD"/>
    <w:rsid w:val="00212D6F"/>
    <w:rsid w:val="00213730"/>
    <w:rsid w:val="002166FB"/>
    <w:rsid w:val="00220409"/>
    <w:rsid w:val="002223A5"/>
    <w:rsid w:val="00223F12"/>
    <w:rsid w:val="002242F9"/>
    <w:rsid w:val="00224A16"/>
    <w:rsid w:val="0022734F"/>
    <w:rsid w:val="002306D1"/>
    <w:rsid w:val="002311F8"/>
    <w:rsid w:val="00232373"/>
    <w:rsid w:val="002323C7"/>
    <w:rsid w:val="0023259A"/>
    <w:rsid w:val="002326F8"/>
    <w:rsid w:val="00235C4C"/>
    <w:rsid w:val="002362F4"/>
    <w:rsid w:val="0023788B"/>
    <w:rsid w:val="002406A0"/>
    <w:rsid w:val="00241E38"/>
    <w:rsid w:val="00243231"/>
    <w:rsid w:val="002445EB"/>
    <w:rsid w:val="002448F2"/>
    <w:rsid w:val="00245217"/>
    <w:rsid w:val="002461F3"/>
    <w:rsid w:val="00246895"/>
    <w:rsid w:val="0025080F"/>
    <w:rsid w:val="00251B12"/>
    <w:rsid w:val="002521BB"/>
    <w:rsid w:val="00253432"/>
    <w:rsid w:val="002536B5"/>
    <w:rsid w:val="00253E3E"/>
    <w:rsid w:val="002541B9"/>
    <w:rsid w:val="00255D82"/>
    <w:rsid w:val="00257291"/>
    <w:rsid w:val="00257F8A"/>
    <w:rsid w:val="002604A2"/>
    <w:rsid w:val="00261B41"/>
    <w:rsid w:val="00272FF9"/>
    <w:rsid w:val="00273314"/>
    <w:rsid w:val="0027369F"/>
    <w:rsid w:val="00273AC6"/>
    <w:rsid w:val="0027545B"/>
    <w:rsid w:val="00276576"/>
    <w:rsid w:val="00276CCD"/>
    <w:rsid w:val="00277748"/>
    <w:rsid w:val="00277A78"/>
    <w:rsid w:val="002805D9"/>
    <w:rsid w:val="00282237"/>
    <w:rsid w:val="00282860"/>
    <w:rsid w:val="00283233"/>
    <w:rsid w:val="002835FD"/>
    <w:rsid w:val="00284E0E"/>
    <w:rsid w:val="002852E5"/>
    <w:rsid w:val="00286A45"/>
    <w:rsid w:val="0028794B"/>
    <w:rsid w:val="00287A41"/>
    <w:rsid w:val="00287F7C"/>
    <w:rsid w:val="00292F22"/>
    <w:rsid w:val="0029507F"/>
    <w:rsid w:val="002959F0"/>
    <w:rsid w:val="002A1147"/>
    <w:rsid w:val="002A2494"/>
    <w:rsid w:val="002A37D5"/>
    <w:rsid w:val="002A3D19"/>
    <w:rsid w:val="002A56E2"/>
    <w:rsid w:val="002A607D"/>
    <w:rsid w:val="002A692E"/>
    <w:rsid w:val="002B1907"/>
    <w:rsid w:val="002B3ED3"/>
    <w:rsid w:val="002B49B3"/>
    <w:rsid w:val="002B75D7"/>
    <w:rsid w:val="002C0C60"/>
    <w:rsid w:val="002C29A3"/>
    <w:rsid w:val="002C34CD"/>
    <w:rsid w:val="002C4599"/>
    <w:rsid w:val="002C4CA9"/>
    <w:rsid w:val="002C5190"/>
    <w:rsid w:val="002C5391"/>
    <w:rsid w:val="002C7A5B"/>
    <w:rsid w:val="002D23A6"/>
    <w:rsid w:val="002D2B69"/>
    <w:rsid w:val="002D441F"/>
    <w:rsid w:val="002D567E"/>
    <w:rsid w:val="002D6B19"/>
    <w:rsid w:val="002E0E83"/>
    <w:rsid w:val="002E57E1"/>
    <w:rsid w:val="002E5BEA"/>
    <w:rsid w:val="002E6515"/>
    <w:rsid w:val="002E69F1"/>
    <w:rsid w:val="002E7CCC"/>
    <w:rsid w:val="002F1695"/>
    <w:rsid w:val="002F62C2"/>
    <w:rsid w:val="002F6AC0"/>
    <w:rsid w:val="002F7253"/>
    <w:rsid w:val="002F73CE"/>
    <w:rsid w:val="00301734"/>
    <w:rsid w:val="00302D4B"/>
    <w:rsid w:val="00302EEF"/>
    <w:rsid w:val="00302F53"/>
    <w:rsid w:val="00303CB0"/>
    <w:rsid w:val="00303F79"/>
    <w:rsid w:val="00304587"/>
    <w:rsid w:val="00305EF2"/>
    <w:rsid w:val="003063D9"/>
    <w:rsid w:val="00306576"/>
    <w:rsid w:val="003136CD"/>
    <w:rsid w:val="00313BDF"/>
    <w:rsid w:val="00313CBC"/>
    <w:rsid w:val="00313E49"/>
    <w:rsid w:val="00313EAB"/>
    <w:rsid w:val="00313EE7"/>
    <w:rsid w:val="00315030"/>
    <w:rsid w:val="00315509"/>
    <w:rsid w:val="00316B43"/>
    <w:rsid w:val="00321119"/>
    <w:rsid w:val="00321440"/>
    <w:rsid w:val="0032298A"/>
    <w:rsid w:val="00322E77"/>
    <w:rsid w:val="00323200"/>
    <w:rsid w:val="003233DC"/>
    <w:rsid w:val="00323C55"/>
    <w:rsid w:val="00324842"/>
    <w:rsid w:val="00324A5D"/>
    <w:rsid w:val="00324F8D"/>
    <w:rsid w:val="00327178"/>
    <w:rsid w:val="00331A12"/>
    <w:rsid w:val="00331DE9"/>
    <w:rsid w:val="00332626"/>
    <w:rsid w:val="00332846"/>
    <w:rsid w:val="00332B05"/>
    <w:rsid w:val="00332CCA"/>
    <w:rsid w:val="003339B1"/>
    <w:rsid w:val="00333ACF"/>
    <w:rsid w:val="003350FC"/>
    <w:rsid w:val="00336AEF"/>
    <w:rsid w:val="00336DA6"/>
    <w:rsid w:val="00337251"/>
    <w:rsid w:val="0034300C"/>
    <w:rsid w:val="00344805"/>
    <w:rsid w:val="00344912"/>
    <w:rsid w:val="00346372"/>
    <w:rsid w:val="00347915"/>
    <w:rsid w:val="00347B59"/>
    <w:rsid w:val="00351959"/>
    <w:rsid w:val="003524F3"/>
    <w:rsid w:val="003555D3"/>
    <w:rsid w:val="00355A1B"/>
    <w:rsid w:val="00355E56"/>
    <w:rsid w:val="00355E6D"/>
    <w:rsid w:val="00357D09"/>
    <w:rsid w:val="00360D98"/>
    <w:rsid w:val="00362187"/>
    <w:rsid w:val="00362D93"/>
    <w:rsid w:val="003641E5"/>
    <w:rsid w:val="003650F0"/>
    <w:rsid w:val="003670DB"/>
    <w:rsid w:val="00367144"/>
    <w:rsid w:val="00367EED"/>
    <w:rsid w:val="0037006C"/>
    <w:rsid w:val="003706A0"/>
    <w:rsid w:val="00371EB0"/>
    <w:rsid w:val="003737D2"/>
    <w:rsid w:val="00374404"/>
    <w:rsid w:val="00374987"/>
    <w:rsid w:val="0037661F"/>
    <w:rsid w:val="00376665"/>
    <w:rsid w:val="003778E9"/>
    <w:rsid w:val="00380608"/>
    <w:rsid w:val="00380ECB"/>
    <w:rsid w:val="00381B8E"/>
    <w:rsid w:val="00381FFD"/>
    <w:rsid w:val="003835E6"/>
    <w:rsid w:val="00383D35"/>
    <w:rsid w:val="0038481A"/>
    <w:rsid w:val="003856FB"/>
    <w:rsid w:val="00385F0B"/>
    <w:rsid w:val="00387E83"/>
    <w:rsid w:val="00390656"/>
    <w:rsid w:val="003912F0"/>
    <w:rsid w:val="00394A03"/>
    <w:rsid w:val="00395FE6"/>
    <w:rsid w:val="003965A2"/>
    <w:rsid w:val="00396C4E"/>
    <w:rsid w:val="003A1460"/>
    <w:rsid w:val="003A19C0"/>
    <w:rsid w:val="003A2B17"/>
    <w:rsid w:val="003A34CF"/>
    <w:rsid w:val="003A39BE"/>
    <w:rsid w:val="003A4308"/>
    <w:rsid w:val="003A5073"/>
    <w:rsid w:val="003B0DBC"/>
    <w:rsid w:val="003B2925"/>
    <w:rsid w:val="003B3439"/>
    <w:rsid w:val="003B3CDD"/>
    <w:rsid w:val="003B4345"/>
    <w:rsid w:val="003B48EE"/>
    <w:rsid w:val="003B689D"/>
    <w:rsid w:val="003B6914"/>
    <w:rsid w:val="003C08A4"/>
    <w:rsid w:val="003C1374"/>
    <w:rsid w:val="003C32A9"/>
    <w:rsid w:val="003C5DF9"/>
    <w:rsid w:val="003C7141"/>
    <w:rsid w:val="003D0A17"/>
    <w:rsid w:val="003D0F80"/>
    <w:rsid w:val="003D3464"/>
    <w:rsid w:val="003D5285"/>
    <w:rsid w:val="003D5DD7"/>
    <w:rsid w:val="003D5F2B"/>
    <w:rsid w:val="003D6D26"/>
    <w:rsid w:val="003D6EA2"/>
    <w:rsid w:val="003E019F"/>
    <w:rsid w:val="003E042A"/>
    <w:rsid w:val="003E0770"/>
    <w:rsid w:val="003E1DC5"/>
    <w:rsid w:val="003E1E7A"/>
    <w:rsid w:val="003E1EFA"/>
    <w:rsid w:val="003E455F"/>
    <w:rsid w:val="003E4F83"/>
    <w:rsid w:val="003E5AB9"/>
    <w:rsid w:val="003E5CDE"/>
    <w:rsid w:val="003E6D14"/>
    <w:rsid w:val="003E73D7"/>
    <w:rsid w:val="003E7FA5"/>
    <w:rsid w:val="003F035C"/>
    <w:rsid w:val="003F2EF4"/>
    <w:rsid w:val="003F392A"/>
    <w:rsid w:val="003F5D6E"/>
    <w:rsid w:val="003F62DD"/>
    <w:rsid w:val="004028BC"/>
    <w:rsid w:val="0040641B"/>
    <w:rsid w:val="0040771D"/>
    <w:rsid w:val="00410155"/>
    <w:rsid w:val="004109D6"/>
    <w:rsid w:val="00410E46"/>
    <w:rsid w:val="00410E9F"/>
    <w:rsid w:val="004129F2"/>
    <w:rsid w:val="004133E1"/>
    <w:rsid w:val="004157E4"/>
    <w:rsid w:val="0041596F"/>
    <w:rsid w:val="004207D0"/>
    <w:rsid w:val="00420E31"/>
    <w:rsid w:val="00420E76"/>
    <w:rsid w:val="00421484"/>
    <w:rsid w:val="00421952"/>
    <w:rsid w:val="00424E91"/>
    <w:rsid w:val="004251AF"/>
    <w:rsid w:val="00426955"/>
    <w:rsid w:val="00426FE4"/>
    <w:rsid w:val="00432639"/>
    <w:rsid w:val="00433354"/>
    <w:rsid w:val="0043343B"/>
    <w:rsid w:val="00433B12"/>
    <w:rsid w:val="00433B36"/>
    <w:rsid w:val="004347ED"/>
    <w:rsid w:val="00436E1F"/>
    <w:rsid w:val="004405DF"/>
    <w:rsid w:val="00441F73"/>
    <w:rsid w:val="004420A6"/>
    <w:rsid w:val="00444298"/>
    <w:rsid w:val="00446237"/>
    <w:rsid w:val="00451351"/>
    <w:rsid w:val="00455028"/>
    <w:rsid w:val="00455DC7"/>
    <w:rsid w:val="00456F1A"/>
    <w:rsid w:val="0045774F"/>
    <w:rsid w:val="004629C1"/>
    <w:rsid w:val="00463575"/>
    <w:rsid w:val="00465847"/>
    <w:rsid w:val="00466190"/>
    <w:rsid w:val="00467004"/>
    <w:rsid w:val="0047033C"/>
    <w:rsid w:val="00470FA9"/>
    <w:rsid w:val="00472652"/>
    <w:rsid w:val="004740D0"/>
    <w:rsid w:val="00477D85"/>
    <w:rsid w:val="00480555"/>
    <w:rsid w:val="0048152A"/>
    <w:rsid w:val="004830C5"/>
    <w:rsid w:val="0048338E"/>
    <w:rsid w:val="00485BD7"/>
    <w:rsid w:val="00486E06"/>
    <w:rsid w:val="00487762"/>
    <w:rsid w:val="0049221B"/>
    <w:rsid w:val="00493500"/>
    <w:rsid w:val="004936BB"/>
    <w:rsid w:val="00495F2E"/>
    <w:rsid w:val="004973FA"/>
    <w:rsid w:val="00497F2E"/>
    <w:rsid w:val="004A0B73"/>
    <w:rsid w:val="004A0DA2"/>
    <w:rsid w:val="004A0F0F"/>
    <w:rsid w:val="004A104F"/>
    <w:rsid w:val="004A1713"/>
    <w:rsid w:val="004A45D4"/>
    <w:rsid w:val="004A492F"/>
    <w:rsid w:val="004A73DE"/>
    <w:rsid w:val="004A7438"/>
    <w:rsid w:val="004B120F"/>
    <w:rsid w:val="004B21DB"/>
    <w:rsid w:val="004B245F"/>
    <w:rsid w:val="004B25D4"/>
    <w:rsid w:val="004B2672"/>
    <w:rsid w:val="004B3864"/>
    <w:rsid w:val="004B45F3"/>
    <w:rsid w:val="004B4C1E"/>
    <w:rsid w:val="004B4E97"/>
    <w:rsid w:val="004B543B"/>
    <w:rsid w:val="004B7382"/>
    <w:rsid w:val="004B7509"/>
    <w:rsid w:val="004C2192"/>
    <w:rsid w:val="004C24E3"/>
    <w:rsid w:val="004C24F1"/>
    <w:rsid w:val="004C5D6B"/>
    <w:rsid w:val="004C6720"/>
    <w:rsid w:val="004C6D3E"/>
    <w:rsid w:val="004C733E"/>
    <w:rsid w:val="004C7C3E"/>
    <w:rsid w:val="004C7E51"/>
    <w:rsid w:val="004D00DF"/>
    <w:rsid w:val="004D03DD"/>
    <w:rsid w:val="004D161B"/>
    <w:rsid w:val="004D2B90"/>
    <w:rsid w:val="004D4A89"/>
    <w:rsid w:val="004D5933"/>
    <w:rsid w:val="004E0D20"/>
    <w:rsid w:val="004E5484"/>
    <w:rsid w:val="004E64E8"/>
    <w:rsid w:val="004E6B91"/>
    <w:rsid w:val="004E6D3B"/>
    <w:rsid w:val="004F22C6"/>
    <w:rsid w:val="004F24F3"/>
    <w:rsid w:val="004F27B9"/>
    <w:rsid w:val="004F3E33"/>
    <w:rsid w:val="004F6678"/>
    <w:rsid w:val="004F66D7"/>
    <w:rsid w:val="00505056"/>
    <w:rsid w:val="005109DD"/>
    <w:rsid w:val="00511427"/>
    <w:rsid w:val="00511554"/>
    <w:rsid w:val="005116CD"/>
    <w:rsid w:val="00511DED"/>
    <w:rsid w:val="00512583"/>
    <w:rsid w:val="00512DB0"/>
    <w:rsid w:val="00513D6A"/>
    <w:rsid w:val="00513D7C"/>
    <w:rsid w:val="005158FF"/>
    <w:rsid w:val="0051659E"/>
    <w:rsid w:val="005176FA"/>
    <w:rsid w:val="00517E3D"/>
    <w:rsid w:val="005206E1"/>
    <w:rsid w:val="00521C17"/>
    <w:rsid w:val="005232DD"/>
    <w:rsid w:val="00523538"/>
    <w:rsid w:val="00523850"/>
    <w:rsid w:val="00523F72"/>
    <w:rsid w:val="00525F03"/>
    <w:rsid w:val="00527BA7"/>
    <w:rsid w:val="00530253"/>
    <w:rsid w:val="00530BA6"/>
    <w:rsid w:val="00530DCA"/>
    <w:rsid w:val="00530EAF"/>
    <w:rsid w:val="005317C5"/>
    <w:rsid w:val="00531B66"/>
    <w:rsid w:val="00531E04"/>
    <w:rsid w:val="00532B64"/>
    <w:rsid w:val="005334CB"/>
    <w:rsid w:val="005335A0"/>
    <w:rsid w:val="00534074"/>
    <w:rsid w:val="00534875"/>
    <w:rsid w:val="00535040"/>
    <w:rsid w:val="00535FD3"/>
    <w:rsid w:val="00537F58"/>
    <w:rsid w:val="00542B33"/>
    <w:rsid w:val="0054331F"/>
    <w:rsid w:val="00544BBC"/>
    <w:rsid w:val="00545052"/>
    <w:rsid w:val="00545073"/>
    <w:rsid w:val="005452E9"/>
    <w:rsid w:val="00547199"/>
    <w:rsid w:val="005473E9"/>
    <w:rsid w:val="0055031D"/>
    <w:rsid w:val="00551027"/>
    <w:rsid w:val="00551459"/>
    <w:rsid w:val="0055211B"/>
    <w:rsid w:val="0055217C"/>
    <w:rsid w:val="005537A9"/>
    <w:rsid w:val="00553D3F"/>
    <w:rsid w:val="00553D55"/>
    <w:rsid w:val="00554ED2"/>
    <w:rsid w:val="00555399"/>
    <w:rsid w:val="005561E6"/>
    <w:rsid w:val="005573EA"/>
    <w:rsid w:val="005576BC"/>
    <w:rsid w:val="005611E0"/>
    <w:rsid w:val="00561A8F"/>
    <w:rsid w:val="005639C4"/>
    <w:rsid w:val="005640A1"/>
    <w:rsid w:val="0056572E"/>
    <w:rsid w:val="00566795"/>
    <w:rsid w:val="005672D6"/>
    <w:rsid w:val="005703CB"/>
    <w:rsid w:val="005710F6"/>
    <w:rsid w:val="005712AD"/>
    <w:rsid w:val="0057142A"/>
    <w:rsid w:val="00571762"/>
    <w:rsid w:val="0057181E"/>
    <w:rsid w:val="0057381B"/>
    <w:rsid w:val="005756DB"/>
    <w:rsid w:val="00577269"/>
    <w:rsid w:val="0058031B"/>
    <w:rsid w:val="005827C5"/>
    <w:rsid w:val="00582CCA"/>
    <w:rsid w:val="00584FC4"/>
    <w:rsid w:val="00585535"/>
    <w:rsid w:val="0058592E"/>
    <w:rsid w:val="00586530"/>
    <w:rsid w:val="005873C7"/>
    <w:rsid w:val="00587AE9"/>
    <w:rsid w:val="00590241"/>
    <w:rsid w:val="0059082A"/>
    <w:rsid w:val="00590B0B"/>
    <w:rsid w:val="00590BE7"/>
    <w:rsid w:val="00591B25"/>
    <w:rsid w:val="00593521"/>
    <w:rsid w:val="00593888"/>
    <w:rsid w:val="00593E24"/>
    <w:rsid w:val="005941AA"/>
    <w:rsid w:val="00594961"/>
    <w:rsid w:val="00596570"/>
    <w:rsid w:val="005965FB"/>
    <w:rsid w:val="00596D70"/>
    <w:rsid w:val="00597188"/>
    <w:rsid w:val="005A0A75"/>
    <w:rsid w:val="005A168E"/>
    <w:rsid w:val="005A1C71"/>
    <w:rsid w:val="005A2989"/>
    <w:rsid w:val="005A4065"/>
    <w:rsid w:val="005A4258"/>
    <w:rsid w:val="005A49A2"/>
    <w:rsid w:val="005A4F1C"/>
    <w:rsid w:val="005A58AE"/>
    <w:rsid w:val="005A6751"/>
    <w:rsid w:val="005B044F"/>
    <w:rsid w:val="005B1D1C"/>
    <w:rsid w:val="005B34C7"/>
    <w:rsid w:val="005B497B"/>
    <w:rsid w:val="005B4A90"/>
    <w:rsid w:val="005B4B70"/>
    <w:rsid w:val="005B4E6A"/>
    <w:rsid w:val="005B5741"/>
    <w:rsid w:val="005C0877"/>
    <w:rsid w:val="005C118C"/>
    <w:rsid w:val="005C1B58"/>
    <w:rsid w:val="005C39B8"/>
    <w:rsid w:val="005C6076"/>
    <w:rsid w:val="005C7ED7"/>
    <w:rsid w:val="005D055C"/>
    <w:rsid w:val="005D0E9F"/>
    <w:rsid w:val="005D1247"/>
    <w:rsid w:val="005D1A1F"/>
    <w:rsid w:val="005D27B7"/>
    <w:rsid w:val="005D286B"/>
    <w:rsid w:val="005D288D"/>
    <w:rsid w:val="005D2F4F"/>
    <w:rsid w:val="005D3ABD"/>
    <w:rsid w:val="005D4BB9"/>
    <w:rsid w:val="005D5032"/>
    <w:rsid w:val="005D521B"/>
    <w:rsid w:val="005E0325"/>
    <w:rsid w:val="005E256F"/>
    <w:rsid w:val="005E3166"/>
    <w:rsid w:val="005E3CC4"/>
    <w:rsid w:val="005E4B08"/>
    <w:rsid w:val="005E56C7"/>
    <w:rsid w:val="005E75A8"/>
    <w:rsid w:val="005E75AD"/>
    <w:rsid w:val="005E7770"/>
    <w:rsid w:val="005E7B4F"/>
    <w:rsid w:val="005F0177"/>
    <w:rsid w:val="005F13C4"/>
    <w:rsid w:val="005F2971"/>
    <w:rsid w:val="005F30B8"/>
    <w:rsid w:val="005F327B"/>
    <w:rsid w:val="005F3FB3"/>
    <w:rsid w:val="005F403B"/>
    <w:rsid w:val="005F45FF"/>
    <w:rsid w:val="005F517D"/>
    <w:rsid w:val="005F5A73"/>
    <w:rsid w:val="00600905"/>
    <w:rsid w:val="00603B03"/>
    <w:rsid w:val="00603CED"/>
    <w:rsid w:val="0060491D"/>
    <w:rsid w:val="006062EE"/>
    <w:rsid w:val="00607B6A"/>
    <w:rsid w:val="006125FB"/>
    <w:rsid w:val="006131E0"/>
    <w:rsid w:val="006146B2"/>
    <w:rsid w:val="0061586A"/>
    <w:rsid w:val="0061594B"/>
    <w:rsid w:val="00616DC0"/>
    <w:rsid w:val="006176ED"/>
    <w:rsid w:val="006204C4"/>
    <w:rsid w:val="0062109E"/>
    <w:rsid w:val="0062140A"/>
    <w:rsid w:val="00621A97"/>
    <w:rsid w:val="006221E9"/>
    <w:rsid w:val="00624102"/>
    <w:rsid w:val="00626A18"/>
    <w:rsid w:val="00626FE1"/>
    <w:rsid w:val="00630517"/>
    <w:rsid w:val="0063209B"/>
    <w:rsid w:val="00632766"/>
    <w:rsid w:val="00636147"/>
    <w:rsid w:val="00637623"/>
    <w:rsid w:val="00637806"/>
    <w:rsid w:val="006417D9"/>
    <w:rsid w:val="00641C15"/>
    <w:rsid w:val="00641C9B"/>
    <w:rsid w:val="00642147"/>
    <w:rsid w:val="0064222C"/>
    <w:rsid w:val="006426C2"/>
    <w:rsid w:val="006436B1"/>
    <w:rsid w:val="00646680"/>
    <w:rsid w:val="006500C6"/>
    <w:rsid w:val="006504A2"/>
    <w:rsid w:val="006507D4"/>
    <w:rsid w:val="0065296E"/>
    <w:rsid w:val="00654FE8"/>
    <w:rsid w:val="00655575"/>
    <w:rsid w:val="00661389"/>
    <w:rsid w:val="00661C8F"/>
    <w:rsid w:val="006640D9"/>
    <w:rsid w:val="00664A5E"/>
    <w:rsid w:val="00665889"/>
    <w:rsid w:val="00665FFE"/>
    <w:rsid w:val="006662F9"/>
    <w:rsid w:val="0067052A"/>
    <w:rsid w:val="0067067F"/>
    <w:rsid w:val="006723BA"/>
    <w:rsid w:val="00672A01"/>
    <w:rsid w:val="00672FAC"/>
    <w:rsid w:val="006749F0"/>
    <w:rsid w:val="00674A46"/>
    <w:rsid w:val="0067650B"/>
    <w:rsid w:val="00677F1F"/>
    <w:rsid w:val="006843AA"/>
    <w:rsid w:val="00684A0F"/>
    <w:rsid w:val="006855A9"/>
    <w:rsid w:val="006858B0"/>
    <w:rsid w:val="006863FA"/>
    <w:rsid w:val="006867B8"/>
    <w:rsid w:val="00686C2E"/>
    <w:rsid w:val="00686D7C"/>
    <w:rsid w:val="00687810"/>
    <w:rsid w:val="0069066F"/>
    <w:rsid w:val="00690E0C"/>
    <w:rsid w:val="006940FA"/>
    <w:rsid w:val="0069467F"/>
    <w:rsid w:val="00696265"/>
    <w:rsid w:val="0069727C"/>
    <w:rsid w:val="0069752E"/>
    <w:rsid w:val="00697745"/>
    <w:rsid w:val="006A0075"/>
    <w:rsid w:val="006A0568"/>
    <w:rsid w:val="006A0C8E"/>
    <w:rsid w:val="006A1AFC"/>
    <w:rsid w:val="006A3D69"/>
    <w:rsid w:val="006A4CF7"/>
    <w:rsid w:val="006A54F9"/>
    <w:rsid w:val="006A66B9"/>
    <w:rsid w:val="006A702F"/>
    <w:rsid w:val="006B038A"/>
    <w:rsid w:val="006B15F8"/>
    <w:rsid w:val="006B4291"/>
    <w:rsid w:val="006B45B0"/>
    <w:rsid w:val="006B5706"/>
    <w:rsid w:val="006B5C95"/>
    <w:rsid w:val="006B6C01"/>
    <w:rsid w:val="006B75BF"/>
    <w:rsid w:val="006C036F"/>
    <w:rsid w:val="006C0440"/>
    <w:rsid w:val="006C1257"/>
    <w:rsid w:val="006C2555"/>
    <w:rsid w:val="006C30A9"/>
    <w:rsid w:val="006C3EA7"/>
    <w:rsid w:val="006C4DA7"/>
    <w:rsid w:val="006C5FA1"/>
    <w:rsid w:val="006C722E"/>
    <w:rsid w:val="006C782B"/>
    <w:rsid w:val="006D0677"/>
    <w:rsid w:val="006D1BCC"/>
    <w:rsid w:val="006D4BBC"/>
    <w:rsid w:val="006D4D47"/>
    <w:rsid w:val="006D552A"/>
    <w:rsid w:val="006D7340"/>
    <w:rsid w:val="006E0EAF"/>
    <w:rsid w:val="006E1B75"/>
    <w:rsid w:val="006E2205"/>
    <w:rsid w:val="006E2B03"/>
    <w:rsid w:val="006E3440"/>
    <w:rsid w:val="006E3443"/>
    <w:rsid w:val="006E3569"/>
    <w:rsid w:val="006E412F"/>
    <w:rsid w:val="006E4C4D"/>
    <w:rsid w:val="006E62CA"/>
    <w:rsid w:val="006F117B"/>
    <w:rsid w:val="006F3A94"/>
    <w:rsid w:val="006F3AF1"/>
    <w:rsid w:val="006F42B9"/>
    <w:rsid w:val="006F792D"/>
    <w:rsid w:val="0070199E"/>
    <w:rsid w:val="007024CF"/>
    <w:rsid w:val="007032E1"/>
    <w:rsid w:val="0070389C"/>
    <w:rsid w:val="00703CE1"/>
    <w:rsid w:val="007057AC"/>
    <w:rsid w:val="007076CA"/>
    <w:rsid w:val="00710FB3"/>
    <w:rsid w:val="007126EE"/>
    <w:rsid w:val="007165D6"/>
    <w:rsid w:val="00717329"/>
    <w:rsid w:val="007209CA"/>
    <w:rsid w:val="00722310"/>
    <w:rsid w:val="00722796"/>
    <w:rsid w:val="007234B1"/>
    <w:rsid w:val="007235AE"/>
    <w:rsid w:val="007235F6"/>
    <w:rsid w:val="00725EAE"/>
    <w:rsid w:val="00726DB4"/>
    <w:rsid w:val="00727C60"/>
    <w:rsid w:val="007301C2"/>
    <w:rsid w:val="00730D74"/>
    <w:rsid w:val="007317B2"/>
    <w:rsid w:val="00731E1D"/>
    <w:rsid w:val="00733544"/>
    <w:rsid w:val="007341C8"/>
    <w:rsid w:val="00734A56"/>
    <w:rsid w:val="00735E0E"/>
    <w:rsid w:val="00740334"/>
    <w:rsid w:val="00740B5C"/>
    <w:rsid w:val="00741DFC"/>
    <w:rsid w:val="00742DB3"/>
    <w:rsid w:val="00750462"/>
    <w:rsid w:val="007553D4"/>
    <w:rsid w:val="0075606C"/>
    <w:rsid w:val="0075670B"/>
    <w:rsid w:val="00757E24"/>
    <w:rsid w:val="0076123C"/>
    <w:rsid w:val="0076127B"/>
    <w:rsid w:val="00761CDC"/>
    <w:rsid w:val="00761DAC"/>
    <w:rsid w:val="007624EF"/>
    <w:rsid w:val="00762C73"/>
    <w:rsid w:val="0076320B"/>
    <w:rsid w:val="00766233"/>
    <w:rsid w:val="007674B7"/>
    <w:rsid w:val="007725C7"/>
    <w:rsid w:val="00773CBB"/>
    <w:rsid w:val="00774043"/>
    <w:rsid w:val="00774493"/>
    <w:rsid w:val="00774B42"/>
    <w:rsid w:val="00775BED"/>
    <w:rsid w:val="007772D2"/>
    <w:rsid w:val="00780921"/>
    <w:rsid w:val="007813E5"/>
    <w:rsid w:val="0078175B"/>
    <w:rsid w:val="00783168"/>
    <w:rsid w:val="00784C7C"/>
    <w:rsid w:val="0078525C"/>
    <w:rsid w:val="00785A8B"/>
    <w:rsid w:val="00786B6F"/>
    <w:rsid w:val="00787945"/>
    <w:rsid w:val="00787EB3"/>
    <w:rsid w:val="00790595"/>
    <w:rsid w:val="007905AB"/>
    <w:rsid w:val="007920F7"/>
    <w:rsid w:val="00793AAC"/>
    <w:rsid w:val="00794594"/>
    <w:rsid w:val="0079459E"/>
    <w:rsid w:val="00794726"/>
    <w:rsid w:val="007949F6"/>
    <w:rsid w:val="0079566E"/>
    <w:rsid w:val="00795C71"/>
    <w:rsid w:val="00796700"/>
    <w:rsid w:val="007A2057"/>
    <w:rsid w:val="007A20DD"/>
    <w:rsid w:val="007A408D"/>
    <w:rsid w:val="007A4115"/>
    <w:rsid w:val="007A41B0"/>
    <w:rsid w:val="007A6B2E"/>
    <w:rsid w:val="007B0C39"/>
    <w:rsid w:val="007B2199"/>
    <w:rsid w:val="007B23BF"/>
    <w:rsid w:val="007B60B8"/>
    <w:rsid w:val="007C1382"/>
    <w:rsid w:val="007C3D6C"/>
    <w:rsid w:val="007C5070"/>
    <w:rsid w:val="007C58F5"/>
    <w:rsid w:val="007C6DC3"/>
    <w:rsid w:val="007C7381"/>
    <w:rsid w:val="007C7770"/>
    <w:rsid w:val="007D0D2F"/>
    <w:rsid w:val="007D12A7"/>
    <w:rsid w:val="007D187C"/>
    <w:rsid w:val="007D2492"/>
    <w:rsid w:val="007D33C4"/>
    <w:rsid w:val="007D565F"/>
    <w:rsid w:val="007D5C38"/>
    <w:rsid w:val="007D5FBE"/>
    <w:rsid w:val="007E052F"/>
    <w:rsid w:val="007E0952"/>
    <w:rsid w:val="007E117B"/>
    <w:rsid w:val="007E120F"/>
    <w:rsid w:val="007E1DEC"/>
    <w:rsid w:val="007E290D"/>
    <w:rsid w:val="007E3B3C"/>
    <w:rsid w:val="007E52E1"/>
    <w:rsid w:val="007E58F1"/>
    <w:rsid w:val="007E6433"/>
    <w:rsid w:val="007E647A"/>
    <w:rsid w:val="007E6A5D"/>
    <w:rsid w:val="007E73F9"/>
    <w:rsid w:val="007F0141"/>
    <w:rsid w:val="007F19A7"/>
    <w:rsid w:val="007F3DBD"/>
    <w:rsid w:val="007F3E7B"/>
    <w:rsid w:val="007F3ED2"/>
    <w:rsid w:val="007F5D3D"/>
    <w:rsid w:val="007F7879"/>
    <w:rsid w:val="00801149"/>
    <w:rsid w:val="00804BE0"/>
    <w:rsid w:val="008052A7"/>
    <w:rsid w:val="00806A26"/>
    <w:rsid w:val="00807944"/>
    <w:rsid w:val="00807F12"/>
    <w:rsid w:val="00810530"/>
    <w:rsid w:val="008115E4"/>
    <w:rsid w:val="0081432A"/>
    <w:rsid w:val="008149DE"/>
    <w:rsid w:val="00816C05"/>
    <w:rsid w:val="00821548"/>
    <w:rsid w:val="0082197A"/>
    <w:rsid w:val="00821E49"/>
    <w:rsid w:val="008266E8"/>
    <w:rsid w:val="00827152"/>
    <w:rsid w:val="00827E53"/>
    <w:rsid w:val="00831E99"/>
    <w:rsid w:val="008332A8"/>
    <w:rsid w:val="00834564"/>
    <w:rsid w:val="008347EF"/>
    <w:rsid w:val="00835047"/>
    <w:rsid w:val="00835CB6"/>
    <w:rsid w:val="00840326"/>
    <w:rsid w:val="008428EB"/>
    <w:rsid w:val="00844182"/>
    <w:rsid w:val="00844738"/>
    <w:rsid w:val="00845B79"/>
    <w:rsid w:val="00845FCD"/>
    <w:rsid w:val="008466BC"/>
    <w:rsid w:val="0084746A"/>
    <w:rsid w:val="00852DE4"/>
    <w:rsid w:val="00853204"/>
    <w:rsid w:val="00856774"/>
    <w:rsid w:val="008567A1"/>
    <w:rsid w:val="00857CCD"/>
    <w:rsid w:val="008603B6"/>
    <w:rsid w:val="008620C0"/>
    <w:rsid w:val="00862654"/>
    <w:rsid w:val="00862662"/>
    <w:rsid w:val="00862666"/>
    <w:rsid w:val="008632B4"/>
    <w:rsid w:val="008657D7"/>
    <w:rsid w:val="00866BF2"/>
    <w:rsid w:val="00867628"/>
    <w:rsid w:val="008679F3"/>
    <w:rsid w:val="00867D87"/>
    <w:rsid w:val="00871A2A"/>
    <w:rsid w:val="00872343"/>
    <w:rsid w:val="008773A9"/>
    <w:rsid w:val="00877A06"/>
    <w:rsid w:val="00880078"/>
    <w:rsid w:val="00880203"/>
    <w:rsid w:val="008808D2"/>
    <w:rsid w:val="00880C4A"/>
    <w:rsid w:val="00880E89"/>
    <w:rsid w:val="00880EF2"/>
    <w:rsid w:val="0088136C"/>
    <w:rsid w:val="00881854"/>
    <w:rsid w:val="00881B3C"/>
    <w:rsid w:val="00883AB5"/>
    <w:rsid w:val="008847B0"/>
    <w:rsid w:val="00890FE5"/>
    <w:rsid w:val="00891BAF"/>
    <w:rsid w:val="00891C69"/>
    <w:rsid w:val="008921FC"/>
    <w:rsid w:val="008941A4"/>
    <w:rsid w:val="00894A09"/>
    <w:rsid w:val="00895338"/>
    <w:rsid w:val="00895418"/>
    <w:rsid w:val="00895AD2"/>
    <w:rsid w:val="00895FEE"/>
    <w:rsid w:val="0089715E"/>
    <w:rsid w:val="008978A4"/>
    <w:rsid w:val="008A0B2F"/>
    <w:rsid w:val="008A0F05"/>
    <w:rsid w:val="008A1E72"/>
    <w:rsid w:val="008A4CDB"/>
    <w:rsid w:val="008A4D42"/>
    <w:rsid w:val="008B297B"/>
    <w:rsid w:val="008B38AA"/>
    <w:rsid w:val="008B461D"/>
    <w:rsid w:val="008B51AD"/>
    <w:rsid w:val="008B6464"/>
    <w:rsid w:val="008B6514"/>
    <w:rsid w:val="008B6997"/>
    <w:rsid w:val="008C0B41"/>
    <w:rsid w:val="008C0DEC"/>
    <w:rsid w:val="008C19E3"/>
    <w:rsid w:val="008C1CF5"/>
    <w:rsid w:val="008C2CAC"/>
    <w:rsid w:val="008C3BEF"/>
    <w:rsid w:val="008C5519"/>
    <w:rsid w:val="008C67CB"/>
    <w:rsid w:val="008C67FC"/>
    <w:rsid w:val="008D068D"/>
    <w:rsid w:val="008D0C1E"/>
    <w:rsid w:val="008D1247"/>
    <w:rsid w:val="008D21D9"/>
    <w:rsid w:val="008D2A85"/>
    <w:rsid w:val="008D4086"/>
    <w:rsid w:val="008D6269"/>
    <w:rsid w:val="008E0011"/>
    <w:rsid w:val="008E0AF6"/>
    <w:rsid w:val="008E0D3B"/>
    <w:rsid w:val="008E0DC1"/>
    <w:rsid w:val="008E154B"/>
    <w:rsid w:val="008E30A1"/>
    <w:rsid w:val="008E3685"/>
    <w:rsid w:val="008E3857"/>
    <w:rsid w:val="008E5620"/>
    <w:rsid w:val="008E6639"/>
    <w:rsid w:val="008E683B"/>
    <w:rsid w:val="008F0553"/>
    <w:rsid w:val="008F1529"/>
    <w:rsid w:val="008F1F10"/>
    <w:rsid w:val="008F3246"/>
    <w:rsid w:val="008F468D"/>
    <w:rsid w:val="008F644F"/>
    <w:rsid w:val="008F6D4E"/>
    <w:rsid w:val="008F703A"/>
    <w:rsid w:val="008F72E9"/>
    <w:rsid w:val="008F7EEF"/>
    <w:rsid w:val="00900F7C"/>
    <w:rsid w:val="009017B9"/>
    <w:rsid w:val="00902379"/>
    <w:rsid w:val="009064ED"/>
    <w:rsid w:val="00910914"/>
    <w:rsid w:val="009111EB"/>
    <w:rsid w:val="00911EDF"/>
    <w:rsid w:val="009129EF"/>
    <w:rsid w:val="009151DA"/>
    <w:rsid w:val="009154AB"/>
    <w:rsid w:val="00915A1F"/>
    <w:rsid w:val="009203CD"/>
    <w:rsid w:val="00920700"/>
    <w:rsid w:val="009242F8"/>
    <w:rsid w:val="0092566C"/>
    <w:rsid w:val="009256A3"/>
    <w:rsid w:val="009262C9"/>
    <w:rsid w:val="0092631A"/>
    <w:rsid w:val="00926CDF"/>
    <w:rsid w:val="0093079D"/>
    <w:rsid w:val="00930C83"/>
    <w:rsid w:val="00930E0C"/>
    <w:rsid w:val="00931070"/>
    <w:rsid w:val="00931521"/>
    <w:rsid w:val="009319D0"/>
    <w:rsid w:val="0093290C"/>
    <w:rsid w:val="00935086"/>
    <w:rsid w:val="009357B7"/>
    <w:rsid w:val="0093614B"/>
    <w:rsid w:val="00937DA5"/>
    <w:rsid w:val="00941643"/>
    <w:rsid w:val="0094215C"/>
    <w:rsid w:val="0094433C"/>
    <w:rsid w:val="00945ACE"/>
    <w:rsid w:val="00945F15"/>
    <w:rsid w:val="00946B6F"/>
    <w:rsid w:val="00947819"/>
    <w:rsid w:val="00950AC4"/>
    <w:rsid w:val="00950BB2"/>
    <w:rsid w:val="00950D49"/>
    <w:rsid w:val="0095164A"/>
    <w:rsid w:val="00951F0E"/>
    <w:rsid w:val="00951F4C"/>
    <w:rsid w:val="0095220B"/>
    <w:rsid w:val="00956031"/>
    <w:rsid w:val="0095717F"/>
    <w:rsid w:val="0095721F"/>
    <w:rsid w:val="00957E05"/>
    <w:rsid w:val="00960C06"/>
    <w:rsid w:val="00963320"/>
    <w:rsid w:val="0096419A"/>
    <w:rsid w:val="00967024"/>
    <w:rsid w:val="00967861"/>
    <w:rsid w:val="00970250"/>
    <w:rsid w:val="00971975"/>
    <w:rsid w:val="0097335D"/>
    <w:rsid w:val="00973D7E"/>
    <w:rsid w:val="009745B6"/>
    <w:rsid w:val="0097472E"/>
    <w:rsid w:val="00974EB9"/>
    <w:rsid w:val="009755B2"/>
    <w:rsid w:val="0097661C"/>
    <w:rsid w:val="0097689F"/>
    <w:rsid w:val="009805FA"/>
    <w:rsid w:val="009812CC"/>
    <w:rsid w:val="00981369"/>
    <w:rsid w:val="00981C82"/>
    <w:rsid w:val="00983791"/>
    <w:rsid w:val="00985F94"/>
    <w:rsid w:val="00987BAA"/>
    <w:rsid w:val="00991A4A"/>
    <w:rsid w:val="00991E81"/>
    <w:rsid w:val="00991F42"/>
    <w:rsid w:val="00993791"/>
    <w:rsid w:val="00993966"/>
    <w:rsid w:val="00996A44"/>
    <w:rsid w:val="00997732"/>
    <w:rsid w:val="009A2909"/>
    <w:rsid w:val="009A2AED"/>
    <w:rsid w:val="009A2E20"/>
    <w:rsid w:val="009A4BB2"/>
    <w:rsid w:val="009A67DD"/>
    <w:rsid w:val="009A6AE9"/>
    <w:rsid w:val="009A726B"/>
    <w:rsid w:val="009A79D3"/>
    <w:rsid w:val="009B02A8"/>
    <w:rsid w:val="009B03BA"/>
    <w:rsid w:val="009B19FA"/>
    <w:rsid w:val="009B2037"/>
    <w:rsid w:val="009B2D44"/>
    <w:rsid w:val="009B3404"/>
    <w:rsid w:val="009B3970"/>
    <w:rsid w:val="009B4ED4"/>
    <w:rsid w:val="009B54B3"/>
    <w:rsid w:val="009B5761"/>
    <w:rsid w:val="009B633E"/>
    <w:rsid w:val="009B79F2"/>
    <w:rsid w:val="009C1EF2"/>
    <w:rsid w:val="009C7653"/>
    <w:rsid w:val="009D098E"/>
    <w:rsid w:val="009D1936"/>
    <w:rsid w:val="009D2247"/>
    <w:rsid w:val="009D3828"/>
    <w:rsid w:val="009D54E3"/>
    <w:rsid w:val="009D6A8F"/>
    <w:rsid w:val="009D6D04"/>
    <w:rsid w:val="009E09D2"/>
    <w:rsid w:val="009E119F"/>
    <w:rsid w:val="009E155E"/>
    <w:rsid w:val="009E30F1"/>
    <w:rsid w:val="009E406D"/>
    <w:rsid w:val="009E40E7"/>
    <w:rsid w:val="009E4CBC"/>
    <w:rsid w:val="009E4DCF"/>
    <w:rsid w:val="009E5FD4"/>
    <w:rsid w:val="009E62F8"/>
    <w:rsid w:val="009F1E1C"/>
    <w:rsid w:val="009F4AE6"/>
    <w:rsid w:val="009F64EA"/>
    <w:rsid w:val="009F7B04"/>
    <w:rsid w:val="009F7DF4"/>
    <w:rsid w:val="00A0282C"/>
    <w:rsid w:val="00A030FA"/>
    <w:rsid w:val="00A03BB7"/>
    <w:rsid w:val="00A05369"/>
    <w:rsid w:val="00A05503"/>
    <w:rsid w:val="00A064BE"/>
    <w:rsid w:val="00A1034F"/>
    <w:rsid w:val="00A10798"/>
    <w:rsid w:val="00A13A10"/>
    <w:rsid w:val="00A161A5"/>
    <w:rsid w:val="00A16B27"/>
    <w:rsid w:val="00A243B2"/>
    <w:rsid w:val="00A24A22"/>
    <w:rsid w:val="00A310AE"/>
    <w:rsid w:val="00A32F6D"/>
    <w:rsid w:val="00A33B1D"/>
    <w:rsid w:val="00A3537D"/>
    <w:rsid w:val="00A366BB"/>
    <w:rsid w:val="00A4041F"/>
    <w:rsid w:val="00A4087E"/>
    <w:rsid w:val="00A417DC"/>
    <w:rsid w:val="00A418DC"/>
    <w:rsid w:val="00A42A76"/>
    <w:rsid w:val="00A434D3"/>
    <w:rsid w:val="00A4357A"/>
    <w:rsid w:val="00A45AC2"/>
    <w:rsid w:val="00A45AC4"/>
    <w:rsid w:val="00A466F9"/>
    <w:rsid w:val="00A46F90"/>
    <w:rsid w:val="00A47024"/>
    <w:rsid w:val="00A51FA5"/>
    <w:rsid w:val="00A5357D"/>
    <w:rsid w:val="00A55348"/>
    <w:rsid w:val="00A554EA"/>
    <w:rsid w:val="00A55838"/>
    <w:rsid w:val="00A564D5"/>
    <w:rsid w:val="00A56F9C"/>
    <w:rsid w:val="00A60A5D"/>
    <w:rsid w:val="00A60B38"/>
    <w:rsid w:val="00A6260A"/>
    <w:rsid w:val="00A62C1C"/>
    <w:rsid w:val="00A635D1"/>
    <w:rsid w:val="00A63960"/>
    <w:rsid w:val="00A65260"/>
    <w:rsid w:val="00A65BB9"/>
    <w:rsid w:val="00A66304"/>
    <w:rsid w:val="00A67BCF"/>
    <w:rsid w:val="00A71501"/>
    <w:rsid w:val="00A71BE4"/>
    <w:rsid w:val="00A72D14"/>
    <w:rsid w:val="00A7470E"/>
    <w:rsid w:val="00A75D50"/>
    <w:rsid w:val="00A80318"/>
    <w:rsid w:val="00A815E5"/>
    <w:rsid w:val="00A81FC1"/>
    <w:rsid w:val="00A83B59"/>
    <w:rsid w:val="00A86BC6"/>
    <w:rsid w:val="00A87133"/>
    <w:rsid w:val="00A87C2E"/>
    <w:rsid w:val="00A903F6"/>
    <w:rsid w:val="00A907E8"/>
    <w:rsid w:val="00A92198"/>
    <w:rsid w:val="00A93292"/>
    <w:rsid w:val="00A938A7"/>
    <w:rsid w:val="00A94BD6"/>
    <w:rsid w:val="00A96C4B"/>
    <w:rsid w:val="00A970A9"/>
    <w:rsid w:val="00AA09A5"/>
    <w:rsid w:val="00AA1A33"/>
    <w:rsid w:val="00AA29E1"/>
    <w:rsid w:val="00AA2B42"/>
    <w:rsid w:val="00AA562C"/>
    <w:rsid w:val="00AA59DA"/>
    <w:rsid w:val="00AB03B7"/>
    <w:rsid w:val="00AB2E83"/>
    <w:rsid w:val="00AB63C8"/>
    <w:rsid w:val="00AB75E2"/>
    <w:rsid w:val="00AB7D16"/>
    <w:rsid w:val="00AC0A7F"/>
    <w:rsid w:val="00AC1475"/>
    <w:rsid w:val="00AC1792"/>
    <w:rsid w:val="00AC375E"/>
    <w:rsid w:val="00AC3827"/>
    <w:rsid w:val="00AC5504"/>
    <w:rsid w:val="00AC69E4"/>
    <w:rsid w:val="00AC713E"/>
    <w:rsid w:val="00AD081C"/>
    <w:rsid w:val="00AD117D"/>
    <w:rsid w:val="00AD5740"/>
    <w:rsid w:val="00AD59F1"/>
    <w:rsid w:val="00AD737B"/>
    <w:rsid w:val="00AD7B28"/>
    <w:rsid w:val="00AD7FEB"/>
    <w:rsid w:val="00AE44EF"/>
    <w:rsid w:val="00AE4575"/>
    <w:rsid w:val="00AE48EC"/>
    <w:rsid w:val="00AE66FD"/>
    <w:rsid w:val="00AE72F0"/>
    <w:rsid w:val="00AF0113"/>
    <w:rsid w:val="00AF2063"/>
    <w:rsid w:val="00AF2B8A"/>
    <w:rsid w:val="00AF31EA"/>
    <w:rsid w:val="00AF3E3C"/>
    <w:rsid w:val="00AF44AE"/>
    <w:rsid w:val="00AF6645"/>
    <w:rsid w:val="00AF66AB"/>
    <w:rsid w:val="00B001F7"/>
    <w:rsid w:val="00B01012"/>
    <w:rsid w:val="00B012F6"/>
    <w:rsid w:val="00B0173C"/>
    <w:rsid w:val="00B01A41"/>
    <w:rsid w:val="00B02346"/>
    <w:rsid w:val="00B029FF"/>
    <w:rsid w:val="00B0317E"/>
    <w:rsid w:val="00B034BD"/>
    <w:rsid w:val="00B03776"/>
    <w:rsid w:val="00B03949"/>
    <w:rsid w:val="00B0401E"/>
    <w:rsid w:val="00B046F2"/>
    <w:rsid w:val="00B0480F"/>
    <w:rsid w:val="00B0649E"/>
    <w:rsid w:val="00B07A21"/>
    <w:rsid w:val="00B07FB7"/>
    <w:rsid w:val="00B10D85"/>
    <w:rsid w:val="00B11AFC"/>
    <w:rsid w:val="00B127AA"/>
    <w:rsid w:val="00B13AAC"/>
    <w:rsid w:val="00B156EB"/>
    <w:rsid w:val="00B157AD"/>
    <w:rsid w:val="00B1709D"/>
    <w:rsid w:val="00B212D7"/>
    <w:rsid w:val="00B2150B"/>
    <w:rsid w:val="00B221D8"/>
    <w:rsid w:val="00B22203"/>
    <w:rsid w:val="00B23854"/>
    <w:rsid w:val="00B23B00"/>
    <w:rsid w:val="00B23B6B"/>
    <w:rsid w:val="00B2691D"/>
    <w:rsid w:val="00B27C7C"/>
    <w:rsid w:val="00B27D63"/>
    <w:rsid w:val="00B27F80"/>
    <w:rsid w:val="00B327B5"/>
    <w:rsid w:val="00B32A33"/>
    <w:rsid w:val="00B33285"/>
    <w:rsid w:val="00B334CF"/>
    <w:rsid w:val="00B337C5"/>
    <w:rsid w:val="00B357AD"/>
    <w:rsid w:val="00B35849"/>
    <w:rsid w:val="00B360B4"/>
    <w:rsid w:val="00B368B9"/>
    <w:rsid w:val="00B36A23"/>
    <w:rsid w:val="00B36EB3"/>
    <w:rsid w:val="00B41D19"/>
    <w:rsid w:val="00B44100"/>
    <w:rsid w:val="00B448A5"/>
    <w:rsid w:val="00B45010"/>
    <w:rsid w:val="00B464F4"/>
    <w:rsid w:val="00B46D37"/>
    <w:rsid w:val="00B500E1"/>
    <w:rsid w:val="00B503FA"/>
    <w:rsid w:val="00B5042F"/>
    <w:rsid w:val="00B5305D"/>
    <w:rsid w:val="00B5420B"/>
    <w:rsid w:val="00B564B6"/>
    <w:rsid w:val="00B5694B"/>
    <w:rsid w:val="00B56C56"/>
    <w:rsid w:val="00B56E1C"/>
    <w:rsid w:val="00B56EE1"/>
    <w:rsid w:val="00B612C5"/>
    <w:rsid w:val="00B627B1"/>
    <w:rsid w:val="00B63622"/>
    <w:rsid w:val="00B636ED"/>
    <w:rsid w:val="00B63BAE"/>
    <w:rsid w:val="00B6560A"/>
    <w:rsid w:val="00B660D3"/>
    <w:rsid w:val="00B66BDE"/>
    <w:rsid w:val="00B66F55"/>
    <w:rsid w:val="00B72C1C"/>
    <w:rsid w:val="00B74E64"/>
    <w:rsid w:val="00B755E9"/>
    <w:rsid w:val="00B7596F"/>
    <w:rsid w:val="00B76015"/>
    <w:rsid w:val="00B76545"/>
    <w:rsid w:val="00B76610"/>
    <w:rsid w:val="00B772E7"/>
    <w:rsid w:val="00B81091"/>
    <w:rsid w:val="00B81BE3"/>
    <w:rsid w:val="00B82498"/>
    <w:rsid w:val="00B82741"/>
    <w:rsid w:val="00B844DB"/>
    <w:rsid w:val="00B8603F"/>
    <w:rsid w:val="00B8748D"/>
    <w:rsid w:val="00B90438"/>
    <w:rsid w:val="00B907D4"/>
    <w:rsid w:val="00B90D6D"/>
    <w:rsid w:val="00B92858"/>
    <w:rsid w:val="00B95EF1"/>
    <w:rsid w:val="00B96E6D"/>
    <w:rsid w:val="00B970E8"/>
    <w:rsid w:val="00B9712A"/>
    <w:rsid w:val="00BA0F80"/>
    <w:rsid w:val="00BA15F0"/>
    <w:rsid w:val="00BA3142"/>
    <w:rsid w:val="00BA45D7"/>
    <w:rsid w:val="00BA7E0A"/>
    <w:rsid w:val="00BB1A80"/>
    <w:rsid w:val="00BB1E06"/>
    <w:rsid w:val="00BB223C"/>
    <w:rsid w:val="00BB35A9"/>
    <w:rsid w:val="00BB3F3A"/>
    <w:rsid w:val="00BB468F"/>
    <w:rsid w:val="00BB4B3E"/>
    <w:rsid w:val="00BB4FDD"/>
    <w:rsid w:val="00BB5551"/>
    <w:rsid w:val="00BB607D"/>
    <w:rsid w:val="00BC1E2D"/>
    <w:rsid w:val="00BC2596"/>
    <w:rsid w:val="00BC373A"/>
    <w:rsid w:val="00BC38E6"/>
    <w:rsid w:val="00BC3C1C"/>
    <w:rsid w:val="00BC4473"/>
    <w:rsid w:val="00BC559E"/>
    <w:rsid w:val="00BC598F"/>
    <w:rsid w:val="00BC67EC"/>
    <w:rsid w:val="00BD0CA9"/>
    <w:rsid w:val="00BD0CEB"/>
    <w:rsid w:val="00BD2C0B"/>
    <w:rsid w:val="00BD59F4"/>
    <w:rsid w:val="00BD6F9D"/>
    <w:rsid w:val="00BE2DEE"/>
    <w:rsid w:val="00BE2ECC"/>
    <w:rsid w:val="00BE3680"/>
    <w:rsid w:val="00BE3798"/>
    <w:rsid w:val="00BE6244"/>
    <w:rsid w:val="00BF0DE7"/>
    <w:rsid w:val="00BF1CA4"/>
    <w:rsid w:val="00BF2463"/>
    <w:rsid w:val="00BF365F"/>
    <w:rsid w:val="00BF3FE5"/>
    <w:rsid w:val="00BF4093"/>
    <w:rsid w:val="00BF6046"/>
    <w:rsid w:val="00BF6AD7"/>
    <w:rsid w:val="00BF6D54"/>
    <w:rsid w:val="00BF7F16"/>
    <w:rsid w:val="00C001ED"/>
    <w:rsid w:val="00C008C4"/>
    <w:rsid w:val="00C01B87"/>
    <w:rsid w:val="00C0274F"/>
    <w:rsid w:val="00C038E8"/>
    <w:rsid w:val="00C04EB0"/>
    <w:rsid w:val="00C04FF9"/>
    <w:rsid w:val="00C05F57"/>
    <w:rsid w:val="00C07811"/>
    <w:rsid w:val="00C11D0F"/>
    <w:rsid w:val="00C11F2C"/>
    <w:rsid w:val="00C12BA2"/>
    <w:rsid w:val="00C13223"/>
    <w:rsid w:val="00C165C0"/>
    <w:rsid w:val="00C224D6"/>
    <w:rsid w:val="00C24346"/>
    <w:rsid w:val="00C24DF3"/>
    <w:rsid w:val="00C30229"/>
    <w:rsid w:val="00C3459E"/>
    <w:rsid w:val="00C3517B"/>
    <w:rsid w:val="00C35A23"/>
    <w:rsid w:val="00C40868"/>
    <w:rsid w:val="00C4157D"/>
    <w:rsid w:val="00C42496"/>
    <w:rsid w:val="00C4255E"/>
    <w:rsid w:val="00C44571"/>
    <w:rsid w:val="00C477E0"/>
    <w:rsid w:val="00C51B64"/>
    <w:rsid w:val="00C53B2D"/>
    <w:rsid w:val="00C605E8"/>
    <w:rsid w:val="00C60A7D"/>
    <w:rsid w:val="00C617AE"/>
    <w:rsid w:val="00C62899"/>
    <w:rsid w:val="00C63C22"/>
    <w:rsid w:val="00C64066"/>
    <w:rsid w:val="00C6411A"/>
    <w:rsid w:val="00C64718"/>
    <w:rsid w:val="00C64D17"/>
    <w:rsid w:val="00C66D12"/>
    <w:rsid w:val="00C67F96"/>
    <w:rsid w:val="00C702FA"/>
    <w:rsid w:val="00C70ED6"/>
    <w:rsid w:val="00C71991"/>
    <w:rsid w:val="00C72E89"/>
    <w:rsid w:val="00C73B79"/>
    <w:rsid w:val="00C74CAD"/>
    <w:rsid w:val="00C7501F"/>
    <w:rsid w:val="00C77614"/>
    <w:rsid w:val="00C8091E"/>
    <w:rsid w:val="00C80AB9"/>
    <w:rsid w:val="00C85DC3"/>
    <w:rsid w:val="00C9076E"/>
    <w:rsid w:val="00C90940"/>
    <w:rsid w:val="00C91433"/>
    <w:rsid w:val="00C9481F"/>
    <w:rsid w:val="00C95610"/>
    <w:rsid w:val="00C95E5E"/>
    <w:rsid w:val="00C9700B"/>
    <w:rsid w:val="00C97CDB"/>
    <w:rsid w:val="00C97E6B"/>
    <w:rsid w:val="00C97ECE"/>
    <w:rsid w:val="00CA00AD"/>
    <w:rsid w:val="00CA06D6"/>
    <w:rsid w:val="00CA1323"/>
    <w:rsid w:val="00CA16DC"/>
    <w:rsid w:val="00CA1887"/>
    <w:rsid w:val="00CA343C"/>
    <w:rsid w:val="00CA353A"/>
    <w:rsid w:val="00CA47A8"/>
    <w:rsid w:val="00CA5116"/>
    <w:rsid w:val="00CA531A"/>
    <w:rsid w:val="00CA54A9"/>
    <w:rsid w:val="00CA5C3F"/>
    <w:rsid w:val="00CA60B6"/>
    <w:rsid w:val="00CA6B23"/>
    <w:rsid w:val="00CA6ECB"/>
    <w:rsid w:val="00CA73BB"/>
    <w:rsid w:val="00CA749E"/>
    <w:rsid w:val="00CB09C5"/>
    <w:rsid w:val="00CB17A6"/>
    <w:rsid w:val="00CB1DBD"/>
    <w:rsid w:val="00CB2C68"/>
    <w:rsid w:val="00CB4372"/>
    <w:rsid w:val="00CB4D85"/>
    <w:rsid w:val="00CB51EB"/>
    <w:rsid w:val="00CB6232"/>
    <w:rsid w:val="00CB7134"/>
    <w:rsid w:val="00CB731E"/>
    <w:rsid w:val="00CC3B86"/>
    <w:rsid w:val="00CC46B8"/>
    <w:rsid w:val="00CC7940"/>
    <w:rsid w:val="00CC7C9C"/>
    <w:rsid w:val="00CC7CAB"/>
    <w:rsid w:val="00CD0211"/>
    <w:rsid w:val="00CD0296"/>
    <w:rsid w:val="00CD1C57"/>
    <w:rsid w:val="00CD2649"/>
    <w:rsid w:val="00CD2888"/>
    <w:rsid w:val="00CD3BBC"/>
    <w:rsid w:val="00CD4C83"/>
    <w:rsid w:val="00CD53B2"/>
    <w:rsid w:val="00CD5401"/>
    <w:rsid w:val="00CD5A9C"/>
    <w:rsid w:val="00CD5F93"/>
    <w:rsid w:val="00CD6A57"/>
    <w:rsid w:val="00CD764E"/>
    <w:rsid w:val="00CE0903"/>
    <w:rsid w:val="00CE0BD8"/>
    <w:rsid w:val="00CE1B4D"/>
    <w:rsid w:val="00CE4384"/>
    <w:rsid w:val="00CE54B3"/>
    <w:rsid w:val="00CE5DE4"/>
    <w:rsid w:val="00CF01B9"/>
    <w:rsid w:val="00CF07E1"/>
    <w:rsid w:val="00CF098A"/>
    <w:rsid w:val="00CF1B07"/>
    <w:rsid w:val="00CF26EE"/>
    <w:rsid w:val="00CF3224"/>
    <w:rsid w:val="00CF3810"/>
    <w:rsid w:val="00CF3D73"/>
    <w:rsid w:val="00CF66A8"/>
    <w:rsid w:val="00CF7A5E"/>
    <w:rsid w:val="00D00D01"/>
    <w:rsid w:val="00D02048"/>
    <w:rsid w:val="00D020B4"/>
    <w:rsid w:val="00D0247E"/>
    <w:rsid w:val="00D044AF"/>
    <w:rsid w:val="00D04B7D"/>
    <w:rsid w:val="00D04E8C"/>
    <w:rsid w:val="00D05257"/>
    <w:rsid w:val="00D10D01"/>
    <w:rsid w:val="00D1115C"/>
    <w:rsid w:val="00D12DAC"/>
    <w:rsid w:val="00D13110"/>
    <w:rsid w:val="00D13173"/>
    <w:rsid w:val="00D2049F"/>
    <w:rsid w:val="00D2269D"/>
    <w:rsid w:val="00D2304E"/>
    <w:rsid w:val="00D25DD8"/>
    <w:rsid w:val="00D25FF2"/>
    <w:rsid w:val="00D26C70"/>
    <w:rsid w:val="00D30141"/>
    <w:rsid w:val="00D30A71"/>
    <w:rsid w:val="00D30AD4"/>
    <w:rsid w:val="00D32A47"/>
    <w:rsid w:val="00D35AB1"/>
    <w:rsid w:val="00D36381"/>
    <w:rsid w:val="00D36D34"/>
    <w:rsid w:val="00D373FC"/>
    <w:rsid w:val="00D41104"/>
    <w:rsid w:val="00D41C80"/>
    <w:rsid w:val="00D42C76"/>
    <w:rsid w:val="00D45317"/>
    <w:rsid w:val="00D516C6"/>
    <w:rsid w:val="00D53B32"/>
    <w:rsid w:val="00D53CAB"/>
    <w:rsid w:val="00D54421"/>
    <w:rsid w:val="00D55B28"/>
    <w:rsid w:val="00D55E7B"/>
    <w:rsid w:val="00D63511"/>
    <w:rsid w:val="00D65B23"/>
    <w:rsid w:val="00D662D9"/>
    <w:rsid w:val="00D66CD8"/>
    <w:rsid w:val="00D70AC7"/>
    <w:rsid w:val="00D7136E"/>
    <w:rsid w:val="00D74E30"/>
    <w:rsid w:val="00D76140"/>
    <w:rsid w:val="00D76A8B"/>
    <w:rsid w:val="00D814EB"/>
    <w:rsid w:val="00D828A6"/>
    <w:rsid w:val="00D8470E"/>
    <w:rsid w:val="00D85313"/>
    <w:rsid w:val="00D85C10"/>
    <w:rsid w:val="00D866DE"/>
    <w:rsid w:val="00D87D1F"/>
    <w:rsid w:val="00D90AB6"/>
    <w:rsid w:val="00D90C81"/>
    <w:rsid w:val="00D90EB1"/>
    <w:rsid w:val="00D91DD6"/>
    <w:rsid w:val="00D92CE3"/>
    <w:rsid w:val="00D93E3B"/>
    <w:rsid w:val="00D95E6C"/>
    <w:rsid w:val="00D96007"/>
    <w:rsid w:val="00D96562"/>
    <w:rsid w:val="00D97492"/>
    <w:rsid w:val="00DA0EAC"/>
    <w:rsid w:val="00DA3CD8"/>
    <w:rsid w:val="00DA45B0"/>
    <w:rsid w:val="00DA4F15"/>
    <w:rsid w:val="00DA5B4F"/>
    <w:rsid w:val="00DA628A"/>
    <w:rsid w:val="00DB0A0C"/>
    <w:rsid w:val="00DB2143"/>
    <w:rsid w:val="00DB2965"/>
    <w:rsid w:val="00DB2DDA"/>
    <w:rsid w:val="00DB658C"/>
    <w:rsid w:val="00DB6847"/>
    <w:rsid w:val="00DC47BE"/>
    <w:rsid w:val="00DC5039"/>
    <w:rsid w:val="00DC64ED"/>
    <w:rsid w:val="00DC67A3"/>
    <w:rsid w:val="00DC7972"/>
    <w:rsid w:val="00DD2346"/>
    <w:rsid w:val="00DD5395"/>
    <w:rsid w:val="00DD5BBA"/>
    <w:rsid w:val="00DE029C"/>
    <w:rsid w:val="00DE0A34"/>
    <w:rsid w:val="00DE0B9F"/>
    <w:rsid w:val="00DE3EC2"/>
    <w:rsid w:val="00DE5489"/>
    <w:rsid w:val="00DE5787"/>
    <w:rsid w:val="00DE6370"/>
    <w:rsid w:val="00DE6418"/>
    <w:rsid w:val="00DE67F7"/>
    <w:rsid w:val="00DE6EA0"/>
    <w:rsid w:val="00DE759B"/>
    <w:rsid w:val="00DE7997"/>
    <w:rsid w:val="00DE79D6"/>
    <w:rsid w:val="00DE7A94"/>
    <w:rsid w:val="00DF1207"/>
    <w:rsid w:val="00DF28CC"/>
    <w:rsid w:val="00DF3DA5"/>
    <w:rsid w:val="00DF520E"/>
    <w:rsid w:val="00DF56AB"/>
    <w:rsid w:val="00DF630D"/>
    <w:rsid w:val="00DF7DF8"/>
    <w:rsid w:val="00E000CC"/>
    <w:rsid w:val="00E029D4"/>
    <w:rsid w:val="00E02D86"/>
    <w:rsid w:val="00E03170"/>
    <w:rsid w:val="00E03578"/>
    <w:rsid w:val="00E036AA"/>
    <w:rsid w:val="00E0402F"/>
    <w:rsid w:val="00E04D4F"/>
    <w:rsid w:val="00E04E57"/>
    <w:rsid w:val="00E052FA"/>
    <w:rsid w:val="00E065F9"/>
    <w:rsid w:val="00E07012"/>
    <w:rsid w:val="00E119D3"/>
    <w:rsid w:val="00E1312B"/>
    <w:rsid w:val="00E14297"/>
    <w:rsid w:val="00E14931"/>
    <w:rsid w:val="00E1502A"/>
    <w:rsid w:val="00E1516B"/>
    <w:rsid w:val="00E1555A"/>
    <w:rsid w:val="00E15B43"/>
    <w:rsid w:val="00E15DEB"/>
    <w:rsid w:val="00E15FFE"/>
    <w:rsid w:val="00E1646B"/>
    <w:rsid w:val="00E16A2D"/>
    <w:rsid w:val="00E20352"/>
    <w:rsid w:val="00E20A06"/>
    <w:rsid w:val="00E21433"/>
    <w:rsid w:val="00E21522"/>
    <w:rsid w:val="00E21DC4"/>
    <w:rsid w:val="00E22C60"/>
    <w:rsid w:val="00E22CF9"/>
    <w:rsid w:val="00E2336B"/>
    <w:rsid w:val="00E237EB"/>
    <w:rsid w:val="00E23A75"/>
    <w:rsid w:val="00E23F12"/>
    <w:rsid w:val="00E24A11"/>
    <w:rsid w:val="00E25099"/>
    <w:rsid w:val="00E25AF0"/>
    <w:rsid w:val="00E26C0F"/>
    <w:rsid w:val="00E30A58"/>
    <w:rsid w:val="00E30FDB"/>
    <w:rsid w:val="00E330B1"/>
    <w:rsid w:val="00E33C04"/>
    <w:rsid w:val="00E413E5"/>
    <w:rsid w:val="00E416E8"/>
    <w:rsid w:val="00E4210B"/>
    <w:rsid w:val="00E426E4"/>
    <w:rsid w:val="00E43EDC"/>
    <w:rsid w:val="00E457F4"/>
    <w:rsid w:val="00E4627A"/>
    <w:rsid w:val="00E46944"/>
    <w:rsid w:val="00E5299C"/>
    <w:rsid w:val="00E53C47"/>
    <w:rsid w:val="00E54AFE"/>
    <w:rsid w:val="00E55DA4"/>
    <w:rsid w:val="00E60244"/>
    <w:rsid w:val="00E606D6"/>
    <w:rsid w:val="00E6433D"/>
    <w:rsid w:val="00E704C5"/>
    <w:rsid w:val="00E71B22"/>
    <w:rsid w:val="00E735F4"/>
    <w:rsid w:val="00E73AD2"/>
    <w:rsid w:val="00E7587A"/>
    <w:rsid w:val="00E75B77"/>
    <w:rsid w:val="00E80D61"/>
    <w:rsid w:val="00E814F0"/>
    <w:rsid w:val="00E81AA2"/>
    <w:rsid w:val="00E829C6"/>
    <w:rsid w:val="00E829D5"/>
    <w:rsid w:val="00E8483D"/>
    <w:rsid w:val="00E86280"/>
    <w:rsid w:val="00E86451"/>
    <w:rsid w:val="00E86541"/>
    <w:rsid w:val="00E86575"/>
    <w:rsid w:val="00E870B6"/>
    <w:rsid w:val="00E87610"/>
    <w:rsid w:val="00E9206D"/>
    <w:rsid w:val="00E9274A"/>
    <w:rsid w:val="00E9299A"/>
    <w:rsid w:val="00E945F7"/>
    <w:rsid w:val="00E94C75"/>
    <w:rsid w:val="00E95250"/>
    <w:rsid w:val="00E96491"/>
    <w:rsid w:val="00E9764A"/>
    <w:rsid w:val="00E97BE1"/>
    <w:rsid w:val="00EA0C09"/>
    <w:rsid w:val="00EA1AF4"/>
    <w:rsid w:val="00EA1DBB"/>
    <w:rsid w:val="00EA2365"/>
    <w:rsid w:val="00EA3EC9"/>
    <w:rsid w:val="00EA4808"/>
    <w:rsid w:val="00EA496F"/>
    <w:rsid w:val="00EA541C"/>
    <w:rsid w:val="00EA719D"/>
    <w:rsid w:val="00EA791B"/>
    <w:rsid w:val="00EB080B"/>
    <w:rsid w:val="00EB093F"/>
    <w:rsid w:val="00EB15A2"/>
    <w:rsid w:val="00EB22D1"/>
    <w:rsid w:val="00EB5E14"/>
    <w:rsid w:val="00EB6132"/>
    <w:rsid w:val="00EB642B"/>
    <w:rsid w:val="00EB6D1D"/>
    <w:rsid w:val="00EC07BE"/>
    <w:rsid w:val="00EC07C3"/>
    <w:rsid w:val="00EC3BA1"/>
    <w:rsid w:val="00EC5083"/>
    <w:rsid w:val="00EC5709"/>
    <w:rsid w:val="00EC6A82"/>
    <w:rsid w:val="00ED0A31"/>
    <w:rsid w:val="00ED1429"/>
    <w:rsid w:val="00ED2DA9"/>
    <w:rsid w:val="00ED49BA"/>
    <w:rsid w:val="00ED7018"/>
    <w:rsid w:val="00ED76D2"/>
    <w:rsid w:val="00ED7A79"/>
    <w:rsid w:val="00EE089D"/>
    <w:rsid w:val="00EE09A4"/>
    <w:rsid w:val="00EE1AC8"/>
    <w:rsid w:val="00EE3DE4"/>
    <w:rsid w:val="00EE4442"/>
    <w:rsid w:val="00EE4EE5"/>
    <w:rsid w:val="00EE5B48"/>
    <w:rsid w:val="00EE60F0"/>
    <w:rsid w:val="00EE6608"/>
    <w:rsid w:val="00EF00F9"/>
    <w:rsid w:val="00EF03BC"/>
    <w:rsid w:val="00EF03F0"/>
    <w:rsid w:val="00EF056F"/>
    <w:rsid w:val="00EF1703"/>
    <w:rsid w:val="00EF32D6"/>
    <w:rsid w:val="00EF445A"/>
    <w:rsid w:val="00EF540C"/>
    <w:rsid w:val="00EF5A9B"/>
    <w:rsid w:val="00EF6B18"/>
    <w:rsid w:val="00EF6EB0"/>
    <w:rsid w:val="00EF739C"/>
    <w:rsid w:val="00F01761"/>
    <w:rsid w:val="00F0184A"/>
    <w:rsid w:val="00F025A1"/>
    <w:rsid w:val="00F031C4"/>
    <w:rsid w:val="00F042F1"/>
    <w:rsid w:val="00F05F31"/>
    <w:rsid w:val="00F05FB4"/>
    <w:rsid w:val="00F06C54"/>
    <w:rsid w:val="00F100FC"/>
    <w:rsid w:val="00F10F74"/>
    <w:rsid w:val="00F11CE1"/>
    <w:rsid w:val="00F12ECB"/>
    <w:rsid w:val="00F14D94"/>
    <w:rsid w:val="00F15A8B"/>
    <w:rsid w:val="00F15BBF"/>
    <w:rsid w:val="00F15CD8"/>
    <w:rsid w:val="00F16E58"/>
    <w:rsid w:val="00F171F4"/>
    <w:rsid w:val="00F17B04"/>
    <w:rsid w:val="00F17C2A"/>
    <w:rsid w:val="00F20BB4"/>
    <w:rsid w:val="00F21A64"/>
    <w:rsid w:val="00F222C9"/>
    <w:rsid w:val="00F223B8"/>
    <w:rsid w:val="00F227DB"/>
    <w:rsid w:val="00F22E8B"/>
    <w:rsid w:val="00F23441"/>
    <w:rsid w:val="00F23921"/>
    <w:rsid w:val="00F27605"/>
    <w:rsid w:val="00F3097F"/>
    <w:rsid w:val="00F30D0E"/>
    <w:rsid w:val="00F31F59"/>
    <w:rsid w:val="00F34386"/>
    <w:rsid w:val="00F34F96"/>
    <w:rsid w:val="00F3599C"/>
    <w:rsid w:val="00F35E6D"/>
    <w:rsid w:val="00F4029E"/>
    <w:rsid w:val="00F40304"/>
    <w:rsid w:val="00F41C57"/>
    <w:rsid w:val="00F41CE0"/>
    <w:rsid w:val="00F42FAF"/>
    <w:rsid w:val="00F436BC"/>
    <w:rsid w:val="00F43E64"/>
    <w:rsid w:val="00F457EC"/>
    <w:rsid w:val="00F458DA"/>
    <w:rsid w:val="00F468FE"/>
    <w:rsid w:val="00F470D0"/>
    <w:rsid w:val="00F47854"/>
    <w:rsid w:val="00F50549"/>
    <w:rsid w:val="00F50AF8"/>
    <w:rsid w:val="00F50CFF"/>
    <w:rsid w:val="00F51412"/>
    <w:rsid w:val="00F534D4"/>
    <w:rsid w:val="00F53FA0"/>
    <w:rsid w:val="00F57450"/>
    <w:rsid w:val="00F574A6"/>
    <w:rsid w:val="00F61DE8"/>
    <w:rsid w:val="00F63B15"/>
    <w:rsid w:val="00F647B3"/>
    <w:rsid w:val="00F65352"/>
    <w:rsid w:val="00F65D17"/>
    <w:rsid w:val="00F65F3D"/>
    <w:rsid w:val="00F65F9D"/>
    <w:rsid w:val="00F66823"/>
    <w:rsid w:val="00F670E5"/>
    <w:rsid w:val="00F70BB2"/>
    <w:rsid w:val="00F70CC4"/>
    <w:rsid w:val="00F71313"/>
    <w:rsid w:val="00F724E7"/>
    <w:rsid w:val="00F736DE"/>
    <w:rsid w:val="00F75262"/>
    <w:rsid w:val="00F75A1F"/>
    <w:rsid w:val="00F76677"/>
    <w:rsid w:val="00F76E5B"/>
    <w:rsid w:val="00F82128"/>
    <w:rsid w:val="00F8236B"/>
    <w:rsid w:val="00F83E19"/>
    <w:rsid w:val="00F845E5"/>
    <w:rsid w:val="00F8552D"/>
    <w:rsid w:val="00F857A1"/>
    <w:rsid w:val="00F8679E"/>
    <w:rsid w:val="00F867C8"/>
    <w:rsid w:val="00F8698A"/>
    <w:rsid w:val="00F8790E"/>
    <w:rsid w:val="00F87AD0"/>
    <w:rsid w:val="00F87AFB"/>
    <w:rsid w:val="00F90AC1"/>
    <w:rsid w:val="00F93160"/>
    <w:rsid w:val="00F93EBD"/>
    <w:rsid w:val="00F9548A"/>
    <w:rsid w:val="00F968DD"/>
    <w:rsid w:val="00F97625"/>
    <w:rsid w:val="00F97A54"/>
    <w:rsid w:val="00FA0A16"/>
    <w:rsid w:val="00FA2790"/>
    <w:rsid w:val="00FA3363"/>
    <w:rsid w:val="00FA4AA5"/>
    <w:rsid w:val="00FA6637"/>
    <w:rsid w:val="00FA6AD8"/>
    <w:rsid w:val="00FA7963"/>
    <w:rsid w:val="00FB2968"/>
    <w:rsid w:val="00FB2C7E"/>
    <w:rsid w:val="00FB356E"/>
    <w:rsid w:val="00FB3E71"/>
    <w:rsid w:val="00FB44FB"/>
    <w:rsid w:val="00FB4E99"/>
    <w:rsid w:val="00FB4F97"/>
    <w:rsid w:val="00FB7A48"/>
    <w:rsid w:val="00FC0940"/>
    <w:rsid w:val="00FC245F"/>
    <w:rsid w:val="00FC3799"/>
    <w:rsid w:val="00FC61FE"/>
    <w:rsid w:val="00FD237F"/>
    <w:rsid w:val="00FD3006"/>
    <w:rsid w:val="00FD6E58"/>
    <w:rsid w:val="00FD71BD"/>
    <w:rsid w:val="00FD7EB8"/>
    <w:rsid w:val="00FE03D5"/>
    <w:rsid w:val="00FE14EE"/>
    <w:rsid w:val="00FE309E"/>
    <w:rsid w:val="00FE3464"/>
    <w:rsid w:val="00FE34A4"/>
    <w:rsid w:val="00FE4C98"/>
    <w:rsid w:val="00FE6255"/>
    <w:rsid w:val="00FE6F50"/>
    <w:rsid w:val="00FF1007"/>
    <w:rsid w:val="00FF123C"/>
    <w:rsid w:val="00FF128C"/>
    <w:rsid w:val="00FF132A"/>
    <w:rsid w:val="00FF16B7"/>
    <w:rsid w:val="00FF27FE"/>
    <w:rsid w:val="00FF3951"/>
    <w:rsid w:val="00FF3ADB"/>
    <w:rsid w:val="00FF3B76"/>
    <w:rsid w:val="00FF406E"/>
    <w:rsid w:val="00FF4A09"/>
    <w:rsid w:val="00FF4A54"/>
    <w:rsid w:val="00FF561F"/>
    <w:rsid w:val="00FF5A5B"/>
    <w:rsid w:val="00FF6824"/>
    <w:rsid w:val="00FF776D"/>
  </w:rsids>
  <m:mathPr>
    <m:mathFont m:val="Cambria Math"/>
    <m:brkBin m:val="before"/>
    <m:brkBinSub m:val="--"/>
    <m:smallFrac m:val="off"/>
    <m:dispDef/>
    <m:lMargin m:val="0"/>
    <m:rMargin m:val="0"/>
    <m:defJc m:val="centerGroup"/>
    <m:wrapIndent m:val="1440"/>
    <m:intLim m:val="subSup"/>
    <m:naryLim m:val="undOvr"/>
  </m:mathPr>
  <w:attachedSchema w:val="urn:schemas-microsoft-com:office:smarttags"/>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ms Rmn" w:eastAsia="Times New Roman" w:hAnsi="Tms Rmn" w:cs="Times New Roman"/>
        <w:sz w:val="22"/>
        <w:szCs w:val="22"/>
        <w:lang w:val="es-ES" w:eastAsia="es-ES"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locked="1" w:uiPriority="0"/>
    <w:lsdException w:name="index 2" w:locked="1" w:uiPriority="0"/>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Normal Indent" w:semiHidden="1" w:unhideWhenUsed="1"/>
    <w:lsdException w:name="footnote text" w:locked="1" w:uiPriority="0"/>
    <w:lsdException w:name="annotation text" w:semiHidden="1" w:unhideWhenUsed="1"/>
    <w:lsdException w:name="header" w:locked="1" w:uiPriority="0"/>
    <w:lsdException w:name="footer" w:locked="1" w:uiPriority="0"/>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locked="1" w:uiPriority="0"/>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locked="1" w:uiPriority="0"/>
    <w:lsdException w:name="List Bullet 3" w:locked="1" w:uiPriority="0"/>
    <w:lsdException w:name="List Bullet 4" w:locked="1" w:uiPriority="0"/>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locked="1" w:uiPriority="0"/>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locked="1" w:uiPriority="0"/>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9B633E"/>
    <w:rPr>
      <w:rFonts w:ascii="Times New Roman" w:hAnsi="Times New Roman"/>
      <w:szCs w:val="20"/>
      <w:lang w:eastAsia="en-US"/>
    </w:rPr>
  </w:style>
  <w:style w:type="paragraph" w:styleId="Ttulo1">
    <w:name w:val="heading 1"/>
    <w:basedOn w:val="Ttulo2"/>
    <w:next w:val="Textoindependiente"/>
    <w:link w:val="Ttulo1Car"/>
    <w:uiPriority w:val="99"/>
    <w:qFormat/>
    <w:rsid w:val="001C49E5"/>
    <w:pPr>
      <w:tabs>
        <w:tab w:val="clear" w:pos="643"/>
        <w:tab w:val="num" w:pos="0"/>
      </w:tabs>
      <w:spacing w:line="360" w:lineRule="exact"/>
      <w:ind w:left="0" w:hanging="964"/>
      <w:outlineLvl w:val="0"/>
    </w:pPr>
    <w:rPr>
      <w:sz w:val="32"/>
    </w:rPr>
  </w:style>
  <w:style w:type="paragraph" w:styleId="Ttulo2">
    <w:name w:val="heading 2"/>
    <w:basedOn w:val="Textoindependiente"/>
    <w:next w:val="Textoindependiente"/>
    <w:link w:val="Ttulo2Car"/>
    <w:uiPriority w:val="99"/>
    <w:qFormat/>
    <w:rsid w:val="001C49E5"/>
    <w:pPr>
      <w:keepNext/>
      <w:tabs>
        <w:tab w:val="num" w:pos="643"/>
      </w:tabs>
      <w:spacing w:before="400" w:after="0" w:line="320" w:lineRule="exact"/>
      <w:ind w:left="643" w:hanging="360"/>
      <w:jc w:val="left"/>
      <w:outlineLvl w:val="1"/>
    </w:pPr>
    <w:rPr>
      <w:b/>
      <w:sz w:val="28"/>
    </w:rPr>
  </w:style>
  <w:style w:type="paragraph" w:styleId="Ttulo3">
    <w:name w:val="heading 3"/>
    <w:basedOn w:val="Ttulo4"/>
    <w:next w:val="Textoindependiente"/>
    <w:link w:val="Ttulo3Car"/>
    <w:uiPriority w:val="99"/>
    <w:qFormat/>
    <w:rsid w:val="001C49E5"/>
    <w:pPr>
      <w:tabs>
        <w:tab w:val="num" w:pos="0"/>
      </w:tabs>
      <w:outlineLvl w:val="2"/>
    </w:pPr>
    <w:rPr>
      <w:i w:val="0"/>
    </w:rPr>
  </w:style>
  <w:style w:type="paragraph" w:styleId="Ttulo4">
    <w:name w:val="heading 4"/>
    <w:basedOn w:val="Ttulo5"/>
    <w:next w:val="Textoindependiente"/>
    <w:link w:val="Ttulo4Car"/>
    <w:uiPriority w:val="99"/>
    <w:qFormat/>
    <w:rsid w:val="001C49E5"/>
    <w:pPr>
      <w:tabs>
        <w:tab w:val="left" w:pos="0"/>
      </w:tabs>
      <w:spacing w:line="280" w:lineRule="exact"/>
      <w:ind w:hanging="964"/>
      <w:outlineLvl w:val="3"/>
    </w:pPr>
    <w:rPr>
      <w:b/>
      <w:sz w:val="24"/>
    </w:rPr>
  </w:style>
  <w:style w:type="paragraph" w:styleId="Ttulo5">
    <w:name w:val="heading 5"/>
    <w:basedOn w:val="Textoindependiente"/>
    <w:next w:val="Textoindependiente"/>
    <w:link w:val="Ttulo5Car"/>
    <w:uiPriority w:val="99"/>
    <w:qFormat/>
    <w:rsid w:val="001C49E5"/>
    <w:pPr>
      <w:keepNext/>
      <w:spacing w:before="400" w:after="0" w:line="260" w:lineRule="exact"/>
      <w:jc w:val="left"/>
      <w:outlineLvl w:val="4"/>
    </w:pPr>
    <w:rPr>
      <w:i/>
    </w:rPr>
  </w:style>
  <w:style w:type="paragraph" w:styleId="Ttulo6">
    <w:name w:val="heading 6"/>
    <w:basedOn w:val="Normal"/>
    <w:next w:val="Normal"/>
    <w:link w:val="Ttulo6Car"/>
    <w:uiPriority w:val="99"/>
    <w:qFormat/>
    <w:rsid w:val="001C49E5"/>
    <w:pPr>
      <w:outlineLvl w:val="5"/>
    </w:pPr>
  </w:style>
  <w:style w:type="paragraph" w:styleId="Ttulo7">
    <w:name w:val="heading 7"/>
    <w:basedOn w:val="Normal"/>
    <w:next w:val="Normal"/>
    <w:link w:val="Ttulo7Car"/>
    <w:uiPriority w:val="99"/>
    <w:qFormat/>
    <w:rsid w:val="001C49E5"/>
    <w:pPr>
      <w:outlineLvl w:val="6"/>
    </w:pPr>
  </w:style>
  <w:style w:type="paragraph" w:styleId="Ttulo8">
    <w:name w:val="heading 8"/>
    <w:basedOn w:val="Normal"/>
    <w:next w:val="Normal"/>
    <w:link w:val="Ttulo8Car"/>
    <w:uiPriority w:val="99"/>
    <w:qFormat/>
    <w:rsid w:val="001C49E5"/>
    <w:pPr>
      <w:outlineLvl w:val="7"/>
    </w:pPr>
  </w:style>
  <w:style w:type="paragraph" w:styleId="Ttulo9">
    <w:name w:val="heading 9"/>
    <w:basedOn w:val="Normal"/>
    <w:next w:val="Normal"/>
    <w:link w:val="Ttulo9Car"/>
    <w:uiPriority w:val="99"/>
    <w:qFormat/>
    <w:rsid w:val="001C49E5"/>
    <w:pPr>
      <w:outlineLvl w:val="8"/>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4803B9"/>
    <w:rPr>
      <w:rFonts w:ascii="Times New Roman" w:hAnsi="Times New Roman"/>
      <w:b/>
      <w:sz w:val="32"/>
      <w:szCs w:val="20"/>
      <w:lang w:eastAsia="en-US"/>
    </w:rPr>
  </w:style>
  <w:style w:type="character" w:customStyle="1" w:styleId="Ttulo2Car">
    <w:name w:val="Título 2 Car"/>
    <w:basedOn w:val="Fuentedeprrafopredeter"/>
    <w:link w:val="Ttulo2"/>
    <w:uiPriority w:val="99"/>
    <w:locked/>
    <w:rsid w:val="00F83E19"/>
    <w:rPr>
      <w:rFonts w:ascii="Times New Roman" w:hAnsi="Times New Roman"/>
      <w:b/>
      <w:sz w:val="28"/>
      <w:szCs w:val="20"/>
      <w:lang w:eastAsia="en-US"/>
    </w:rPr>
  </w:style>
  <w:style w:type="character" w:customStyle="1" w:styleId="Ttulo3Car">
    <w:name w:val="Título 3 Car"/>
    <w:basedOn w:val="Fuentedeprrafopredeter"/>
    <w:link w:val="Ttulo3"/>
    <w:uiPriority w:val="99"/>
    <w:locked/>
    <w:rsid w:val="009B2037"/>
    <w:rPr>
      <w:rFonts w:ascii="Times New Roman" w:hAnsi="Times New Roman"/>
      <w:b/>
      <w:sz w:val="24"/>
      <w:szCs w:val="20"/>
      <w:lang w:eastAsia="en-US"/>
    </w:rPr>
  </w:style>
  <w:style w:type="character" w:customStyle="1" w:styleId="Ttulo4Car">
    <w:name w:val="Título 4 Car"/>
    <w:basedOn w:val="Fuentedeprrafopredeter"/>
    <w:link w:val="Ttulo4"/>
    <w:uiPriority w:val="99"/>
    <w:rsid w:val="004803B9"/>
    <w:rPr>
      <w:rFonts w:ascii="Times New Roman" w:hAnsi="Times New Roman"/>
      <w:b/>
      <w:i/>
      <w:sz w:val="24"/>
      <w:szCs w:val="20"/>
      <w:lang w:eastAsia="en-US"/>
    </w:rPr>
  </w:style>
  <w:style w:type="character" w:customStyle="1" w:styleId="Ttulo5Car">
    <w:name w:val="Título 5 Car"/>
    <w:basedOn w:val="Fuentedeprrafopredeter"/>
    <w:link w:val="Ttulo5"/>
    <w:uiPriority w:val="9"/>
    <w:semiHidden/>
    <w:rsid w:val="004803B9"/>
    <w:rPr>
      <w:rFonts w:asciiTheme="minorHAnsi" w:eastAsiaTheme="minorEastAsia" w:hAnsiTheme="minorHAnsi" w:cstheme="minorBidi"/>
      <w:b/>
      <w:bCs/>
      <w:i/>
      <w:iCs/>
      <w:sz w:val="26"/>
      <w:szCs w:val="26"/>
      <w:lang w:eastAsia="en-US"/>
    </w:rPr>
  </w:style>
  <w:style w:type="character" w:customStyle="1" w:styleId="Ttulo6Car">
    <w:name w:val="Título 6 Car"/>
    <w:basedOn w:val="Fuentedeprrafopredeter"/>
    <w:link w:val="Ttulo6"/>
    <w:uiPriority w:val="9"/>
    <w:semiHidden/>
    <w:rsid w:val="004803B9"/>
    <w:rPr>
      <w:rFonts w:asciiTheme="minorHAnsi" w:eastAsiaTheme="minorEastAsia" w:hAnsiTheme="minorHAnsi" w:cstheme="minorBidi"/>
      <w:b/>
      <w:bCs/>
      <w:lang w:eastAsia="en-US"/>
    </w:rPr>
  </w:style>
  <w:style w:type="character" w:customStyle="1" w:styleId="Ttulo7Car">
    <w:name w:val="Título 7 Car"/>
    <w:basedOn w:val="Fuentedeprrafopredeter"/>
    <w:link w:val="Ttulo7"/>
    <w:uiPriority w:val="9"/>
    <w:semiHidden/>
    <w:rsid w:val="004803B9"/>
    <w:rPr>
      <w:rFonts w:asciiTheme="minorHAnsi" w:eastAsiaTheme="minorEastAsia" w:hAnsiTheme="minorHAnsi" w:cstheme="minorBidi"/>
      <w:sz w:val="24"/>
      <w:szCs w:val="24"/>
      <w:lang w:eastAsia="en-US"/>
    </w:rPr>
  </w:style>
  <w:style w:type="character" w:customStyle="1" w:styleId="Ttulo8Car">
    <w:name w:val="Título 8 Car"/>
    <w:basedOn w:val="Fuentedeprrafopredeter"/>
    <w:link w:val="Ttulo8"/>
    <w:uiPriority w:val="9"/>
    <w:semiHidden/>
    <w:rsid w:val="004803B9"/>
    <w:rPr>
      <w:rFonts w:asciiTheme="minorHAnsi" w:eastAsiaTheme="minorEastAsia" w:hAnsiTheme="minorHAnsi" w:cstheme="minorBidi"/>
      <w:i/>
      <w:iCs/>
      <w:sz w:val="24"/>
      <w:szCs w:val="24"/>
      <w:lang w:eastAsia="en-US"/>
    </w:rPr>
  </w:style>
  <w:style w:type="character" w:customStyle="1" w:styleId="Ttulo9Car">
    <w:name w:val="Título 9 Car"/>
    <w:basedOn w:val="Fuentedeprrafopredeter"/>
    <w:link w:val="Ttulo9"/>
    <w:uiPriority w:val="9"/>
    <w:semiHidden/>
    <w:rsid w:val="004803B9"/>
    <w:rPr>
      <w:rFonts w:asciiTheme="majorHAnsi" w:eastAsiaTheme="majorEastAsia" w:hAnsiTheme="majorHAnsi" w:cstheme="majorBidi"/>
      <w:lang w:eastAsia="en-US"/>
    </w:rPr>
  </w:style>
  <w:style w:type="paragraph" w:styleId="Textoindependiente">
    <w:name w:val="Body Text"/>
    <w:basedOn w:val="Normal"/>
    <w:link w:val="TextoindependienteCar"/>
    <w:uiPriority w:val="99"/>
    <w:rsid w:val="001C49E5"/>
    <w:pPr>
      <w:spacing w:before="130" w:after="130"/>
      <w:jc w:val="both"/>
    </w:pPr>
  </w:style>
  <w:style w:type="character" w:customStyle="1" w:styleId="TextoindependienteCar">
    <w:name w:val="Texto independiente Car"/>
    <w:basedOn w:val="Fuentedeprrafopredeter"/>
    <w:link w:val="Textoindependiente"/>
    <w:uiPriority w:val="99"/>
    <w:locked/>
    <w:rsid w:val="001F3CD2"/>
    <w:rPr>
      <w:rFonts w:ascii="Times New Roman" w:hAnsi="Times New Roman" w:cs="Times New Roman"/>
      <w:sz w:val="22"/>
      <w:lang w:val="es-ES" w:eastAsia="en-US"/>
    </w:rPr>
  </w:style>
  <w:style w:type="paragraph" w:styleId="TDC4">
    <w:name w:val="toc 4"/>
    <w:basedOn w:val="TDC3"/>
    <w:uiPriority w:val="39"/>
    <w:rsid w:val="001C49E5"/>
  </w:style>
  <w:style w:type="paragraph" w:styleId="TDC3">
    <w:name w:val="toc 3"/>
    <w:basedOn w:val="TDC2"/>
    <w:uiPriority w:val="39"/>
    <w:rsid w:val="001C49E5"/>
    <w:pPr>
      <w:tabs>
        <w:tab w:val="left" w:pos="1418"/>
      </w:tabs>
      <w:ind w:left="1418" w:hanging="1418"/>
    </w:pPr>
  </w:style>
  <w:style w:type="paragraph" w:styleId="TDC2">
    <w:name w:val="toc 2"/>
    <w:basedOn w:val="TDC1"/>
    <w:uiPriority w:val="39"/>
    <w:rsid w:val="001C49E5"/>
    <w:pPr>
      <w:spacing w:before="0"/>
    </w:pPr>
    <w:rPr>
      <w:sz w:val="24"/>
    </w:rPr>
  </w:style>
  <w:style w:type="paragraph" w:styleId="TDC1">
    <w:name w:val="toc 1"/>
    <w:basedOn w:val="Normal"/>
    <w:uiPriority w:val="39"/>
    <w:rsid w:val="001C49E5"/>
    <w:pPr>
      <w:tabs>
        <w:tab w:val="right" w:pos="8505"/>
      </w:tabs>
      <w:spacing w:before="260"/>
      <w:ind w:left="850" w:right="567" w:hanging="850"/>
    </w:pPr>
    <w:rPr>
      <w:sz w:val="28"/>
    </w:rPr>
  </w:style>
  <w:style w:type="paragraph" w:styleId="Piedepgina">
    <w:name w:val="footer"/>
    <w:basedOn w:val="Normal"/>
    <w:link w:val="PiedepginaCar"/>
    <w:uiPriority w:val="99"/>
    <w:semiHidden/>
    <w:rsid w:val="001C49E5"/>
    <w:pPr>
      <w:tabs>
        <w:tab w:val="right" w:pos="8222"/>
      </w:tabs>
    </w:pPr>
    <w:rPr>
      <w:sz w:val="18"/>
    </w:rPr>
  </w:style>
  <w:style w:type="character" w:customStyle="1" w:styleId="PiedepginaCar">
    <w:name w:val="Pie de página Car"/>
    <w:basedOn w:val="Fuentedeprrafopredeter"/>
    <w:link w:val="Piedepgina"/>
    <w:uiPriority w:val="99"/>
    <w:semiHidden/>
    <w:rsid w:val="004803B9"/>
    <w:rPr>
      <w:rFonts w:ascii="Times New Roman" w:hAnsi="Times New Roman"/>
      <w:szCs w:val="20"/>
      <w:lang w:eastAsia="en-US"/>
    </w:rPr>
  </w:style>
  <w:style w:type="paragraph" w:styleId="Encabezado">
    <w:name w:val="header"/>
    <w:basedOn w:val="Normal"/>
    <w:link w:val="EncabezadoCar"/>
    <w:uiPriority w:val="99"/>
    <w:semiHidden/>
    <w:rsid w:val="001C49E5"/>
    <w:pPr>
      <w:spacing w:line="220" w:lineRule="atLeast"/>
      <w:jc w:val="right"/>
    </w:pPr>
    <w:rPr>
      <w:i/>
      <w:sz w:val="18"/>
    </w:rPr>
  </w:style>
  <w:style w:type="character" w:customStyle="1" w:styleId="EncabezadoCar">
    <w:name w:val="Encabezado Car"/>
    <w:basedOn w:val="Fuentedeprrafopredeter"/>
    <w:link w:val="Encabezado"/>
    <w:uiPriority w:val="99"/>
    <w:semiHidden/>
    <w:rsid w:val="004803B9"/>
    <w:rPr>
      <w:rFonts w:ascii="Times New Roman" w:hAnsi="Times New Roman"/>
      <w:szCs w:val="20"/>
      <w:lang w:eastAsia="en-US"/>
    </w:rPr>
  </w:style>
  <w:style w:type="paragraph" w:styleId="Listaconvietas">
    <w:name w:val="List Bullet"/>
    <w:basedOn w:val="Textoindependiente"/>
    <w:uiPriority w:val="99"/>
    <w:rsid w:val="00B23854"/>
    <w:pPr>
      <w:numPr>
        <w:numId w:val="7"/>
      </w:numPr>
    </w:pPr>
  </w:style>
  <w:style w:type="paragraph" w:styleId="Listaconvietas2">
    <w:name w:val="List Bullet 2"/>
    <w:basedOn w:val="Listaconvietas"/>
    <w:uiPriority w:val="99"/>
    <w:rsid w:val="001C49E5"/>
    <w:pPr>
      <w:numPr>
        <w:numId w:val="2"/>
      </w:numPr>
    </w:pPr>
  </w:style>
  <w:style w:type="paragraph" w:customStyle="1" w:styleId="zreportname">
    <w:name w:val="zreport name"/>
    <w:basedOn w:val="Normal"/>
    <w:uiPriority w:val="99"/>
    <w:semiHidden/>
    <w:rsid w:val="001C49E5"/>
    <w:pPr>
      <w:keepLines/>
      <w:spacing w:line="440" w:lineRule="exact"/>
      <w:jc w:val="center"/>
    </w:pPr>
    <w:rPr>
      <w:sz w:val="36"/>
    </w:rPr>
  </w:style>
  <w:style w:type="paragraph" w:customStyle="1" w:styleId="zcontents">
    <w:name w:val="zcontents"/>
    <w:basedOn w:val="Normal"/>
    <w:uiPriority w:val="99"/>
    <w:semiHidden/>
    <w:rsid w:val="001C49E5"/>
    <w:pPr>
      <w:spacing w:after="260"/>
    </w:pPr>
    <w:rPr>
      <w:b/>
      <w:sz w:val="32"/>
    </w:rPr>
  </w:style>
  <w:style w:type="paragraph" w:customStyle="1" w:styleId="zcompanyname">
    <w:name w:val="zcompany name"/>
    <w:basedOn w:val="Normal"/>
    <w:uiPriority w:val="99"/>
    <w:semiHidden/>
    <w:rsid w:val="001C49E5"/>
    <w:pPr>
      <w:spacing w:after="400" w:line="440" w:lineRule="exact"/>
      <w:jc w:val="center"/>
    </w:pPr>
    <w:rPr>
      <w:b/>
      <w:noProof/>
      <w:sz w:val="26"/>
    </w:rPr>
  </w:style>
  <w:style w:type="paragraph" w:styleId="Textonotapie">
    <w:name w:val="footnote text"/>
    <w:basedOn w:val="Normal"/>
    <w:link w:val="TextonotapieCar"/>
    <w:uiPriority w:val="99"/>
    <w:semiHidden/>
    <w:rsid w:val="001C49E5"/>
    <w:rPr>
      <w:sz w:val="18"/>
    </w:rPr>
  </w:style>
  <w:style w:type="character" w:customStyle="1" w:styleId="TextonotapieCar">
    <w:name w:val="Texto nota pie Car"/>
    <w:basedOn w:val="Fuentedeprrafopredeter"/>
    <w:link w:val="Textonotapie"/>
    <w:uiPriority w:val="99"/>
    <w:semiHidden/>
    <w:locked/>
    <w:rsid w:val="00360D98"/>
    <w:rPr>
      <w:rFonts w:ascii="Times New Roman" w:hAnsi="Times New Roman" w:cs="Times New Roman"/>
      <w:sz w:val="18"/>
      <w:lang w:val="es-ES" w:eastAsia="en-US"/>
    </w:rPr>
  </w:style>
  <w:style w:type="paragraph" w:customStyle="1" w:styleId="zreportsubtitle">
    <w:name w:val="zreport subtitle"/>
    <w:basedOn w:val="zreportname"/>
    <w:uiPriority w:val="99"/>
    <w:semiHidden/>
    <w:rsid w:val="001C49E5"/>
    <w:rPr>
      <w:sz w:val="32"/>
    </w:rPr>
  </w:style>
  <w:style w:type="paragraph" w:styleId="Sangradetextonormal">
    <w:name w:val="Body Text Indent"/>
    <w:basedOn w:val="Textoindependiente"/>
    <w:link w:val="SangradetextonormalCar"/>
    <w:uiPriority w:val="99"/>
    <w:semiHidden/>
    <w:rsid w:val="001C49E5"/>
    <w:pPr>
      <w:ind w:left="340"/>
    </w:pPr>
  </w:style>
  <w:style w:type="character" w:customStyle="1" w:styleId="SangradetextonormalCar">
    <w:name w:val="Sangría de texto normal Car"/>
    <w:basedOn w:val="Fuentedeprrafopredeter"/>
    <w:link w:val="Sangradetextonormal"/>
    <w:uiPriority w:val="99"/>
    <w:semiHidden/>
    <w:rsid w:val="004803B9"/>
    <w:rPr>
      <w:rFonts w:ascii="Times New Roman" w:hAnsi="Times New Roman"/>
      <w:szCs w:val="20"/>
      <w:lang w:eastAsia="en-US"/>
    </w:rPr>
  </w:style>
  <w:style w:type="paragraph" w:styleId="ndice1">
    <w:name w:val="index 1"/>
    <w:basedOn w:val="Normal"/>
    <w:next w:val="Normal"/>
    <w:uiPriority w:val="99"/>
    <w:semiHidden/>
    <w:rsid w:val="001C49E5"/>
    <w:pPr>
      <w:keepNext/>
      <w:spacing w:before="260" w:line="280" w:lineRule="exact"/>
      <w:ind w:right="851"/>
    </w:pPr>
    <w:rPr>
      <w:b/>
      <w:sz w:val="24"/>
    </w:rPr>
  </w:style>
  <w:style w:type="paragraph" w:customStyle="1" w:styleId="Graphic">
    <w:name w:val="Graphic"/>
    <w:basedOn w:val="Firma"/>
    <w:next w:val="Epgrafe"/>
    <w:uiPriority w:val="99"/>
    <w:rsid w:val="001C49E5"/>
    <w:pPr>
      <w:pBdr>
        <w:top w:val="single" w:sz="4" w:space="1" w:color="auto"/>
        <w:left w:val="single" w:sz="4" w:space="1" w:color="auto"/>
        <w:bottom w:val="single" w:sz="4" w:space="1" w:color="auto"/>
        <w:right w:val="single" w:sz="4" w:space="1" w:color="auto"/>
      </w:pBdr>
      <w:jc w:val="center"/>
    </w:pPr>
  </w:style>
  <w:style w:type="paragraph" w:styleId="Firma">
    <w:name w:val="Signature"/>
    <w:basedOn w:val="Normal"/>
    <w:link w:val="FirmaCar"/>
    <w:uiPriority w:val="99"/>
    <w:semiHidden/>
    <w:rsid w:val="001C49E5"/>
  </w:style>
  <w:style w:type="character" w:customStyle="1" w:styleId="FirmaCar">
    <w:name w:val="Firma Car"/>
    <w:basedOn w:val="Fuentedeprrafopredeter"/>
    <w:link w:val="Firma"/>
    <w:uiPriority w:val="99"/>
    <w:semiHidden/>
    <w:rsid w:val="004803B9"/>
    <w:rPr>
      <w:rFonts w:ascii="Times New Roman" w:hAnsi="Times New Roman"/>
      <w:szCs w:val="20"/>
      <w:lang w:eastAsia="en-US"/>
    </w:rPr>
  </w:style>
  <w:style w:type="paragraph" w:styleId="Epgrafe">
    <w:name w:val="caption"/>
    <w:basedOn w:val="Normal"/>
    <w:next w:val="Textoindependiente"/>
    <w:uiPriority w:val="99"/>
    <w:qFormat/>
    <w:rsid w:val="001C49E5"/>
    <w:rPr>
      <w:bCs/>
      <w:i/>
      <w:sz w:val="14"/>
    </w:rPr>
  </w:style>
  <w:style w:type="character" w:styleId="Nmerodepgina">
    <w:name w:val="page number"/>
    <w:basedOn w:val="Fuentedeprrafopredeter"/>
    <w:uiPriority w:val="99"/>
    <w:semiHidden/>
    <w:rsid w:val="001C49E5"/>
    <w:rPr>
      <w:rFonts w:cs="Times New Roman"/>
      <w:sz w:val="22"/>
    </w:rPr>
  </w:style>
  <w:style w:type="paragraph" w:styleId="ndice2">
    <w:name w:val="index 2"/>
    <w:basedOn w:val="Normal"/>
    <w:next w:val="Normal"/>
    <w:uiPriority w:val="99"/>
    <w:semiHidden/>
    <w:rsid w:val="001C49E5"/>
    <w:pPr>
      <w:ind w:left="340" w:right="851"/>
    </w:pPr>
  </w:style>
  <w:style w:type="paragraph" w:customStyle="1" w:styleId="zreportaddinfo">
    <w:name w:val="zreport addinfo"/>
    <w:basedOn w:val="Normal"/>
    <w:uiPriority w:val="99"/>
    <w:semiHidden/>
    <w:rsid w:val="001C49E5"/>
    <w:pPr>
      <w:framePr w:wrap="around" w:hAnchor="margin" w:xAlign="center" w:yAlign="bottom"/>
      <w:spacing w:line="240" w:lineRule="exact"/>
      <w:jc w:val="center"/>
    </w:pPr>
    <w:rPr>
      <w:noProof/>
      <w:sz w:val="20"/>
    </w:rPr>
  </w:style>
  <w:style w:type="character" w:styleId="nfasis">
    <w:name w:val="Emphasis"/>
    <w:basedOn w:val="Fuentedeprrafopredeter"/>
    <w:uiPriority w:val="99"/>
    <w:qFormat/>
    <w:rsid w:val="00283233"/>
    <w:rPr>
      <w:rFonts w:cs="Times New Roman"/>
      <w:i/>
      <w:iCs/>
    </w:rPr>
  </w:style>
  <w:style w:type="paragraph" w:customStyle="1" w:styleId="AppendixHeading">
    <w:name w:val="Appendix Heading"/>
    <w:basedOn w:val="Ttulo1"/>
    <w:next w:val="Textoindependiente"/>
    <w:uiPriority w:val="99"/>
    <w:rsid w:val="001C49E5"/>
    <w:pPr>
      <w:numPr>
        <w:numId w:val="4"/>
      </w:numPr>
      <w:tabs>
        <w:tab w:val="num" w:pos="340"/>
      </w:tabs>
      <w:outlineLvl w:val="9"/>
    </w:pPr>
  </w:style>
  <w:style w:type="paragraph" w:styleId="Listaconvietas3">
    <w:name w:val="List Bullet 3"/>
    <w:basedOn w:val="Listaconvietas"/>
    <w:uiPriority w:val="99"/>
    <w:rsid w:val="001C49E5"/>
    <w:pPr>
      <w:numPr>
        <w:numId w:val="5"/>
      </w:numPr>
      <w:jc w:val="left"/>
    </w:pPr>
    <w:rPr>
      <w:sz w:val="18"/>
    </w:rPr>
  </w:style>
  <w:style w:type="paragraph" w:customStyle="1" w:styleId="AppendixHeading2">
    <w:name w:val="Appendix Heading 2"/>
    <w:basedOn w:val="Ttulo2"/>
    <w:next w:val="Textoindependiente"/>
    <w:uiPriority w:val="99"/>
    <w:rsid w:val="001C49E5"/>
    <w:pPr>
      <w:tabs>
        <w:tab w:val="clear" w:pos="643"/>
        <w:tab w:val="num" w:pos="0"/>
        <w:tab w:val="num" w:pos="340"/>
      </w:tabs>
      <w:ind w:left="0" w:hanging="964"/>
      <w:outlineLvl w:val="9"/>
    </w:pPr>
  </w:style>
  <w:style w:type="paragraph" w:customStyle="1" w:styleId="AppendixHeading3">
    <w:name w:val="Appendix Heading 3"/>
    <w:basedOn w:val="Ttulo3"/>
    <w:next w:val="Textoindependiente"/>
    <w:uiPriority w:val="99"/>
    <w:rsid w:val="001C49E5"/>
    <w:pPr>
      <w:tabs>
        <w:tab w:val="num" w:pos="340"/>
      </w:tabs>
      <w:outlineLvl w:val="9"/>
    </w:pPr>
  </w:style>
  <w:style w:type="paragraph" w:customStyle="1" w:styleId="AppendixHeading4">
    <w:name w:val="Appendix Heading 4"/>
    <w:basedOn w:val="Ttulo4"/>
    <w:next w:val="Textoindependiente"/>
    <w:uiPriority w:val="99"/>
    <w:rsid w:val="001C49E5"/>
    <w:pPr>
      <w:tabs>
        <w:tab w:val="num" w:pos="0"/>
        <w:tab w:val="num" w:pos="340"/>
      </w:tabs>
      <w:outlineLvl w:val="9"/>
    </w:pPr>
  </w:style>
  <w:style w:type="paragraph" w:customStyle="1" w:styleId="AppendixHeading5">
    <w:name w:val="Appendix Heading 5"/>
    <w:basedOn w:val="Ttulo5"/>
    <w:next w:val="Textoindependiente"/>
    <w:uiPriority w:val="99"/>
    <w:rsid w:val="001C49E5"/>
    <w:pPr>
      <w:outlineLvl w:val="9"/>
    </w:pPr>
  </w:style>
  <w:style w:type="paragraph" w:styleId="Textoindependiente3">
    <w:name w:val="Body Text 3"/>
    <w:basedOn w:val="Normal"/>
    <w:link w:val="Textoindependiente3Car"/>
    <w:uiPriority w:val="99"/>
    <w:rsid w:val="001C49E5"/>
    <w:pPr>
      <w:ind w:left="142" w:hanging="142"/>
    </w:pPr>
    <w:rPr>
      <w:sz w:val="18"/>
      <w:szCs w:val="16"/>
    </w:rPr>
  </w:style>
  <w:style w:type="character" w:customStyle="1" w:styleId="Textoindependiente3Car">
    <w:name w:val="Texto independiente 3 Car"/>
    <w:basedOn w:val="Fuentedeprrafopredeter"/>
    <w:link w:val="Textoindependiente3"/>
    <w:uiPriority w:val="99"/>
    <w:semiHidden/>
    <w:rsid w:val="004803B9"/>
    <w:rPr>
      <w:rFonts w:ascii="Times New Roman" w:hAnsi="Times New Roman"/>
      <w:sz w:val="16"/>
      <w:szCs w:val="16"/>
      <w:lang w:eastAsia="en-US"/>
    </w:rPr>
  </w:style>
  <w:style w:type="paragraph" w:styleId="Listaconvietas4">
    <w:name w:val="List Bullet 4"/>
    <w:basedOn w:val="Listaconvietas2"/>
    <w:uiPriority w:val="99"/>
    <w:rsid w:val="001C49E5"/>
    <w:pPr>
      <w:numPr>
        <w:numId w:val="6"/>
      </w:numPr>
      <w:jc w:val="left"/>
    </w:pPr>
    <w:rPr>
      <w:sz w:val="18"/>
    </w:rPr>
  </w:style>
  <w:style w:type="paragraph" w:customStyle="1" w:styleId="zDocRevwH2">
    <w:name w:val="zDocRevwH2"/>
    <w:basedOn w:val="Normal"/>
    <w:uiPriority w:val="99"/>
    <w:semiHidden/>
    <w:rsid w:val="001C49E5"/>
    <w:pPr>
      <w:spacing w:before="130" w:after="130"/>
    </w:pPr>
    <w:rPr>
      <w:b/>
      <w:sz w:val="28"/>
    </w:rPr>
  </w:style>
  <w:style w:type="paragraph" w:customStyle="1" w:styleId="zDocRevwH1">
    <w:name w:val="zDocRevwH1"/>
    <w:basedOn w:val="Normal"/>
    <w:uiPriority w:val="99"/>
    <w:semiHidden/>
    <w:rsid w:val="001C49E5"/>
    <w:pPr>
      <w:spacing w:before="130" w:after="130"/>
    </w:pPr>
    <w:rPr>
      <w:b/>
      <w:sz w:val="32"/>
    </w:rPr>
  </w:style>
  <w:style w:type="paragraph" w:styleId="Textodeglobo">
    <w:name w:val="Balloon Text"/>
    <w:basedOn w:val="Normal"/>
    <w:link w:val="TextodegloboCar"/>
    <w:uiPriority w:val="99"/>
    <w:semiHidden/>
    <w:rsid w:val="001C49E5"/>
    <w:rPr>
      <w:rFonts w:ascii="Tahoma" w:hAnsi="Tahoma" w:cs="Tahoma"/>
      <w:sz w:val="16"/>
      <w:szCs w:val="16"/>
    </w:rPr>
  </w:style>
  <w:style w:type="character" w:customStyle="1" w:styleId="TextodegloboCar">
    <w:name w:val="Texto de globo Car"/>
    <w:basedOn w:val="Fuentedeprrafopredeter"/>
    <w:link w:val="Textodeglobo"/>
    <w:uiPriority w:val="99"/>
    <w:semiHidden/>
    <w:rsid w:val="004803B9"/>
    <w:rPr>
      <w:rFonts w:ascii="Times New Roman" w:hAnsi="Times New Roman"/>
      <w:sz w:val="0"/>
      <w:szCs w:val="0"/>
      <w:lang w:eastAsia="en-US"/>
    </w:rPr>
  </w:style>
  <w:style w:type="character" w:styleId="Textoennegrita">
    <w:name w:val="Strong"/>
    <w:basedOn w:val="Fuentedeprrafopredeter"/>
    <w:uiPriority w:val="99"/>
    <w:qFormat/>
    <w:rsid w:val="00283233"/>
    <w:rPr>
      <w:rFonts w:cs="Times New Roman"/>
      <w:b/>
      <w:bCs/>
    </w:rPr>
  </w:style>
  <w:style w:type="paragraph" w:styleId="Ttulo">
    <w:name w:val="Title"/>
    <w:basedOn w:val="Normal"/>
    <w:next w:val="Normal"/>
    <w:link w:val="TtuloCar"/>
    <w:uiPriority w:val="99"/>
    <w:qFormat/>
    <w:rsid w:val="00283233"/>
    <w:pPr>
      <w:pBdr>
        <w:bottom w:val="single" w:sz="8" w:space="4" w:color="4F81BD"/>
      </w:pBdr>
      <w:spacing w:after="300"/>
      <w:contextualSpacing/>
    </w:pPr>
    <w:rPr>
      <w:rFonts w:ascii="Cambria" w:hAnsi="Cambria"/>
      <w:color w:val="17365D"/>
      <w:spacing w:val="5"/>
      <w:kern w:val="28"/>
      <w:sz w:val="52"/>
      <w:szCs w:val="52"/>
    </w:rPr>
  </w:style>
  <w:style w:type="character" w:customStyle="1" w:styleId="TtuloCar">
    <w:name w:val="Título Car"/>
    <w:basedOn w:val="Fuentedeprrafopredeter"/>
    <w:link w:val="Ttulo"/>
    <w:uiPriority w:val="99"/>
    <w:locked/>
    <w:rsid w:val="00283233"/>
    <w:rPr>
      <w:rFonts w:ascii="Cambria" w:hAnsi="Cambria" w:cs="Times New Roman"/>
      <w:color w:val="17365D"/>
      <w:spacing w:val="5"/>
      <w:kern w:val="28"/>
      <w:sz w:val="52"/>
      <w:szCs w:val="52"/>
      <w:lang w:val="en-US" w:eastAsia="en-US"/>
    </w:rPr>
  </w:style>
  <w:style w:type="paragraph" w:styleId="Subttulo">
    <w:name w:val="Subtitle"/>
    <w:basedOn w:val="Normal"/>
    <w:next w:val="Normal"/>
    <w:link w:val="SubttuloCar"/>
    <w:uiPriority w:val="99"/>
    <w:qFormat/>
    <w:rsid w:val="00283233"/>
    <w:pPr>
      <w:numPr>
        <w:ilvl w:val="1"/>
      </w:numPr>
    </w:pPr>
    <w:rPr>
      <w:rFonts w:ascii="Cambria" w:hAnsi="Cambria"/>
      <w:i/>
      <w:iCs/>
      <w:color w:val="4F81BD"/>
      <w:spacing w:val="15"/>
      <w:sz w:val="24"/>
      <w:szCs w:val="24"/>
    </w:rPr>
  </w:style>
  <w:style w:type="character" w:customStyle="1" w:styleId="SubttuloCar">
    <w:name w:val="Subtítulo Car"/>
    <w:basedOn w:val="Fuentedeprrafopredeter"/>
    <w:link w:val="Subttulo"/>
    <w:uiPriority w:val="99"/>
    <w:locked/>
    <w:rsid w:val="00283233"/>
    <w:rPr>
      <w:rFonts w:ascii="Cambria" w:hAnsi="Cambria" w:cs="Times New Roman"/>
      <w:i/>
      <w:iCs/>
      <w:color w:val="4F81BD"/>
      <w:spacing w:val="15"/>
      <w:sz w:val="24"/>
      <w:szCs w:val="24"/>
      <w:lang w:val="en-US" w:eastAsia="en-US"/>
    </w:rPr>
  </w:style>
  <w:style w:type="character" w:styleId="nfasissutil">
    <w:name w:val="Subtle Emphasis"/>
    <w:basedOn w:val="Fuentedeprrafopredeter"/>
    <w:uiPriority w:val="99"/>
    <w:qFormat/>
    <w:rsid w:val="00283233"/>
    <w:rPr>
      <w:rFonts w:cs="Times New Roman"/>
      <w:i/>
      <w:iCs/>
      <w:color w:val="808080"/>
    </w:rPr>
  </w:style>
  <w:style w:type="character" w:styleId="nfasisintenso">
    <w:name w:val="Intense Emphasis"/>
    <w:basedOn w:val="Fuentedeprrafopredeter"/>
    <w:uiPriority w:val="99"/>
    <w:qFormat/>
    <w:rsid w:val="00283233"/>
    <w:rPr>
      <w:rFonts w:cs="Times New Roman"/>
      <w:b/>
      <w:bCs/>
      <w:i/>
      <w:iCs/>
      <w:color w:val="4F81BD"/>
    </w:rPr>
  </w:style>
  <w:style w:type="paragraph" w:styleId="Cita">
    <w:name w:val="Quote"/>
    <w:basedOn w:val="Normal"/>
    <w:next w:val="Normal"/>
    <w:link w:val="CitaCar"/>
    <w:uiPriority w:val="99"/>
    <w:qFormat/>
    <w:rsid w:val="00283233"/>
    <w:rPr>
      <w:i/>
      <w:iCs/>
      <w:color w:val="000000"/>
    </w:rPr>
  </w:style>
  <w:style w:type="character" w:customStyle="1" w:styleId="CitaCar">
    <w:name w:val="Cita Car"/>
    <w:basedOn w:val="Fuentedeprrafopredeter"/>
    <w:link w:val="Cita"/>
    <w:uiPriority w:val="99"/>
    <w:locked/>
    <w:rsid w:val="00283233"/>
    <w:rPr>
      <w:rFonts w:ascii="Times New Roman" w:hAnsi="Times New Roman" w:cs="Times New Roman"/>
      <w:i/>
      <w:iCs/>
      <w:color w:val="000000"/>
      <w:sz w:val="22"/>
      <w:lang w:val="en-US" w:eastAsia="en-US"/>
    </w:rPr>
  </w:style>
  <w:style w:type="paragraph" w:styleId="Citadestacada">
    <w:name w:val="Intense Quote"/>
    <w:basedOn w:val="Normal"/>
    <w:next w:val="Normal"/>
    <w:link w:val="CitadestacadaCar"/>
    <w:uiPriority w:val="99"/>
    <w:qFormat/>
    <w:rsid w:val="00283233"/>
    <w:pPr>
      <w:pBdr>
        <w:bottom w:val="single" w:sz="4" w:space="4" w:color="4F81BD"/>
      </w:pBdr>
      <w:spacing w:before="200" w:after="280"/>
      <w:ind w:left="936" w:right="936"/>
    </w:pPr>
    <w:rPr>
      <w:b/>
      <w:bCs/>
      <w:i/>
      <w:iCs/>
      <w:color w:val="4F81BD"/>
    </w:rPr>
  </w:style>
  <w:style w:type="character" w:customStyle="1" w:styleId="CitadestacadaCar">
    <w:name w:val="Cita destacada Car"/>
    <w:basedOn w:val="Fuentedeprrafopredeter"/>
    <w:link w:val="Citadestacada"/>
    <w:uiPriority w:val="99"/>
    <w:locked/>
    <w:rsid w:val="00283233"/>
    <w:rPr>
      <w:rFonts w:ascii="Times New Roman" w:hAnsi="Times New Roman" w:cs="Times New Roman"/>
      <w:b/>
      <w:bCs/>
      <w:i/>
      <w:iCs/>
      <w:color w:val="4F81BD"/>
      <w:sz w:val="22"/>
      <w:lang w:val="en-US" w:eastAsia="en-US"/>
    </w:rPr>
  </w:style>
  <w:style w:type="character" w:styleId="Referenciasutil">
    <w:name w:val="Subtle Reference"/>
    <w:basedOn w:val="Fuentedeprrafopredeter"/>
    <w:uiPriority w:val="99"/>
    <w:qFormat/>
    <w:rsid w:val="00283233"/>
    <w:rPr>
      <w:rFonts w:cs="Times New Roman"/>
      <w:smallCaps/>
      <w:color w:val="C0504D"/>
      <w:u w:val="single"/>
    </w:rPr>
  </w:style>
  <w:style w:type="character" w:styleId="Referenciaintensa">
    <w:name w:val="Intense Reference"/>
    <w:basedOn w:val="Fuentedeprrafopredeter"/>
    <w:uiPriority w:val="99"/>
    <w:qFormat/>
    <w:rsid w:val="00283233"/>
    <w:rPr>
      <w:rFonts w:cs="Times New Roman"/>
      <w:b/>
      <w:bCs/>
      <w:smallCaps/>
      <w:color w:val="C0504D"/>
      <w:spacing w:val="5"/>
      <w:u w:val="single"/>
    </w:rPr>
  </w:style>
  <w:style w:type="character" w:styleId="Ttulodellibro">
    <w:name w:val="Book Title"/>
    <w:basedOn w:val="Fuentedeprrafopredeter"/>
    <w:uiPriority w:val="99"/>
    <w:qFormat/>
    <w:rsid w:val="00283233"/>
    <w:rPr>
      <w:rFonts w:cs="Times New Roman"/>
      <w:b/>
      <w:bCs/>
      <w:smallCaps/>
      <w:spacing w:val="5"/>
    </w:rPr>
  </w:style>
  <w:style w:type="paragraph" w:styleId="Prrafodelista">
    <w:name w:val="List Paragraph"/>
    <w:basedOn w:val="Normal"/>
    <w:uiPriority w:val="99"/>
    <w:qFormat/>
    <w:rsid w:val="00283233"/>
    <w:pPr>
      <w:ind w:left="720"/>
      <w:contextualSpacing/>
    </w:pPr>
  </w:style>
  <w:style w:type="paragraph" w:styleId="Sinespaciado">
    <w:name w:val="No Spacing"/>
    <w:uiPriority w:val="99"/>
    <w:qFormat/>
    <w:rsid w:val="00283233"/>
    <w:rPr>
      <w:rFonts w:ascii="Times New Roman" w:hAnsi="Times New Roman"/>
      <w:szCs w:val="20"/>
      <w:lang w:val="en-US" w:eastAsia="en-US"/>
    </w:rPr>
  </w:style>
  <w:style w:type="character" w:styleId="Refdenotaalpie">
    <w:name w:val="footnote reference"/>
    <w:basedOn w:val="Fuentedeprrafopredeter"/>
    <w:uiPriority w:val="99"/>
    <w:semiHidden/>
    <w:rsid w:val="00360D98"/>
    <w:rPr>
      <w:rFonts w:cs="Times New Roman"/>
      <w:vertAlign w:val="superscript"/>
    </w:rPr>
  </w:style>
  <w:style w:type="table" w:customStyle="1" w:styleId="KPMGtable">
    <w:name w:val="_KPMG table"/>
    <w:uiPriority w:val="99"/>
    <w:rsid w:val="00E16A2D"/>
    <w:pPr>
      <w:spacing w:line="180" w:lineRule="atLeast"/>
    </w:pPr>
    <w:rPr>
      <w:rFonts w:ascii="Univers 45 Light" w:hAnsi="Univers 45 Light"/>
      <w:sz w:val="18"/>
      <w:szCs w:val="20"/>
      <w:lang w:val="en-GB" w:eastAsia="en-GB"/>
    </w:rPr>
    <w:tblPr>
      <w:tblInd w:w="0" w:type="dxa"/>
      <w:tblBorders>
        <w:bottom w:val="single" w:sz="12" w:space="0" w:color="409DAD"/>
      </w:tblBorders>
      <w:tblCellMar>
        <w:top w:w="28" w:type="dxa"/>
        <w:left w:w="28" w:type="dxa"/>
        <w:bottom w:w="28" w:type="dxa"/>
        <w:right w:w="28" w:type="dxa"/>
      </w:tblCellMar>
    </w:tblPr>
    <w:tblStylePr w:type="firstRow">
      <w:pPr>
        <w:jc w:val="left"/>
      </w:pPr>
      <w:rPr>
        <w:rFonts w:ascii="Univers 45 Light" w:hAnsi="Univers 45 Light" w:cs="Times New Roman"/>
        <w:b w:val="0"/>
        <w:i w:val="0"/>
        <w:color w:val="FFFFFF"/>
        <w:sz w:val="18"/>
      </w:rPr>
      <w:tblPr/>
      <w:tcPr>
        <w:shd w:val="clear" w:color="auto" w:fill="409DAD"/>
      </w:tcPr>
    </w:tblStylePr>
  </w:style>
  <w:style w:type="paragraph" w:customStyle="1" w:styleId="Tableheadingleft">
    <w:name w:val="Table heading left"/>
    <w:uiPriority w:val="99"/>
    <w:rsid w:val="00E16A2D"/>
    <w:pPr>
      <w:keepNext/>
      <w:spacing w:before="40" w:after="40"/>
    </w:pPr>
    <w:rPr>
      <w:rFonts w:ascii="Univers 45 Light" w:hAnsi="Univers 45 Light" w:cs="Arial"/>
      <w:b/>
      <w:color w:val="FFFFFF"/>
      <w:sz w:val="18"/>
      <w:szCs w:val="24"/>
      <w:lang w:val="en-GB" w:eastAsia="en-GB"/>
    </w:rPr>
  </w:style>
  <w:style w:type="paragraph" w:customStyle="1" w:styleId="Tablecolumnleft">
    <w:name w:val="Table column left"/>
    <w:basedOn w:val="Normal"/>
    <w:uiPriority w:val="99"/>
    <w:rsid w:val="00E16A2D"/>
    <w:pPr>
      <w:keepNext/>
      <w:spacing w:before="40" w:after="40"/>
    </w:pPr>
    <w:rPr>
      <w:rFonts w:ascii="Univers 45 Light" w:hAnsi="Univers 45 Light"/>
      <w:color w:val="000000"/>
      <w:sz w:val="18"/>
      <w:szCs w:val="22"/>
      <w:lang w:val="en-GB" w:eastAsia="en-GB"/>
    </w:rPr>
  </w:style>
  <w:style w:type="paragraph" w:customStyle="1" w:styleId="Tablecolumnright">
    <w:name w:val="Table column right"/>
    <w:basedOn w:val="Normal"/>
    <w:uiPriority w:val="99"/>
    <w:rsid w:val="00E16A2D"/>
    <w:pPr>
      <w:spacing w:before="40" w:after="40"/>
      <w:jc w:val="right"/>
    </w:pPr>
    <w:rPr>
      <w:rFonts w:ascii="Univers 45 Light" w:hAnsi="Univers 45 Light"/>
      <w:color w:val="000000"/>
      <w:sz w:val="18"/>
      <w:szCs w:val="22"/>
      <w:lang w:val="en-GB" w:eastAsia="en-GB"/>
    </w:rPr>
  </w:style>
  <w:style w:type="table" w:styleId="Tablaconcuadrcula">
    <w:name w:val="Table Grid"/>
    <w:basedOn w:val="Tablanormal"/>
    <w:uiPriority w:val="99"/>
    <w:rsid w:val="00D1115C"/>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efdecomentario">
    <w:name w:val="annotation reference"/>
    <w:basedOn w:val="Fuentedeprrafopredeter"/>
    <w:uiPriority w:val="99"/>
    <w:semiHidden/>
    <w:rsid w:val="003E455F"/>
    <w:rPr>
      <w:rFonts w:cs="Times New Roman"/>
      <w:sz w:val="16"/>
      <w:szCs w:val="16"/>
    </w:rPr>
  </w:style>
  <w:style w:type="paragraph" w:styleId="Textocomentario">
    <w:name w:val="annotation text"/>
    <w:basedOn w:val="Normal"/>
    <w:link w:val="TextocomentarioCar"/>
    <w:uiPriority w:val="99"/>
    <w:semiHidden/>
    <w:rsid w:val="003E455F"/>
    <w:rPr>
      <w:sz w:val="20"/>
    </w:rPr>
  </w:style>
  <w:style w:type="character" w:customStyle="1" w:styleId="TextocomentarioCar">
    <w:name w:val="Texto comentario Car"/>
    <w:basedOn w:val="Fuentedeprrafopredeter"/>
    <w:link w:val="Textocomentario"/>
    <w:uiPriority w:val="99"/>
    <w:semiHidden/>
    <w:locked/>
    <w:rsid w:val="003E455F"/>
    <w:rPr>
      <w:rFonts w:ascii="Times New Roman" w:hAnsi="Times New Roman" w:cs="Times New Roman"/>
      <w:lang w:val="es-ES" w:eastAsia="en-US"/>
    </w:rPr>
  </w:style>
  <w:style w:type="paragraph" w:styleId="Asuntodelcomentario">
    <w:name w:val="annotation subject"/>
    <w:basedOn w:val="Textocomentario"/>
    <w:next w:val="Textocomentario"/>
    <w:link w:val="AsuntodelcomentarioCar"/>
    <w:uiPriority w:val="99"/>
    <w:semiHidden/>
    <w:rsid w:val="003E455F"/>
    <w:rPr>
      <w:b/>
      <w:bCs/>
    </w:rPr>
  </w:style>
  <w:style w:type="character" w:customStyle="1" w:styleId="AsuntodelcomentarioCar">
    <w:name w:val="Asunto del comentario Car"/>
    <w:basedOn w:val="TextocomentarioCar"/>
    <w:link w:val="Asuntodelcomentario"/>
    <w:uiPriority w:val="99"/>
    <w:semiHidden/>
    <w:locked/>
    <w:rsid w:val="003E455F"/>
    <w:rPr>
      <w:b/>
      <w:bCs/>
    </w:rPr>
  </w:style>
  <w:style w:type="paragraph" w:styleId="Revisin">
    <w:name w:val="Revision"/>
    <w:hidden/>
    <w:uiPriority w:val="99"/>
    <w:semiHidden/>
    <w:rsid w:val="003E455F"/>
    <w:rPr>
      <w:rFonts w:ascii="Times New Roman" w:hAnsi="Times New Roman"/>
      <w:szCs w:val="20"/>
      <w:lang w:eastAsia="en-US"/>
    </w:rPr>
  </w:style>
  <w:style w:type="paragraph" w:styleId="NormalWeb">
    <w:name w:val="Normal (Web)"/>
    <w:basedOn w:val="Normal"/>
    <w:uiPriority w:val="99"/>
    <w:semiHidden/>
    <w:rsid w:val="00B772E7"/>
    <w:pPr>
      <w:spacing w:before="100" w:beforeAutospacing="1" w:after="100" w:afterAutospacing="1"/>
    </w:pPr>
    <w:rPr>
      <w:sz w:val="24"/>
      <w:szCs w:val="24"/>
      <w:lang w:val="en-US"/>
    </w:rPr>
  </w:style>
  <w:style w:type="paragraph" w:styleId="TtulodeTDC">
    <w:name w:val="TOC Heading"/>
    <w:basedOn w:val="Ttulo1"/>
    <w:next w:val="Normal"/>
    <w:uiPriority w:val="99"/>
    <w:qFormat/>
    <w:rsid w:val="00521C17"/>
    <w:pPr>
      <w:keepLines/>
      <w:tabs>
        <w:tab w:val="clear" w:pos="0"/>
      </w:tabs>
      <w:spacing w:before="480" w:line="276" w:lineRule="auto"/>
      <w:ind w:firstLine="0"/>
      <w:outlineLvl w:val="9"/>
    </w:pPr>
    <w:rPr>
      <w:rFonts w:ascii="Cambria" w:hAnsi="Cambria"/>
      <w:bCs/>
      <w:color w:val="365F91"/>
      <w:sz w:val="28"/>
      <w:szCs w:val="28"/>
      <w:lang w:val="en-US"/>
    </w:rPr>
  </w:style>
  <w:style w:type="character" w:styleId="Hipervnculo">
    <w:name w:val="Hyperlink"/>
    <w:basedOn w:val="Fuentedeprrafopredeter"/>
    <w:uiPriority w:val="99"/>
    <w:rsid w:val="00521C17"/>
    <w:rPr>
      <w:rFonts w:cs="Times New Roman"/>
      <w:color w:val="0000FF"/>
      <w:u w:val="single"/>
    </w:rPr>
  </w:style>
  <w:style w:type="table" w:styleId="Listaclara-nfasis5">
    <w:name w:val="Light List Accent 5"/>
    <w:basedOn w:val="Tablanormal"/>
    <w:uiPriority w:val="99"/>
    <w:rsid w:val="002311F8"/>
    <w:rPr>
      <w:rFonts w:ascii="Calibri" w:hAnsi="Calibri"/>
      <w:lang w:val="en-US" w:eastAsia="en-US"/>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4BACC6"/>
      </w:tcPr>
    </w:tblStylePr>
    <w:tblStylePr w:type="lastRow">
      <w:pPr>
        <w:spacing w:before="0" w:after="0"/>
      </w:pPr>
      <w:rPr>
        <w:rFonts w:cs="Times New Roman"/>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tcBorders>
      </w:tcPr>
    </w:tblStylePr>
  </w:style>
  <w:style w:type="table" w:customStyle="1" w:styleId="MediumShading1-Accent11">
    <w:name w:val="Medium Shading 1 - Accent 11"/>
    <w:uiPriority w:val="99"/>
    <w:rsid w:val="00FB3E71"/>
    <w:rPr>
      <w:sz w:val="20"/>
      <w:szCs w:val="20"/>
      <w:lang w:val="en-US" w:eastAsia="en-U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pPr>
      <w:rPr>
        <w:rFonts w:cs="Times New Roman"/>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3DFEE"/>
      </w:tcPr>
    </w:tblStylePr>
    <w:tblStylePr w:type="band1Horz">
      <w:rPr>
        <w:rFonts w:cs="Times New Roman"/>
      </w:rPr>
      <w:tblPr/>
      <w:tcPr>
        <w:tcBorders>
          <w:insideH w:val="nil"/>
          <w:insideV w:val="nil"/>
        </w:tcBorders>
        <w:shd w:val="clear" w:color="auto" w:fill="D3DFEE"/>
      </w:tcPr>
    </w:tblStylePr>
    <w:tblStylePr w:type="band2Horz">
      <w:rPr>
        <w:rFonts w:cs="Times New Roman"/>
      </w:rPr>
      <w:tblPr/>
      <w:tcPr>
        <w:tcBorders>
          <w:insideH w:val="nil"/>
          <w:insideV w:val="nil"/>
        </w:tcBorders>
      </w:tcPr>
    </w:tblStylePr>
  </w:style>
  <w:style w:type="paragraph" w:customStyle="1" w:styleId="Pa22">
    <w:name w:val="Pa22"/>
    <w:basedOn w:val="Normal"/>
    <w:next w:val="Normal"/>
    <w:uiPriority w:val="99"/>
    <w:rsid w:val="00741DFC"/>
    <w:pPr>
      <w:autoSpaceDE w:val="0"/>
      <w:autoSpaceDN w:val="0"/>
      <w:adjustRightInd w:val="0"/>
      <w:spacing w:line="181" w:lineRule="atLeast"/>
    </w:pPr>
    <w:rPr>
      <w:rFonts w:ascii="Arial" w:hAnsi="Arial" w:cs="Arial"/>
      <w:sz w:val="24"/>
      <w:szCs w:val="24"/>
      <w:lang w:eastAsia="en-AU"/>
    </w:rPr>
  </w:style>
  <w:style w:type="paragraph" w:styleId="TDC5">
    <w:name w:val="toc 5"/>
    <w:basedOn w:val="Normal"/>
    <w:next w:val="Normal"/>
    <w:autoRedefine/>
    <w:uiPriority w:val="39"/>
    <w:rsid w:val="00E4210B"/>
    <w:pPr>
      <w:spacing w:after="100" w:line="276" w:lineRule="auto"/>
      <w:ind w:left="880"/>
    </w:pPr>
    <w:rPr>
      <w:rFonts w:ascii="Calibri" w:hAnsi="Calibri"/>
      <w:szCs w:val="22"/>
      <w:lang w:val="en-US"/>
    </w:rPr>
  </w:style>
  <w:style w:type="paragraph" w:styleId="TDC6">
    <w:name w:val="toc 6"/>
    <w:basedOn w:val="Normal"/>
    <w:next w:val="Normal"/>
    <w:autoRedefine/>
    <w:uiPriority w:val="39"/>
    <w:rsid w:val="00E4210B"/>
    <w:pPr>
      <w:spacing w:after="100" w:line="276" w:lineRule="auto"/>
      <w:ind w:left="1100"/>
    </w:pPr>
    <w:rPr>
      <w:rFonts w:ascii="Calibri" w:hAnsi="Calibri"/>
      <w:szCs w:val="22"/>
      <w:lang w:val="en-US"/>
    </w:rPr>
  </w:style>
  <w:style w:type="paragraph" w:styleId="TDC7">
    <w:name w:val="toc 7"/>
    <w:basedOn w:val="Normal"/>
    <w:next w:val="Normal"/>
    <w:autoRedefine/>
    <w:uiPriority w:val="39"/>
    <w:rsid w:val="00E4210B"/>
    <w:pPr>
      <w:spacing w:after="100" w:line="276" w:lineRule="auto"/>
      <w:ind w:left="1320"/>
    </w:pPr>
    <w:rPr>
      <w:rFonts w:ascii="Calibri" w:hAnsi="Calibri"/>
      <w:szCs w:val="22"/>
      <w:lang w:val="en-US"/>
    </w:rPr>
  </w:style>
  <w:style w:type="paragraph" w:styleId="TDC8">
    <w:name w:val="toc 8"/>
    <w:basedOn w:val="Normal"/>
    <w:next w:val="Normal"/>
    <w:autoRedefine/>
    <w:uiPriority w:val="39"/>
    <w:rsid w:val="00E4210B"/>
    <w:pPr>
      <w:spacing w:after="100" w:line="276" w:lineRule="auto"/>
      <w:ind w:left="1540"/>
    </w:pPr>
    <w:rPr>
      <w:rFonts w:ascii="Calibri" w:hAnsi="Calibri"/>
      <w:szCs w:val="22"/>
      <w:lang w:val="en-US"/>
    </w:rPr>
  </w:style>
  <w:style w:type="paragraph" w:styleId="TDC9">
    <w:name w:val="toc 9"/>
    <w:basedOn w:val="Normal"/>
    <w:next w:val="Normal"/>
    <w:autoRedefine/>
    <w:uiPriority w:val="39"/>
    <w:rsid w:val="00E4210B"/>
    <w:pPr>
      <w:spacing w:after="100" w:line="276" w:lineRule="auto"/>
      <w:ind w:left="1760"/>
    </w:pPr>
    <w:rPr>
      <w:rFonts w:ascii="Calibri" w:hAnsi="Calibri"/>
      <w:szCs w:val="22"/>
      <w:lang w:val="en-US"/>
    </w:rPr>
  </w:style>
  <w:style w:type="paragraph" w:customStyle="1" w:styleId="Default">
    <w:name w:val="Default"/>
    <w:rsid w:val="00C85DC3"/>
    <w:pPr>
      <w:autoSpaceDE w:val="0"/>
      <w:autoSpaceDN w:val="0"/>
      <w:adjustRightInd w:val="0"/>
    </w:pPr>
    <w:rPr>
      <w:rFonts w:ascii="Arial" w:hAnsi="Arial" w:cs="Arial"/>
      <w:color w:val="000000"/>
      <w:sz w:val="24"/>
      <w:szCs w:val="24"/>
      <w:lang w:val="en-US" w:eastAsia="en-AU"/>
    </w:rPr>
  </w:style>
</w:styles>
</file>

<file path=word/webSettings.xml><?xml version="1.0" encoding="utf-8"?>
<w:webSettings xmlns:r="http://schemas.openxmlformats.org/officeDocument/2006/relationships" xmlns:w="http://schemas.openxmlformats.org/wordprocessingml/2006/main">
  <w:divs>
    <w:div w:id="72505992">
      <w:bodyDiv w:val="1"/>
      <w:marLeft w:val="0"/>
      <w:marRight w:val="0"/>
      <w:marTop w:val="0"/>
      <w:marBottom w:val="0"/>
      <w:divBdr>
        <w:top w:val="none" w:sz="0" w:space="0" w:color="auto"/>
        <w:left w:val="none" w:sz="0" w:space="0" w:color="auto"/>
        <w:bottom w:val="none" w:sz="0" w:space="0" w:color="auto"/>
        <w:right w:val="none" w:sz="0" w:space="0" w:color="auto"/>
      </w:divBdr>
      <w:divsChild>
        <w:div w:id="1666394478">
          <w:marLeft w:val="0"/>
          <w:marRight w:val="0"/>
          <w:marTop w:val="100"/>
          <w:marBottom w:val="100"/>
          <w:divBdr>
            <w:top w:val="none" w:sz="0" w:space="0" w:color="auto"/>
            <w:left w:val="none" w:sz="0" w:space="0" w:color="auto"/>
            <w:bottom w:val="none" w:sz="0" w:space="0" w:color="auto"/>
            <w:right w:val="none" w:sz="0" w:space="0" w:color="auto"/>
          </w:divBdr>
          <w:divsChild>
            <w:div w:id="1741243770">
              <w:marLeft w:val="0"/>
              <w:marRight w:val="0"/>
              <w:marTop w:val="0"/>
              <w:marBottom w:val="0"/>
              <w:divBdr>
                <w:top w:val="none" w:sz="0" w:space="0" w:color="auto"/>
                <w:left w:val="none" w:sz="0" w:space="0" w:color="auto"/>
                <w:bottom w:val="none" w:sz="0" w:space="0" w:color="auto"/>
                <w:right w:val="none" w:sz="0" w:space="0" w:color="auto"/>
              </w:divBdr>
              <w:divsChild>
                <w:div w:id="857816084">
                  <w:marLeft w:val="0"/>
                  <w:marRight w:val="0"/>
                  <w:marTop w:val="0"/>
                  <w:marBottom w:val="0"/>
                  <w:divBdr>
                    <w:top w:val="none" w:sz="0" w:space="0" w:color="auto"/>
                    <w:left w:val="none" w:sz="0" w:space="0" w:color="auto"/>
                    <w:bottom w:val="none" w:sz="0" w:space="0" w:color="auto"/>
                    <w:right w:val="none" w:sz="0" w:space="0" w:color="auto"/>
                  </w:divBdr>
                  <w:divsChild>
                    <w:div w:id="1076049915">
                      <w:marLeft w:val="0"/>
                      <w:marRight w:val="0"/>
                      <w:marTop w:val="0"/>
                      <w:marBottom w:val="0"/>
                      <w:divBdr>
                        <w:top w:val="none" w:sz="0" w:space="0" w:color="auto"/>
                        <w:left w:val="none" w:sz="0" w:space="0" w:color="auto"/>
                        <w:bottom w:val="none" w:sz="0" w:space="0" w:color="auto"/>
                        <w:right w:val="none" w:sz="0" w:space="0" w:color="auto"/>
                      </w:divBdr>
                      <w:divsChild>
                        <w:div w:id="49502222">
                          <w:marLeft w:val="0"/>
                          <w:marRight w:val="0"/>
                          <w:marTop w:val="0"/>
                          <w:marBottom w:val="0"/>
                          <w:divBdr>
                            <w:top w:val="none" w:sz="0" w:space="0" w:color="auto"/>
                            <w:left w:val="none" w:sz="0" w:space="0" w:color="auto"/>
                            <w:bottom w:val="none" w:sz="0" w:space="0" w:color="auto"/>
                            <w:right w:val="none" w:sz="0" w:space="0" w:color="auto"/>
                          </w:divBdr>
                          <w:divsChild>
                            <w:div w:id="1713842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7855077">
      <w:marLeft w:val="0"/>
      <w:marRight w:val="0"/>
      <w:marTop w:val="0"/>
      <w:marBottom w:val="0"/>
      <w:divBdr>
        <w:top w:val="none" w:sz="0" w:space="0" w:color="auto"/>
        <w:left w:val="none" w:sz="0" w:space="0" w:color="auto"/>
        <w:bottom w:val="none" w:sz="0" w:space="0" w:color="auto"/>
        <w:right w:val="none" w:sz="0" w:space="0" w:color="auto"/>
      </w:divBdr>
    </w:div>
    <w:div w:id="1287855078">
      <w:marLeft w:val="0"/>
      <w:marRight w:val="0"/>
      <w:marTop w:val="0"/>
      <w:marBottom w:val="0"/>
      <w:divBdr>
        <w:top w:val="none" w:sz="0" w:space="0" w:color="auto"/>
        <w:left w:val="none" w:sz="0" w:space="0" w:color="auto"/>
        <w:bottom w:val="none" w:sz="0" w:space="0" w:color="auto"/>
        <w:right w:val="none" w:sz="0" w:space="0" w:color="auto"/>
      </w:divBdr>
    </w:div>
    <w:div w:id="1287855080">
      <w:marLeft w:val="0"/>
      <w:marRight w:val="0"/>
      <w:marTop w:val="0"/>
      <w:marBottom w:val="0"/>
      <w:divBdr>
        <w:top w:val="none" w:sz="0" w:space="0" w:color="auto"/>
        <w:left w:val="none" w:sz="0" w:space="0" w:color="auto"/>
        <w:bottom w:val="none" w:sz="0" w:space="0" w:color="auto"/>
        <w:right w:val="none" w:sz="0" w:space="0" w:color="auto"/>
      </w:divBdr>
    </w:div>
    <w:div w:id="1287855083">
      <w:marLeft w:val="0"/>
      <w:marRight w:val="0"/>
      <w:marTop w:val="0"/>
      <w:marBottom w:val="0"/>
      <w:divBdr>
        <w:top w:val="none" w:sz="0" w:space="0" w:color="auto"/>
        <w:left w:val="none" w:sz="0" w:space="0" w:color="auto"/>
        <w:bottom w:val="none" w:sz="0" w:space="0" w:color="auto"/>
        <w:right w:val="none" w:sz="0" w:space="0" w:color="auto"/>
      </w:divBdr>
      <w:divsChild>
        <w:div w:id="1287855351">
          <w:marLeft w:val="0"/>
          <w:marRight w:val="0"/>
          <w:marTop w:val="0"/>
          <w:marBottom w:val="0"/>
          <w:divBdr>
            <w:top w:val="none" w:sz="0" w:space="0" w:color="auto"/>
            <w:left w:val="none" w:sz="0" w:space="0" w:color="auto"/>
            <w:bottom w:val="none" w:sz="0" w:space="0" w:color="auto"/>
            <w:right w:val="none" w:sz="0" w:space="0" w:color="auto"/>
          </w:divBdr>
          <w:divsChild>
            <w:div w:id="1287855110">
              <w:marLeft w:val="0"/>
              <w:marRight w:val="0"/>
              <w:marTop w:val="0"/>
              <w:marBottom w:val="0"/>
              <w:divBdr>
                <w:top w:val="none" w:sz="0" w:space="0" w:color="auto"/>
                <w:left w:val="none" w:sz="0" w:space="0" w:color="auto"/>
                <w:bottom w:val="none" w:sz="0" w:space="0" w:color="auto"/>
                <w:right w:val="none" w:sz="0" w:space="0" w:color="auto"/>
              </w:divBdr>
              <w:divsChild>
                <w:div w:id="1287855283">
                  <w:marLeft w:val="0"/>
                  <w:marRight w:val="0"/>
                  <w:marTop w:val="0"/>
                  <w:marBottom w:val="0"/>
                  <w:divBdr>
                    <w:top w:val="none" w:sz="0" w:space="0" w:color="auto"/>
                    <w:left w:val="none" w:sz="0" w:space="0" w:color="auto"/>
                    <w:bottom w:val="none" w:sz="0" w:space="0" w:color="auto"/>
                    <w:right w:val="none" w:sz="0" w:space="0" w:color="auto"/>
                  </w:divBdr>
                  <w:divsChild>
                    <w:div w:id="1287855450">
                      <w:marLeft w:val="0"/>
                      <w:marRight w:val="0"/>
                      <w:marTop w:val="0"/>
                      <w:marBottom w:val="0"/>
                      <w:divBdr>
                        <w:top w:val="none" w:sz="0" w:space="0" w:color="auto"/>
                        <w:left w:val="none" w:sz="0" w:space="0" w:color="auto"/>
                        <w:bottom w:val="none" w:sz="0" w:space="0" w:color="auto"/>
                        <w:right w:val="none" w:sz="0" w:space="0" w:color="auto"/>
                      </w:divBdr>
                      <w:divsChild>
                        <w:div w:id="1287855333">
                          <w:marLeft w:val="0"/>
                          <w:marRight w:val="0"/>
                          <w:marTop w:val="0"/>
                          <w:marBottom w:val="0"/>
                          <w:divBdr>
                            <w:top w:val="none" w:sz="0" w:space="0" w:color="auto"/>
                            <w:left w:val="none" w:sz="0" w:space="0" w:color="auto"/>
                            <w:bottom w:val="none" w:sz="0" w:space="0" w:color="auto"/>
                            <w:right w:val="none" w:sz="0" w:space="0" w:color="auto"/>
                          </w:divBdr>
                          <w:divsChild>
                            <w:div w:id="1287855324">
                              <w:marLeft w:val="0"/>
                              <w:marRight w:val="0"/>
                              <w:marTop w:val="0"/>
                              <w:marBottom w:val="0"/>
                              <w:divBdr>
                                <w:top w:val="none" w:sz="0" w:space="0" w:color="auto"/>
                                <w:left w:val="none" w:sz="0" w:space="0" w:color="auto"/>
                                <w:bottom w:val="none" w:sz="0" w:space="0" w:color="auto"/>
                                <w:right w:val="none" w:sz="0" w:space="0" w:color="auto"/>
                              </w:divBdr>
                              <w:divsChild>
                                <w:div w:id="1287855433">
                                  <w:marLeft w:val="0"/>
                                  <w:marRight w:val="0"/>
                                  <w:marTop w:val="0"/>
                                  <w:marBottom w:val="0"/>
                                  <w:divBdr>
                                    <w:top w:val="none" w:sz="0" w:space="0" w:color="auto"/>
                                    <w:left w:val="none" w:sz="0" w:space="0" w:color="auto"/>
                                    <w:bottom w:val="none" w:sz="0" w:space="0" w:color="auto"/>
                                    <w:right w:val="none" w:sz="0" w:space="0" w:color="auto"/>
                                  </w:divBdr>
                                  <w:divsChild>
                                    <w:div w:id="1287855242">
                                      <w:marLeft w:val="0"/>
                                      <w:marRight w:val="0"/>
                                      <w:marTop w:val="0"/>
                                      <w:marBottom w:val="0"/>
                                      <w:divBdr>
                                        <w:top w:val="single" w:sz="4" w:space="0" w:color="F5F5F5"/>
                                        <w:left w:val="single" w:sz="4" w:space="0" w:color="F5F5F5"/>
                                        <w:bottom w:val="single" w:sz="4" w:space="0" w:color="F5F5F5"/>
                                        <w:right w:val="single" w:sz="4" w:space="0" w:color="F5F5F5"/>
                                      </w:divBdr>
                                      <w:divsChild>
                                        <w:div w:id="1287855177">
                                          <w:marLeft w:val="0"/>
                                          <w:marRight w:val="0"/>
                                          <w:marTop w:val="0"/>
                                          <w:marBottom w:val="0"/>
                                          <w:divBdr>
                                            <w:top w:val="none" w:sz="0" w:space="0" w:color="auto"/>
                                            <w:left w:val="none" w:sz="0" w:space="0" w:color="auto"/>
                                            <w:bottom w:val="none" w:sz="0" w:space="0" w:color="auto"/>
                                            <w:right w:val="none" w:sz="0" w:space="0" w:color="auto"/>
                                          </w:divBdr>
                                          <w:divsChild>
                                            <w:div w:id="128785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87855085">
      <w:marLeft w:val="0"/>
      <w:marRight w:val="0"/>
      <w:marTop w:val="0"/>
      <w:marBottom w:val="0"/>
      <w:divBdr>
        <w:top w:val="none" w:sz="0" w:space="0" w:color="auto"/>
        <w:left w:val="none" w:sz="0" w:space="0" w:color="auto"/>
        <w:bottom w:val="none" w:sz="0" w:space="0" w:color="auto"/>
        <w:right w:val="none" w:sz="0" w:space="0" w:color="auto"/>
      </w:divBdr>
    </w:div>
    <w:div w:id="1287855086">
      <w:marLeft w:val="0"/>
      <w:marRight w:val="0"/>
      <w:marTop w:val="0"/>
      <w:marBottom w:val="0"/>
      <w:divBdr>
        <w:top w:val="none" w:sz="0" w:space="0" w:color="auto"/>
        <w:left w:val="none" w:sz="0" w:space="0" w:color="auto"/>
        <w:bottom w:val="none" w:sz="0" w:space="0" w:color="auto"/>
        <w:right w:val="none" w:sz="0" w:space="0" w:color="auto"/>
      </w:divBdr>
    </w:div>
    <w:div w:id="1287855091">
      <w:marLeft w:val="0"/>
      <w:marRight w:val="0"/>
      <w:marTop w:val="0"/>
      <w:marBottom w:val="0"/>
      <w:divBdr>
        <w:top w:val="none" w:sz="0" w:space="0" w:color="auto"/>
        <w:left w:val="none" w:sz="0" w:space="0" w:color="auto"/>
        <w:bottom w:val="none" w:sz="0" w:space="0" w:color="auto"/>
        <w:right w:val="none" w:sz="0" w:space="0" w:color="auto"/>
      </w:divBdr>
    </w:div>
    <w:div w:id="1287855093">
      <w:marLeft w:val="0"/>
      <w:marRight w:val="0"/>
      <w:marTop w:val="0"/>
      <w:marBottom w:val="0"/>
      <w:divBdr>
        <w:top w:val="none" w:sz="0" w:space="0" w:color="auto"/>
        <w:left w:val="none" w:sz="0" w:space="0" w:color="auto"/>
        <w:bottom w:val="none" w:sz="0" w:space="0" w:color="auto"/>
        <w:right w:val="none" w:sz="0" w:space="0" w:color="auto"/>
      </w:divBdr>
    </w:div>
    <w:div w:id="1287855094">
      <w:marLeft w:val="0"/>
      <w:marRight w:val="0"/>
      <w:marTop w:val="0"/>
      <w:marBottom w:val="0"/>
      <w:divBdr>
        <w:top w:val="none" w:sz="0" w:space="0" w:color="auto"/>
        <w:left w:val="none" w:sz="0" w:space="0" w:color="auto"/>
        <w:bottom w:val="none" w:sz="0" w:space="0" w:color="auto"/>
        <w:right w:val="none" w:sz="0" w:space="0" w:color="auto"/>
      </w:divBdr>
    </w:div>
    <w:div w:id="1287855095">
      <w:marLeft w:val="0"/>
      <w:marRight w:val="0"/>
      <w:marTop w:val="0"/>
      <w:marBottom w:val="0"/>
      <w:divBdr>
        <w:top w:val="none" w:sz="0" w:space="0" w:color="auto"/>
        <w:left w:val="none" w:sz="0" w:space="0" w:color="auto"/>
        <w:bottom w:val="none" w:sz="0" w:space="0" w:color="auto"/>
        <w:right w:val="none" w:sz="0" w:space="0" w:color="auto"/>
      </w:divBdr>
    </w:div>
    <w:div w:id="1287855097">
      <w:marLeft w:val="0"/>
      <w:marRight w:val="0"/>
      <w:marTop w:val="0"/>
      <w:marBottom w:val="0"/>
      <w:divBdr>
        <w:top w:val="none" w:sz="0" w:space="0" w:color="auto"/>
        <w:left w:val="none" w:sz="0" w:space="0" w:color="auto"/>
        <w:bottom w:val="none" w:sz="0" w:space="0" w:color="auto"/>
        <w:right w:val="none" w:sz="0" w:space="0" w:color="auto"/>
      </w:divBdr>
    </w:div>
    <w:div w:id="1287855098">
      <w:marLeft w:val="0"/>
      <w:marRight w:val="0"/>
      <w:marTop w:val="0"/>
      <w:marBottom w:val="0"/>
      <w:divBdr>
        <w:top w:val="none" w:sz="0" w:space="0" w:color="auto"/>
        <w:left w:val="none" w:sz="0" w:space="0" w:color="auto"/>
        <w:bottom w:val="none" w:sz="0" w:space="0" w:color="auto"/>
        <w:right w:val="none" w:sz="0" w:space="0" w:color="auto"/>
      </w:divBdr>
      <w:divsChild>
        <w:div w:id="1287855254">
          <w:marLeft w:val="0"/>
          <w:marRight w:val="0"/>
          <w:marTop w:val="0"/>
          <w:marBottom w:val="0"/>
          <w:divBdr>
            <w:top w:val="none" w:sz="0" w:space="0" w:color="auto"/>
            <w:left w:val="none" w:sz="0" w:space="0" w:color="auto"/>
            <w:bottom w:val="none" w:sz="0" w:space="0" w:color="auto"/>
            <w:right w:val="none" w:sz="0" w:space="0" w:color="auto"/>
          </w:divBdr>
          <w:divsChild>
            <w:div w:id="1287855106">
              <w:marLeft w:val="0"/>
              <w:marRight w:val="0"/>
              <w:marTop w:val="0"/>
              <w:marBottom w:val="0"/>
              <w:divBdr>
                <w:top w:val="none" w:sz="0" w:space="0" w:color="auto"/>
                <w:left w:val="none" w:sz="0" w:space="0" w:color="auto"/>
                <w:bottom w:val="none" w:sz="0" w:space="0" w:color="auto"/>
                <w:right w:val="none" w:sz="0" w:space="0" w:color="auto"/>
              </w:divBdr>
              <w:divsChild>
                <w:div w:id="1287855350">
                  <w:marLeft w:val="0"/>
                  <w:marRight w:val="0"/>
                  <w:marTop w:val="0"/>
                  <w:marBottom w:val="0"/>
                  <w:divBdr>
                    <w:top w:val="none" w:sz="0" w:space="0" w:color="auto"/>
                    <w:left w:val="none" w:sz="0" w:space="0" w:color="auto"/>
                    <w:bottom w:val="none" w:sz="0" w:space="0" w:color="auto"/>
                    <w:right w:val="none" w:sz="0" w:space="0" w:color="auto"/>
                  </w:divBdr>
                  <w:divsChild>
                    <w:div w:id="1287855289">
                      <w:marLeft w:val="0"/>
                      <w:marRight w:val="0"/>
                      <w:marTop w:val="0"/>
                      <w:marBottom w:val="0"/>
                      <w:divBdr>
                        <w:top w:val="none" w:sz="0" w:space="0" w:color="auto"/>
                        <w:left w:val="none" w:sz="0" w:space="0" w:color="auto"/>
                        <w:bottom w:val="none" w:sz="0" w:space="0" w:color="auto"/>
                        <w:right w:val="none" w:sz="0" w:space="0" w:color="auto"/>
                      </w:divBdr>
                      <w:divsChild>
                        <w:div w:id="1287855336">
                          <w:marLeft w:val="0"/>
                          <w:marRight w:val="0"/>
                          <w:marTop w:val="0"/>
                          <w:marBottom w:val="0"/>
                          <w:divBdr>
                            <w:top w:val="none" w:sz="0" w:space="0" w:color="auto"/>
                            <w:left w:val="none" w:sz="0" w:space="0" w:color="auto"/>
                            <w:bottom w:val="none" w:sz="0" w:space="0" w:color="auto"/>
                            <w:right w:val="none" w:sz="0" w:space="0" w:color="auto"/>
                          </w:divBdr>
                          <w:divsChild>
                            <w:div w:id="1287855207">
                              <w:marLeft w:val="0"/>
                              <w:marRight w:val="0"/>
                              <w:marTop w:val="0"/>
                              <w:marBottom w:val="0"/>
                              <w:divBdr>
                                <w:top w:val="none" w:sz="0" w:space="0" w:color="auto"/>
                                <w:left w:val="none" w:sz="0" w:space="0" w:color="auto"/>
                                <w:bottom w:val="none" w:sz="0" w:space="0" w:color="auto"/>
                                <w:right w:val="none" w:sz="0" w:space="0" w:color="auto"/>
                              </w:divBdr>
                              <w:divsChild>
                                <w:div w:id="1287855245">
                                  <w:marLeft w:val="0"/>
                                  <w:marRight w:val="0"/>
                                  <w:marTop w:val="0"/>
                                  <w:marBottom w:val="0"/>
                                  <w:divBdr>
                                    <w:top w:val="none" w:sz="0" w:space="0" w:color="auto"/>
                                    <w:left w:val="none" w:sz="0" w:space="0" w:color="auto"/>
                                    <w:bottom w:val="none" w:sz="0" w:space="0" w:color="auto"/>
                                    <w:right w:val="none" w:sz="0" w:space="0" w:color="auto"/>
                                  </w:divBdr>
                                  <w:divsChild>
                                    <w:div w:id="1287855100">
                                      <w:marLeft w:val="0"/>
                                      <w:marRight w:val="0"/>
                                      <w:marTop w:val="0"/>
                                      <w:marBottom w:val="0"/>
                                      <w:divBdr>
                                        <w:top w:val="single" w:sz="4" w:space="0" w:color="F5F5F5"/>
                                        <w:left w:val="single" w:sz="4" w:space="0" w:color="F5F5F5"/>
                                        <w:bottom w:val="single" w:sz="4" w:space="0" w:color="F5F5F5"/>
                                        <w:right w:val="single" w:sz="4" w:space="0" w:color="F5F5F5"/>
                                      </w:divBdr>
                                      <w:divsChild>
                                        <w:div w:id="1287855405">
                                          <w:marLeft w:val="0"/>
                                          <w:marRight w:val="0"/>
                                          <w:marTop w:val="0"/>
                                          <w:marBottom w:val="0"/>
                                          <w:divBdr>
                                            <w:top w:val="none" w:sz="0" w:space="0" w:color="auto"/>
                                            <w:left w:val="none" w:sz="0" w:space="0" w:color="auto"/>
                                            <w:bottom w:val="none" w:sz="0" w:space="0" w:color="auto"/>
                                            <w:right w:val="none" w:sz="0" w:space="0" w:color="auto"/>
                                          </w:divBdr>
                                          <w:divsChild>
                                            <w:div w:id="1287855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87855101">
      <w:marLeft w:val="0"/>
      <w:marRight w:val="0"/>
      <w:marTop w:val="0"/>
      <w:marBottom w:val="0"/>
      <w:divBdr>
        <w:top w:val="none" w:sz="0" w:space="0" w:color="auto"/>
        <w:left w:val="none" w:sz="0" w:space="0" w:color="auto"/>
        <w:bottom w:val="none" w:sz="0" w:space="0" w:color="auto"/>
        <w:right w:val="none" w:sz="0" w:space="0" w:color="auto"/>
      </w:divBdr>
    </w:div>
    <w:div w:id="1287855102">
      <w:marLeft w:val="0"/>
      <w:marRight w:val="0"/>
      <w:marTop w:val="0"/>
      <w:marBottom w:val="0"/>
      <w:divBdr>
        <w:top w:val="none" w:sz="0" w:space="0" w:color="auto"/>
        <w:left w:val="none" w:sz="0" w:space="0" w:color="auto"/>
        <w:bottom w:val="none" w:sz="0" w:space="0" w:color="auto"/>
        <w:right w:val="none" w:sz="0" w:space="0" w:color="auto"/>
      </w:divBdr>
      <w:divsChild>
        <w:div w:id="1287855256">
          <w:marLeft w:val="0"/>
          <w:marRight w:val="0"/>
          <w:marTop w:val="240"/>
          <w:marBottom w:val="240"/>
          <w:divBdr>
            <w:top w:val="none" w:sz="0" w:space="0" w:color="auto"/>
            <w:left w:val="none" w:sz="0" w:space="0" w:color="auto"/>
            <w:bottom w:val="none" w:sz="0" w:space="0" w:color="auto"/>
            <w:right w:val="none" w:sz="0" w:space="0" w:color="auto"/>
          </w:divBdr>
          <w:divsChild>
            <w:div w:id="128785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855105">
      <w:marLeft w:val="0"/>
      <w:marRight w:val="0"/>
      <w:marTop w:val="0"/>
      <w:marBottom w:val="0"/>
      <w:divBdr>
        <w:top w:val="none" w:sz="0" w:space="0" w:color="auto"/>
        <w:left w:val="none" w:sz="0" w:space="0" w:color="auto"/>
        <w:bottom w:val="none" w:sz="0" w:space="0" w:color="auto"/>
        <w:right w:val="none" w:sz="0" w:space="0" w:color="auto"/>
      </w:divBdr>
    </w:div>
    <w:div w:id="1287855108">
      <w:marLeft w:val="0"/>
      <w:marRight w:val="0"/>
      <w:marTop w:val="0"/>
      <w:marBottom w:val="0"/>
      <w:divBdr>
        <w:top w:val="none" w:sz="0" w:space="0" w:color="auto"/>
        <w:left w:val="none" w:sz="0" w:space="0" w:color="auto"/>
        <w:bottom w:val="none" w:sz="0" w:space="0" w:color="auto"/>
        <w:right w:val="none" w:sz="0" w:space="0" w:color="auto"/>
      </w:divBdr>
    </w:div>
    <w:div w:id="1287855111">
      <w:marLeft w:val="0"/>
      <w:marRight w:val="0"/>
      <w:marTop w:val="0"/>
      <w:marBottom w:val="0"/>
      <w:divBdr>
        <w:top w:val="none" w:sz="0" w:space="0" w:color="auto"/>
        <w:left w:val="none" w:sz="0" w:space="0" w:color="auto"/>
        <w:bottom w:val="none" w:sz="0" w:space="0" w:color="auto"/>
        <w:right w:val="none" w:sz="0" w:space="0" w:color="auto"/>
      </w:divBdr>
    </w:div>
    <w:div w:id="1287855112">
      <w:marLeft w:val="0"/>
      <w:marRight w:val="0"/>
      <w:marTop w:val="0"/>
      <w:marBottom w:val="0"/>
      <w:divBdr>
        <w:top w:val="none" w:sz="0" w:space="0" w:color="auto"/>
        <w:left w:val="none" w:sz="0" w:space="0" w:color="auto"/>
        <w:bottom w:val="none" w:sz="0" w:space="0" w:color="auto"/>
        <w:right w:val="none" w:sz="0" w:space="0" w:color="auto"/>
      </w:divBdr>
    </w:div>
    <w:div w:id="1287855113">
      <w:marLeft w:val="0"/>
      <w:marRight w:val="0"/>
      <w:marTop w:val="0"/>
      <w:marBottom w:val="0"/>
      <w:divBdr>
        <w:top w:val="none" w:sz="0" w:space="0" w:color="auto"/>
        <w:left w:val="none" w:sz="0" w:space="0" w:color="auto"/>
        <w:bottom w:val="none" w:sz="0" w:space="0" w:color="auto"/>
        <w:right w:val="none" w:sz="0" w:space="0" w:color="auto"/>
      </w:divBdr>
    </w:div>
    <w:div w:id="1287855116">
      <w:marLeft w:val="0"/>
      <w:marRight w:val="0"/>
      <w:marTop w:val="0"/>
      <w:marBottom w:val="0"/>
      <w:divBdr>
        <w:top w:val="none" w:sz="0" w:space="0" w:color="auto"/>
        <w:left w:val="none" w:sz="0" w:space="0" w:color="auto"/>
        <w:bottom w:val="none" w:sz="0" w:space="0" w:color="auto"/>
        <w:right w:val="none" w:sz="0" w:space="0" w:color="auto"/>
      </w:divBdr>
    </w:div>
    <w:div w:id="1287855119">
      <w:marLeft w:val="0"/>
      <w:marRight w:val="0"/>
      <w:marTop w:val="0"/>
      <w:marBottom w:val="0"/>
      <w:divBdr>
        <w:top w:val="none" w:sz="0" w:space="0" w:color="auto"/>
        <w:left w:val="none" w:sz="0" w:space="0" w:color="auto"/>
        <w:bottom w:val="none" w:sz="0" w:space="0" w:color="auto"/>
        <w:right w:val="none" w:sz="0" w:space="0" w:color="auto"/>
      </w:divBdr>
    </w:div>
    <w:div w:id="1287855120">
      <w:marLeft w:val="0"/>
      <w:marRight w:val="0"/>
      <w:marTop w:val="0"/>
      <w:marBottom w:val="0"/>
      <w:divBdr>
        <w:top w:val="none" w:sz="0" w:space="0" w:color="auto"/>
        <w:left w:val="none" w:sz="0" w:space="0" w:color="auto"/>
        <w:bottom w:val="none" w:sz="0" w:space="0" w:color="auto"/>
        <w:right w:val="none" w:sz="0" w:space="0" w:color="auto"/>
      </w:divBdr>
    </w:div>
    <w:div w:id="1287855121">
      <w:marLeft w:val="0"/>
      <w:marRight w:val="0"/>
      <w:marTop w:val="0"/>
      <w:marBottom w:val="0"/>
      <w:divBdr>
        <w:top w:val="none" w:sz="0" w:space="0" w:color="auto"/>
        <w:left w:val="none" w:sz="0" w:space="0" w:color="auto"/>
        <w:bottom w:val="none" w:sz="0" w:space="0" w:color="auto"/>
        <w:right w:val="none" w:sz="0" w:space="0" w:color="auto"/>
      </w:divBdr>
    </w:div>
    <w:div w:id="1287855122">
      <w:marLeft w:val="0"/>
      <w:marRight w:val="0"/>
      <w:marTop w:val="0"/>
      <w:marBottom w:val="0"/>
      <w:divBdr>
        <w:top w:val="none" w:sz="0" w:space="0" w:color="auto"/>
        <w:left w:val="none" w:sz="0" w:space="0" w:color="auto"/>
        <w:bottom w:val="none" w:sz="0" w:space="0" w:color="auto"/>
        <w:right w:val="none" w:sz="0" w:space="0" w:color="auto"/>
      </w:divBdr>
    </w:div>
    <w:div w:id="1287855124">
      <w:marLeft w:val="0"/>
      <w:marRight w:val="0"/>
      <w:marTop w:val="0"/>
      <w:marBottom w:val="0"/>
      <w:divBdr>
        <w:top w:val="none" w:sz="0" w:space="0" w:color="auto"/>
        <w:left w:val="none" w:sz="0" w:space="0" w:color="auto"/>
        <w:bottom w:val="none" w:sz="0" w:space="0" w:color="auto"/>
        <w:right w:val="none" w:sz="0" w:space="0" w:color="auto"/>
      </w:divBdr>
    </w:div>
    <w:div w:id="1287855127">
      <w:marLeft w:val="0"/>
      <w:marRight w:val="0"/>
      <w:marTop w:val="0"/>
      <w:marBottom w:val="0"/>
      <w:divBdr>
        <w:top w:val="none" w:sz="0" w:space="0" w:color="auto"/>
        <w:left w:val="none" w:sz="0" w:space="0" w:color="auto"/>
        <w:bottom w:val="none" w:sz="0" w:space="0" w:color="auto"/>
        <w:right w:val="none" w:sz="0" w:space="0" w:color="auto"/>
      </w:divBdr>
    </w:div>
    <w:div w:id="1287855131">
      <w:marLeft w:val="0"/>
      <w:marRight w:val="0"/>
      <w:marTop w:val="0"/>
      <w:marBottom w:val="0"/>
      <w:divBdr>
        <w:top w:val="none" w:sz="0" w:space="0" w:color="auto"/>
        <w:left w:val="none" w:sz="0" w:space="0" w:color="auto"/>
        <w:bottom w:val="none" w:sz="0" w:space="0" w:color="auto"/>
        <w:right w:val="none" w:sz="0" w:space="0" w:color="auto"/>
      </w:divBdr>
    </w:div>
    <w:div w:id="1287855132">
      <w:marLeft w:val="0"/>
      <w:marRight w:val="0"/>
      <w:marTop w:val="0"/>
      <w:marBottom w:val="0"/>
      <w:divBdr>
        <w:top w:val="none" w:sz="0" w:space="0" w:color="auto"/>
        <w:left w:val="none" w:sz="0" w:space="0" w:color="auto"/>
        <w:bottom w:val="none" w:sz="0" w:space="0" w:color="auto"/>
        <w:right w:val="none" w:sz="0" w:space="0" w:color="auto"/>
      </w:divBdr>
    </w:div>
    <w:div w:id="1287855133">
      <w:marLeft w:val="0"/>
      <w:marRight w:val="0"/>
      <w:marTop w:val="0"/>
      <w:marBottom w:val="0"/>
      <w:divBdr>
        <w:top w:val="none" w:sz="0" w:space="0" w:color="auto"/>
        <w:left w:val="none" w:sz="0" w:space="0" w:color="auto"/>
        <w:bottom w:val="none" w:sz="0" w:space="0" w:color="auto"/>
        <w:right w:val="none" w:sz="0" w:space="0" w:color="auto"/>
      </w:divBdr>
    </w:div>
    <w:div w:id="1287855134">
      <w:marLeft w:val="0"/>
      <w:marRight w:val="0"/>
      <w:marTop w:val="0"/>
      <w:marBottom w:val="0"/>
      <w:divBdr>
        <w:top w:val="none" w:sz="0" w:space="0" w:color="auto"/>
        <w:left w:val="none" w:sz="0" w:space="0" w:color="auto"/>
        <w:bottom w:val="none" w:sz="0" w:space="0" w:color="auto"/>
        <w:right w:val="none" w:sz="0" w:space="0" w:color="auto"/>
      </w:divBdr>
    </w:div>
    <w:div w:id="1287855135">
      <w:marLeft w:val="0"/>
      <w:marRight w:val="0"/>
      <w:marTop w:val="0"/>
      <w:marBottom w:val="0"/>
      <w:divBdr>
        <w:top w:val="none" w:sz="0" w:space="0" w:color="auto"/>
        <w:left w:val="none" w:sz="0" w:space="0" w:color="auto"/>
        <w:bottom w:val="none" w:sz="0" w:space="0" w:color="auto"/>
        <w:right w:val="none" w:sz="0" w:space="0" w:color="auto"/>
      </w:divBdr>
    </w:div>
    <w:div w:id="1287855138">
      <w:marLeft w:val="0"/>
      <w:marRight w:val="0"/>
      <w:marTop w:val="0"/>
      <w:marBottom w:val="0"/>
      <w:divBdr>
        <w:top w:val="none" w:sz="0" w:space="0" w:color="auto"/>
        <w:left w:val="none" w:sz="0" w:space="0" w:color="auto"/>
        <w:bottom w:val="none" w:sz="0" w:space="0" w:color="auto"/>
        <w:right w:val="none" w:sz="0" w:space="0" w:color="auto"/>
      </w:divBdr>
    </w:div>
    <w:div w:id="1287855140">
      <w:marLeft w:val="0"/>
      <w:marRight w:val="0"/>
      <w:marTop w:val="0"/>
      <w:marBottom w:val="0"/>
      <w:divBdr>
        <w:top w:val="none" w:sz="0" w:space="0" w:color="auto"/>
        <w:left w:val="none" w:sz="0" w:space="0" w:color="auto"/>
        <w:bottom w:val="none" w:sz="0" w:space="0" w:color="auto"/>
        <w:right w:val="none" w:sz="0" w:space="0" w:color="auto"/>
      </w:divBdr>
      <w:divsChild>
        <w:div w:id="1287855166">
          <w:marLeft w:val="1699"/>
          <w:marRight w:val="0"/>
          <w:marTop w:val="0"/>
          <w:marBottom w:val="0"/>
          <w:divBdr>
            <w:top w:val="none" w:sz="0" w:space="0" w:color="auto"/>
            <w:left w:val="none" w:sz="0" w:space="0" w:color="auto"/>
            <w:bottom w:val="none" w:sz="0" w:space="0" w:color="auto"/>
            <w:right w:val="none" w:sz="0" w:space="0" w:color="auto"/>
          </w:divBdr>
        </w:div>
        <w:div w:id="1287855309">
          <w:marLeft w:val="1699"/>
          <w:marRight w:val="0"/>
          <w:marTop w:val="0"/>
          <w:marBottom w:val="0"/>
          <w:divBdr>
            <w:top w:val="none" w:sz="0" w:space="0" w:color="auto"/>
            <w:left w:val="none" w:sz="0" w:space="0" w:color="auto"/>
            <w:bottom w:val="none" w:sz="0" w:space="0" w:color="auto"/>
            <w:right w:val="none" w:sz="0" w:space="0" w:color="auto"/>
          </w:divBdr>
        </w:div>
      </w:divsChild>
    </w:div>
    <w:div w:id="1287855143">
      <w:marLeft w:val="0"/>
      <w:marRight w:val="0"/>
      <w:marTop w:val="0"/>
      <w:marBottom w:val="0"/>
      <w:divBdr>
        <w:top w:val="none" w:sz="0" w:space="0" w:color="auto"/>
        <w:left w:val="none" w:sz="0" w:space="0" w:color="auto"/>
        <w:bottom w:val="none" w:sz="0" w:space="0" w:color="auto"/>
        <w:right w:val="none" w:sz="0" w:space="0" w:color="auto"/>
      </w:divBdr>
    </w:div>
    <w:div w:id="1287855144">
      <w:marLeft w:val="0"/>
      <w:marRight w:val="0"/>
      <w:marTop w:val="0"/>
      <w:marBottom w:val="0"/>
      <w:divBdr>
        <w:top w:val="none" w:sz="0" w:space="0" w:color="auto"/>
        <w:left w:val="none" w:sz="0" w:space="0" w:color="auto"/>
        <w:bottom w:val="none" w:sz="0" w:space="0" w:color="auto"/>
        <w:right w:val="none" w:sz="0" w:space="0" w:color="auto"/>
      </w:divBdr>
    </w:div>
    <w:div w:id="1287855145">
      <w:marLeft w:val="0"/>
      <w:marRight w:val="0"/>
      <w:marTop w:val="0"/>
      <w:marBottom w:val="0"/>
      <w:divBdr>
        <w:top w:val="none" w:sz="0" w:space="0" w:color="auto"/>
        <w:left w:val="none" w:sz="0" w:space="0" w:color="auto"/>
        <w:bottom w:val="none" w:sz="0" w:space="0" w:color="auto"/>
        <w:right w:val="none" w:sz="0" w:space="0" w:color="auto"/>
      </w:divBdr>
      <w:divsChild>
        <w:div w:id="1287855462">
          <w:marLeft w:val="0"/>
          <w:marRight w:val="0"/>
          <w:marTop w:val="0"/>
          <w:marBottom w:val="0"/>
          <w:divBdr>
            <w:top w:val="none" w:sz="0" w:space="0" w:color="auto"/>
            <w:left w:val="none" w:sz="0" w:space="0" w:color="auto"/>
            <w:bottom w:val="none" w:sz="0" w:space="0" w:color="auto"/>
            <w:right w:val="none" w:sz="0" w:space="0" w:color="auto"/>
          </w:divBdr>
        </w:div>
      </w:divsChild>
    </w:div>
    <w:div w:id="1287855146">
      <w:marLeft w:val="0"/>
      <w:marRight w:val="0"/>
      <w:marTop w:val="0"/>
      <w:marBottom w:val="0"/>
      <w:divBdr>
        <w:top w:val="none" w:sz="0" w:space="0" w:color="auto"/>
        <w:left w:val="none" w:sz="0" w:space="0" w:color="auto"/>
        <w:bottom w:val="none" w:sz="0" w:space="0" w:color="auto"/>
        <w:right w:val="none" w:sz="0" w:space="0" w:color="auto"/>
      </w:divBdr>
    </w:div>
    <w:div w:id="1287855147">
      <w:marLeft w:val="0"/>
      <w:marRight w:val="0"/>
      <w:marTop w:val="0"/>
      <w:marBottom w:val="0"/>
      <w:divBdr>
        <w:top w:val="none" w:sz="0" w:space="0" w:color="auto"/>
        <w:left w:val="none" w:sz="0" w:space="0" w:color="auto"/>
        <w:bottom w:val="none" w:sz="0" w:space="0" w:color="auto"/>
        <w:right w:val="none" w:sz="0" w:space="0" w:color="auto"/>
      </w:divBdr>
    </w:div>
    <w:div w:id="1287855153">
      <w:marLeft w:val="0"/>
      <w:marRight w:val="0"/>
      <w:marTop w:val="0"/>
      <w:marBottom w:val="0"/>
      <w:divBdr>
        <w:top w:val="none" w:sz="0" w:space="0" w:color="auto"/>
        <w:left w:val="none" w:sz="0" w:space="0" w:color="auto"/>
        <w:bottom w:val="none" w:sz="0" w:space="0" w:color="auto"/>
        <w:right w:val="none" w:sz="0" w:space="0" w:color="auto"/>
      </w:divBdr>
    </w:div>
    <w:div w:id="1287855154">
      <w:marLeft w:val="0"/>
      <w:marRight w:val="0"/>
      <w:marTop w:val="0"/>
      <w:marBottom w:val="0"/>
      <w:divBdr>
        <w:top w:val="none" w:sz="0" w:space="0" w:color="auto"/>
        <w:left w:val="none" w:sz="0" w:space="0" w:color="auto"/>
        <w:bottom w:val="none" w:sz="0" w:space="0" w:color="auto"/>
        <w:right w:val="none" w:sz="0" w:space="0" w:color="auto"/>
      </w:divBdr>
    </w:div>
    <w:div w:id="1287855155">
      <w:marLeft w:val="0"/>
      <w:marRight w:val="0"/>
      <w:marTop w:val="0"/>
      <w:marBottom w:val="0"/>
      <w:divBdr>
        <w:top w:val="none" w:sz="0" w:space="0" w:color="auto"/>
        <w:left w:val="none" w:sz="0" w:space="0" w:color="auto"/>
        <w:bottom w:val="none" w:sz="0" w:space="0" w:color="auto"/>
        <w:right w:val="none" w:sz="0" w:space="0" w:color="auto"/>
      </w:divBdr>
    </w:div>
    <w:div w:id="1287855156">
      <w:marLeft w:val="0"/>
      <w:marRight w:val="0"/>
      <w:marTop w:val="0"/>
      <w:marBottom w:val="0"/>
      <w:divBdr>
        <w:top w:val="none" w:sz="0" w:space="0" w:color="auto"/>
        <w:left w:val="none" w:sz="0" w:space="0" w:color="auto"/>
        <w:bottom w:val="none" w:sz="0" w:space="0" w:color="auto"/>
        <w:right w:val="none" w:sz="0" w:space="0" w:color="auto"/>
      </w:divBdr>
    </w:div>
    <w:div w:id="1287855157">
      <w:marLeft w:val="0"/>
      <w:marRight w:val="0"/>
      <w:marTop w:val="0"/>
      <w:marBottom w:val="0"/>
      <w:divBdr>
        <w:top w:val="none" w:sz="0" w:space="0" w:color="auto"/>
        <w:left w:val="none" w:sz="0" w:space="0" w:color="auto"/>
        <w:bottom w:val="none" w:sz="0" w:space="0" w:color="auto"/>
        <w:right w:val="none" w:sz="0" w:space="0" w:color="auto"/>
      </w:divBdr>
    </w:div>
    <w:div w:id="1287855158">
      <w:marLeft w:val="0"/>
      <w:marRight w:val="0"/>
      <w:marTop w:val="0"/>
      <w:marBottom w:val="0"/>
      <w:divBdr>
        <w:top w:val="none" w:sz="0" w:space="0" w:color="auto"/>
        <w:left w:val="none" w:sz="0" w:space="0" w:color="auto"/>
        <w:bottom w:val="none" w:sz="0" w:space="0" w:color="auto"/>
        <w:right w:val="none" w:sz="0" w:space="0" w:color="auto"/>
      </w:divBdr>
    </w:div>
    <w:div w:id="1287855168">
      <w:marLeft w:val="0"/>
      <w:marRight w:val="0"/>
      <w:marTop w:val="0"/>
      <w:marBottom w:val="0"/>
      <w:divBdr>
        <w:top w:val="none" w:sz="0" w:space="0" w:color="auto"/>
        <w:left w:val="none" w:sz="0" w:space="0" w:color="auto"/>
        <w:bottom w:val="none" w:sz="0" w:space="0" w:color="auto"/>
        <w:right w:val="none" w:sz="0" w:space="0" w:color="auto"/>
      </w:divBdr>
    </w:div>
    <w:div w:id="1287855170">
      <w:marLeft w:val="0"/>
      <w:marRight w:val="0"/>
      <w:marTop w:val="0"/>
      <w:marBottom w:val="0"/>
      <w:divBdr>
        <w:top w:val="none" w:sz="0" w:space="0" w:color="auto"/>
        <w:left w:val="none" w:sz="0" w:space="0" w:color="auto"/>
        <w:bottom w:val="none" w:sz="0" w:space="0" w:color="auto"/>
        <w:right w:val="none" w:sz="0" w:space="0" w:color="auto"/>
      </w:divBdr>
    </w:div>
    <w:div w:id="1287855171">
      <w:marLeft w:val="0"/>
      <w:marRight w:val="0"/>
      <w:marTop w:val="0"/>
      <w:marBottom w:val="0"/>
      <w:divBdr>
        <w:top w:val="none" w:sz="0" w:space="0" w:color="auto"/>
        <w:left w:val="none" w:sz="0" w:space="0" w:color="auto"/>
        <w:bottom w:val="none" w:sz="0" w:space="0" w:color="auto"/>
        <w:right w:val="none" w:sz="0" w:space="0" w:color="auto"/>
      </w:divBdr>
    </w:div>
    <w:div w:id="1287855172">
      <w:marLeft w:val="0"/>
      <w:marRight w:val="0"/>
      <w:marTop w:val="0"/>
      <w:marBottom w:val="0"/>
      <w:divBdr>
        <w:top w:val="none" w:sz="0" w:space="0" w:color="auto"/>
        <w:left w:val="none" w:sz="0" w:space="0" w:color="auto"/>
        <w:bottom w:val="none" w:sz="0" w:space="0" w:color="auto"/>
        <w:right w:val="none" w:sz="0" w:space="0" w:color="auto"/>
      </w:divBdr>
    </w:div>
    <w:div w:id="1287855173">
      <w:marLeft w:val="0"/>
      <w:marRight w:val="0"/>
      <w:marTop w:val="0"/>
      <w:marBottom w:val="0"/>
      <w:divBdr>
        <w:top w:val="none" w:sz="0" w:space="0" w:color="auto"/>
        <w:left w:val="none" w:sz="0" w:space="0" w:color="auto"/>
        <w:bottom w:val="none" w:sz="0" w:space="0" w:color="auto"/>
        <w:right w:val="none" w:sz="0" w:space="0" w:color="auto"/>
      </w:divBdr>
    </w:div>
    <w:div w:id="1287855174">
      <w:marLeft w:val="0"/>
      <w:marRight w:val="0"/>
      <w:marTop w:val="0"/>
      <w:marBottom w:val="0"/>
      <w:divBdr>
        <w:top w:val="none" w:sz="0" w:space="0" w:color="auto"/>
        <w:left w:val="none" w:sz="0" w:space="0" w:color="auto"/>
        <w:bottom w:val="none" w:sz="0" w:space="0" w:color="auto"/>
        <w:right w:val="none" w:sz="0" w:space="0" w:color="auto"/>
      </w:divBdr>
    </w:div>
    <w:div w:id="1287855179">
      <w:marLeft w:val="0"/>
      <w:marRight w:val="0"/>
      <w:marTop w:val="0"/>
      <w:marBottom w:val="0"/>
      <w:divBdr>
        <w:top w:val="none" w:sz="0" w:space="0" w:color="auto"/>
        <w:left w:val="none" w:sz="0" w:space="0" w:color="auto"/>
        <w:bottom w:val="none" w:sz="0" w:space="0" w:color="auto"/>
        <w:right w:val="none" w:sz="0" w:space="0" w:color="auto"/>
      </w:divBdr>
    </w:div>
    <w:div w:id="1287855182">
      <w:marLeft w:val="0"/>
      <w:marRight w:val="0"/>
      <w:marTop w:val="0"/>
      <w:marBottom w:val="0"/>
      <w:divBdr>
        <w:top w:val="none" w:sz="0" w:space="0" w:color="auto"/>
        <w:left w:val="none" w:sz="0" w:space="0" w:color="auto"/>
        <w:bottom w:val="none" w:sz="0" w:space="0" w:color="auto"/>
        <w:right w:val="none" w:sz="0" w:space="0" w:color="auto"/>
      </w:divBdr>
    </w:div>
    <w:div w:id="1287855185">
      <w:marLeft w:val="0"/>
      <w:marRight w:val="0"/>
      <w:marTop w:val="0"/>
      <w:marBottom w:val="0"/>
      <w:divBdr>
        <w:top w:val="none" w:sz="0" w:space="0" w:color="auto"/>
        <w:left w:val="none" w:sz="0" w:space="0" w:color="auto"/>
        <w:bottom w:val="none" w:sz="0" w:space="0" w:color="auto"/>
        <w:right w:val="none" w:sz="0" w:space="0" w:color="auto"/>
      </w:divBdr>
    </w:div>
    <w:div w:id="1287855186">
      <w:marLeft w:val="0"/>
      <w:marRight w:val="0"/>
      <w:marTop w:val="0"/>
      <w:marBottom w:val="0"/>
      <w:divBdr>
        <w:top w:val="none" w:sz="0" w:space="0" w:color="auto"/>
        <w:left w:val="none" w:sz="0" w:space="0" w:color="auto"/>
        <w:bottom w:val="none" w:sz="0" w:space="0" w:color="auto"/>
        <w:right w:val="none" w:sz="0" w:space="0" w:color="auto"/>
      </w:divBdr>
    </w:div>
    <w:div w:id="1287855187">
      <w:marLeft w:val="0"/>
      <w:marRight w:val="0"/>
      <w:marTop w:val="0"/>
      <w:marBottom w:val="0"/>
      <w:divBdr>
        <w:top w:val="none" w:sz="0" w:space="0" w:color="auto"/>
        <w:left w:val="none" w:sz="0" w:space="0" w:color="auto"/>
        <w:bottom w:val="none" w:sz="0" w:space="0" w:color="auto"/>
        <w:right w:val="none" w:sz="0" w:space="0" w:color="auto"/>
      </w:divBdr>
      <w:divsChild>
        <w:div w:id="1287855136">
          <w:marLeft w:val="0"/>
          <w:marRight w:val="0"/>
          <w:marTop w:val="0"/>
          <w:marBottom w:val="0"/>
          <w:divBdr>
            <w:top w:val="none" w:sz="0" w:space="0" w:color="auto"/>
            <w:left w:val="none" w:sz="0" w:space="0" w:color="auto"/>
            <w:bottom w:val="none" w:sz="0" w:space="0" w:color="auto"/>
            <w:right w:val="none" w:sz="0" w:space="0" w:color="auto"/>
          </w:divBdr>
        </w:div>
      </w:divsChild>
    </w:div>
    <w:div w:id="1287855191">
      <w:marLeft w:val="0"/>
      <w:marRight w:val="0"/>
      <w:marTop w:val="0"/>
      <w:marBottom w:val="0"/>
      <w:divBdr>
        <w:top w:val="none" w:sz="0" w:space="0" w:color="auto"/>
        <w:left w:val="none" w:sz="0" w:space="0" w:color="auto"/>
        <w:bottom w:val="none" w:sz="0" w:space="0" w:color="auto"/>
        <w:right w:val="none" w:sz="0" w:space="0" w:color="auto"/>
      </w:divBdr>
    </w:div>
    <w:div w:id="1287855192">
      <w:marLeft w:val="0"/>
      <w:marRight w:val="0"/>
      <w:marTop w:val="0"/>
      <w:marBottom w:val="0"/>
      <w:divBdr>
        <w:top w:val="none" w:sz="0" w:space="0" w:color="auto"/>
        <w:left w:val="none" w:sz="0" w:space="0" w:color="auto"/>
        <w:bottom w:val="none" w:sz="0" w:space="0" w:color="auto"/>
        <w:right w:val="none" w:sz="0" w:space="0" w:color="auto"/>
      </w:divBdr>
    </w:div>
    <w:div w:id="1287855193">
      <w:marLeft w:val="0"/>
      <w:marRight w:val="0"/>
      <w:marTop w:val="0"/>
      <w:marBottom w:val="0"/>
      <w:divBdr>
        <w:top w:val="none" w:sz="0" w:space="0" w:color="auto"/>
        <w:left w:val="none" w:sz="0" w:space="0" w:color="auto"/>
        <w:bottom w:val="none" w:sz="0" w:space="0" w:color="auto"/>
        <w:right w:val="none" w:sz="0" w:space="0" w:color="auto"/>
      </w:divBdr>
      <w:divsChild>
        <w:div w:id="1287855126">
          <w:marLeft w:val="0"/>
          <w:marRight w:val="0"/>
          <w:marTop w:val="0"/>
          <w:marBottom w:val="0"/>
          <w:divBdr>
            <w:top w:val="none" w:sz="0" w:space="0" w:color="auto"/>
            <w:left w:val="none" w:sz="0" w:space="0" w:color="auto"/>
            <w:bottom w:val="none" w:sz="0" w:space="0" w:color="auto"/>
            <w:right w:val="none" w:sz="0" w:space="0" w:color="auto"/>
          </w:divBdr>
          <w:divsChild>
            <w:div w:id="1287855305">
              <w:marLeft w:val="0"/>
              <w:marRight w:val="0"/>
              <w:marTop w:val="0"/>
              <w:marBottom w:val="0"/>
              <w:divBdr>
                <w:top w:val="none" w:sz="0" w:space="0" w:color="auto"/>
                <w:left w:val="none" w:sz="0" w:space="0" w:color="auto"/>
                <w:bottom w:val="none" w:sz="0" w:space="0" w:color="auto"/>
                <w:right w:val="none" w:sz="0" w:space="0" w:color="auto"/>
              </w:divBdr>
              <w:divsChild>
                <w:div w:id="1287855079">
                  <w:marLeft w:val="0"/>
                  <w:marRight w:val="0"/>
                  <w:marTop w:val="0"/>
                  <w:marBottom w:val="0"/>
                  <w:divBdr>
                    <w:top w:val="none" w:sz="0" w:space="0" w:color="auto"/>
                    <w:left w:val="none" w:sz="0" w:space="0" w:color="auto"/>
                    <w:bottom w:val="none" w:sz="0" w:space="0" w:color="auto"/>
                    <w:right w:val="none" w:sz="0" w:space="0" w:color="auto"/>
                  </w:divBdr>
                  <w:divsChild>
                    <w:div w:id="1287855460">
                      <w:marLeft w:val="0"/>
                      <w:marRight w:val="0"/>
                      <w:marTop w:val="0"/>
                      <w:marBottom w:val="0"/>
                      <w:divBdr>
                        <w:top w:val="none" w:sz="0" w:space="0" w:color="auto"/>
                        <w:left w:val="none" w:sz="0" w:space="0" w:color="auto"/>
                        <w:bottom w:val="none" w:sz="0" w:space="0" w:color="auto"/>
                        <w:right w:val="none" w:sz="0" w:space="0" w:color="auto"/>
                      </w:divBdr>
                      <w:divsChild>
                        <w:div w:id="1287855362">
                          <w:marLeft w:val="0"/>
                          <w:marRight w:val="0"/>
                          <w:marTop w:val="0"/>
                          <w:marBottom w:val="0"/>
                          <w:divBdr>
                            <w:top w:val="none" w:sz="0" w:space="0" w:color="auto"/>
                            <w:left w:val="none" w:sz="0" w:space="0" w:color="auto"/>
                            <w:bottom w:val="none" w:sz="0" w:space="0" w:color="auto"/>
                            <w:right w:val="none" w:sz="0" w:space="0" w:color="auto"/>
                          </w:divBdr>
                          <w:divsChild>
                            <w:div w:id="1287855201">
                              <w:marLeft w:val="0"/>
                              <w:marRight w:val="0"/>
                              <w:marTop w:val="0"/>
                              <w:marBottom w:val="0"/>
                              <w:divBdr>
                                <w:top w:val="none" w:sz="0" w:space="0" w:color="auto"/>
                                <w:left w:val="none" w:sz="0" w:space="0" w:color="auto"/>
                                <w:bottom w:val="none" w:sz="0" w:space="0" w:color="auto"/>
                                <w:right w:val="none" w:sz="0" w:space="0" w:color="auto"/>
                              </w:divBdr>
                              <w:divsChild>
                                <w:div w:id="1287855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7855194">
      <w:marLeft w:val="0"/>
      <w:marRight w:val="0"/>
      <w:marTop w:val="0"/>
      <w:marBottom w:val="0"/>
      <w:divBdr>
        <w:top w:val="none" w:sz="0" w:space="0" w:color="auto"/>
        <w:left w:val="none" w:sz="0" w:space="0" w:color="auto"/>
        <w:bottom w:val="none" w:sz="0" w:space="0" w:color="auto"/>
        <w:right w:val="none" w:sz="0" w:space="0" w:color="auto"/>
      </w:divBdr>
      <w:divsChild>
        <w:div w:id="1287855233">
          <w:marLeft w:val="0"/>
          <w:marRight w:val="0"/>
          <w:marTop w:val="0"/>
          <w:marBottom w:val="0"/>
          <w:divBdr>
            <w:top w:val="none" w:sz="0" w:space="0" w:color="auto"/>
            <w:left w:val="none" w:sz="0" w:space="0" w:color="auto"/>
            <w:bottom w:val="none" w:sz="0" w:space="0" w:color="auto"/>
            <w:right w:val="none" w:sz="0" w:space="0" w:color="auto"/>
          </w:divBdr>
        </w:div>
      </w:divsChild>
    </w:div>
    <w:div w:id="1287855199">
      <w:marLeft w:val="0"/>
      <w:marRight w:val="0"/>
      <w:marTop w:val="0"/>
      <w:marBottom w:val="0"/>
      <w:divBdr>
        <w:top w:val="none" w:sz="0" w:space="0" w:color="auto"/>
        <w:left w:val="none" w:sz="0" w:space="0" w:color="auto"/>
        <w:bottom w:val="none" w:sz="0" w:space="0" w:color="auto"/>
        <w:right w:val="none" w:sz="0" w:space="0" w:color="auto"/>
      </w:divBdr>
      <w:divsChild>
        <w:div w:id="1287855188">
          <w:marLeft w:val="0"/>
          <w:marRight w:val="0"/>
          <w:marTop w:val="0"/>
          <w:marBottom w:val="0"/>
          <w:divBdr>
            <w:top w:val="none" w:sz="0" w:space="0" w:color="auto"/>
            <w:left w:val="none" w:sz="0" w:space="0" w:color="auto"/>
            <w:bottom w:val="none" w:sz="0" w:space="0" w:color="auto"/>
            <w:right w:val="none" w:sz="0" w:space="0" w:color="auto"/>
          </w:divBdr>
          <w:divsChild>
            <w:div w:id="1287855089">
              <w:marLeft w:val="0"/>
              <w:marRight w:val="0"/>
              <w:marTop w:val="0"/>
              <w:marBottom w:val="0"/>
              <w:divBdr>
                <w:top w:val="none" w:sz="0" w:space="0" w:color="auto"/>
                <w:left w:val="none" w:sz="0" w:space="0" w:color="auto"/>
                <w:bottom w:val="none" w:sz="0" w:space="0" w:color="auto"/>
                <w:right w:val="none" w:sz="0" w:space="0" w:color="auto"/>
              </w:divBdr>
              <w:divsChild>
                <w:div w:id="1287855226">
                  <w:marLeft w:val="0"/>
                  <w:marRight w:val="0"/>
                  <w:marTop w:val="0"/>
                  <w:marBottom w:val="0"/>
                  <w:divBdr>
                    <w:top w:val="none" w:sz="0" w:space="0" w:color="auto"/>
                    <w:left w:val="none" w:sz="0" w:space="0" w:color="auto"/>
                    <w:bottom w:val="none" w:sz="0" w:space="0" w:color="auto"/>
                    <w:right w:val="none" w:sz="0" w:space="0" w:color="auto"/>
                  </w:divBdr>
                  <w:divsChild>
                    <w:div w:id="1287855435">
                      <w:marLeft w:val="0"/>
                      <w:marRight w:val="0"/>
                      <w:marTop w:val="0"/>
                      <w:marBottom w:val="0"/>
                      <w:divBdr>
                        <w:top w:val="none" w:sz="0" w:space="0" w:color="auto"/>
                        <w:left w:val="none" w:sz="0" w:space="0" w:color="auto"/>
                        <w:bottom w:val="none" w:sz="0" w:space="0" w:color="auto"/>
                        <w:right w:val="none" w:sz="0" w:space="0" w:color="auto"/>
                      </w:divBdr>
                      <w:divsChild>
                        <w:div w:id="1287855391">
                          <w:marLeft w:val="0"/>
                          <w:marRight w:val="0"/>
                          <w:marTop w:val="0"/>
                          <w:marBottom w:val="0"/>
                          <w:divBdr>
                            <w:top w:val="none" w:sz="0" w:space="0" w:color="auto"/>
                            <w:left w:val="none" w:sz="0" w:space="0" w:color="auto"/>
                            <w:bottom w:val="none" w:sz="0" w:space="0" w:color="auto"/>
                            <w:right w:val="none" w:sz="0" w:space="0" w:color="auto"/>
                          </w:divBdr>
                          <w:divsChild>
                            <w:div w:id="1287855411">
                              <w:marLeft w:val="0"/>
                              <w:marRight w:val="0"/>
                              <w:marTop w:val="0"/>
                              <w:marBottom w:val="0"/>
                              <w:divBdr>
                                <w:top w:val="none" w:sz="0" w:space="0" w:color="auto"/>
                                <w:left w:val="none" w:sz="0" w:space="0" w:color="auto"/>
                                <w:bottom w:val="none" w:sz="0" w:space="0" w:color="auto"/>
                                <w:right w:val="none" w:sz="0" w:space="0" w:color="auto"/>
                              </w:divBdr>
                              <w:divsChild>
                                <w:div w:id="1287855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7855206">
      <w:marLeft w:val="0"/>
      <w:marRight w:val="0"/>
      <w:marTop w:val="0"/>
      <w:marBottom w:val="0"/>
      <w:divBdr>
        <w:top w:val="none" w:sz="0" w:space="0" w:color="auto"/>
        <w:left w:val="none" w:sz="0" w:space="0" w:color="auto"/>
        <w:bottom w:val="none" w:sz="0" w:space="0" w:color="auto"/>
        <w:right w:val="none" w:sz="0" w:space="0" w:color="auto"/>
      </w:divBdr>
    </w:div>
    <w:div w:id="1287855208">
      <w:marLeft w:val="0"/>
      <w:marRight w:val="0"/>
      <w:marTop w:val="0"/>
      <w:marBottom w:val="0"/>
      <w:divBdr>
        <w:top w:val="none" w:sz="0" w:space="0" w:color="auto"/>
        <w:left w:val="none" w:sz="0" w:space="0" w:color="auto"/>
        <w:bottom w:val="none" w:sz="0" w:space="0" w:color="auto"/>
        <w:right w:val="none" w:sz="0" w:space="0" w:color="auto"/>
      </w:divBdr>
    </w:div>
    <w:div w:id="1287855209">
      <w:marLeft w:val="0"/>
      <w:marRight w:val="0"/>
      <w:marTop w:val="0"/>
      <w:marBottom w:val="0"/>
      <w:divBdr>
        <w:top w:val="none" w:sz="0" w:space="0" w:color="auto"/>
        <w:left w:val="none" w:sz="0" w:space="0" w:color="auto"/>
        <w:bottom w:val="none" w:sz="0" w:space="0" w:color="auto"/>
        <w:right w:val="none" w:sz="0" w:space="0" w:color="auto"/>
      </w:divBdr>
    </w:div>
    <w:div w:id="1287855210">
      <w:marLeft w:val="0"/>
      <w:marRight w:val="0"/>
      <w:marTop w:val="0"/>
      <w:marBottom w:val="0"/>
      <w:divBdr>
        <w:top w:val="none" w:sz="0" w:space="0" w:color="auto"/>
        <w:left w:val="none" w:sz="0" w:space="0" w:color="auto"/>
        <w:bottom w:val="none" w:sz="0" w:space="0" w:color="auto"/>
        <w:right w:val="none" w:sz="0" w:space="0" w:color="auto"/>
      </w:divBdr>
    </w:div>
    <w:div w:id="1287855211">
      <w:marLeft w:val="0"/>
      <w:marRight w:val="0"/>
      <w:marTop w:val="0"/>
      <w:marBottom w:val="0"/>
      <w:divBdr>
        <w:top w:val="none" w:sz="0" w:space="0" w:color="auto"/>
        <w:left w:val="none" w:sz="0" w:space="0" w:color="auto"/>
        <w:bottom w:val="none" w:sz="0" w:space="0" w:color="auto"/>
        <w:right w:val="none" w:sz="0" w:space="0" w:color="auto"/>
      </w:divBdr>
    </w:div>
    <w:div w:id="1287855213">
      <w:marLeft w:val="0"/>
      <w:marRight w:val="0"/>
      <w:marTop w:val="0"/>
      <w:marBottom w:val="0"/>
      <w:divBdr>
        <w:top w:val="none" w:sz="0" w:space="0" w:color="auto"/>
        <w:left w:val="none" w:sz="0" w:space="0" w:color="auto"/>
        <w:bottom w:val="none" w:sz="0" w:space="0" w:color="auto"/>
        <w:right w:val="none" w:sz="0" w:space="0" w:color="auto"/>
      </w:divBdr>
    </w:div>
    <w:div w:id="1287855214">
      <w:marLeft w:val="0"/>
      <w:marRight w:val="0"/>
      <w:marTop w:val="0"/>
      <w:marBottom w:val="0"/>
      <w:divBdr>
        <w:top w:val="none" w:sz="0" w:space="0" w:color="auto"/>
        <w:left w:val="none" w:sz="0" w:space="0" w:color="auto"/>
        <w:bottom w:val="none" w:sz="0" w:space="0" w:color="auto"/>
        <w:right w:val="none" w:sz="0" w:space="0" w:color="auto"/>
      </w:divBdr>
      <w:divsChild>
        <w:div w:id="1287855272">
          <w:marLeft w:val="0"/>
          <w:marRight w:val="0"/>
          <w:marTop w:val="0"/>
          <w:marBottom w:val="0"/>
          <w:divBdr>
            <w:top w:val="none" w:sz="0" w:space="0" w:color="auto"/>
            <w:left w:val="none" w:sz="0" w:space="0" w:color="auto"/>
            <w:bottom w:val="none" w:sz="0" w:space="0" w:color="auto"/>
            <w:right w:val="none" w:sz="0" w:space="0" w:color="auto"/>
          </w:divBdr>
          <w:divsChild>
            <w:div w:id="1287855321">
              <w:marLeft w:val="0"/>
              <w:marRight w:val="0"/>
              <w:marTop w:val="0"/>
              <w:marBottom w:val="0"/>
              <w:divBdr>
                <w:top w:val="none" w:sz="0" w:space="0" w:color="auto"/>
                <w:left w:val="none" w:sz="0" w:space="0" w:color="auto"/>
                <w:bottom w:val="none" w:sz="0" w:space="0" w:color="auto"/>
                <w:right w:val="none" w:sz="0" w:space="0" w:color="auto"/>
              </w:divBdr>
              <w:divsChild>
                <w:div w:id="1287855169">
                  <w:marLeft w:val="0"/>
                  <w:marRight w:val="0"/>
                  <w:marTop w:val="0"/>
                  <w:marBottom w:val="0"/>
                  <w:divBdr>
                    <w:top w:val="none" w:sz="0" w:space="0" w:color="auto"/>
                    <w:left w:val="none" w:sz="0" w:space="0" w:color="auto"/>
                    <w:bottom w:val="none" w:sz="0" w:space="0" w:color="auto"/>
                    <w:right w:val="none" w:sz="0" w:space="0" w:color="auto"/>
                  </w:divBdr>
                  <w:divsChild>
                    <w:div w:id="1287855369">
                      <w:marLeft w:val="0"/>
                      <w:marRight w:val="0"/>
                      <w:marTop w:val="0"/>
                      <w:marBottom w:val="0"/>
                      <w:divBdr>
                        <w:top w:val="none" w:sz="0" w:space="0" w:color="auto"/>
                        <w:left w:val="none" w:sz="0" w:space="0" w:color="auto"/>
                        <w:bottom w:val="none" w:sz="0" w:space="0" w:color="auto"/>
                        <w:right w:val="none" w:sz="0" w:space="0" w:color="auto"/>
                      </w:divBdr>
                      <w:divsChild>
                        <w:div w:id="1287855141">
                          <w:marLeft w:val="0"/>
                          <w:marRight w:val="0"/>
                          <w:marTop w:val="0"/>
                          <w:marBottom w:val="0"/>
                          <w:divBdr>
                            <w:top w:val="none" w:sz="0" w:space="0" w:color="auto"/>
                            <w:left w:val="none" w:sz="0" w:space="0" w:color="auto"/>
                            <w:bottom w:val="none" w:sz="0" w:space="0" w:color="auto"/>
                            <w:right w:val="none" w:sz="0" w:space="0" w:color="auto"/>
                          </w:divBdr>
                          <w:divsChild>
                            <w:div w:id="1287855464">
                              <w:marLeft w:val="0"/>
                              <w:marRight w:val="0"/>
                              <w:marTop w:val="0"/>
                              <w:marBottom w:val="0"/>
                              <w:divBdr>
                                <w:top w:val="none" w:sz="0" w:space="0" w:color="auto"/>
                                <w:left w:val="none" w:sz="0" w:space="0" w:color="auto"/>
                                <w:bottom w:val="none" w:sz="0" w:space="0" w:color="auto"/>
                                <w:right w:val="none" w:sz="0" w:space="0" w:color="auto"/>
                              </w:divBdr>
                              <w:divsChild>
                                <w:div w:id="1287855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7855215">
      <w:marLeft w:val="0"/>
      <w:marRight w:val="0"/>
      <w:marTop w:val="0"/>
      <w:marBottom w:val="0"/>
      <w:divBdr>
        <w:top w:val="none" w:sz="0" w:space="0" w:color="auto"/>
        <w:left w:val="none" w:sz="0" w:space="0" w:color="auto"/>
        <w:bottom w:val="none" w:sz="0" w:space="0" w:color="auto"/>
        <w:right w:val="none" w:sz="0" w:space="0" w:color="auto"/>
      </w:divBdr>
    </w:div>
    <w:div w:id="1287855220">
      <w:marLeft w:val="0"/>
      <w:marRight w:val="0"/>
      <w:marTop w:val="0"/>
      <w:marBottom w:val="0"/>
      <w:divBdr>
        <w:top w:val="none" w:sz="0" w:space="0" w:color="auto"/>
        <w:left w:val="none" w:sz="0" w:space="0" w:color="auto"/>
        <w:bottom w:val="none" w:sz="0" w:space="0" w:color="auto"/>
        <w:right w:val="none" w:sz="0" w:space="0" w:color="auto"/>
      </w:divBdr>
    </w:div>
    <w:div w:id="1287855221">
      <w:marLeft w:val="0"/>
      <w:marRight w:val="0"/>
      <w:marTop w:val="0"/>
      <w:marBottom w:val="0"/>
      <w:divBdr>
        <w:top w:val="none" w:sz="0" w:space="0" w:color="auto"/>
        <w:left w:val="none" w:sz="0" w:space="0" w:color="auto"/>
        <w:bottom w:val="none" w:sz="0" w:space="0" w:color="auto"/>
        <w:right w:val="none" w:sz="0" w:space="0" w:color="auto"/>
      </w:divBdr>
    </w:div>
    <w:div w:id="1287855229">
      <w:marLeft w:val="0"/>
      <w:marRight w:val="0"/>
      <w:marTop w:val="0"/>
      <w:marBottom w:val="0"/>
      <w:divBdr>
        <w:top w:val="none" w:sz="0" w:space="0" w:color="auto"/>
        <w:left w:val="none" w:sz="0" w:space="0" w:color="auto"/>
        <w:bottom w:val="none" w:sz="0" w:space="0" w:color="auto"/>
        <w:right w:val="none" w:sz="0" w:space="0" w:color="auto"/>
      </w:divBdr>
    </w:div>
    <w:div w:id="1287855231">
      <w:marLeft w:val="0"/>
      <w:marRight w:val="0"/>
      <w:marTop w:val="0"/>
      <w:marBottom w:val="0"/>
      <w:divBdr>
        <w:top w:val="none" w:sz="0" w:space="0" w:color="auto"/>
        <w:left w:val="none" w:sz="0" w:space="0" w:color="auto"/>
        <w:bottom w:val="none" w:sz="0" w:space="0" w:color="auto"/>
        <w:right w:val="none" w:sz="0" w:space="0" w:color="auto"/>
      </w:divBdr>
    </w:div>
    <w:div w:id="1287855232">
      <w:marLeft w:val="0"/>
      <w:marRight w:val="0"/>
      <w:marTop w:val="0"/>
      <w:marBottom w:val="0"/>
      <w:divBdr>
        <w:top w:val="none" w:sz="0" w:space="0" w:color="auto"/>
        <w:left w:val="none" w:sz="0" w:space="0" w:color="auto"/>
        <w:bottom w:val="none" w:sz="0" w:space="0" w:color="auto"/>
        <w:right w:val="none" w:sz="0" w:space="0" w:color="auto"/>
      </w:divBdr>
    </w:div>
    <w:div w:id="1287855240">
      <w:marLeft w:val="0"/>
      <w:marRight w:val="0"/>
      <w:marTop w:val="0"/>
      <w:marBottom w:val="0"/>
      <w:divBdr>
        <w:top w:val="none" w:sz="0" w:space="0" w:color="auto"/>
        <w:left w:val="none" w:sz="0" w:space="0" w:color="auto"/>
        <w:bottom w:val="none" w:sz="0" w:space="0" w:color="auto"/>
        <w:right w:val="none" w:sz="0" w:space="0" w:color="auto"/>
      </w:divBdr>
    </w:div>
    <w:div w:id="1287855241">
      <w:marLeft w:val="0"/>
      <w:marRight w:val="0"/>
      <w:marTop w:val="0"/>
      <w:marBottom w:val="0"/>
      <w:divBdr>
        <w:top w:val="none" w:sz="0" w:space="0" w:color="auto"/>
        <w:left w:val="none" w:sz="0" w:space="0" w:color="auto"/>
        <w:bottom w:val="none" w:sz="0" w:space="0" w:color="auto"/>
        <w:right w:val="none" w:sz="0" w:space="0" w:color="auto"/>
      </w:divBdr>
    </w:div>
    <w:div w:id="1287855247">
      <w:marLeft w:val="0"/>
      <w:marRight w:val="0"/>
      <w:marTop w:val="0"/>
      <w:marBottom w:val="0"/>
      <w:divBdr>
        <w:top w:val="none" w:sz="0" w:space="0" w:color="auto"/>
        <w:left w:val="none" w:sz="0" w:space="0" w:color="auto"/>
        <w:bottom w:val="none" w:sz="0" w:space="0" w:color="auto"/>
        <w:right w:val="none" w:sz="0" w:space="0" w:color="auto"/>
      </w:divBdr>
      <w:divsChild>
        <w:div w:id="1287855088">
          <w:marLeft w:val="0"/>
          <w:marRight w:val="0"/>
          <w:marTop w:val="0"/>
          <w:marBottom w:val="0"/>
          <w:divBdr>
            <w:top w:val="none" w:sz="0" w:space="0" w:color="auto"/>
            <w:left w:val="none" w:sz="0" w:space="0" w:color="auto"/>
            <w:bottom w:val="none" w:sz="0" w:space="0" w:color="auto"/>
            <w:right w:val="none" w:sz="0" w:space="0" w:color="auto"/>
          </w:divBdr>
          <w:divsChild>
            <w:div w:id="1287855313">
              <w:marLeft w:val="0"/>
              <w:marRight w:val="0"/>
              <w:marTop w:val="0"/>
              <w:marBottom w:val="0"/>
              <w:divBdr>
                <w:top w:val="none" w:sz="0" w:space="0" w:color="auto"/>
                <w:left w:val="none" w:sz="0" w:space="0" w:color="auto"/>
                <w:bottom w:val="none" w:sz="0" w:space="0" w:color="auto"/>
                <w:right w:val="none" w:sz="0" w:space="0" w:color="auto"/>
              </w:divBdr>
              <w:divsChild>
                <w:div w:id="1287855129">
                  <w:marLeft w:val="0"/>
                  <w:marRight w:val="0"/>
                  <w:marTop w:val="0"/>
                  <w:marBottom w:val="0"/>
                  <w:divBdr>
                    <w:top w:val="none" w:sz="0" w:space="0" w:color="auto"/>
                    <w:left w:val="none" w:sz="0" w:space="0" w:color="auto"/>
                    <w:bottom w:val="none" w:sz="0" w:space="0" w:color="auto"/>
                    <w:right w:val="none" w:sz="0" w:space="0" w:color="auto"/>
                  </w:divBdr>
                  <w:divsChild>
                    <w:div w:id="1287855200">
                      <w:marLeft w:val="0"/>
                      <w:marRight w:val="0"/>
                      <w:marTop w:val="0"/>
                      <w:marBottom w:val="0"/>
                      <w:divBdr>
                        <w:top w:val="none" w:sz="0" w:space="0" w:color="auto"/>
                        <w:left w:val="none" w:sz="0" w:space="0" w:color="auto"/>
                        <w:bottom w:val="none" w:sz="0" w:space="0" w:color="auto"/>
                        <w:right w:val="none" w:sz="0" w:space="0" w:color="auto"/>
                      </w:divBdr>
                      <w:divsChild>
                        <w:div w:id="1287855250">
                          <w:marLeft w:val="0"/>
                          <w:marRight w:val="0"/>
                          <w:marTop w:val="0"/>
                          <w:marBottom w:val="0"/>
                          <w:divBdr>
                            <w:top w:val="none" w:sz="0" w:space="0" w:color="auto"/>
                            <w:left w:val="none" w:sz="0" w:space="0" w:color="auto"/>
                            <w:bottom w:val="none" w:sz="0" w:space="0" w:color="auto"/>
                            <w:right w:val="none" w:sz="0" w:space="0" w:color="auto"/>
                          </w:divBdr>
                          <w:divsChild>
                            <w:div w:id="1287855307">
                              <w:marLeft w:val="0"/>
                              <w:marRight w:val="0"/>
                              <w:marTop w:val="0"/>
                              <w:marBottom w:val="0"/>
                              <w:divBdr>
                                <w:top w:val="none" w:sz="0" w:space="0" w:color="auto"/>
                                <w:left w:val="none" w:sz="0" w:space="0" w:color="auto"/>
                                <w:bottom w:val="none" w:sz="0" w:space="0" w:color="auto"/>
                                <w:right w:val="none" w:sz="0" w:space="0" w:color="auto"/>
                              </w:divBdr>
                              <w:divsChild>
                                <w:div w:id="1287855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7855249">
      <w:marLeft w:val="0"/>
      <w:marRight w:val="0"/>
      <w:marTop w:val="0"/>
      <w:marBottom w:val="0"/>
      <w:divBdr>
        <w:top w:val="none" w:sz="0" w:space="0" w:color="auto"/>
        <w:left w:val="none" w:sz="0" w:space="0" w:color="auto"/>
        <w:bottom w:val="none" w:sz="0" w:space="0" w:color="auto"/>
        <w:right w:val="none" w:sz="0" w:space="0" w:color="auto"/>
      </w:divBdr>
    </w:div>
    <w:div w:id="1287855251">
      <w:marLeft w:val="0"/>
      <w:marRight w:val="0"/>
      <w:marTop w:val="0"/>
      <w:marBottom w:val="0"/>
      <w:divBdr>
        <w:top w:val="none" w:sz="0" w:space="0" w:color="auto"/>
        <w:left w:val="none" w:sz="0" w:space="0" w:color="auto"/>
        <w:bottom w:val="none" w:sz="0" w:space="0" w:color="auto"/>
        <w:right w:val="none" w:sz="0" w:space="0" w:color="auto"/>
      </w:divBdr>
    </w:div>
    <w:div w:id="1287855252">
      <w:marLeft w:val="0"/>
      <w:marRight w:val="0"/>
      <w:marTop w:val="0"/>
      <w:marBottom w:val="0"/>
      <w:divBdr>
        <w:top w:val="none" w:sz="0" w:space="0" w:color="auto"/>
        <w:left w:val="none" w:sz="0" w:space="0" w:color="auto"/>
        <w:bottom w:val="none" w:sz="0" w:space="0" w:color="auto"/>
        <w:right w:val="none" w:sz="0" w:space="0" w:color="auto"/>
      </w:divBdr>
    </w:div>
    <w:div w:id="1287855253">
      <w:marLeft w:val="0"/>
      <w:marRight w:val="0"/>
      <w:marTop w:val="0"/>
      <w:marBottom w:val="0"/>
      <w:divBdr>
        <w:top w:val="none" w:sz="0" w:space="0" w:color="auto"/>
        <w:left w:val="none" w:sz="0" w:space="0" w:color="auto"/>
        <w:bottom w:val="none" w:sz="0" w:space="0" w:color="auto"/>
        <w:right w:val="none" w:sz="0" w:space="0" w:color="auto"/>
      </w:divBdr>
      <w:divsChild>
        <w:div w:id="1287855104">
          <w:marLeft w:val="0"/>
          <w:marRight w:val="0"/>
          <w:marTop w:val="0"/>
          <w:marBottom w:val="0"/>
          <w:divBdr>
            <w:top w:val="none" w:sz="0" w:space="0" w:color="auto"/>
            <w:left w:val="none" w:sz="0" w:space="0" w:color="auto"/>
            <w:bottom w:val="none" w:sz="0" w:space="0" w:color="auto"/>
            <w:right w:val="none" w:sz="0" w:space="0" w:color="auto"/>
          </w:divBdr>
          <w:divsChild>
            <w:div w:id="1287855325">
              <w:marLeft w:val="0"/>
              <w:marRight w:val="0"/>
              <w:marTop w:val="0"/>
              <w:marBottom w:val="0"/>
              <w:divBdr>
                <w:top w:val="none" w:sz="0" w:space="0" w:color="auto"/>
                <w:left w:val="none" w:sz="0" w:space="0" w:color="auto"/>
                <w:bottom w:val="none" w:sz="0" w:space="0" w:color="auto"/>
                <w:right w:val="none" w:sz="0" w:space="0" w:color="auto"/>
              </w:divBdr>
              <w:divsChild>
                <w:div w:id="1287855130">
                  <w:marLeft w:val="0"/>
                  <w:marRight w:val="0"/>
                  <w:marTop w:val="0"/>
                  <w:marBottom w:val="0"/>
                  <w:divBdr>
                    <w:top w:val="none" w:sz="0" w:space="0" w:color="auto"/>
                    <w:left w:val="none" w:sz="0" w:space="0" w:color="auto"/>
                    <w:bottom w:val="none" w:sz="0" w:space="0" w:color="auto"/>
                    <w:right w:val="none" w:sz="0" w:space="0" w:color="auto"/>
                  </w:divBdr>
                  <w:divsChild>
                    <w:div w:id="1287855383">
                      <w:marLeft w:val="0"/>
                      <w:marRight w:val="0"/>
                      <w:marTop w:val="0"/>
                      <w:marBottom w:val="0"/>
                      <w:divBdr>
                        <w:top w:val="none" w:sz="0" w:space="0" w:color="auto"/>
                        <w:left w:val="none" w:sz="0" w:space="0" w:color="auto"/>
                        <w:bottom w:val="none" w:sz="0" w:space="0" w:color="auto"/>
                        <w:right w:val="none" w:sz="0" w:space="0" w:color="auto"/>
                      </w:divBdr>
                      <w:divsChild>
                        <w:div w:id="1287855318">
                          <w:marLeft w:val="0"/>
                          <w:marRight w:val="0"/>
                          <w:marTop w:val="0"/>
                          <w:marBottom w:val="0"/>
                          <w:divBdr>
                            <w:top w:val="none" w:sz="0" w:space="0" w:color="auto"/>
                            <w:left w:val="none" w:sz="0" w:space="0" w:color="auto"/>
                            <w:bottom w:val="none" w:sz="0" w:space="0" w:color="auto"/>
                            <w:right w:val="none" w:sz="0" w:space="0" w:color="auto"/>
                          </w:divBdr>
                          <w:divsChild>
                            <w:div w:id="1287855419">
                              <w:marLeft w:val="0"/>
                              <w:marRight w:val="0"/>
                              <w:marTop w:val="0"/>
                              <w:marBottom w:val="0"/>
                              <w:divBdr>
                                <w:top w:val="none" w:sz="0" w:space="0" w:color="auto"/>
                                <w:left w:val="none" w:sz="0" w:space="0" w:color="auto"/>
                                <w:bottom w:val="none" w:sz="0" w:space="0" w:color="auto"/>
                                <w:right w:val="none" w:sz="0" w:space="0" w:color="auto"/>
                              </w:divBdr>
                              <w:divsChild>
                                <w:div w:id="1287855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7855255">
      <w:marLeft w:val="0"/>
      <w:marRight w:val="0"/>
      <w:marTop w:val="0"/>
      <w:marBottom w:val="0"/>
      <w:divBdr>
        <w:top w:val="none" w:sz="0" w:space="0" w:color="auto"/>
        <w:left w:val="none" w:sz="0" w:space="0" w:color="auto"/>
        <w:bottom w:val="none" w:sz="0" w:space="0" w:color="auto"/>
        <w:right w:val="none" w:sz="0" w:space="0" w:color="auto"/>
      </w:divBdr>
      <w:divsChild>
        <w:div w:id="1287855427">
          <w:marLeft w:val="0"/>
          <w:marRight w:val="0"/>
          <w:marTop w:val="0"/>
          <w:marBottom w:val="0"/>
          <w:divBdr>
            <w:top w:val="none" w:sz="0" w:space="0" w:color="auto"/>
            <w:left w:val="none" w:sz="0" w:space="0" w:color="auto"/>
            <w:bottom w:val="none" w:sz="0" w:space="0" w:color="auto"/>
            <w:right w:val="none" w:sz="0" w:space="0" w:color="auto"/>
          </w:divBdr>
          <w:divsChild>
            <w:div w:id="1287855426">
              <w:marLeft w:val="0"/>
              <w:marRight w:val="0"/>
              <w:marTop w:val="0"/>
              <w:marBottom w:val="0"/>
              <w:divBdr>
                <w:top w:val="single" w:sz="2" w:space="0" w:color="FFFFFF"/>
                <w:left w:val="single" w:sz="6" w:space="0" w:color="FFFFFF"/>
                <w:bottom w:val="single" w:sz="6" w:space="0" w:color="FFFFFF"/>
                <w:right w:val="single" w:sz="6" w:space="0" w:color="FFFFFF"/>
              </w:divBdr>
              <w:divsChild>
                <w:div w:id="1287855278">
                  <w:marLeft w:val="0"/>
                  <w:marRight w:val="0"/>
                  <w:marTop w:val="0"/>
                  <w:marBottom w:val="0"/>
                  <w:divBdr>
                    <w:top w:val="single" w:sz="6" w:space="1" w:color="D3D3D3"/>
                    <w:left w:val="none" w:sz="0" w:space="0" w:color="auto"/>
                    <w:bottom w:val="none" w:sz="0" w:space="0" w:color="auto"/>
                    <w:right w:val="none" w:sz="0" w:space="0" w:color="auto"/>
                  </w:divBdr>
                  <w:divsChild>
                    <w:div w:id="1287855340">
                      <w:marLeft w:val="0"/>
                      <w:marRight w:val="0"/>
                      <w:marTop w:val="0"/>
                      <w:marBottom w:val="0"/>
                      <w:divBdr>
                        <w:top w:val="none" w:sz="0" w:space="0" w:color="auto"/>
                        <w:left w:val="none" w:sz="0" w:space="0" w:color="auto"/>
                        <w:bottom w:val="none" w:sz="0" w:space="0" w:color="auto"/>
                        <w:right w:val="none" w:sz="0" w:space="0" w:color="auto"/>
                      </w:divBdr>
                      <w:divsChild>
                        <w:div w:id="1287855348">
                          <w:marLeft w:val="0"/>
                          <w:marRight w:val="0"/>
                          <w:marTop w:val="0"/>
                          <w:marBottom w:val="0"/>
                          <w:divBdr>
                            <w:top w:val="none" w:sz="0" w:space="0" w:color="auto"/>
                            <w:left w:val="none" w:sz="0" w:space="0" w:color="auto"/>
                            <w:bottom w:val="none" w:sz="0" w:space="0" w:color="auto"/>
                            <w:right w:val="none" w:sz="0" w:space="0" w:color="auto"/>
                          </w:divBdr>
                          <w:divsChild>
                            <w:div w:id="1287855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7855257">
      <w:marLeft w:val="0"/>
      <w:marRight w:val="0"/>
      <w:marTop w:val="0"/>
      <w:marBottom w:val="0"/>
      <w:divBdr>
        <w:top w:val="none" w:sz="0" w:space="0" w:color="auto"/>
        <w:left w:val="none" w:sz="0" w:space="0" w:color="auto"/>
        <w:bottom w:val="none" w:sz="0" w:space="0" w:color="auto"/>
        <w:right w:val="none" w:sz="0" w:space="0" w:color="auto"/>
      </w:divBdr>
    </w:div>
    <w:div w:id="1287855259">
      <w:marLeft w:val="0"/>
      <w:marRight w:val="0"/>
      <w:marTop w:val="0"/>
      <w:marBottom w:val="0"/>
      <w:divBdr>
        <w:top w:val="none" w:sz="0" w:space="0" w:color="auto"/>
        <w:left w:val="none" w:sz="0" w:space="0" w:color="auto"/>
        <w:bottom w:val="none" w:sz="0" w:space="0" w:color="auto"/>
        <w:right w:val="none" w:sz="0" w:space="0" w:color="auto"/>
      </w:divBdr>
      <w:divsChild>
        <w:div w:id="1287855354">
          <w:marLeft w:val="0"/>
          <w:marRight w:val="0"/>
          <w:marTop w:val="0"/>
          <w:marBottom w:val="0"/>
          <w:divBdr>
            <w:top w:val="none" w:sz="0" w:space="0" w:color="auto"/>
            <w:left w:val="none" w:sz="0" w:space="0" w:color="auto"/>
            <w:bottom w:val="none" w:sz="0" w:space="0" w:color="auto"/>
            <w:right w:val="none" w:sz="0" w:space="0" w:color="auto"/>
          </w:divBdr>
          <w:divsChild>
            <w:div w:id="1287855301">
              <w:marLeft w:val="0"/>
              <w:marRight w:val="0"/>
              <w:marTop w:val="0"/>
              <w:marBottom w:val="0"/>
              <w:divBdr>
                <w:top w:val="single" w:sz="2" w:space="0" w:color="FFFFFF"/>
                <w:left w:val="single" w:sz="6" w:space="0" w:color="FFFFFF"/>
                <w:bottom w:val="single" w:sz="6" w:space="0" w:color="FFFFFF"/>
                <w:right w:val="single" w:sz="6" w:space="0" w:color="FFFFFF"/>
              </w:divBdr>
              <w:divsChild>
                <w:div w:id="1287855315">
                  <w:marLeft w:val="0"/>
                  <w:marRight w:val="0"/>
                  <w:marTop w:val="0"/>
                  <w:marBottom w:val="0"/>
                  <w:divBdr>
                    <w:top w:val="single" w:sz="6" w:space="1" w:color="D3D3D3"/>
                    <w:left w:val="none" w:sz="0" w:space="0" w:color="auto"/>
                    <w:bottom w:val="none" w:sz="0" w:space="0" w:color="auto"/>
                    <w:right w:val="none" w:sz="0" w:space="0" w:color="auto"/>
                  </w:divBdr>
                  <w:divsChild>
                    <w:div w:id="1287855344">
                      <w:marLeft w:val="0"/>
                      <w:marRight w:val="0"/>
                      <w:marTop w:val="0"/>
                      <w:marBottom w:val="0"/>
                      <w:divBdr>
                        <w:top w:val="none" w:sz="0" w:space="0" w:color="auto"/>
                        <w:left w:val="none" w:sz="0" w:space="0" w:color="auto"/>
                        <w:bottom w:val="none" w:sz="0" w:space="0" w:color="auto"/>
                        <w:right w:val="none" w:sz="0" w:space="0" w:color="auto"/>
                      </w:divBdr>
                      <w:divsChild>
                        <w:div w:id="1287855373">
                          <w:marLeft w:val="0"/>
                          <w:marRight w:val="0"/>
                          <w:marTop w:val="0"/>
                          <w:marBottom w:val="0"/>
                          <w:divBdr>
                            <w:top w:val="none" w:sz="0" w:space="0" w:color="auto"/>
                            <w:left w:val="none" w:sz="0" w:space="0" w:color="auto"/>
                            <w:bottom w:val="none" w:sz="0" w:space="0" w:color="auto"/>
                            <w:right w:val="none" w:sz="0" w:space="0" w:color="auto"/>
                          </w:divBdr>
                          <w:divsChild>
                            <w:div w:id="1287855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7855263">
      <w:marLeft w:val="0"/>
      <w:marRight w:val="0"/>
      <w:marTop w:val="0"/>
      <w:marBottom w:val="0"/>
      <w:divBdr>
        <w:top w:val="none" w:sz="0" w:space="0" w:color="auto"/>
        <w:left w:val="none" w:sz="0" w:space="0" w:color="auto"/>
        <w:bottom w:val="none" w:sz="0" w:space="0" w:color="auto"/>
        <w:right w:val="none" w:sz="0" w:space="0" w:color="auto"/>
      </w:divBdr>
      <w:divsChild>
        <w:div w:id="1287855466">
          <w:marLeft w:val="0"/>
          <w:marRight w:val="0"/>
          <w:marTop w:val="0"/>
          <w:marBottom w:val="0"/>
          <w:divBdr>
            <w:top w:val="none" w:sz="0" w:space="0" w:color="auto"/>
            <w:left w:val="none" w:sz="0" w:space="0" w:color="auto"/>
            <w:bottom w:val="none" w:sz="0" w:space="0" w:color="auto"/>
            <w:right w:val="none" w:sz="0" w:space="0" w:color="auto"/>
          </w:divBdr>
          <w:divsChild>
            <w:div w:id="1287855343">
              <w:marLeft w:val="0"/>
              <w:marRight w:val="0"/>
              <w:marTop w:val="0"/>
              <w:marBottom w:val="0"/>
              <w:divBdr>
                <w:top w:val="none" w:sz="0" w:space="0" w:color="auto"/>
                <w:left w:val="none" w:sz="0" w:space="0" w:color="auto"/>
                <w:bottom w:val="none" w:sz="0" w:space="0" w:color="auto"/>
                <w:right w:val="none" w:sz="0" w:space="0" w:color="auto"/>
              </w:divBdr>
              <w:divsChild>
                <w:div w:id="1287855396">
                  <w:marLeft w:val="0"/>
                  <w:marRight w:val="0"/>
                  <w:marTop w:val="0"/>
                  <w:marBottom w:val="0"/>
                  <w:divBdr>
                    <w:top w:val="none" w:sz="0" w:space="0" w:color="auto"/>
                    <w:left w:val="none" w:sz="0" w:space="0" w:color="auto"/>
                    <w:bottom w:val="none" w:sz="0" w:space="0" w:color="auto"/>
                    <w:right w:val="none" w:sz="0" w:space="0" w:color="auto"/>
                  </w:divBdr>
                  <w:divsChild>
                    <w:div w:id="1287855163">
                      <w:marLeft w:val="0"/>
                      <w:marRight w:val="0"/>
                      <w:marTop w:val="0"/>
                      <w:marBottom w:val="0"/>
                      <w:divBdr>
                        <w:top w:val="none" w:sz="0" w:space="0" w:color="auto"/>
                        <w:left w:val="none" w:sz="0" w:space="0" w:color="auto"/>
                        <w:bottom w:val="none" w:sz="0" w:space="0" w:color="auto"/>
                        <w:right w:val="none" w:sz="0" w:space="0" w:color="auto"/>
                      </w:divBdr>
                      <w:divsChild>
                        <w:div w:id="1287855237">
                          <w:marLeft w:val="0"/>
                          <w:marRight w:val="0"/>
                          <w:marTop w:val="0"/>
                          <w:marBottom w:val="0"/>
                          <w:divBdr>
                            <w:top w:val="none" w:sz="0" w:space="0" w:color="auto"/>
                            <w:left w:val="none" w:sz="0" w:space="0" w:color="auto"/>
                            <w:bottom w:val="none" w:sz="0" w:space="0" w:color="auto"/>
                            <w:right w:val="none" w:sz="0" w:space="0" w:color="auto"/>
                          </w:divBdr>
                          <w:divsChild>
                            <w:div w:id="1287855198">
                              <w:marLeft w:val="0"/>
                              <w:marRight w:val="0"/>
                              <w:marTop w:val="0"/>
                              <w:marBottom w:val="0"/>
                              <w:divBdr>
                                <w:top w:val="none" w:sz="0" w:space="0" w:color="auto"/>
                                <w:left w:val="none" w:sz="0" w:space="0" w:color="auto"/>
                                <w:bottom w:val="none" w:sz="0" w:space="0" w:color="auto"/>
                                <w:right w:val="none" w:sz="0" w:space="0" w:color="auto"/>
                              </w:divBdr>
                              <w:divsChild>
                                <w:div w:id="1287855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7855265">
      <w:marLeft w:val="0"/>
      <w:marRight w:val="0"/>
      <w:marTop w:val="0"/>
      <w:marBottom w:val="0"/>
      <w:divBdr>
        <w:top w:val="none" w:sz="0" w:space="0" w:color="auto"/>
        <w:left w:val="none" w:sz="0" w:space="0" w:color="auto"/>
        <w:bottom w:val="none" w:sz="0" w:space="0" w:color="auto"/>
        <w:right w:val="none" w:sz="0" w:space="0" w:color="auto"/>
      </w:divBdr>
      <w:divsChild>
        <w:div w:id="1287855423">
          <w:marLeft w:val="0"/>
          <w:marRight w:val="0"/>
          <w:marTop w:val="0"/>
          <w:marBottom w:val="0"/>
          <w:divBdr>
            <w:top w:val="none" w:sz="0" w:space="0" w:color="auto"/>
            <w:left w:val="none" w:sz="0" w:space="0" w:color="auto"/>
            <w:bottom w:val="none" w:sz="0" w:space="0" w:color="auto"/>
            <w:right w:val="none" w:sz="0" w:space="0" w:color="auto"/>
          </w:divBdr>
          <w:divsChild>
            <w:div w:id="1287855230">
              <w:marLeft w:val="0"/>
              <w:marRight w:val="0"/>
              <w:marTop w:val="0"/>
              <w:marBottom w:val="0"/>
              <w:divBdr>
                <w:top w:val="none" w:sz="0" w:space="0" w:color="auto"/>
                <w:left w:val="none" w:sz="0" w:space="0" w:color="auto"/>
                <w:bottom w:val="none" w:sz="0" w:space="0" w:color="auto"/>
                <w:right w:val="none" w:sz="0" w:space="0" w:color="auto"/>
              </w:divBdr>
              <w:divsChild>
                <w:div w:id="1287855382">
                  <w:marLeft w:val="0"/>
                  <w:marRight w:val="0"/>
                  <w:marTop w:val="0"/>
                  <w:marBottom w:val="0"/>
                  <w:divBdr>
                    <w:top w:val="none" w:sz="0" w:space="0" w:color="auto"/>
                    <w:left w:val="none" w:sz="0" w:space="0" w:color="auto"/>
                    <w:bottom w:val="none" w:sz="0" w:space="0" w:color="auto"/>
                    <w:right w:val="none" w:sz="0" w:space="0" w:color="auto"/>
                  </w:divBdr>
                  <w:divsChild>
                    <w:div w:id="1287855358">
                      <w:marLeft w:val="0"/>
                      <w:marRight w:val="0"/>
                      <w:marTop w:val="0"/>
                      <w:marBottom w:val="0"/>
                      <w:divBdr>
                        <w:top w:val="none" w:sz="0" w:space="0" w:color="auto"/>
                        <w:left w:val="none" w:sz="0" w:space="0" w:color="auto"/>
                        <w:bottom w:val="none" w:sz="0" w:space="0" w:color="auto"/>
                        <w:right w:val="none" w:sz="0" w:space="0" w:color="auto"/>
                      </w:divBdr>
                      <w:divsChild>
                        <w:div w:id="1287855298">
                          <w:marLeft w:val="0"/>
                          <w:marRight w:val="0"/>
                          <w:marTop w:val="0"/>
                          <w:marBottom w:val="0"/>
                          <w:divBdr>
                            <w:top w:val="none" w:sz="0" w:space="0" w:color="auto"/>
                            <w:left w:val="none" w:sz="0" w:space="0" w:color="auto"/>
                            <w:bottom w:val="none" w:sz="0" w:space="0" w:color="auto"/>
                            <w:right w:val="none" w:sz="0" w:space="0" w:color="auto"/>
                          </w:divBdr>
                          <w:divsChild>
                            <w:div w:id="1287855114">
                              <w:marLeft w:val="0"/>
                              <w:marRight w:val="0"/>
                              <w:marTop w:val="0"/>
                              <w:marBottom w:val="0"/>
                              <w:divBdr>
                                <w:top w:val="none" w:sz="0" w:space="0" w:color="auto"/>
                                <w:left w:val="none" w:sz="0" w:space="0" w:color="auto"/>
                                <w:bottom w:val="none" w:sz="0" w:space="0" w:color="auto"/>
                                <w:right w:val="none" w:sz="0" w:space="0" w:color="auto"/>
                              </w:divBdr>
                              <w:divsChild>
                                <w:div w:id="1287855082">
                                  <w:marLeft w:val="0"/>
                                  <w:marRight w:val="0"/>
                                  <w:marTop w:val="0"/>
                                  <w:marBottom w:val="0"/>
                                  <w:divBdr>
                                    <w:top w:val="none" w:sz="0" w:space="0" w:color="auto"/>
                                    <w:left w:val="none" w:sz="0" w:space="0" w:color="auto"/>
                                    <w:bottom w:val="none" w:sz="0" w:space="0" w:color="auto"/>
                                    <w:right w:val="none" w:sz="0" w:space="0" w:color="auto"/>
                                  </w:divBdr>
                                  <w:divsChild>
                                    <w:div w:id="1287855205">
                                      <w:marLeft w:val="0"/>
                                      <w:marRight w:val="0"/>
                                      <w:marTop w:val="0"/>
                                      <w:marBottom w:val="0"/>
                                      <w:divBdr>
                                        <w:top w:val="single" w:sz="4" w:space="0" w:color="F5F5F5"/>
                                        <w:left w:val="single" w:sz="4" w:space="0" w:color="F5F5F5"/>
                                        <w:bottom w:val="single" w:sz="4" w:space="0" w:color="F5F5F5"/>
                                        <w:right w:val="single" w:sz="4" w:space="0" w:color="F5F5F5"/>
                                      </w:divBdr>
                                      <w:divsChild>
                                        <w:div w:id="1287855327">
                                          <w:marLeft w:val="0"/>
                                          <w:marRight w:val="0"/>
                                          <w:marTop w:val="0"/>
                                          <w:marBottom w:val="0"/>
                                          <w:divBdr>
                                            <w:top w:val="none" w:sz="0" w:space="0" w:color="auto"/>
                                            <w:left w:val="none" w:sz="0" w:space="0" w:color="auto"/>
                                            <w:bottom w:val="none" w:sz="0" w:space="0" w:color="auto"/>
                                            <w:right w:val="none" w:sz="0" w:space="0" w:color="auto"/>
                                          </w:divBdr>
                                          <w:divsChild>
                                            <w:div w:id="1287855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87855266">
      <w:marLeft w:val="0"/>
      <w:marRight w:val="0"/>
      <w:marTop w:val="0"/>
      <w:marBottom w:val="0"/>
      <w:divBdr>
        <w:top w:val="none" w:sz="0" w:space="0" w:color="auto"/>
        <w:left w:val="none" w:sz="0" w:space="0" w:color="auto"/>
        <w:bottom w:val="none" w:sz="0" w:space="0" w:color="auto"/>
        <w:right w:val="none" w:sz="0" w:space="0" w:color="auto"/>
      </w:divBdr>
    </w:div>
    <w:div w:id="1287855268">
      <w:marLeft w:val="0"/>
      <w:marRight w:val="0"/>
      <w:marTop w:val="0"/>
      <w:marBottom w:val="0"/>
      <w:divBdr>
        <w:top w:val="none" w:sz="0" w:space="0" w:color="auto"/>
        <w:left w:val="none" w:sz="0" w:space="0" w:color="auto"/>
        <w:bottom w:val="none" w:sz="0" w:space="0" w:color="auto"/>
        <w:right w:val="none" w:sz="0" w:space="0" w:color="auto"/>
      </w:divBdr>
    </w:div>
    <w:div w:id="1287855269">
      <w:marLeft w:val="0"/>
      <w:marRight w:val="0"/>
      <w:marTop w:val="0"/>
      <w:marBottom w:val="0"/>
      <w:divBdr>
        <w:top w:val="none" w:sz="0" w:space="0" w:color="auto"/>
        <w:left w:val="none" w:sz="0" w:space="0" w:color="auto"/>
        <w:bottom w:val="none" w:sz="0" w:space="0" w:color="auto"/>
        <w:right w:val="none" w:sz="0" w:space="0" w:color="auto"/>
      </w:divBdr>
      <w:divsChild>
        <w:div w:id="1287855202">
          <w:marLeft w:val="0"/>
          <w:marRight w:val="0"/>
          <w:marTop w:val="0"/>
          <w:marBottom w:val="0"/>
          <w:divBdr>
            <w:top w:val="none" w:sz="0" w:space="0" w:color="auto"/>
            <w:left w:val="none" w:sz="0" w:space="0" w:color="auto"/>
            <w:bottom w:val="none" w:sz="0" w:space="0" w:color="auto"/>
            <w:right w:val="none" w:sz="0" w:space="0" w:color="auto"/>
          </w:divBdr>
          <w:divsChild>
            <w:div w:id="1287855176">
              <w:marLeft w:val="0"/>
              <w:marRight w:val="0"/>
              <w:marTop w:val="0"/>
              <w:marBottom w:val="0"/>
              <w:divBdr>
                <w:top w:val="none" w:sz="0" w:space="0" w:color="auto"/>
                <w:left w:val="none" w:sz="0" w:space="0" w:color="auto"/>
                <w:bottom w:val="none" w:sz="0" w:space="0" w:color="auto"/>
                <w:right w:val="none" w:sz="0" w:space="0" w:color="auto"/>
              </w:divBdr>
              <w:divsChild>
                <w:div w:id="1287855137">
                  <w:marLeft w:val="0"/>
                  <w:marRight w:val="0"/>
                  <w:marTop w:val="0"/>
                  <w:marBottom w:val="0"/>
                  <w:divBdr>
                    <w:top w:val="none" w:sz="0" w:space="0" w:color="auto"/>
                    <w:left w:val="none" w:sz="0" w:space="0" w:color="auto"/>
                    <w:bottom w:val="none" w:sz="0" w:space="0" w:color="auto"/>
                    <w:right w:val="none" w:sz="0" w:space="0" w:color="auto"/>
                  </w:divBdr>
                  <w:divsChild>
                    <w:div w:id="1287855387">
                      <w:marLeft w:val="0"/>
                      <w:marRight w:val="0"/>
                      <w:marTop w:val="0"/>
                      <w:marBottom w:val="0"/>
                      <w:divBdr>
                        <w:top w:val="none" w:sz="0" w:space="0" w:color="auto"/>
                        <w:left w:val="none" w:sz="0" w:space="0" w:color="auto"/>
                        <w:bottom w:val="none" w:sz="0" w:space="0" w:color="auto"/>
                        <w:right w:val="none" w:sz="0" w:space="0" w:color="auto"/>
                      </w:divBdr>
                      <w:divsChild>
                        <w:div w:id="1287855225">
                          <w:marLeft w:val="0"/>
                          <w:marRight w:val="0"/>
                          <w:marTop w:val="0"/>
                          <w:marBottom w:val="0"/>
                          <w:divBdr>
                            <w:top w:val="none" w:sz="0" w:space="0" w:color="auto"/>
                            <w:left w:val="none" w:sz="0" w:space="0" w:color="auto"/>
                            <w:bottom w:val="none" w:sz="0" w:space="0" w:color="auto"/>
                            <w:right w:val="none" w:sz="0" w:space="0" w:color="auto"/>
                          </w:divBdr>
                          <w:divsChild>
                            <w:div w:id="1287855248">
                              <w:marLeft w:val="0"/>
                              <w:marRight w:val="0"/>
                              <w:marTop w:val="0"/>
                              <w:marBottom w:val="0"/>
                              <w:divBdr>
                                <w:top w:val="none" w:sz="0" w:space="0" w:color="auto"/>
                                <w:left w:val="none" w:sz="0" w:space="0" w:color="auto"/>
                                <w:bottom w:val="none" w:sz="0" w:space="0" w:color="auto"/>
                                <w:right w:val="none" w:sz="0" w:space="0" w:color="auto"/>
                              </w:divBdr>
                              <w:divsChild>
                                <w:div w:id="1287855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7855270">
      <w:marLeft w:val="0"/>
      <w:marRight w:val="0"/>
      <w:marTop w:val="0"/>
      <w:marBottom w:val="0"/>
      <w:divBdr>
        <w:top w:val="none" w:sz="0" w:space="0" w:color="auto"/>
        <w:left w:val="none" w:sz="0" w:space="0" w:color="auto"/>
        <w:bottom w:val="none" w:sz="0" w:space="0" w:color="auto"/>
        <w:right w:val="none" w:sz="0" w:space="0" w:color="auto"/>
      </w:divBdr>
    </w:div>
    <w:div w:id="1287855273">
      <w:marLeft w:val="0"/>
      <w:marRight w:val="0"/>
      <w:marTop w:val="0"/>
      <w:marBottom w:val="0"/>
      <w:divBdr>
        <w:top w:val="none" w:sz="0" w:space="0" w:color="auto"/>
        <w:left w:val="none" w:sz="0" w:space="0" w:color="auto"/>
        <w:bottom w:val="none" w:sz="0" w:space="0" w:color="auto"/>
        <w:right w:val="none" w:sz="0" w:space="0" w:color="auto"/>
      </w:divBdr>
    </w:div>
    <w:div w:id="1287855275">
      <w:marLeft w:val="0"/>
      <w:marRight w:val="0"/>
      <w:marTop w:val="0"/>
      <w:marBottom w:val="0"/>
      <w:divBdr>
        <w:top w:val="none" w:sz="0" w:space="0" w:color="auto"/>
        <w:left w:val="none" w:sz="0" w:space="0" w:color="auto"/>
        <w:bottom w:val="none" w:sz="0" w:space="0" w:color="auto"/>
        <w:right w:val="none" w:sz="0" w:space="0" w:color="auto"/>
      </w:divBdr>
    </w:div>
    <w:div w:id="1287855276">
      <w:marLeft w:val="0"/>
      <w:marRight w:val="0"/>
      <w:marTop w:val="0"/>
      <w:marBottom w:val="0"/>
      <w:divBdr>
        <w:top w:val="none" w:sz="0" w:space="0" w:color="auto"/>
        <w:left w:val="none" w:sz="0" w:space="0" w:color="auto"/>
        <w:bottom w:val="none" w:sz="0" w:space="0" w:color="auto"/>
        <w:right w:val="none" w:sz="0" w:space="0" w:color="auto"/>
      </w:divBdr>
      <w:divsChild>
        <w:div w:id="1287855397">
          <w:marLeft w:val="0"/>
          <w:marRight w:val="0"/>
          <w:marTop w:val="0"/>
          <w:marBottom w:val="0"/>
          <w:divBdr>
            <w:top w:val="none" w:sz="0" w:space="0" w:color="auto"/>
            <w:left w:val="none" w:sz="0" w:space="0" w:color="auto"/>
            <w:bottom w:val="none" w:sz="0" w:space="0" w:color="auto"/>
            <w:right w:val="none" w:sz="0" w:space="0" w:color="auto"/>
          </w:divBdr>
          <w:divsChild>
            <w:div w:id="1287855118">
              <w:marLeft w:val="0"/>
              <w:marRight w:val="0"/>
              <w:marTop w:val="0"/>
              <w:marBottom w:val="0"/>
              <w:divBdr>
                <w:top w:val="single" w:sz="2" w:space="0" w:color="FFFFFF"/>
                <w:left w:val="single" w:sz="6" w:space="0" w:color="FFFFFF"/>
                <w:bottom w:val="single" w:sz="6" w:space="0" w:color="FFFFFF"/>
                <w:right w:val="single" w:sz="6" w:space="0" w:color="FFFFFF"/>
              </w:divBdr>
              <w:divsChild>
                <w:div w:id="1287855388">
                  <w:marLeft w:val="0"/>
                  <w:marRight w:val="0"/>
                  <w:marTop w:val="0"/>
                  <w:marBottom w:val="0"/>
                  <w:divBdr>
                    <w:top w:val="single" w:sz="6" w:space="1" w:color="D3D3D3"/>
                    <w:left w:val="none" w:sz="0" w:space="0" w:color="auto"/>
                    <w:bottom w:val="none" w:sz="0" w:space="0" w:color="auto"/>
                    <w:right w:val="none" w:sz="0" w:space="0" w:color="auto"/>
                  </w:divBdr>
                  <w:divsChild>
                    <w:div w:id="1287855161">
                      <w:marLeft w:val="0"/>
                      <w:marRight w:val="0"/>
                      <w:marTop w:val="0"/>
                      <w:marBottom w:val="0"/>
                      <w:divBdr>
                        <w:top w:val="none" w:sz="0" w:space="0" w:color="auto"/>
                        <w:left w:val="none" w:sz="0" w:space="0" w:color="auto"/>
                        <w:bottom w:val="none" w:sz="0" w:space="0" w:color="auto"/>
                        <w:right w:val="none" w:sz="0" w:space="0" w:color="auto"/>
                      </w:divBdr>
                      <w:divsChild>
                        <w:div w:id="1287855370">
                          <w:marLeft w:val="0"/>
                          <w:marRight w:val="0"/>
                          <w:marTop w:val="0"/>
                          <w:marBottom w:val="0"/>
                          <w:divBdr>
                            <w:top w:val="none" w:sz="0" w:space="0" w:color="auto"/>
                            <w:left w:val="none" w:sz="0" w:space="0" w:color="auto"/>
                            <w:bottom w:val="none" w:sz="0" w:space="0" w:color="auto"/>
                            <w:right w:val="none" w:sz="0" w:space="0" w:color="auto"/>
                          </w:divBdr>
                          <w:divsChild>
                            <w:div w:id="1287855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7855281">
      <w:marLeft w:val="0"/>
      <w:marRight w:val="0"/>
      <w:marTop w:val="0"/>
      <w:marBottom w:val="0"/>
      <w:divBdr>
        <w:top w:val="none" w:sz="0" w:space="0" w:color="auto"/>
        <w:left w:val="none" w:sz="0" w:space="0" w:color="auto"/>
        <w:bottom w:val="none" w:sz="0" w:space="0" w:color="auto"/>
        <w:right w:val="none" w:sz="0" w:space="0" w:color="auto"/>
      </w:divBdr>
    </w:div>
    <w:div w:id="1287855282">
      <w:marLeft w:val="0"/>
      <w:marRight w:val="0"/>
      <w:marTop w:val="0"/>
      <w:marBottom w:val="0"/>
      <w:divBdr>
        <w:top w:val="none" w:sz="0" w:space="0" w:color="auto"/>
        <w:left w:val="none" w:sz="0" w:space="0" w:color="auto"/>
        <w:bottom w:val="none" w:sz="0" w:space="0" w:color="auto"/>
        <w:right w:val="none" w:sz="0" w:space="0" w:color="auto"/>
      </w:divBdr>
    </w:div>
    <w:div w:id="1287855284">
      <w:marLeft w:val="0"/>
      <w:marRight w:val="0"/>
      <w:marTop w:val="0"/>
      <w:marBottom w:val="0"/>
      <w:divBdr>
        <w:top w:val="none" w:sz="0" w:space="0" w:color="auto"/>
        <w:left w:val="none" w:sz="0" w:space="0" w:color="auto"/>
        <w:bottom w:val="none" w:sz="0" w:space="0" w:color="auto"/>
        <w:right w:val="none" w:sz="0" w:space="0" w:color="auto"/>
      </w:divBdr>
      <w:divsChild>
        <w:div w:id="1287855304">
          <w:marLeft w:val="0"/>
          <w:marRight w:val="0"/>
          <w:marTop w:val="0"/>
          <w:marBottom w:val="0"/>
          <w:divBdr>
            <w:top w:val="none" w:sz="0" w:space="0" w:color="auto"/>
            <w:left w:val="none" w:sz="0" w:space="0" w:color="auto"/>
            <w:bottom w:val="none" w:sz="0" w:space="0" w:color="auto"/>
            <w:right w:val="none" w:sz="0" w:space="0" w:color="auto"/>
          </w:divBdr>
          <w:divsChild>
            <w:div w:id="1287855448">
              <w:marLeft w:val="0"/>
              <w:marRight w:val="0"/>
              <w:marTop w:val="0"/>
              <w:marBottom w:val="0"/>
              <w:divBdr>
                <w:top w:val="none" w:sz="0" w:space="0" w:color="auto"/>
                <w:left w:val="none" w:sz="0" w:space="0" w:color="auto"/>
                <w:bottom w:val="none" w:sz="0" w:space="0" w:color="auto"/>
                <w:right w:val="none" w:sz="0" w:space="0" w:color="auto"/>
              </w:divBdr>
              <w:divsChild>
                <w:div w:id="1287855440">
                  <w:marLeft w:val="0"/>
                  <w:marRight w:val="0"/>
                  <w:marTop w:val="0"/>
                  <w:marBottom w:val="0"/>
                  <w:divBdr>
                    <w:top w:val="none" w:sz="0" w:space="0" w:color="auto"/>
                    <w:left w:val="none" w:sz="0" w:space="0" w:color="auto"/>
                    <w:bottom w:val="none" w:sz="0" w:space="0" w:color="auto"/>
                    <w:right w:val="none" w:sz="0" w:space="0" w:color="auto"/>
                  </w:divBdr>
                  <w:divsChild>
                    <w:div w:id="1287855424">
                      <w:marLeft w:val="0"/>
                      <w:marRight w:val="0"/>
                      <w:marTop w:val="0"/>
                      <w:marBottom w:val="0"/>
                      <w:divBdr>
                        <w:top w:val="none" w:sz="0" w:space="0" w:color="auto"/>
                        <w:left w:val="none" w:sz="0" w:space="0" w:color="auto"/>
                        <w:bottom w:val="none" w:sz="0" w:space="0" w:color="auto"/>
                        <w:right w:val="none" w:sz="0" w:space="0" w:color="auto"/>
                      </w:divBdr>
                      <w:divsChild>
                        <w:div w:id="1287855317">
                          <w:marLeft w:val="0"/>
                          <w:marRight w:val="0"/>
                          <w:marTop w:val="0"/>
                          <w:marBottom w:val="0"/>
                          <w:divBdr>
                            <w:top w:val="none" w:sz="0" w:space="0" w:color="auto"/>
                            <w:left w:val="none" w:sz="0" w:space="0" w:color="auto"/>
                            <w:bottom w:val="none" w:sz="0" w:space="0" w:color="auto"/>
                            <w:right w:val="none" w:sz="0" w:space="0" w:color="auto"/>
                          </w:divBdr>
                          <w:divsChild>
                            <w:div w:id="1287855264">
                              <w:marLeft w:val="0"/>
                              <w:marRight w:val="0"/>
                              <w:marTop w:val="0"/>
                              <w:marBottom w:val="0"/>
                              <w:divBdr>
                                <w:top w:val="none" w:sz="0" w:space="0" w:color="auto"/>
                                <w:left w:val="none" w:sz="0" w:space="0" w:color="auto"/>
                                <w:bottom w:val="none" w:sz="0" w:space="0" w:color="auto"/>
                                <w:right w:val="none" w:sz="0" w:space="0" w:color="auto"/>
                              </w:divBdr>
                              <w:divsChild>
                                <w:div w:id="1287855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7855286">
      <w:marLeft w:val="0"/>
      <w:marRight w:val="0"/>
      <w:marTop w:val="0"/>
      <w:marBottom w:val="0"/>
      <w:divBdr>
        <w:top w:val="none" w:sz="0" w:space="0" w:color="auto"/>
        <w:left w:val="none" w:sz="0" w:space="0" w:color="auto"/>
        <w:bottom w:val="none" w:sz="0" w:space="0" w:color="auto"/>
        <w:right w:val="none" w:sz="0" w:space="0" w:color="auto"/>
      </w:divBdr>
    </w:div>
    <w:div w:id="1287855287">
      <w:marLeft w:val="0"/>
      <w:marRight w:val="0"/>
      <w:marTop w:val="0"/>
      <w:marBottom w:val="0"/>
      <w:divBdr>
        <w:top w:val="none" w:sz="0" w:space="0" w:color="auto"/>
        <w:left w:val="none" w:sz="0" w:space="0" w:color="auto"/>
        <w:bottom w:val="none" w:sz="0" w:space="0" w:color="auto"/>
        <w:right w:val="none" w:sz="0" w:space="0" w:color="auto"/>
      </w:divBdr>
      <w:divsChild>
        <w:div w:id="1287855277">
          <w:marLeft w:val="0"/>
          <w:marRight w:val="0"/>
          <w:marTop w:val="0"/>
          <w:marBottom w:val="0"/>
          <w:divBdr>
            <w:top w:val="none" w:sz="0" w:space="0" w:color="auto"/>
            <w:left w:val="none" w:sz="0" w:space="0" w:color="auto"/>
            <w:bottom w:val="none" w:sz="0" w:space="0" w:color="auto"/>
            <w:right w:val="none" w:sz="0" w:space="0" w:color="auto"/>
          </w:divBdr>
        </w:div>
      </w:divsChild>
    </w:div>
    <w:div w:id="1287855293">
      <w:marLeft w:val="0"/>
      <w:marRight w:val="0"/>
      <w:marTop w:val="0"/>
      <w:marBottom w:val="0"/>
      <w:divBdr>
        <w:top w:val="none" w:sz="0" w:space="0" w:color="auto"/>
        <w:left w:val="none" w:sz="0" w:space="0" w:color="auto"/>
        <w:bottom w:val="none" w:sz="0" w:space="0" w:color="auto"/>
        <w:right w:val="none" w:sz="0" w:space="0" w:color="auto"/>
      </w:divBdr>
    </w:div>
    <w:div w:id="1287855294">
      <w:marLeft w:val="0"/>
      <w:marRight w:val="0"/>
      <w:marTop w:val="0"/>
      <w:marBottom w:val="0"/>
      <w:divBdr>
        <w:top w:val="none" w:sz="0" w:space="0" w:color="auto"/>
        <w:left w:val="none" w:sz="0" w:space="0" w:color="auto"/>
        <w:bottom w:val="none" w:sz="0" w:space="0" w:color="auto"/>
        <w:right w:val="none" w:sz="0" w:space="0" w:color="auto"/>
      </w:divBdr>
    </w:div>
    <w:div w:id="1287855296">
      <w:marLeft w:val="0"/>
      <w:marRight w:val="0"/>
      <w:marTop w:val="0"/>
      <w:marBottom w:val="0"/>
      <w:divBdr>
        <w:top w:val="none" w:sz="0" w:space="0" w:color="auto"/>
        <w:left w:val="none" w:sz="0" w:space="0" w:color="auto"/>
        <w:bottom w:val="none" w:sz="0" w:space="0" w:color="auto"/>
        <w:right w:val="none" w:sz="0" w:space="0" w:color="auto"/>
      </w:divBdr>
      <w:divsChild>
        <w:div w:id="1287855421">
          <w:marLeft w:val="0"/>
          <w:marRight w:val="0"/>
          <w:marTop w:val="0"/>
          <w:marBottom w:val="0"/>
          <w:divBdr>
            <w:top w:val="none" w:sz="0" w:space="0" w:color="auto"/>
            <w:left w:val="none" w:sz="0" w:space="0" w:color="auto"/>
            <w:bottom w:val="none" w:sz="0" w:space="0" w:color="auto"/>
            <w:right w:val="none" w:sz="0" w:space="0" w:color="auto"/>
          </w:divBdr>
          <w:divsChild>
            <w:div w:id="1287855402">
              <w:marLeft w:val="0"/>
              <w:marRight w:val="0"/>
              <w:marTop w:val="0"/>
              <w:marBottom w:val="0"/>
              <w:divBdr>
                <w:top w:val="none" w:sz="0" w:space="0" w:color="auto"/>
                <w:left w:val="none" w:sz="0" w:space="0" w:color="auto"/>
                <w:bottom w:val="none" w:sz="0" w:space="0" w:color="auto"/>
                <w:right w:val="none" w:sz="0" w:space="0" w:color="auto"/>
              </w:divBdr>
              <w:divsChild>
                <w:div w:id="1287855160">
                  <w:marLeft w:val="0"/>
                  <w:marRight w:val="0"/>
                  <w:marTop w:val="0"/>
                  <w:marBottom w:val="0"/>
                  <w:divBdr>
                    <w:top w:val="none" w:sz="0" w:space="0" w:color="auto"/>
                    <w:left w:val="none" w:sz="0" w:space="0" w:color="auto"/>
                    <w:bottom w:val="none" w:sz="0" w:space="0" w:color="auto"/>
                    <w:right w:val="none" w:sz="0" w:space="0" w:color="auto"/>
                  </w:divBdr>
                  <w:divsChild>
                    <w:div w:id="1287855390">
                      <w:marLeft w:val="0"/>
                      <w:marRight w:val="0"/>
                      <w:marTop w:val="0"/>
                      <w:marBottom w:val="0"/>
                      <w:divBdr>
                        <w:top w:val="none" w:sz="0" w:space="0" w:color="auto"/>
                        <w:left w:val="none" w:sz="0" w:space="0" w:color="auto"/>
                        <w:bottom w:val="none" w:sz="0" w:space="0" w:color="auto"/>
                        <w:right w:val="none" w:sz="0" w:space="0" w:color="auto"/>
                      </w:divBdr>
                      <w:divsChild>
                        <w:div w:id="1287855379">
                          <w:marLeft w:val="0"/>
                          <w:marRight w:val="0"/>
                          <w:marTop w:val="0"/>
                          <w:marBottom w:val="0"/>
                          <w:divBdr>
                            <w:top w:val="none" w:sz="0" w:space="0" w:color="auto"/>
                            <w:left w:val="none" w:sz="0" w:space="0" w:color="auto"/>
                            <w:bottom w:val="none" w:sz="0" w:space="0" w:color="auto"/>
                            <w:right w:val="none" w:sz="0" w:space="0" w:color="auto"/>
                          </w:divBdr>
                          <w:divsChild>
                            <w:div w:id="1287855148">
                              <w:marLeft w:val="0"/>
                              <w:marRight w:val="0"/>
                              <w:marTop w:val="0"/>
                              <w:marBottom w:val="0"/>
                              <w:divBdr>
                                <w:top w:val="none" w:sz="0" w:space="0" w:color="auto"/>
                                <w:left w:val="none" w:sz="0" w:space="0" w:color="auto"/>
                                <w:bottom w:val="none" w:sz="0" w:space="0" w:color="auto"/>
                                <w:right w:val="none" w:sz="0" w:space="0" w:color="auto"/>
                              </w:divBdr>
                              <w:divsChild>
                                <w:div w:id="1287855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7855297">
      <w:marLeft w:val="0"/>
      <w:marRight w:val="0"/>
      <w:marTop w:val="0"/>
      <w:marBottom w:val="0"/>
      <w:divBdr>
        <w:top w:val="none" w:sz="0" w:space="0" w:color="auto"/>
        <w:left w:val="none" w:sz="0" w:space="0" w:color="auto"/>
        <w:bottom w:val="none" w:sz="0" w:space="0" w:color="auto"/>
        <w:right w:val="none" w:sz="0" w:space="0" w:color="auto"/>
      </w:divBdr>
    </w:div>
    <w:div w:id="1287855306">
      <w:marLeft w:val="0"/>
      <w:marRight w:val="0"/>
      <w:marTop w:val="0"/>
      <w:marBottom w:val="0"/>
      <w:divBdr>
        <w:top w:val="none" w:sz="0" w:space="0" w:color="auto"/>
        <w:left w:val="none" w:sz="0" w:space="0" w:color="auto"/>
        <w:bottom w:val="none" w:sz="0" w:space="0" w:color="auto"/>
        <w:right w:val="none" w:sz="0" w:space="0" w:color="auto"/>
      </w:divBdr>
    </w:div>
    <w:div w:id="1287855308">
      <w:marLeft w:val="0"/>
      <w:marRight w:val="0"/>
      <w:marTop w:val="0"/>
      <w:marBottom w:val="0"/>
      <w:divBdr>
        <w:top w:val="none" w:sz="0" w:space="0" w:color="auto"/>
        <w:left w:val="none" w:sz="0" w:space="0" w:color="auto"/>
        <w:bottom w:val="none" w:sz="0" w:space="0" w:color="auto"/>
        <w:right w:val="none" w:sz="0" w:space="0" w:color="auto"/>
      </w:divBdr>
    </w:div>
    <w:div w:id="1287855310">
      <w:marLeft w:val="0"/>
      <w:marRight w:val="0"/>
      <w:marTop w:val="0"/>
      <w:marBottom w:val="0"/>
      <w:divBdr>
        <w:top w:val="none" w:sz="0" w:space="0" w:color="auto"/>
        <w:left w:val="none" w:sz="0" w:space="0" w:color="auto"/>
        <w:bottom w:val="none" w:sz="0" w:space="0" w:color="auto"/>
        <w:right w:val="none" w:sz="0" w:space="0" w:color="auto"/>
      </w:divBdr>
    </w:div>
    <w:div w:id="1287855311">
      <w:marLeft w:val="0"/>
      <w:marRight w:val="0"/>
      <w:marTop w:val="0"/>
      <w:marBottom w:val="0"/>
      <w:divBdr>
        <w:top w:val="none" w:sz="0" w:space="0" w:color="auto"/>
        <w:left w:val="none" w:sz="0" w:space="0" w:color="auto"/>
        <w:bottom w:val="none" w:sz="0" w:space="0" w:color="auto"/>
        <w:right w:val="none" w:sz="0" w:space="0" w:color="auto"/>
      </w:divBdr>
    </w:div>
    <w:div w:id="1287855314">
      <w:marLeft w:val="0"/>
      <w:marRight w:val="0"/>
      <w:marTop w:val="0"/>
      <w:marBottom w:val="0"/>
      <w:divBdr>
        <w:top w:val="none" w:sz="0" w:space="0" w:color="auto"/>
        <w:left w:val="none" w:sz="0" w:space="0" w:color="auto"/>
        <w:bottom w:val="none" w:sz="0" w:space="0" w:color="auto"/>
        <w:right w:val="none" w:sz="0" w:space="0" w:color="auto"/>
      </w:divBdr>
    </w:div>
    <w:div w:id="1287855316">
      <w:marLeft w:val="0"/>
      <w:marRight w:val="0"/>
      <w:marTop w:val="0"/>
      <w:marBottom w:val="0"/>
      <w:divBdr>
        <w:top w:val="none" w:sz="0" w:space="0" w:color="auto"/>
        <w:left w:val="none" w:sz="0" w:space="0" w:color="auto"/>
        <w:bottom w:val="none" w:sz="0" w:space="0" w:color="auto"/>
        <w:right w:val="none" w:sz="0" w:space="0" w:color="auto"/>
      </w:divBdr>
      <w:divsChild>
        <w:div w:id="1287855443">
          <w:marLeft w:val="0"/>
          <w:marRight w:val="0"/>
          <w:marTop w:val="0"/>
          <w:marBottom w:val="0"/>
          <w:divBdr>
            <w:top w:val="none" w:sz="0" w:space="0" w:color="auto"/>
            <w:left w:val="none" w:sz="0" w:space="0" w:color="auto"/>
            <w:bottom w:val="none" w:sz="0" w:space="0" w:color="auto"/>
            <w:right w:val="none" w:sz="0" w:space="0" w:color="auto"/>
          </w:divBdr>
          <w:divsChild>
            <w:div w:id="1287855323">
              <w:marLeft w:val="0"/>
              <w:marRight w:val="0"/>
              <w:marTop w:val="0"/>
              <w:marBottom w:val="0"/>
              <w:divBdr>
                <w:top w:val="none" w:sz="0" w:space="0" w:color="auto"/>
                <w:left w:val="none" w:sz="0" w:space="0" w:color="auto"/>
                <w:bottom w:val="none" w:sz="0" w:space="0" w:color="auto"/>
                <w:right w:val="none" w:sz="0" w:space="0" w:color="auto"/>
              </w:divBdr>
              <w:divsChild>
                <w:div w:id="1287855346">
                  <w:marLeft w:val="0"/>
                  <w:marRight w:val="0"/>
                  <w:marTop w:val="0"/>
                  <w:marBottom w:val="0"/>
                  <w:divBdr>
                    <w:top w:val="none" w:sz="0" w:space="0" w:color="auto"/>
                    <w:left w:val="none" w:sz="0" w:space="0" w:color="auto"/>
                    <w:bottom w:val="none" w:sz="0" w:space="0" w:color="auto"/>
                    <w:right w:val="none" w:sz="0" w:space="0" w:color="auto"/>
                  </w:divBdr>
                  <w:divsChild>
                    <w:div w:id="1287855422">
                      <w:marLeft w:val="0"/>
                      <w:marRight w:val="0"/>
                      <w:marTop w:val="0"/>
                      <w:marBottom w:val="0"/>
                      <w:divBdr>
                        <w:top w:val="none" w:sz="0" w:space="0" w:color="auto"/>
                        <w:left w:val="none" w:sz="0" w:space="0" w:color="auto"/>
                        <w:bottom w:val="none" w:sz="0" w:space="0" w:color="auto"/>
                        <w:right w:val="none" w:sz="0" w:space="0" w:color="auto"/>
                      </w:divBdr>
                      <w:divsChild>
                        <w:div w:id="1287855183">
                          <w:marLeft w:val="0"/>
                          <w:marRight w:val="0"/>
                          <w:marTop w:val="0"/>
                          <w:marBottom w:val="0"/>
                          <w:divBdr>
                            <w:top w:val="none" w:sz="0" w:space="0" w:color="auto"/>
                            <w:left w:val="none" w:sz="0" w:space="0" w:color="auto"/>
                            <w:bottom w:val="none" w:sz="0" w:space="0" w:color="auto"/>
                            <w:right w:val="none" w:sz="0" w:space="0" w:color="auto"/>
                          </w:divBdr>
                          <w:divsChild>
                            <w:div w:id="1287855280">
                              <w:marLeft w:val="0"/>
                              <w:marRight w:val="0"/>
                              <w:marTop w:val="0"/>
                              <w:marBottom w:val="0"/>
                              <w:divBdr>
                                <w:top w:val="none" w:sz="0" w:space="0" w:color="auto"/>
                                <w:left w:val="none" w:sz="0" w:space="0" w:color="auto"/>
                                <w:bottom w:val="none" w:sz="0" w:space="0" w:color="auto"/>
                                <w:right w:val="none" w:sz="0" w:space="0" w:color="auto"/>
                              </w:divBdr>
                              <w:divsChild>
                                <w:div w:id="1287855142">
                                  <w:marLeft w:val="0"/>
                                  <w:marRight w:val="0"/>
                                  <w:marTop w:val="0"/>
                                  <w:marBottom w:val="0"/>
                                  <w:divBdr>
                                    <w:top w:val="none" w:sz="0" w:space="0" w:color="auto"/>
                                    <w:left w:val="none" w:sz="0" w:space="0" w:color="auto"/>
                                    <w:bottom w:val="none" w:sz="0" w:space="0" w:color="auto"/>
                                    <w:right w:val="none" w:sz="0" w:space="0" w:color="auto"/>
                                  </w:divBdr>
                                  <w:divsChild>
                                    <w:div w:id="1287855262">
                                      <w:marLeft w:val="0"/>
                                      <w:marRight w:val="0"/>
                                      <w:marTop w:val="0"/>
                                      <w:marBottom w:val="0"/>
                                      <w:divBdr>
                                        <w:top w:val="single" w:sz="4" w:space="0" w:color="F5F5F5"/>
                                        <w:left w:val="single" w:sz="4" w:space="0" w:color="F5F5F5"/>
                                        <w:bottom w:val="single" w:sz="4" w:space="0" w:color="F5F5F5"/>
                                        <w:right w:val="single" w:sz="4" w:space="0" w:color="F5F5F5"/>
                                      </w:divBdr>
                                      <w:divsChild>
                                        <w:div w:id="1287855398">
                                          <w:marLeft w:val="0"/>
                                          <w:marRight w:val="0"/>
                                          <w:marTop w:val="0"/>
                                          <w:marBottom w:val="0"/>
                                          <w:divBdr>
                                            <w:top w:val="none" w:sz="0" w:space="0" w:color="auto"/>
                                            <w:left w:val="none" w:sz="0" w:space="0" w:color="auto"/>
                                            <w:bottom w:val="none" w:sz="0" w:space="0" w:color="auto"/>
                                            <w:right w:val="none" w:sz="0" w:space="0" w:color="auto"/>
                                          </w:divBdr>
                                          <w:divsChild>
                                            <w:div w:id="128785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87855319">
      <w:marLeft w:val="0"/>
      <w:marRight w:val="0"/>
      <w:marTop w:val="0"/>
      <w:marBottom w:val="0"/>
      <w:divBdr>
        <w:top w:val="none" w:sz="0" w:space="0" w:color="auto"/>
        <w:left w:val="none" w:sz="0" w:space="0" w:color="auto"/>
        <w:bottom w:val="none" w:sz="0" w:space="0" w:color="auto"/>
        <w:right w:val="none" w:sz="0" w:space="0" w:color="auto"/>
      </w:divBdr>
      <w:divsChild>
        <w:div w:id="1287855103">
          <w:marLeft w:val="0"/>
          <w:marRight w:val="0"/>
          <w:marTop w:val="0"/>
          <w:marBottom w:val="0"/>
          <w:divBdr>
            <w:top w:val="none" w:sz="0" w:space="0" w:color="auto"/>
            <w:left w:val="none" w:sz="0" w:space="0" w:color="auto"/>
            <w:bottom w:val="none" w:sz="0" w:space="0" w:color="auto"/>
            <w:right w:val="none" w:sz="0" w:space="0" w:color="auto"/>
          </w:divBdr>
          <w:divsChild>
            <w:div w:id="1287855178">
              <w:marLeft w:val="0"/>
              <w:marRight w:val="0"/>
              <w:marTop w:val="0"/>
              <w:marBottom w:val="0"/>
              <w:divBdr>
                <w:top w:val="none" w:sz="0" w:space="0" w:color="auto"/>
                <w:left w:val="none" w:sz="0" w:space="0" w:color="auto"/>
                <w:bottom w:val="none" w:sz="0" w:space="0" w:color="auto"/>
                <w:right w:val="none" w:sz="0" w:space="0" w:color="auto"/>
              </w:divBdr>
              <w:divsChild>
                <w:div w:id="1287855239">
                  <w:marLeft w:val="0"/>
                  <w:marRight w:val="0"/>
                  <w:marTop w:val="0"/>
                  <w:marBottom w:val="0"/>
                  <w:divBdr>
                    <w:top w:val="none" w:sz="0" w:space="0" w:color="auto"/>
                    <w:left w:val="none" w:sz="0" w:space="0" w:color="auto"/>
                    <w:bottom w:val="none" w:sz="0" w:space="0" w:color="auto"/>
                    <w:right w:val="none" w:sz="0" w:space="0" w:color="auto"/>
                  </w:divBdr>
                  <w:divsChild>
                    <w:div w:id="1287855115">
                      <w:marLeft w:val="0"/>
                      <w:marRight w:val="0"/>
                      <w:marTop w:val="0"/>
                      <w:marBottom w:val="0"/>
                      <w:divBdr>
                        <w:top w:val="none" w:sz="0" w:space="0" w:color="auto"/>
                        <w:left w:val="none" w:sz="0" w:space="0" w:color="auto"/>
                        <w:bottom w:val="none" w:sz="0" w:space="0" w:color="auto"/>
                        <w:right w:val="none" w:sz="0" w:space="0" w:color="auto"/>
                      </w:divBdr>
                      <w:divsChild>
                        <w:div w:id="1287855216">
                          <w:marLeft w:val="0"/>
                          <w:marRight w:val="0"/>
                          <w:marTop w:val="0"/>
                          <w:marBottom w:val="0"/>
                          <w:divBdr>
                            <w:top w:val="none" w:sz="0" w:space="0" w:color="auto"/>
                            <w:left w:val="none" w:sz="0" w:space="0" w:color="auto"/>
                            <w:bottom w:val="none" w:sz="0" w:space="0" w:color="auto"/>
                            <w:right w:val="none" w:sz="0" w:space="0" w:color="auto"/>
                          </w:divBdr>
                          <w:divsChild>
                            <w:div w:id="1287855228">
                              <w:marLeft w:val="0"/>
                              <w:marRight w:val="0"/>
                              <w:marTop w:val="0"/>
                              <w:marBottom w:val="0"/>
                              <w:divBdr>
                                <w:top w:val="none" w:sz="0" w:space="0" w:color="auto"/>
                                <w:left w:val="none" w:sz="0" w:space="0" w:color="auto"/>
                                <w:bottom w:val="none" w:sz="0" w:space="0" w:color="auto"/>
                                <w:right w:val="none" w:sz="0" w:space="0" w:color="auto"/>
                              </w:divBdr>
                              <w:divsChild>
                                <w:div w:id="128785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7855320">
      <w:marLeft w:val="0"/>
      <w:marRight w:val="0"/>
      <w:marTop w:val="0"/>
      <w:marBottom w:val="0"/>
      <w:divBdr>
        <w:top w:val="none" w:sz="0" w:space="0" w:color="auto"/>
        <w:left w:val="none" w:sz="0" w:space="0" w:color="auto"/>
        <w:bottom w:val="none" w:sz="0" w:space="0" w:color="auto"/>
        <w:right w:val="none" w:sz="0" w:space="0" w:color="auto"/>
      </w:divBdr>
    </w:div>
    <w:div w:id="1287855322">
      <w:marLeft w:val="27"/>
      <w:marRight w:val="27"/>
      <w:marTop w:val="0"/>
      <w:marBottom w:val="0"/>
      <w:divBdr>
        <w:top w:val="none" w:sz="0" w:space="0" w:color="auto"/>
        <w:left w:val="none" w:sz="0" w:space="0" w:color="auto"/>
        <w:bottom w:val="none" w:sz="0" w:space="0" w:color="auto"/>
        <w:right w:val="none" w:sz="0" w:space="0" w:color="auto"/>
      </w:divBdr>
      <w:divsChild>
        <w:div w:id="1287855159">
          <w:marLeft w:val="0"/>
          <w:marRight w:val="0"/>
          <w:marTop w:val="0"/>
          <w:marBottom w:val="0"/>
          <w:divBdr>
            <w:top w:val="none" w:sz="0" w:space="0" w:color="auto"/>
            <w:left w:val="none" w:sz="0" w:space="0" w:color="auto"/>
            <w:bottom w:val="none" w:sz="0" w:space="0" w:color="auto"/>
            <w:right w:val="none" w:sz="0" w:space="0" w:color="auto"/>
          </w:divBdr>
          <w:divsChild>
            <w:div w:id="1287855302">
              <w:marLeft w:val="0"/>
              <w:marRight w:val="0"/>
              <w:marTop w:val="0"/>
              <w:marBottom w:val="0"/>
              <w:divBdr>
                <w:top w:val="none" w:sz="0" w:space="0" w:color="auto"/>
                <w:left w:val="none" w:sz="0" w:space="0" w:color="auto"/>
                <w:bottom w:val="none" w:sz="0" w:space="0" w:color="auto"/>
                <w:right w:val="none" w:sz="0" w:space="0" w:color="auto"/>
              </w:divBdr>
              <w:divsChild>
                <w:div w:id="1287855292">
                  <w:marLeft w:val="163"/>
                  <w:marRight w:val="0"/>
                  <w:marTop w:val="0"/>
                  <w:marBottom w:val="0"/>
                  <w:divBdr>
                    <w:top w:val="none" w:sz="0" w:space="0" w:color="auto"/>
                    <w:left w:val="none" w:sz="0" w:space="0" w:color="auto"/>
                    <w:bottom w:val="none" w:sz="0" w:space="0" w:color="auto"/>
                    <w:right w:val="none" w:sz="0" w:space="0" w:color="auto"/>
                  </w:divBdr>
                  <w:divsChild>
                    <w:div w:id="1287855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7855326">
      <w:marLeft w:val="0"/>
      <w:marRight w:val="0"/>
      <w:marTop w:val="0"/>
      <w:marBottom w:val="0"/>
      <w:divBdr>
        <w:top w:val="none" w:sz="0" w:space="0" w:color="auto"/>
        <w:left w:val="none" w:sz="0" w:space="0" w:color="auto"/>
        <w:bottom w:val="none" w:sz="0" w:space="0" w:color="auto"/>
        <w:right w:val="none" w:sz="0" w:space="0" w:color="auto"/>
      </w:divBdr>
    </w:div>
    <w:div w:id="1287855329">
      <w:marLeft w:val="0"/>
      <w:marRight w:val="0"/>
      <w:marTop w:val="0"/>
      <w:marBottom w:val="0"/>
      <w:divBdr>
        <w:top w:val="none" w:sz="0" w:space="0" w:color="auto"/>
        <w:left w:val="none" w:sz="0" w:space="0" w:color="auto"/>
        <w:bottom w:val="none" w:sz="0" w:space="0" w:color="auto"/>
        <w:right w:val="none" w:sz="0" w:space="0" w:color="auto"/>
      </w:divBdr>
    </w:div>
    <w:div w:id="1287855330">
      <w:marLeft w:val="0"/>
      <w:marRight w:val="0"/>
      <w:marTop w:val="0"/>
      <w:marBottom w:val="0"/>
      <w:divBdr>
        <w:top w:val="none" w:sz="0" w:space="0" w:color="auto"/>
        <w:left w:val="none" w:sz="0" w:space="0" w:color="auto"/>
        <w:bottom w:val="none" w:sz="0" w:space="0" w:color="auto"/>
        <w:right w:val="none" w:sz="0" w:space="0" w:color="auto"/>
      </w:divBdr>
    </w:div>
    <w:div w:id="1287855332">
      <w:marLeft w:val="0"/>
      <w:marRight w:val="0"/>
      <w:marTop w:val="0"/>
      <w:marBottom w:val="0"/>
      <w:divBdr>
        <w:top w:val="none" w:sz="0" w:space="0" w:color="auto"/>
        <w:left w:val="none" w:sz="0" w:space="0" w:color="auto"/>
        <w:bottom w:val="none" w:sz="0" w:space="0" w:color="auto"/>
        <w:right w:val="none" w:sz="0" w:space="0" w:color="auto"/>
      </w:divBdr>
    </w:div>
    <w:div w:id="1287855334">
      <w:marLeft w:val="0"/>
      <w:marRight w:val="0"/>
      <w:marTop w:val="0"/>
      <w:marBottom w:val="0"/>
      <w:divBdr>
        <w:top w:val="none" w:sz="0" w:space="0" w:color="auto"/>
        <w:left w:val="none" w:sz="0" w:space="0" w:color="auto"/>
        <w:bottom w:val="none" w:sz="0" w:space="0" w:color="auto"/>
        <w:right w:val="none" w:sz="0" w:space="0" w:color="auto"/>
      </w:divBdr>
    </w:div>
    <w:div w:id="1287855335">
      <w:marLeft w:val="0"/>
      <w:marRight w:val="0"/>
      <w:marTop w:val="0"/>
      <w:marBottom w:val="0"/>
      <w:divBdr>
        <w:top w:val="none" w:sz="0" w:space="0" w:color="auto"/>
        <w:left w:val="none" w:sz="0" w:space="0" w:color="auto"/>
        <w:bottom w:val="none" w:sz="0" w:space="0" w:color="auto"/>
        <w:right w:val="none" w:sz="0" w:space="0" w:color="auto"/>
      </w:divBdr>
      <w:divsChild>
        <w:div w:id="1287855149">
          <w:marLeft w:val="0"/>
          <w:marRight w:val="0"/>
          <w:marTop w:val="0"/>
          <w:marBottom w:val="0"/>
          <w:divBdr>
            <w:top w:val="none" w:sz="0" w:space="0" w:color="auto"/>
            <w:left w:val="none" w:sz="0" w:space="0" w:color="auto"/>
            <w:bottom w:val="none" w:sz="0" w:space="0" w:color="auto"/>
            <w:right w:val="none" w:sz="0" w:space="0" w:color="auto"/>
          </w:divBdr>
          <w:divsChild>
            <w:div w:id="1287855442">
              <w:marLeft w:val="0"/>
              <w:marRight w:val="0"/>
              <w:marTop w:val="0"/>
              <w:marBottom w:val="0"/>
              <w:divBdr>
                <w:top w:val="none" w:sz="0" w:space="0" w:color="auto"/>
                <w:left w:val="none" w:sz="0" w:space="0" w:color="auto"/>
                <w:bottom w:val="none" w:sz="0" w:space="0" w:color="auto"/>
                <w:right w:val="none" w:sz="0" w:space="0" w:color="auto"/>
              </w:divBdr>
              <w:divsChild>
                <w:div w:id="1287855139">
                  <w:marLeft w:val="0"/>
                  <w:marRight w:val="0"/>
                  <w:marTop w:val="0"/>
                  <w:marBottom w:val="0"/>
                  <w:divBdr>
                    <w:top w:val="none" w:sz="0" w:space="0" w:color="auto"/>
                    <w:left w:val="none" w:sz="0" w:space="0" w:color="auto"/>
                    <w:bottom w:val="none" w:sz="0" w:space="0" w:color="auto"/>
                    <w:right w:val="none" w:sz="0" w:space="0" w:color="auto"/>
                  </w:divBdr>
                  <w:divsChild>
                    <w:div w:id="1287855218">
                      <w:marLeft w:val="0"/>
                      <w:marRight w:val="0"/>
                      <w:marTop w:val="0"/>
                      <w:marBottom w:val="0"/>
                      <w:divBdr>
                        <w:top w:val="none" w:sz="0" w:space="0" w:color="auto"/>
                        <w:left w:val="none" w:sz="0" w:space="0" w:color="auto"/>
                        <w:bottom w:val="none" w:sz="0" w:space="0" w:color="auto"/>
                        <w:right w:val="none" w:sz="0" w:space="0" w:color="auto"/>
                      </w:divBdr>
                      <w:divsChild>
                        <w:div w:id="1287855376">
                          <w:marLeft w:val="0"/>
                          <w:marRight w:val="0"/>
                          <w:marTop w:val="0"/>
                          <w:marBottom w:val="0"/>
                          <w:divBdr>
                            <w:top w:val="none" w:sz="0" w:space="0" w:color="auto"/>
                            <w:left w:val="none" w:sz="0" w:space="0" w:color="auto"/>
                            <w:bottom w:val="none" w:sz="0" w:space="0" w:color="auto"/>
                            <w:right w:val="none" w:sz="0" w:space="0" w:color="auto"/>
                          </w:divBdr>
                          <w:divsChild>
                            <w:div w:id="1287855090">
                              <w:marLeft w:val="0"/>
                              <w:marRight w:val="0"/>
                              <w:marTop w:val="0"/>
                              <w:marBottom w:val="0"/>
                              <w:divBdr>
                                <w:top w:val="none" w:sz="0" w:space="0" w:color="auto"/>
                                <w:left w:val="none" w:sz="0" w:space="0" w:color="auto"/>
                                <w:bottom w:val="none" w:sz="0" w:space="0" w:color="auto"/>
                                <w:right w:val="none" w:sz="0" w:space="0" w:color="auto"/>
                              </w:divBdr>
                              <w:divsChild>
                                <w:div w:id="1287855099">
                                  <w:marLeft w:val="0"/>
                                  <w:marRight w:val="0"/>
                                  <w:marTop w:val="0"/>
                                  <w:marBottom w:val="0"/>
                                  <w:divBdr>
                                    <w:top w:val="none" w:sz="0" w:space="0" w:color="auto"/>
                                    <w:left w:val="none" w:sz="0" w:space="0" w:color="auto"/>
                                    <w:bottom w:val="none" w:sz="0" w:space="0" w:color="auto"/>
                                    <w:right w:val="none" w:sz="0" w:space="0" w:color="auto"/>
                                  </w:divBdr>
                                  <w:divsChild>
                                    <w:div w:id="1287855453">
                                      <w:marLeft w:val="0"/>
                                      <w:marRight w:val="0"/>
                                      <w:marTop w:val="0"/>
                                      <w:marBottom w:val="0"/>
                                      <w:divBdr>
                                        <w:top w:val="none" w:sz="0" w:space="0" w:color="auto"/>
                                        <w:left w:val="none" w:sz="0" w:space="0" w:color="auto"/>
                                        <w:bottom w:val="none" w:sz="0" w:space="0" w:color="auto"/>
                                        <w:right w:val="none" w:sz="0" w:space="0" w:color="auto"/>
                                      </w:divBdr>
                                      <w:divsChild>
                                        <w:div w:id="1287855274">
                                          <w:marLeft w:val="0"/>
                                          <w:marRight w:val="0"/>
                                          <w:marTop w:val="0"/>
                                          <w:marBottom w:val="0"/>
                                          <w:divBdr>
                                            <w:top w:val="none" w:sz="0" w:space="0" w:color="auto"/>
                                            <w:left w:val="none" w:sz="0" w:space="0" w:color="auto"/>
                                            <w:bottom w:val="none" w:sz="0" w:space="0" w:color="auto"/>
                                            <w:right w:val="none" w:sz="0" w:space="0" w:color="auto"/>
                                          </w:divBdr>
                                          <w:divsChild>
                                            <w:div w:id="1287855260">
                                              <w:marLeft w:val="0"/>
                                              <w:marRight w:val="0"/>
                                              <w:marTop w:val="0"/>
                                              <w:marBottom w:val="0"/>
                                              <w:divBdr>
                                                <w:top w:val="none" w:sz="0" w:space="0" w:color="auto"/>
                                                <w:left w:val="none" w:sz="0" w:space="0" w:color="auto"/>
                                                <w:bottom w:val="none" w:sz="0" w:space="0" w:color="auto"/>
                                                <w:right w:val="none" w:sz="0" w:space="0" w:color="auto"/>
                                              </w:divBdr>
                                              <w:divsChild>
                                                <w:div w:id="1287855128">
                                                  <w:marLeft w:val="0"/>
                                                  <w:marRight w:val="0"/>
                                                  <w:marTop w:val="0"/>
                                                  <w:marBottom w:val="0"/>
                                                  <w:divBdr>
                                                    <w:top w:val="none" w:sz="0" w:space="0" w:color="auto"/>
                                                    <w:left w:val="none" w:sz="0" w:space="0" w:color="auto"/>
                                                    <w:bottom w:val="none" w:sz="0" w:space="0" w:color="auto"/>
                                                    <w:right w:val="none" w:sz="0" w:space="0" w:color="auto"/>
                                                  </w:divBdr>
                                                  <w:divsChild>
                                                    <w:div w:id="128785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87855339">
      <w:marLeft w:val="0"/>
      <w:marRight w:val="0"/>
      <w:marTop w:val="0"/>
      <w:marBottom w:val="0"/>
      <w:divBdr>
        <w:top w:val="none" w:sz="0" w:space="0" w:color="auto"/>
        <w:left w:val="none" w:sz="0" w:space="0" w:color="auto"/>
        <w:bottom w:val="none" w:sz="0" w:space="0" w:color="auto"/>
        <w:right w:val="none" w:sz="0" w:space="0" w:color="auto"/>
      </w:divBdr>
      <w:divsChild>
        <w:div w:id="1287855181">
          <w:marLeft w:val="0"/>
          <w:marRight w:val="0"/>
          <w:marTop w:val="0"/>
          <w:marBottom w:val="0"/>
          <w:divBdr>
            <w:top w:val="none" w:sz="0" w:space="0" w:color="auto"/>
            <w:left w:val="none" w:sz="0" w:space="0" w:color="auto"/>
            <w:bottom w:val="none" w:sz="0" w:space="0" w:color="auto"/>
            <w:right w:val="none" w:sz="0" w:space="0" w:color="auto"/>
          </w:divBdr>
          <w:divsChild>
            <w:div w:id="1287855203">
              <w:marLeft w:val="0"/>
              <w:marRight w:val="0"/>
              <w:marTop w:val="0"/>
              <w:marBottom w:val="0"/>
              <w:divBdr>
                <w:top w:val="none" w:sz="0" w:space="0" w:color="auto"/>
                <w:left w:val="none" w:sz="0" w:space="0" w:color="auto"/>
                <w:bottom w:val="none" w:sz="0" w:space="0" w:color="auto"/>
                <w:right w:val="none" w:sz="0" w:space="0" w:color="auto"/>
              </w:divBdr>
              <w:divsChild>
                <w:div w:id="1287855415">
                  <w:marLeft w:val="0"/>
                  <w:marRight w:val="0"/>
                  <w:marTop w:val="0"/>
                  <w:marBottom w:val="0"/>
                  <w:divBdr>
                    <w:top w:val="none" w:sz="0" w:space="0" w:color="auto"/>
                    <w:left w:val="none" w:sz="0" w:space="0" w:color="auto"/>
                    <w:bottom w:val="none" w:sz="0" w:space="0" w:color="auto"/>
                    <w:right w:val="none" w:sz="0" w:space="0" w:color="auto"/>
                  </w:divBdr>
                  <w:divsChild>
                    <w:div w:id="1287855285">
                      <w:marLeft w:val="0"/>
                      <w:marRight w:val="0"/>
                      <w:marTop w:val="0"/>
                      <w:marBottom w:val="0"/>
                      <w:divBdr>
                        <w:top w:val="none" w:sz="0" w:space="0" w:color="auto"/>
                        <w:left w:val="none" w:sz="0" w:space="0" w:color="auto"/>
                        <w:bottom w:val="none" w:sz="0" w:space="0" w:color="auto"/>
                        <w:right w:val="none" w:sz="0" w:space="0" w:color="auto"/>
                      </w:divBdr>
                      <w:divsChild>
                        <w:div w:id="1287855217">
                          <w:marLeft w:val="0"/>
                          <w:marRight w:val="0"/>
                          <w:marTop w:val="0"/>
                          <w:marBottom w:val="0"/>
                          <w:divBdr>
                            <w:top w:val="none" w:sz="0" w:space="0" w:color="auto"/>
                            <w:left w:val="none" w:sz="0" w:space="0" w:color="auto"/>
                            <w:bottom w:val="none" w:sz="0" w:space="0" w:color="auto"/>
                            <w:right w:val="none" w:sz="0" w:space="0" w:color="auto"/>
                          </w:divBdr>
                          <w:divsChild>
                            <w:div w:id="1287855197">
                              <w:marLeft w:val="0"/>
                              <w:marRight w:val="0"/>
                              <w:marTop w:val="0"/>
                              <w:marBottom w:val="0"/>
                              <w:divBdr>
                                <w:top w:val="none" w:sz="0" w:space="0" w:color="auto"/>
                                <w:left w:val="none" w:sz="0" w:space="0" w:color="auto"/>
                                <w:bottom w:val="none" w:sz="0" w:space="0" w:color="auto"/>
                                <w:right w:val="none" w:sz="0" w:space="0" w:color="auto"/>
                              </w:divBdr>
                              <w:divsChild>
                                <w:div w:id="128785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7855341">
      <w:marLeft w:val="0"/>
      <w:marRight w:val="0"/>
      <w:marTop w:val="0"/>
      <w:marBottom w:val="0"/>
      <w:divBdr>
        <w:top w:val="none" w:sz="0" w:space="0" w:color="auto"/>
        <w:left w:val="none" w:sz="0" w:space="0" w:color="auto"/>
        <w:bottom w:val="none" w:sz="0" w:space="0" w:color="auto"/>
        <w:right w:val="none" w:sz="0" w:space="0" w:color="auto"/>
      </w:divBdr>
      <w:divsChild>
        <w:div w:id="1287855458">
          <w:marLeft w:val="0"/>
          <w:marRight w:val="0"/>
          <w:marTop w:val="0"/>
          <w:marBottom w:val="0"/>
          <w:divBdr>
            <w:top w:val="none" w:sz="0" w:space="0" w:color="auto"/>
            <w:left w:val="none" w:sz="0" w:space="0" w:color="auto"/>
            <w:bottom w:val="none" w:sz="0" w:space="0" w:color="auto"/>
            <w:right w:val="none" w:sz="0" w:space="0" w:color="auto"/>
          </w:divBdr>
          <w:divsChild>
            <w:div w:id="1287855357">
              <w:marLeft w:val="0"/>
              <w:marRight w:val="0"/>
              <w:marTop w:val="0"/>
              <w:marBottom w:val="0"/>
              <w:divBdr>
                <w:top w:val="none" w:sz="0" w:space="0" w:color="auto"/>
                <w:left w:val="none" w:sz="0" w:space="0" w:color="auto"/>
                <w:bottom w:val="none" w:sz="0" w:space="0" w:color="auto"/>
                <w:right w:val="none" w:sz="0" w:space="0" w:color="auto"/>
              </w:divBdr>
              <w:divsChild>
                <w:div w:id="1287855303">
                  <w:marLeft w:val="0"/>
                  <w:marRight w:val="0"/>
                  <w:marTop w:val="0"/>
                  <w:marBottom w:val="0"/>
                  <w:divBdr>
                    <w:top w:val="none" w:sz="0" w:space="0" w:color="auto"/>
                    <w:left w:val="none" w:sz="0" w:space="0" w:color="auto"/>
                    <w:bottom w:val="none" w:sz="0" w:space="0" w:color="auto"/>
                    <w:right w:val="none" w:sz="0" w:space="0" w:color="auto"/>
                  </w:divBdr>
                  <w:divsChild>
                    <w:div w:id="1287855446">
                      <w:marLeft w:val="0"/>
                      <w:marRight w:val="0"/>
                      <w:marTop w:val="0"/>
                      <w:marBottom w:val="0"/>
                      <w:divBdr>
                        <w:top w:val="none" w:sz="0" w:space="0" w:color="auto"/>
                        <w:left w:val="none" w:sz="0" w:space="0" w:color="auto"/>
                        <w:bottom w:val="none" w:sz="0" w:space="0" w:color="auto"/>
                        <w:right w:val="none" w:sz="0" w:space="0" w:color="auto"/>
                      </w:divBdr>
                      <w:divsChild>
                        <w:div w:id="1287855342">
                          <w:marLeft w:val="0"/>
                          <w:marRight w:val="0"/>
                          <w:marTop w:val="0"/>
                          <w:marBottom w:val="0"/>
                          <w:divBdr>
                            <w:top w:val="none" w:sz="0" w:space="0" w:color="auto"/>
                            <w:left w:val="none" w:sz="0" w:space="0" w:color="auto"/>
                            <w:bottom w:val="none" w:sz="0" w:space="0" w:color="auto"/>
                            <w:right w:val="none" w:sz="0" w:space="0" w:color="auto"/>
                          </w:divBdr>
                          <w:divsChild>
                            <w:div w:id="1287855328">
                              <w:marLeft w:val="0"/>
                              <w:marRight w:val="0"/>
                              <w:marTop w:val="0"/>
                              <w:marBottom w:val="0"/>
                              <w:divBdr>
                                <w:top w:val="none" w:sz="0" w:space="0" w:color="auto"/>
                                <w:left w:val="none" w:sz="0" w:space="0" w:color="auto"/>
                                <w:bottom w:val="none" w:sz="0" w:space="0" w:color="auto"/>
                                <w:right w:val="none" w:sz="0" w:space="0" w:color="auto"/>
                              </w:divBdr>
                              <w:divsChild>
                                <w:div w:id="1287855204">
                                  <w:marLeft w:val="0"/>
                                  <w:marRight w:val="0"/>
                                  <w:marTop w:val="0"/>
                                  <w:marBottom w:val="0"/>
                                  <w:divBdr>
                                    <w:top w:val="none" w:sz="0" w:space="0" w:color="auto"/>
                                    <w:left w:val="none" w:sz="0" w:space="0" w:color="auto"/>
                                    <w:bottom w:val="none" w:sz="0" w:space="0" w:color="auto"/>
                                    <w:right w:val="none" w:sz="0" w:space="0" w:color="auto"/>
                                  </w:divBdr>
                                  <w:divsChild>
                                    <w:div w:id="1287855366">
                                      <w:marLeft w:val="0"/>
                                      <w:marRight w:val="0"/>
                                      <w:marTop w:val="0"/>
                                      <w:marBottom w:val="0"/>
                                      <w:divBdr>
                                        <w:top w:val="single" w:sz="4" w:space="0" w:color="F5F5F5"/>
                                        <w:left w:val="single" w:sz="4" w:space="0" w:color="F5F5F5"/>
                                        <w:bottom w:val="single" w:sz="4" w:space="0" w:color="F5F5F5"/>
                                        <w:right w:val="single" w:sz="4" w:space="0" w:color="F5F5F5"/>
                                      </w:divBdr>
                                      <w:divsChild>
                                        <w:div w:id="1287855312">
                                          <w:marLeft w:val="0"/>
                                          <w:marRight w:val="0"/>
                                          <w:marTop w:val="0"/>
                                          <w:marBottom w:val="0"/>
                                          <w:divBdr>
                                            <w:top w:val="none" w:sz="0" w:space="0" w:color="auto"/>
                                            <w:left w:val="none" w:sz="0" w:space="0" w:color="auto"/>
                                            <w:bottom w:val="none" w:sz="0" w:space="0" w:color="auto"/>
                                            <w:right w:val="none" w:sz="0" w:space="0" w:color="auto"/>
                                          </w:divBdr>
                                          <w:divsChild>
                                            <w:div w:id="1287855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87855347">
      <w:marLeft w:val="0"/>
      <w:marRight w:val="0"/>
      <w:marTop w:val="0"/>
      <w:marBottom w:val="0"/>
      <w:divBdr>
        <w:top w:val="none" w:sz="0" w:space="0" w:color="auto"/>
        <w:left w:val="none" w:sz="0" w:space="0" w:color="auto"/>
        <w:bottom w:val="none" w:sz="0" w:space="0" w:color="auto"/>
        <w:right w:val="none" w:sz="0" w:space="0" w:color="auto"/>
      </w:divBdr>
    </w:div>
    <w:div w:id="1287855352">
      <w:marLeft w:val="0"/>
      <w:marRight w:val="0"/>
      <w:marTop w:val="0"/>
      <w:marBottom w:val="0"/>
      <w:divBdr>
        <w:top w:val="none" w:sz="0" w:space="0" w:color="auto"/>
        <w:left w:val="none" w:sz="0" w:space="0" w:color="auto"/>
        <w:bottom w:val="none" w:sz="0" w:space="0" w:color="auto"/>
        <w:right w:val="none" w:sz="0" w:space="0" w:color="auto"/>
      </w:divBdr>
    </w:div>
    <w:div w:id="1287855353">
      <w:marLeft w:val="0"/>
      <w:marRight w:val="0"/>
      <w:marTop w:val="0"/>
      <w:marBottom w:val="0"/>
      <w:divBdr>
        <w:top w:val="none" w:sz="0" w:space="0" w:color="auto"/>
        <w:left w:val="none" w:sz="0" w:space="0" w:color="auto"/>
        <w:bottom w:val="none" w:sz="0" w:space="0" w:color="auto"/>
        <w:right w:val="none" w:sz="0" w:space="0" w:color="auto"/>
      </w:divBdr>
      <w:divsChild>
        <w:div w:id="1287855380">
          <w:marLeft w:val="0"/>
          <w:marRight w:val="0"/>
          <w:marTop w:val="0"/>
          <w:marBottom w:val="0"/>
          <w:divBdr>
            <w:top w:val="none" w:sz="0" w:space="0" w:color="auto"/>
            <w:left w:val="none" w:sz="0" w:space="0" w:color="auto"/>
            <w:bottom w:val="none" w:sz="0" w:space="0" w:color="auto"/>
            <w:right w:val="none" w:sz="0" w:space="0" w:color="auto"/>
          </w:divBdr>
          <w:divsChild>
            <w:div w:id="1287855151">
              <w:marLeft w:val="0"/>
              <w:marRight w:val="0"/>
              <w:marTop w:val="0"/>
              <w:marBottom w:val="0"/>
              <w:divBdr>
                <w:top w:val="none" w:sz="0" w:space="0" w:color="auto"/>
                <w:left w:val="none" w:sz="0" w:space="0" w:color="auto"/>
                <w:bottom w:val="none" w:sz="0" w:space="0" w:color="auto"/>
                <w:right w:val="none" w:sz="0" w:space="0" w:color="auto"/>
              </w:divBdr>
              <w:divsChild>
                <w:div w:id="1287855394">
                  <w:marLeft w:val="0"/>
                  <w:marRight w:val="0"/>
                  <w:marTop w:val="0"/>
                  <w:marBottom w:val="0"/>
                  <w:divBdr>
                    <w:top w:val="none" w:sz="0" w:space="0" w:color="auto"/>
                    <w:left w:val="none" w:sz="0" w:space="0" w:color="auto"/>
                    <w:bottom w:val="none" w:sz="0" w:space="0" w:color="auto"/>
                    <w:right w:val="none" w:sz="0" w:space="0" w:color="auto"/>
                  </w:divBdr>
                  <w:divsChild>
                    <w:div w:id="1287855246">
                      <w:marLeft w:val="0"/>
                      <w:marRight w:val="0"/>
                      <w:marTop w:val="0"/>
                      <w:marBottom w:val="0"/>
                      <w:divBdr>
                        <w:top w:val="none" w:sz="0" w:space="0" w:color="auto"/>
                        <w:left w:val="none" w:sz="0" w:space="0" w:color="auto"/>
                        <w:bottom w:val="none" w:sz="0" w:space="0" w:color="auto"/>
                        <w:right w:val="none" w:sz="0" w:space="0" w:color="auto"/>
                      </w:divBdr>
                      <w:divsChild>
                        <w:div w:id="1287855109">
                          <w:marLeft w:val="0"/>
                          <w:marRight w:val="0"/>
                          <w:marTop w:val="0"/>
                          <w:marBottom w:val="0"/>
                          <w:divBdr>
                            <w:top w:val="none" w:sz="0" w:space="0" w:color="auto"/>
                            <w:left w:val="none" w:sz="0" w:space="0" w:color="auto"/>
                            <w:bottom w:val="none" w:sz="0" w:space="0" w:color="auto"/>
                            <w:right w:val="none" w:sz="0" w:space="0" w:color="auto"/>
                          </w:divBdr>
                          <w:divsChild>
                            <w:div w:id="1287855152">
                              <w:marLeft w:val="0"/>
                              <w:marRight w:val="0"/>
                              <w:marTop w:val="0"/>
                              <w:marBottom w:val="0"/>
                              <w:divBdr>
                                <w:top w:val="none" w:sz="0" w:space="0" w:color="auto"/>
                                <w:left w:val="none" w:sz="0" w:space="0" w:color="auto"/>
                                <w:bottom w:val="none" w:sz="0" w:space="0" w:color="auto"/>
                                <w:right w:val="none" w:sz="0" w:space="0" w:color="auto"/>
                              </w:divBdr>
                              <w:divsChild>
                                <w:div w:id="1287855465">
                                  <w:marLeft w:val="0"/>
                                  <w:marRight w:val="0"/>
                                  <w:marTop w:val="0"/>
                                  <w:marBottom w:val="0"/>
                                  <w:divBdr>
                                    <w:top w:val="none" w:sz="0" w:space="0" w:color="auto"/>
                                    <w:left w:val="none" w:sz="0" w:space="0" w:color="auto"/>
                                    <w:bottom w:val="none" w:sz="0" w:space="0" w:color="auto"/>
                                    <w:right w:val="none" w:sz="0" w:space="0" w:color="auto"/>
                                  </w:divBdr>
                                  <w:divsChild>
                                    <w:div w:id="1287855377">
                                      <w:marLeft w:val="0"/>
                                      <w:marRight w:val="0"/>
                                      <w:marTop w:val="0"/>
                                      <w:marBottom w:val="0"/>
                                      <w:divBdr>
                                        <w:top w:val="single" w:sz="4" w:space="0" w:color="F5F5F5"/>
                                        <w:left w:val="single" w:sz="4" w:space="0" w:color="F5F5F5"/>
                                        <w:bottom w:val="single" w:sz="4" w:space="0" w:color="F5F5F5"/>
                                        <w:right w:val="single" w:sz="4" w:space="0" w:color="F5F5F5"/>
                                      </w:divBdr>
                                      <w:divsChild>
                                        <w:div w:id="1287855244">
                                          <w:marLeft w:val="0"/>
                                          <w:marRight w:val="0"/>
                                          <w:marTop w:val="0"/>
                                          <w:marBottom w:val="0"/>
                                          <w:divBdr>
                                            <w:top w:val="none" w:sz="0" w:space="0" w:color="auto"/>
                                            <w:left w:val="none" w:sz="0" w:space="0" w:color="auto"/>
                                            <w:bottom w:val="none" w:sz="0" w:space="0" w:color="auto"/>
                                            <w:right w:val="none" w:sz="0" w:space="0" w:color="auto"/>
                                          </w:divBdr>
                                          <w:divsChild>
                                            <w:div w:id="1287855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87855359">
      <w:marLeft w:val="0"/>
      <w:marRight w:val="0"/>
      <w:marTop w:val="0"/>
      <w:marBottom w:val="0"/>
      <w:divBdr>
        <w:top w:val="none" w:sz="0" w:space="0" w:color="auto"/>
        <w:left w:val="none" w:sz="0" w:space="0" w:color="auto"/>
        <w:bottom w:val="none" w:sz="0" w:space="0" w:color="auto"/>
        <w:right w:val="none" w:sz="0" w:space="0" w:color="auto"/>
      </w:divBdr>
    </w:div>
    <w:div w:id="1287855365">
      <w:marLeft w:val="0"/>
      <w:marRight w:val="0"/>
      <w:marTop w:val="0"/>
      <w:marBottom w:val="0"/>
      <w:divBdr>
        <w:top w:val="none" w:sz="0" w:space="0" w:color="auto"/>
        <w:left w:val="none" w:sz="0" w:space="0" w:color="auto"/>
        <w:bottom w:val="none" w:sz="0" w:space="0" w:color="auto"/>
        <w:right w:val="none" w:sz="0" w:space="0" w:color="auto"/>
      </w:divBdr>
    </w:div>
    <w:div w:id="1287855368">
      <w:marLeft w:val="0"/>
      <w:marRight w:val="0"/>
      <w:marTop w:val="0"/>
      <w:marBottom w:val="0"/>
      <w:divBdr>
        <w:top w:val="none" w:sz="0" w:space="0" w:color="auto"/>
        <w:left w:val="none" w:sz="0" w:space="0" w:color="auto"/>
        <w:bottom w:val="none" w:sz="0" w:space="0" w:color="auto"/>
        <w:right w:val="none" w:sz="0" w:space="0" w:color="auto"/>
      </w:divBdr>
      <w:divsChild>
        <w:div w:id="1287855349">
          <w:marLeft w:val="0"/>
          <w:marRight w:val="0"/>
          <w:marTop w:val="0"/>
          <w:marBottom w:val="0"/>
          <w:divBdr>
            <w:top w:val="none" w:sz="0" w:space="0" w:color="auto"/>
            <w:left w:val="none" w:sz="0" w:space="0" w:color="auto"/>
            <w:bottom w:val="none" w:sz="0" w:space="0" w:color="auto"/>
            <w:right w:val="none" w:sz="0" w:space="0" w:color="auto"/>
          </w:divBdr>
          <w:divsChild>
            <w:div w:id="1287855288">
              <w:marLeft w:val="0"/>
              <w:marRight w:val="0"/>
              <w:marTop w:val="0"/>
              <w:marBottom w:val="0"/>
              <w:divBdr>
                <w:top w:val="none" w:sz="0" w:space="0" w:color="auto"/>
                <w:left w:val="none" w:sz="0" w:space="0" w:color="auto"/>
                <w:bottom w:val="none" w:sz="0" w:space="0" w:color="auto"/>
                <w:right w:val="none" w:sz="0" w:space="0" w:color="auto"/>
              </w:divBdr>
              <w:divsChild>
                <w:div w:id="1287855224">
                  <w:marLeft w:val="0"/>
                  <w:marRight w:val="0"/>
                  <w:marTop w:val="0"/>
                  <w:marBottom w:val="0"/>
                  <w:divBdr>
                    <w:top w:val="none" w:sz="0" w:space="0" w:color="auto"/>
                    <w:left w:val="none" w:sz="0" w:space="0" w:color="auto"/>
                    <w:bottom w:val="none" w:sz="0" w:space="0" w:color="auto"/>
                    <w:right w:val="none" w:sz="0" w:space="0" w:color="auto"/>
                  </w:divBdr>
                  <w:divsChild>
                    <w:div w:id="1287855449">
                      <w:marLeft w:val="0"/>
                      <w:marRight w:val="0"/>
                      <w:marTop w:val="0"/>
                      <w:marBottom w:val="0"/>
                      <w:divBdr>
                        <w:top w:val="none" w:sz="0" w:space="0" w:color="auto"/>
                        <w:left w:val="none" w:sz="0" w:space="0" w:color="auto"/>
                        <w:bottom w:val="none" w:sz="0" w:space="0" w:color="auto"/>
                        <w:right w:val="none" w:sz="0" w:space="0" w:color="auto"/>
                      </w:divBdr>
                      <w:divsChild>
                        <w:div w:id="1287855389">
                          <w:marLeft w:val="0"/>
                          <w:marRight w:val="0"/>
                          <w:marTop w:val="0"/>
                          <w:marBottom w:val="0"/>
                          <w:divBdr>
                            <w:top w:val="none" w:sz="0" w:space="0" w:color="auto"/>
                            <w:left w:val="none" w:sz="0" w:space="0" w:color="auto"/>
                            <w:bottom w:val="none" w:sz="0" w:space="0" w:color="auto"/>
                            <w:right w:val="none" w:sz="0" w:space="0" w:color="auto"/>
                          </w:divBdr>
                          <w:divsChild>
                            <w:div w:id="1287855212">
                              <w:marLeft w:val="0"/>
                              <w:marRight w:val="0"/>
                              <w:marTop w:val="0"/>
                              <w:marBottom w:val="0"/>
                              <w:divBdr>
                                <w:top w:val="none" w:sz="0" w:space="0" w:color="auto"/>
                                <w:left w:val="none" w:sz="0" w:space="0" w:color="auto"/>
                                <w:bottom w:val="none" w:sz="0" w:space="0" w:color="auto"/>
                                <w:right w:val="none" w:sz="0" w:space="0" w:color="auto"/>
                              </w:divBdr>
                              <w:divsChild>
                                <w:div w:id="1287855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7855371">
      <w:marLeft w:val="0"/>
      <w:marRight w:val="0"/>
      <w:marTop w:val="0"/>
      <w:marBottom w:val="0"/>
      <w:divBdr>
        <w:top w:val="none" w:sz="0" w:space="0" w:color="auto"/>
        <w:left w:val="none" w:sz="0" w:space="0" w:color="auto"/>
        <w:bottom w:val="none" w:sz="0" w:space="0" w:color="auto"/>
        <w:right w:val="none" w:sz="0" w:space="0" w:color="auto"/>
      </w:divBdr>
    </w:div>
    <w:div w:id="1287855372">
      <w:marLeft w:val="0"/>
      <w:marRight w:val="0"/>
      <w:marTop w:val="0"/>
      <w:marBottom w:val="0"/>
      <w:divBdr>
        <w:top w:val="none" w:sz="0" w:space="0" w:color="auto"/>
        <w:left w:val="none" w:sz="0" w:space="0" w:color="auto"/>
        <w:bottom w:val="none" w:sz="0" w:space="0" w:color="auto"/>
        <w:right w:val="none" w:sz="0" w:space="0" w:color="auto"/>
      </w:divBdr>
      <w:divsChild>
        <w:div w:id="1287855360">
          <w:marLeft w:val="0"/>
          <w:marRight w:val="0"/>
          <w:marTop w:val="0"/>
          <w:marBottom w:val="0"/>
          <w:divBdr>
            <w:top w:val="none" w:sz="0" w:space="0" w:color="auto"/>
            <w:left w:val="none" w:sz="0" w:space="0" w:color="auto"/>
            <w:bottom w:val="none" w:sz="0" w:space="0" w:color="auto"/>
            <w:right w:val="none" w:sz="0" w:space="0" w:color="auto"/>
          </w:divBdr>
          <w:divsChild>
            <w:div w:id="1287855165">
              <w:marLeft w:val="0"/>
              <w:marRight w:val="0"/>
              <w:marTop w:val="0"/>
              <w:marBottom w:val="0"/>
              <w:divBdr>
                <w:top w:val="none" w:sz="0" w:space="0" w:color="auto"/>
                <w:left w:val="none" w:sz="0" w:space="0" w:color="auto"/>
                <w:bottom w:val="none" w:sz="0" w:space="0" w:color="auto"/>
                <w:right w:val="none" w:sz="0" w:space="0" w:color="auto"/>
              </w:divBdr>
              <w:divsChild>
                <w:div w:id="1287855356">
                  <w:marLeft w:val="0"/>
                  <w:marRight w:val="0"/>
                  <w:marTop w:val="0"/>
                  <w:marBottom w:val="0"/>
                  <w:divBdr>
                    <w:top w:val="none" w:sz="0" w:space="0" w:color="auto"/>
                    <w:left w:val="none" w:sz="0" w:space="0" w:color="auto"/>
                    <w:bottom w:val="none" w:sz="0" w:space="0" w:color="auto"/>
                    <w:right w:val="none" w:sz="0" w:space="0" w:color="auto"/>
                  </w:divBdr>
                  <w:divsChild>
                    <w:div w:id="1287855084">
                      <w:marLeft w:val="0"/>
                      <w:marRight w:val="0"/>
                      <w:marTop w:val="0"/>
                      <w:marBottom w:val="0"/>
                      <w:divBdr>
                        <w:top w:val="none" w:sz="0" w:space="0" w:color="auto"/>
                        <w:left w:val="none" w:sz="0" w:space="0" w:color="auto"/>
                        <w:bottom w:val="none" w:sz="0" w:space="0" w:color="auto"/>
                        <w:right w:val="none" w:sz="0" w:space="0" w:color="auto"/>
                      </w:divBdr>
                      <w:divsChild>
                        <w:div w:id="1287855400">
                          <w:marLeft w:val="0"/>
                          <w:marRight w:val="0"/>
                          <w:marTop w:val="0"/>
                          <w:marBottom w:val="0"/>
                          <w:divBdr>
                            <w:top w:val="none" w:sz="0" w:space="0" w:color="auto"/>
                            <w:left w:val="none" w:sz="0" w:space="0" w:color="auto"/>
                            <w:bottom w:val="none" w:sz="0" w:space="0" w:color="auto"/>
                            <w:right w:val="none" w:sz="0" w:space="0" w:color="auto"/>
                          </w:divBdr>
                          <w:divsChild>
                            <w:div w:id="1287855271">
                              <w:marLeft w:val="0"/>
                              <w:marRight w:val="0"/>
                              <w:marTop w:val="0"/>
                              <w:marBottom w:val="0"/>
                              <w:divBdr>
                                <w:top w:val="none" w:sz="0" w:space="0" w:color="auto"/>
                                <w:left w:val="none" w:sz="0" w:space="0" w:color="auto"/>
                                <w:bottom w:val="none" w:sz="0" w:space="0" w:color="auto"/>
                                <w:right w:val="none" w:sz="0" w:space="0" w:color="auto"/>
                              </w:divBdr>
                              <w:divsChild>
                                <w:div w:id="1287855401">
                                  <w:marLeft w:val="0"/>
                                  <w:marRight w:val="0"/>
                                  <w:marTop w:val="0"/>
                                  <w:marBottom w:val="0"/>
                                  <w:divBdr>
                                    <w:top w:val="none" w:sz="0" w:space="0" w:color="auto"/>
                                    <w:left w:val="none" w:sz="0" w:space="0" w:color="auto"/>
                                    <w:bottom w:val="none" w:sz="0" w:space="0" w:color="auto"/>
                                    <w:right w:val="none" w:sz="0" w:space="0" w:color="auto"/>
                                  </w:divBdr>
                                  <w:divsChild>
                                    <w:div w:id="1287855364">
                                      <w:marLeft w:val="0"/>
                                      <w:marRight w:val="0"/>
                                      <w:marTop w:val="0"/>
                                      <w:marBottom w:val="0"/>
                                      <w:divBdr>
                                        <w:top w:val="none" w:sz="0" w:space="0" w:color="auto"/>
                                        <w:left w:val="none" w:sz="0" w:space="0" w:color="auto"/>
                                        <w:bottom w:val="none" w:sz="0" w:space="0" w:color="auto"/>
                                        <w:right w:val="none" w:sz="0" w:space="0" w:color="auto"/>
                                      </w:divBdr>
                                      <w:divsChild>
                                        <w:div w:id="1287855279">
                                          <w:marLeft w:val="0"/>
                                          <w:marRight w:val="0"/>
                                          <w:marTop w:val="0"/>
                                          <w:marBottom w:val="0"/>
                                          <w:divBdr>
                                            <w:top w:val="none" w:sz="0" w:space="0" w:color="auto"/>
                                            <w:left w:val="none" w:sz="0" w:space="0" w:color="auto"/>
                                            <w:bottom w:val="none" w:sz="0" w:space="0" w:color="auto"/>
                                            <w:right w:val="none" w:sz="0" w:space="0" w:color="auto"/>
                                          </w:divBdr>
                                          <w:divsChild>
                                            <w:div w:id="1287855406">
                                              <w:marLeft w:val="0"/>
                                              <w:marRight w:val="0"/>
                                              <w:marTop w:val="0"/>
                                              <w:marBottom w:val="0"/>
                                              <w:divBdr>
                                                <w:top w:val="none" w:sz="0" w:space="0" w:color="auto"/>
                                                <w:left w:val="none" w:sz="0" w:space="0" w:color="auto"/>
                                                <w:bottom w:val="none" w:sz="0" w:space="0" w:color="auto"/>
                                                <w:right w:val="none" w:sz="0" w:space="0" w:color="auto"/>
                                              </w:divBdr>
                                              <w:divsChild>
                                                <w:div w:id="1287855234">
                                                  <w:marLeft w:val="0"/>
                                                  <w:marRight w:val="0"/>
                                                  <w:marTop w:val="0"/>
                                                  <w:marBottom w:val="0"/>
                                                  <w:divBdr>
                                                    <w:top w:val="none" w:sz="0" w:space="0" w:color="auto"/>
                                                    <w:left w:val="none" w:sz="0" w:space="0" w:color="auto"/>
                                                    <w:bottom w:val="none" w:sz="0" w:space="0" w:color="auto"/>
                                                    <w:right w:val="none" w:sz="0" w:space="0" w:color="auto"/>
                                                  </w:divBdr>
                                                  <w:divsChild>
                                                    <w:div w:id="1287855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87855378">
      <w:marLeft w:val="0"/>
      <w:marRight w:val="0"/>
      <w:marTop w:val="0"/>
      <w:marBottom w:val="0"/>
      <w:divBdr>
        <w:top w:val="none" w:sz="0" w:space="0" w:color="auto"/>
        <w:left w:val="none" w:sz="0" w:space="0" w:color="auto"/>
        <w:bottom w:val="none" w:sz="0" w:space="0" w:color="auto"/>
        <w:right w:val="none" w:sz="0" w:space="0" w:color="auto"/>
      </w:divBdr>
    </w:div>
    <w:div w:id="1287855381">
      <w:marLeft w:val="0"/>
      <w:marRight w:val="0"/>
      <w:marTop w:val="0"/>
      <w:marBottom w:val="0"/>
      <w:divBdr>
        <w:top w:val="none" w:sz="0" w:space="0" w:color="auto"/>
        <w:left w:val="none" w:sz="0" w:space="0" w:color="auto"/>
        <w:bottom w:val="none" w:sz="0" w:space="0" w:color="auto"/>
        <w:right w:val="none" w:sz="0" w:space="0" w:color="auto"/>
      </w:divBdr>
    </w:div>
    <w:div w:id="1287855385">
      <w:marLeft w:val="0"/>
      <w:marRight w:val="0"/>
      <w:marTop w:val="0"/>
      <w:marBottom w:val="0"/>
      <w:divBdr>
        <w:top w:val="none" w:sz="0" w:space="0" w:color="auto"/>
        <w:left w:val="none" w:sz="0" w:space="0" w:color="auto"/>
        <w:bottom w:val="none" w:sz="0" w:space="0" w:color="auto"/>
        <w:right w:val="none" w:sz="0" w:space="0" w:color="auto"/>
      </w:divBdr>
    </w:div>
    <w:div w:id="1287855392">
      <w:marLeft w:val="0"/>
      <w:marRight w:val="0"/>
      <w:marTop w:val="0"/>
      <w:marBottom w:val="0"/>
      <w:divBdr>
        <w:top w:val="none" w:sz="0" w:space="0" w:color="auto"/>
        <w:left w:val="none" w:sz="0" w:space="0" w:color="auto"/>
        <w:bottom w:val="none" w:sz="0" w:space="0" w:color="auto"/>
        <w:right w:val="none" w:sz="0" w:space="0" w:color="auto"/>
      </w:divBdr>
    </w:div>
    <w:div w:id="1287855393">
      <w:marLeft w:val="0"/>
      <w:marRight w:val="0"/>
      <w:marTop w:val="0"/>
      <w:marBottom w:val="0"/>
      <w:divBdr>
        <w:top w:val="none" w:sz="0" w:space="0" w:color="auto"/>
        <w:left w:val="none" w:sz="0" w:space="0" w:color="auto"/>
        <w:bottom w:val="none" w:sz="0" w:space="0" w:color="auto"/>
        <w:right w:val="none" w:sz="0" w:space="0" w:color="auto"/>
      </w:divBdr>
    </w:div>
    <w:div w:id="1287855395">
      <w:marLeft w:val="0"/>
      <w:marRight w:val="0"/>
      <w:marTop w:val="0"/>
      <w:marBottom w:val="0"/>
      <w:divBdr>
        <w:top w:val="none" w:sz="0" w:space="0" w:color="auto"/>
        <w:left w:val="none" w:sz="0" w:space="0" w:color="auto"/>
        <w:bottom w:val="none" w:sz="0" w:space="0" w:color="auto"/>
        <w:right w:val="none" w:sz="0" w:space="0" w:color="auto"/>
      </w:divBdr>
    </w:div>
    <w:div w:id="1287855399">
      <w:marLeft w:val="0"/>
      <w:marRight w:val="0"/>
      <w:marTop w:val="0"/>
      <w:marBottom w:val="0"/>
      <w:divBdr>
        <w:top w:val="none" w:sz="0" w:space="0" w:color="auto"/>
        <w:left w:val="none" w:sz="0" w:space="0" w:color="auto"/>
        <w:bottom w:val="none" w:sz="0" w:space="0" w:color="auto"/>
        <w:right w:val="none" w:sz="0" w:space="0" w:color="auto"/>
      </w:divBdr>
    </w:div>
    <w:div w:id="1287855403">
      <w:marLeft w:val="0"/>
      <w:marRight w:val="0"/>
      <w:marTop w:val="0"/>
      <w:marBottom w:val="0"/>
      <w:divBdr>
        <w:top w:val="none" w:sz="0" w:space="0" w:color="auto"/>
        <w:left w:val="none" w:sz="0" w:space="0" w:color="auto"/>
        <w:bottom w:val="none" w:sz="0" w:space="0" w:color="auto"/>
        <w:right w:val="none" w:sz="0" w:space="0" w:color="auto"/>
      </w:divBdr>
    </w:div>
    <w:div w:id="1287855407">
      <w:marLeft w:val="0"/>
      <w:marRight w:val="0"/>
      <w:marTop w:val="0"/>
      <w:marBottom w:val="0"/>
      <w:divBdr>
        <w:top w:val="none" w:sz="0" w:space="0" w:color="auto"/>
        <w:left w:val="none" w:sz="0" w:space="0" w:color="auto"/>
        <w:bottom w:val="none" w:sz="0" w:space="0" w:color="auto"/>
        <w:right w:val="none" w:sz="0" w:space="0" w:color="auto"/>
      </w:divBdr>
      <w:divsChild>
        <w:div w:id="1287855167">
          <w:marLeft w:val="0"/>
          <w:marRight w:val="0"/>
          <w:marTop w:val="0"/>
          <w:marBottom w:val="0"/>
          <w:divBdr>
            <w:top w:val="none" w:sz="0" w:space="0" w:color="auto"/>
            <w:left w:val="none" w:sz="0" w:space="0" w:color="auto"/>
            <w:bottom w:val="none" w:sz="0" w:space="0" w:color="auto"/>
            <w:right w:val="none" w:sz="0" w:space="0" w:color="auto"/>
          </w:divBdr>
          <w:divsChild>
            <w:div w:id="1287855190">
              <w:marLeft w:val="0"/>
              <w:marRight w:val="0"/>
              <w:marTop w:val="0"/>
              <w:marBottom w:val="0"/>
              <w:divBdr>
                <w:top w:val="none" w:sz="0" w:space="0" w:color="auto"/>
                <w:left w:val="none" w:sz="0" w:space="0" w:color="auto"/>
                <w:bottom w:val="none" w:sz="0" w:space="0" w:color="auto"/>
                <w:right w:val="none" w:sz="0" w:space="0" w:color="auto"/>
              </w:divBdr>
              <w:divsChild>
                <w:div w:id="1287855222">
                  <w:marLeft w:val="0"/>
                  <w:marRight w:val="0"/>
                  <w:marTop w:val="0"/>
                  <w:marBottom w:val="0"/>
                  <w:divBdr>
                    <w:top w:val="none" w:sz="0" w:space="0" w:color="auto"/>
                    <w:left w:val="none" w:sz="0" w:space="0" w:color="auto"/>
                    <w:bottom w:val="none" w:sz="0" w:space="0" w:color="auto"/>
                    <w:right w:val="none" w:sz="0" w:space="0" w:color="auto"/>
                  </w:divBdr>
                  <w:divsChild>
                    <w:div w:id="1287855123">
                      <w:marLeft w:val="0"/>
                      <w:marRight w:val="0"/>
                      <w:marTop w:val="0"/>
                      <w:marBottom w:val="0"/>
                      <w:divBdr>
                        <w:top w:val="none" w:sz="0" w:space="0" w:color="auto"/>
                        <w:left w:val="none" w:sz="0" w:space="0" w:color="auto"/>
                        <w:bottom w:val="none" w:sz="0" w:space="0" w:color="auto"/>
                        <w:right w:val="none" w:sz="0" w:space="0" w:color="auto"/>
                      </w:divBdr>
                      <w:divsChild>
                        <w:div w:id="1287855087">
                          <w:marLeft w:val="0"/>
                          <w:marRight w:val="0"/>
                          <w:marTop w:val="0"/>
                          <w:marBottom w:val="0"/>
                          <w:divBdr>
                            <w:top w:val="none" w:sz="0" w:space="0" w:color="auto"/>
                            <w:left w:val="none" w:sz="0" w:space="0" w:color="auto"/>
                            <w:bottom w:val="none" w:sz="0" w:space="0" w:color="auto"/>
                            <w:right w:val="none" w:sz="0" w:space="0" w:color="auto"/>
                          </w:divBdr>
                          <w:divsChild>
                            <w:div w:id="1287855235">
                              <w:marLeft w:val="0"/>
                              <w:marRight w:val="0"/>
                              <w:marTop w:val="0"/>
                              <w:marBottom w:val="0"/>
                              <w:divBdr>
                                <w:top w:val="none" w:sz="0" w:space="0" w:color="auto"/>
                                <w:left w:val="none" w:sz="0" w:space="0" w:color="auto"/>
                                <w:bottom w:val="none" w:sz="0" w:space="0" w:color="auto"/>
                                <w:right w:val="none" w:sz="0" w:space="0" w:color="auto"/>
                              </w:divBdr>
                              <w:divsChild>
                                <w:div w:id="1287855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7855408">
      <w:marLeft w:val="0"/>
      <w:marRight w:val="0"/>
      <w:marTop w:val="0"/>
      <w:marBottom w:val="0"/>
      <w:divBdr>
        <w:top w:val="none" w:sz="0" w:space="0" w:color="auto"/>
        <w:left w:val="none" w:sz="0" w:space="0" w:color="auto"/>
        <w:bottom w:val="none" w:sz="0" w:space="0" w:color="auto"/>
        <w:right w:val="none" w:sz="0" w:space="0" w:color="auto"/>
      </w:divBdr>
    </w:div>
    <w:div w:id="1287855409">
      <w:marLeft w:val="0"/>
      <w:marRight w:val="0"/>
      <w:marTop w:val="0"/>
      <w:marBottom w:val="0"/>
      <w:divBdr>
        <w:top w:val="none" w:sz="0" w:space="0" w:color="auto"/>
        <w:left w:val="none" w:sz="0" w:space="0" w:color="auto"/>
        <w:bottom w:val="none" w:sz="0" w:space="0" w:color="auto"/>
        <w:right w:val="none" w:sz="0" w:space="0" w:color="auto"/>
      </w:divBdr>
    </w:div>
    <w:div w:id="1287855410">
      <w:marLeft w:val="0"/>
      <w:marRight w:val="0"/>
      <w:marTop w:val="0"/>
      <w:marBottom w:val="0"/>
      <w:divBdr>
        <w:top w:val="none" w:sz="0" w:space="0" w:color="auto"/>
        <w:left w:val="none" w:sz="0" w:space="0" w:color="auto"/>
        <w:bottom w:val="none" w:sz="0" w:space="0" w:color="auto"/>
        <w:right w:val="none" w:sz="0" w:space="0" w:color="auto"/>
      </w:divBdr>
    </w:div>
    <w:div w:id="1287855414">
      <w:marLeft w:val="0"/>
      <w:marRight w:val="0"/>
      <w:marTop w:val="0"/>
      <w:marBottom w:val="0"/>
      <w:divBdr>
        <w:top w:val="none" w:sz="0" w:space="0" w:color="auto"/>
        <w:left w:val="none" w:sz="0" w:space="0" w:color="auto"/>
        <w:bottom w:val="none" w:sz="0" w:space="0" w:color="auto"/>
        <w:right w:val="none" w:sz="0" w:space="0" w:color="auto"/>
      </w:divBdr>
    </w:div>
    <w:div w:id="1287855418">
      <w:marLeft w:val="0"/>
      <w:marRight w:val="0"/>
      <w:marTop w:val="0"/>
      <w:marBottom w:val="0"/>
      <w:divBdr>
        <w:top w:val="none" w:sz="0" w:space="0" w:color="auto"/>
        <w:left w:val="none" w:sz="0" w:space="0" w:color="auto"/>
        <w:bottom w:val="none" w:sz="0" w:space="0" w:color="auto"/>
        <w:right w:val="none" w:sz="0" w:space="0" w:color="auto"/>
      </w:divBdr>
    </w:div>
    <w:div w:id="1287855420">
      <w:marLeft w:val="0"/>
      <w:marRight w:val="0"/>
      <w:marTop w:val="0"/>
      <w:marBottom w:val="0"/>
      <w:divBdr>
        <w:top w:val="none" w:sz="0" w:space="0" w:color="auto"/>
        <w:left w:val="none" w:sz="0" w:space="0" w:color="auto"/>
        <w:bottom w:val="none" w:sz="0" w:space="0" w:color="auto"/>
        <w:right w:val="none" w:sz="0" w:space="0" w:color="auto"/>
      </w:divBdr>
      <w:divsChild>
        <w:div w:id="1287855227">
          <w:marLeft w:val="0"/>
          <w:marRight w:val="0"/>
          <w:marTop w:val="0"/>
          <w:marBottom w:val="0"/>
          <w:divBdr>
            <w:top w:val="none" w:sz="0" w:space="0" w:color="auto"/>
            <w:left w:val="none" w:sz="0" w:space="0" w:color="auto"/>
            <w:bottom w:val="none" w:sz="0" w:space="0" w:color="auto"/>
            <w:right w:val="none" w:sz="0" w:space="0" w:color="auto"/>
          </w:divBdr>
          <w:divsChild>
            <w:div w:id="1287855291">
              <w:marLeft w:val="0"/>
              <w:marRight w:val="0"/>
              <w:marTop w:val="0"/>
              <w:marBottom w:val="0"/>
              <w:divBdr>
                <w:top w:val="none" w:sz="0" w:space="0" w:color="auto"/>
                <w:left w:val="none" w:sz="0" w:space="0" w:color="auto"/>
                <w:bottom w:val="none" w:sz="0" w:space="0" w:color="auto"/>
                <w:right w:val="none" w:sz="0" w:space="0" w:color="auto"/>
              </w:divBdr>
              <w:divsChild>
                <w:div w:id="1287855451">
                  <w:marLeft w:val="0"/>
                  <w:marRight w:val="0"/>
                  <w:marTop w:val="0"/>
                  <w:marBottom w:val="0"/>
                  <w:divBdr>
                    <w:top w:val="none" w:sz="0" w:space="0" w:color="auto"/>
                    <w:left w:val="none" w:sz="0" w:space="0" w:color="auto"/>
                    <w:bottom w:val="none" w:sz="0" w:space="0" w:color="auto"/>
                    <w:right w:val="none" w:sz="0" w:space="0" w:color="auto"/>
                  </w:divBdr>
                  <w:divsChild>
                    <w:div w:id="1287855164">
                      <w:marLeft w:val="0"/>
                      <w:marRight w:val="0"/>
                      <w:marTop w:val="0"/>
                      <w:marBottom w:val="0"/>
                      <w:divBdr>
                        <w:top w:val="none" w:sz="0" w:space="0" w:color="auto"/>
                        <w:left w:val="none" w:sz="0" w:space="0" w:color="auto"/>
                        <w:bottom w:val="none" w:sz="0" w:space="0" w:color="auto"/>
                        <w:right w:val="none" w:sz="0" w:space="0" w:color="auto"/>
                      </w:divBdr>
                      <w:divsChild>
                        <w:div w:id="1287855261">
                          <w:marLeft w:val="0"/>
                          <w:marRight w:val="0"/>
                          <w:marTop w:val="0"/>
                          <w:marBottom w:val="0"/>
                          <w:divBdr>
                            <w:top w:val="none" w:sz="0" w:space="0" w:color="auto"/>
                            <w:left w:val="none" w:sz="0" w:space="0" w:color="auto"/>
                            <w:bottom w:val="none" w:sz="0" w:space="0" w:color="auto"/>
                            <w:right w:val="none" w:sz="0" w:space="0" w:color="auto"/>
                          </w:divBdr>
                          <w:divsChild>
                            <w:div w:id="1287855189">
                              <w:marLeft w:val="0"/>
                              <w:marRight w:val="0"/>
                              <w:marTop w:val="0"/>
                              <w:marBottom w:val="0"/>
                              <w:divBdr>
                                <w:top w:val="none" w:sz="0" w:space="0" w:color="auto"/>
                                <w:left w:val="none" w:sz="0" w:space="0" w:color="auto"/>
                                <w:bottom w:val="none" w:sz="0" w:space="0" w:color="auto"/>
                                <w:right w:val="none" w:sz="0" w:space="0" w:color="auto"/>
                              </w:divBdr>
                              <w:divsChild>
                                <w:div w:id="1287855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7855425">
      <w:marLeft w:val="0"/>
      <w:marRight w:val="0"/>
      <w:marTop w:val="0"/>
      <w:marBottom w:val="0"/>
      <w:divBdr>
        <w:top w:val="none" w:sz="0" w:space="0" w:color="auto"/>
        <w:left w:val="none" w:sz="0" w:space="0" w:color="auto"/>
        <w:bottom w:val="none" w:sz="0" w:space="0" w:color="auto"/>
        <w:right w:val="none" w:sz="0" w:space="0" w:color="auto"/>
      </w:divBdr>
    </w:div>
    <w:div w:id="1287855428">
      <w:marLeft w:val="0"/>
      <w:marRight w:val="0"/>
      <w:marTop w:val="0"/>
      <w:marBottom w:val="0"/>
      <w:divBdr>
        <w:top w:val="none" w:sz="0" w:space="0" w:color="auto"/>
        <w:left w:val="none" w:sz="0" w:space="0" w:color="auto"/>
        <w:bottom w:val="none" w:sz="0" w:space="0" w:color="auto"/>
        <w:right w:val="none" w:sz="0" w:space="0" w:color="auto"/>
      </w:divBdr>
      <w:divsChild>
        <w:div w:id="1287855331">
          <w:marLeft w:val="0"/>
          <w:marRight w:val="0"/>
          <w:marTop w:val="0"/>
          <w:marBottom w:val="0"/>
          <w:divBdr>
            <w:top w:val="none" w:sz="0" w:space="0" w:color="auto"/>
            <w:left w:val="none" w:sz="0" w:space="0" w:color="auto"/>
            <w:bottom w:val="none" w:sz="0" w:space="0" w:color="auto"/>
            <w:right w:val="none" w:sz="0" w:space="0" w:color="auto"/>
          </w:divBdr>
          <w:divsChild>
            <w:div w:id="1287855355">
              <w:marLeft w:val="0"/>
              <w:marRight w:val="0"/>
              <w:marTop w:val="0"/>
              <w:marBottom w:val="0"/>
              <w:divBdr>
                <w:top w:val="none" w:sz="0" w:space="0" w:color="auto"/>
                <w:left w:val="none" w:sz="0" w:space="0" w:color="auto"/>
                <w:bottom w:val="none" w:sz="0" w:space="0" w:color="auto"/>
                <w:right w:val="none" w:sz="0" w:space="0" w:color="auto"/>
              </w:divBdr>
              <w:divsChild>
                <w:div w:id="1287855150">
                  <w:marLeft w:val="0"/>
                  <w:marRight w:val="0"/>
                  <w:marTop w:val="0"/>
                  <w:marBottom w:val="0"/>
                  <w:divBdr>
                    <w:top w:val="none" w:sz="0" w:space="0" w:color="auto"/>
                    <w:left w:val="none" w:sz="0" w:space="0" w:color="auto"/>
                    <w:bottom w:val="none" w:sz="0" w:space="0" w:color="auto"/>
                    <w:right w:val="none" w:sz="0" w:space="0" w:color="auto"/>
                  </w:divBdr>
                  <w:divsChild>
                    <w:div w:id="1287855404">
                      <w:marLeft w:val="0"/>
                      <w:marRight w:val="0"/>
                      <w:marTop w:val="0"/>
                      <w:marBottom w:val="0"/>
                      <w:divBdr>
                        <w:top w:val="none" w:sz="0" w:space="0" w:color="auto"/>
                        <w:left w:val="none" w:sz="0" w:space="0" w:color="auto"/>
                        <w:bottom w:val="none" w:sz="0" w:space="0" w:color="auto"/>
                        <w:right w:val="none" w:sz="0" w:space="0" w:color="auto"/>
                      </w:divBdr>
                      <w:divsChild>
                        <w:div w:id="1287855363">
                          <w:marLeft w:val="0"/>
                          <w:marRight w:val="0"/>
                          <w:marTop w:val="0"/>
                          <w:marBottom w:val="0"/>
                          <w:divBdr>
                            <w:top w:val="none" w:sz="0" w:space="0" w:color="auto"/>
                            <w:left w:val="none" w:sz="0" w:space="0" w:color="auto"/>
                            <w:bottom w:val="none" w:sz="0" w:space="0" w:color="auto"/>
                            <w:right w:val="none" w:sz="0" w:space="0" w:color="auto"/>
                          </w:divBdr>
                          <w:divsChild>
                            <w:div w:id="1287855367">
                              <w:marLeft w:val="0"/>
                              <w:marRight w:val="0"/>
                              <w:marTop w:val="0"/>
                              <w:marBottom w:val="0"/>
                              <w:divBdr>
                                <w:top w:val="none" w:sz="0" w:space="0" w:color="auto"/>
                                <w:left w:val="none" w:sz="0" w:space="0" w:color="auto"/>
                                <w:bottom w:val="none" w:sz="0" w:space="0" w:color="auto"/>
                                <w:right w:val="none" w:sz="0" w:space="0" w:color="auto"/>
                              </w:divBdr>
                              <w:divsChild>
                                <w:div w:id="1287855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7855430">
      <w:marLeft w:val="0"/>
      <w:marRight w:val="0"/>
      <w:marTop w:val="0"/>
      <w:marBottom w:val="0"/>
      <w:divBdr>
        <w:top w:val="none" w:sz="0" w:space="0" w:color="auto"/>
        <w:left w:val="none" w:sz="0" w:space="0" w:color="auto"/>
        <w:bottom w:val="none" w:sz="0" w:space="0" w:color="auto"/>
        <w:right w:val="none" w:sz="0" w:space="0" w:color="auto"/>
      </w:divBdr>
    </w:div>
    <w:div w:id="1287855431">
      <w:marLeft w:val="0"/>
      <w:marRight w:val="0"/>
      <w:marTop w:val="0"/>
      <w:marBottom w:val="0"/>
      <w:divBdr>
        <w:top w:val="none" w:sz="0" w:space="0" w:color="auto"/>
        <w:left w:val="none" w:sz="0" w:space="0" w:color="auto"/>
        <w:bottom w:val="none" w:sz="0" w:space="0" w:color="auto"/>
        <w:right w:val="none" w:sz="0" w:space="0" w:color="auto"/>
      </w:divBdr>
    </w:div>
    <w:div w:id="1287855432">
      <w:marLeft w:val="0"/>
      <w:marRight w:val="0"/>
      <w:marTop w:val="0"/>
      <w:marBottom w:val="0"/>
      <w:divBdr>
        <w:top w:val="none" w:sz="0" w:space="0" w:color="auto"/>
        <w:left w:val="none" w:sz="0" w:space="0" w:color="auto"/>
        <w:bottom w:val="none" w:sz="0" w:space="0" w:color="auto"/>
        <w:right w:val="none" w:sz="0" w:space="0" w:color="auto"/>
      </w:divBdr>
    </w:div>
    <w:div w:id="1287855434">
      <w:marLeft w:val="0"/>
      <w:marRight w:val="0"/>
      <w:marTop w:val="0"/>
      <w:marBottom w:val="0"/>
      <w:divBdr>
        <w:top w:val="none" w:sz="0" w:space="0" w:color="auto"/>
        <w:left w:val="none" w:sz="0" w:space="0" w:color="auto"/>
        <w:bottom w:val="none" w:sz="0" w:space="0" w:color="auto"/>
        <w:right w:val="none" w:sz="0" w:space="0" w:color="auto"/>
      </w:divBdr>
    </w:div>
    <w:div w:id="1287855436">
      <w:marLeft w:val="0"/>
      <w:marRight w:val="0"/>
      <w:marTop w:val="0"/>
      <w:marBottom w:val="0"/>
      <w:divBdr>
        <w:top w:val="none" w:sz="0" w:space="0" w:color="auto"/>
        <w:left w:val="none" w:sz="0" w:space="0" w:color="auto"/>
        <w:bottom w:val="none" w:sz="0" w:space="0" w:color="auto"/>
        <w:right w:val="none" w:sz="0" w:space="0" w:color="auto"/>
      </w:divBdr>
    </w:div>
    <w:div w:id="1287855437">
      <w:marLeft w:val="0"/>
      <w:marRight w:val="0"/>
      <w:marTop w:val="0"/>
      <w:marBottom w:val="0"/>
      <w:divBdr>
        <w:top w:val="none" w:sz="0" w:space="0" w:color="auto"/>
        <w:left w:val="none" w:sz="0" w:space="0" w:color="auto"/>
        <w:bottom w:val="none" w:sz="0" w:space="0" w:color="auto"/>
        <w:right w:val="none" w:sz="0" w:space="0" w:color="auto"/>
      </w:divBdr>
    </w:div>
    <w:div w:id="1287855438">
      <w:marLeft w:val="0"/>
      <w:marRight w:val="0"/>
      <w:marTop w:val="0"/>
      <w:marBottom w:val="0"/>
      <w:divBdr>
        <w:top w:val="none" w:sz="0" w:space="0" w:color="auto"/>
        <w:left w:val="none" w:sz="0" w:space="0" w:color="auto"/>
        <w:bottom w:val="none" w:sz="0" w:space="0" w:color="auto"/>
        <w:right w:val="none" w:sz="0" w:space="0" w:color="auto"/>
      </w:divBdr>
    </w:div>
    <w:div w:id="1287855439">
      <w:marLeft w:val="0"/>
      <w:marRight w:val="0"/>
      <w:marTop w:val="0"/>
      <w:marBottom w:val="0"/>
      <w:divBdr>
        <w:top w:val="none" w:sz="0" w:space="0" w:color="auto"/>
        <w:left w:val="none" w:sz="0" w:space="0" w:color="auto"/>
        <w:bottom w:val="none" w:sz="0" w:space="0" w:color="auto"/>
        <w:right w:val="none" w:sz="0" w:space="0" w:color="auto"/>
      </w:divBdr>
    </w:div>
    <w:div w:id="1287855441">
      <w:marLeft w:val="0"/>
      <w:marRight w:val="0"/>
      <w:marTop w:val="0"/>
      <w:marBottom w:val="0"/>
      <w:divBdr>
        <w:top w:val="none" w:sz="0" w:space="0" w:color="auto"/>
        <w:left w:val="none" w:sz="0" w:space="0" w:color="auto"/>
        <w:bottom w:val="none" w:sz="0" w:space="0" w:color="auto"/>
        <w:right w:val="none" w:sz="0" w:space="0" w:color="auto"/>
      </w:divBdr>
    </w:div>
    <w:div w:id="1287855444">
      <w:marLeft w:val="0"/>
      <w:marRight w:val="0"/>
      <w:marTop w:val="0"/>
      <w:marBottom w:val="0"/>
      <w:divBdr>
        <w:top w:val="none" w:sz="0" w:space="0" w:color="auto"/>
        <w:left w:val="none" w:sz="0" w:space="0" w:color="auto"/>
        <w:bottom w:val="none" w:sz="0" w:space="0" w:color="auto"/>
        <w:right w:val="none" w:sz="0" w:space="0" w:color="auto"/>
      </w:divBdr>
    </w:div>
    <w:div w:id="1287855445">
      <w:marLeft w:val="0"/>
      <w:marRight w:val="0"/>
      <w:marTop w:val="0"/>
      <w:marBottom w:val="0"/>
      <w:divBdr>
        <w:top w:val="none" w:sz="0" w:space="0" w:color="auto"/>
        <w:left w:val="none" w:sz="0" w:space="0" w:color="auto"/>
        <w:bottom w:val="none" w:sz="0" w:space="0" w:color="auto"/>
        <w:right w:val="none" w:sz="0" w:space="0" w:color="auto"/>
      </w:divBdr>
    </w:div>
    <w:div w:id="1287855447">
      <w:marLeft w:val="0"/>
      <w:marRight w:val="0"/>
      <w:marTop w:val="0"/>
      <w:marBottom w:val="0"/>
      <w:divBdr>
        <w:top w:val="none" w:sz="0" w:space="0" w:color="auto"/>
        <w:left w:val="none" w:sz="0" w:space="0" w:color="auto"/>
        <w:bottom w:val="none" w:sz="0" w:space="0" w:color="auto"/>
        <w:right w:val="none" w:sz="0" w:space="0" w:color="auto"/>
      </w:divBdr>
    </w:div>
    <w:div w:id="1287855454">
      <w:marLeft w:val="0"/>
      <w:marRight w:val="0"/>
      <w:marTop w:val="0"/>
      <w:marBottom w:val="0"/>
      <w:divBdr>
        <w:top w:val="none" w:sz="0" w:space="0" w:color="auto"/>
        <w:left w:val="none" w:sz="0" w:space="0" w:color="auto"/>
        <w:bottom w:val="none" w:sz="0" w:space="0" w:color="auto"/>
        <w:right w:val="none" w:sz="0" w:space="0" w:color="auto"/>
      </w:divBdr>
    </w:div>
    <w:div w:id="1287855455">
      <w:marLeft w:val="0"/>
      <w:marRight w:val="0"/>
      <w:marTop w:val="0"/>
      <w:marBottom w:val="0"/>
      <w:divBdr>
        <w:top w:val="none" w:sz="0" w:space="0" w:color="auto"/>
        <w:left w:val="none" w:sz="0" w:space="0" w:color="auto"/>
        <w:bottom w:val="none" w:sz="0" w:space="0" w:color="auto"/>
        <w:right w:val="none" w:sz="0" w:space="0" w:color="auto"/>
      </w:divBdr>
      <w:divsChild>
        <w:div w:id="1287855345">
          <w:marLeft w:val="0"/>
          <w:marRight w:val="0"/>
          <w:marTop w:val="0"/>
          <w:marBottom w:val="0"/>
          <w:divBdr>
            <w:top w:val="none" w:sz="0" w:space="0" w:color="auto"/>
            <w:left w:val="none" w:sz="0" w:space="0" w:color="auto"/>
            <w:bottom w:val="none" w:sz="0" w:space="0" w:color="auto"/>
            <w:right w:val="none" w:sz="0" w:space="0" w:color="auto"/>
          </w:divBdr>
          <w:divsChild>
            <w:div w:id="1287855175">
              <w:marLeft w:val="0"/>
              <w:marRight w:val="0"/>
              <w:marTop w:val="0"/>
              <w:marBottom w:val="0"/>
              <w:divBdr>
                <w:top w:val="none" w:sz="0" w:space="0" w:color="auto"/>
                <w:left w:val="none" w:sz="0" w:space="0" w:color="auto"/>
                <w:bottom w:val="none" w:sz="0" w:space="0" w:color="auto"/>
                <w:right w:val="none" w:sz="0" w:space="0" w:color="auto"/>
              </w:divBdr>
              <w:divsChild>
                <w:div w:id="1287855267">
                  <w:marLeft w:val="0"/>
                  <w:marRight w:val="0"/>
                  <w:marTop w:val="0"/>
                  <w:marBottom w:val="0"/>
                  <w:divBdr>
                    <w:top w:val="none" w:sz="0" w:space="0" w:color="auto"/>
                    <w:left w:val="none" w:sz="0" w:space="0" w:color="auto"/>
                    <w:bottom w:val="none" w:sz="0" w:space="0" w:color="auto"/>
                    <w:right w:val="none" w:sz="0" w:space="0" w:color="auto"/>
                  </w:divBdr>
                  <w:divsChild>
                    <w:div w:id="1287855195">
                      <w:marLeft w:val="0"/>
                      <w:marRight w:val="0"/>
                      <w:marTop w:val="0"/>
                      <w:marBottom w:val="0"/>
                      <w:divBdr>
                        <w:top w:val="none" w:sz="0" w:space="0" w:color="auto"/>
                        <w:left w:val="none" w:sz="0" w:space="0" w:color="auto"/>
                        <w:bottom w:val="none" w:sz="0" w:space="0" w:color="auto"/>
                        <w:right w:val="none" w:sz="0" w:space="0" w:color="auto"/>
                      </w:divBdr>
                      <w:divsChild>
                        <w:div w:id="1287855081">
                          <w:marLeft w:val="0"/>
                          <w:marRight w:val="0"/>
                          <w:marTop w:val="0"/>
                          <w:marBottom w:val="0"/>
                          <w:divBdr>
                            <w:top w:val="none" w:sz="0" w:space="0" w:color="auto"/>
                            <w:left w:val="none" w:sz="0" w:space="0" w:color="auto"/>
                            <w:bottom w:val="none" w:sz="0" w:space="0" w:color="auto"/>
                            <w:right w:val="none" w:sz="0" w:space="0" w:color="auto"/>
                          </w:divBdr>
                          <w:divsChild>
                            <w:div w:id="1287855238">
                              <w:marLeft w:val="0"/>
                              <w:marRight w:val="0"/>
                              <w:marTop w:val="0"/>
                              <w:marBottom w:val="0"/>
                              <w:divBdr>
                                <w:top w:val="none" w:sz="0" w:space="0" w:color="auto"/>
                                <w:left w:val="none" w:sz="0" w:space="0" w:color="auto"/>
                                <w:bottom w:val="none" w:sz="0" w:space="0" w:color="auto"/>
                                <w:right w:val="none" w:sz="0" w:space="0" w:color="auto"/>
                              </w:divBdr>
                              <w:divsChild>
                                <w:div w:id="1287855223">
                                  <w:marLeft w:val="0"/>
                                  <w:marRight w:val="0"/>
                                  <w:marTop w:val="0"/>
                                  <w:marBottom w:val="0"/>
                                  <w:divBdr>
                                    <w:top w:val="none" w:sz="0" w:space="0" w:color="auto"/>
                                    <w:left w:val="none" w:sz="0" w:space="0" w:color="auto"/>
                                    <w:bottom w:val="none" w:sz="0" w:space="0" w:color="auto"/>
                                    <w:right w:val="none" w:sz="0" w:space="0" w:color="auto"/>
                                  </w:divBdr>
                                  <w:divsChild>
                                    <w:div w:id="1287855375">
                                      <w:marLeft w:val="0"/>
                                      <w:marRight w:val="0"/>
                                      <w:marTop w:val="0"/>
                                      <w:marBottom w:val="0"/>
                                      <w:divBdr>
                                        <w:top w:val="single" w:sz="6" w:space="0" w:color="F5F5F5"/>
                                        <w:left w:val="single" w:sz="6" w:space="0" w:color="F5F5F5"/>
                                        <w:bottom w:val="single" w:sz="6" w:space="0" w:color="F5F5F5"/>
                                        <w:right w:val="single" w:sz="6" w:space="0" w:color="F5F5F5"/>
                                      </w:divBdr>
                                      <w:divsChild>
                                        <w:div w:id="1287855412">
                                          <w:marLeft w:val="0"/>
                                          <w:marRight w:val="0"/>
                                          <w:marTop w:val="0"/>
                                          <w:marBottom w:val="0"/>
                                          <w:divBdr>
                                            <w:top w:val="none" w:sz="0" w:space="0" w:color="auto"/>
                                            <w:left w:val="none" w:sz="0" w:space="0" w:color="auto"/>
                                            <w:bottom w:val="none" w:sz="0" w:space="0" w:color="auto"/>
                                            <w:right w:val="none" w:sz="0" w:space="0" w:color="auto"/>
                                          </w:divBdr>
                                          <w:divsChild>
                                            <w:div w:id="128785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87855456">
      <w:marLeft w:val="0"/>
      <w:marRight w:val="0"/>
      <w:marTop w:val="0"/>
      <w:marBottom w:val="0"/>
      <w:divBdr>
        <w:top w:val="none" w:sz="0" w:space="0" w:color="auto"/>
        <w:left w:val="none" w:sz="0" w:space="0" w:color="auto"/>
        <w:bottom w:val="none" w:sz="0" w:space="0" w:color="auto"/>
        <w:right w:val="none" w:sz="0" w:space="0" w:color="auto"/>
      </w:divBdr>
    </w:div>
    <w:div w:id="1287855457">
      <w:marLeft w:val="0"/>
      <w:marRight w:val="0"/>
      <w:marTop w:val="0"/>
      <w:marBottom w:val="0"/>
      <w:divBdr>
        <w:top w:val="none" w:sz="0" w:space="0" w:color="auto"/>
        <w:left w:val="none" w:sz="0" w:space="0" w:color="auto"/>
        <w:bottom w:val="none" w:sz="0" w:space="0" w:color="auto"/>
        <w:right w:val="none" w:sz="0" w:space="0" w:color="auto"/>
      </w:divBdr>
    </w:div>
    <w:div w:id="1287855461">
      <w:marLeft w:val="0"/>
      <w:marRight w:val="0"/>
      <w:marTop w:val="0"/>
      <w:marBottom w:val="0"/>
      <w:divBdr>
        <w:top w:val="none" w:sz="0" w:space="0" w:color="auto"/>
        <w:left w:val="none" w:sz="0" w:space="0" w:color="auto"/>
        <w:bottom w:val="none" w:sz="0" w:space="0" w:color="auto"/>
        <w:right w:val="none" w:sz="0" w:space="0" w:color="auto"/>
      </w:divBdr>
    </w:div>
    <w:div w:id="1287855463">
      <w:marLeft w:val="0"/>
      <w:marRight w:val="0"/>
      <w:marTop w:val="0"/>
      <w:marBottom w:val="0"/>
      <w:divBdr>
        <w:top w:val="none" w:sz="0" w:space="0" w:color="auto"/>
        <w:left w:val="none" w:sz="0" w:space="0" w:color="auto"/>
        <w:bottom w:val="none" w:sz="0" w:space="0" w:color="auto"/>
        <w:right w:val="none" w:sz="0" w:space="0" w:color="auto"/>
      </w:divBdr>
    </w:div>
    <w:div w:id="1305164410">
      <w:bodyDiv w:val="1"/>
      <w:marLeft w:val="0"/>
      <w:marRight w:val="0"/>
      <w:marTop w:val="0"/>
      <w:marBottom w:val="0"/>
      <w:divBdr>
        <w:top w:val="none" w:sz="0" w:space="0" w:color="auto"/>
        <w:left w:val="none" w:sz="0" w:space="0" w:color="auto"/>
        <w:bottom w:val="none" w:sz="0" w:space="0" w:color="auto"/>
        <w:right w:val="none" w:sz="0" w:space="0" w:color="auto"/>
      </w:divBdr>
      <w:divsChild>
        <w:div w:id="1222671491">
          <w:marLeft w:val="0"/>
          <w:marRight w:val="0"/>
          <w:marTop w:val="0"/>
          <w:marBottom w:val="0"/>
          <w:divBdr>
            <w:top w:val="none" w:sz="0" w:space="0" w:color="auto"/>
            <w:left w:val="none" w:sz="0" w:space="0" w:color="auto"/>
            <w:bottom w:val="none" w:sz="0" w:space="0" w:color="auto"/>
            <w:right w:val="none" w:sz="0" w:space="0" w:color="auto"/>
          </w:divBdr>
          <w:divsChild>
            <w:div w:id="844635153">
              <w:marLeft w:val="0"/>
              <w:marRight w:val="0"/>
              <w:marTop w:val="0"/>
              <w:marBottom w:val="0"/>
              <w:divBdr>
                <w:top w:val="none" w:sz="0" w:space="0" w:color="auto"/>
                <w:left w:val="none" w:sz="0" w:space="0" w:color="auto"/>
                <w:bottom w:val="none" w:sz="0" w:space="0" w:color="auto"/>
                <w:right w:val="none" w:sz="0" w:space="0" w:color="auto"/>
              </w:divBdr>
              <w:divsChild>
                <w:div w:id="39062336">
                  <w:marLeft w:val="0"/>
                  <w:marRight w:val="0"/>
                  <w:marTop w:val="0"/>
                  <w:marBottom w:val="0"/>
                  <w:divBdr>
                    <w:top w:val="none" w:sz="0" w:space="0" w:color="auto"/>
                    <w:left w:val="none" w:sz="0" w:space="0" w:color="auto"/>
                    <w:bottom w:val="none" w:sz="0" w:space="0" w:color="auto"/>
                    <w:right w:val="none" w:sz="0" w:space="0" w:color="auto"/>
                  </w:divBdr>
                  <w:divsChild>
                    <w:div w:id="255947827">
                      <w:marLeft w:val="0"/>
                      <w:marRight w:val="0"/>
                      <w:marTop w:val="0"/>
                      <w:marBottom w:val="0"/>
                      <w:divBdr>
                        <w:top w:val="none" w:sz="0" w:space="0" w:color="auto"/>
                        <w:left w:val="none" w:sz="0" w:space="0" w:color="auto"/>
                        <w:bottom w:val="none" w:sz="0" w:space="0" w:color="auto"/>
                        <w:right w:val="none" w:sz="0" w:space="0" w:color="auto"/>
                      </w:divBdr>
                      <w:divsChild>
                        <w:div w:id="1114327592">
                          <w:marLeft w:val="0"/>
                          <w:marRight w:val="0"/>
                          <w:marTop w:val="0"/>
                          <w:marBottom w:val="0"/>
                          <w:divBdr>
                            <w:top w:val="none" w:sz="0" w:space="0" w:color="auto"/>
                            <w:left w:val="none" w:sz="0" w:space="0" w:color="auto"/>
                            <w:bottom w:val="none" w:sz="0" w:space="0" w:color="auto"/>
                            <w:right w:val="none" w:sz="0" w:space="0" w:color="auto"/>
                          </w:divBdr>
                          <w:divsChild>
                            <w:div w:id="638875515">
                              <w:marLeft w:val="0"/>
                              <w:marRight w:val="0"/>
                              <w:marTop w:val="0"/>
                              <w:marBottom w:val="0"/>
                              <w:divBdr>
                                <w:top w:val="none" w:sz="0" w:space="0" w:color="auto"/>
                                <w:left w:val="none" w:sz="0" w:space="0" w:color="auto"/>
                                <w:bottom w:val="none" w:sz="0" w:space="0" w:color="auto"/>
                                <w:right w:val="none" w:sz="0" w:space="0" w:color="auto"/>
                              </w:divBdr>
                              <w:divsChild>
                                <w:div w:id="896286452">
                                  <w:marLeft w:val="0"/>
                                  <w:marRight w:val="0"/>
                                  <w:marTop w:val="0"/>
                                  <w:marBottom w:val="0"/>
                                  <w:divBdr>
                                    <w:top w:val="none" w:sz="0" w:space="0" w:color="auto"/>
                                    <w:left w:val="none" w:sz="0" w:space="0" w:color="auto"/>
                                    <w:bottom w:val="none" w:sz="0" w:space="0" w:color="auto"/>
                                    <w:right w:val="none" w:sz="0" w:space="0" w:color="auto"/>
                                  </w:divBdr>
                                  <w:divsChild>
                                    <w:div w:id="802193115">
                                      <w:marLeft w:val="0"/>
                                      <w:marRight w:val="0"/>
                                      <w:marTop w:val="0"/>
                                      <w:marBottom w:val="0"/>
                                      <w:divBdr>
                                        <w:top w:val="none" w:sz="0" w:space="0" w:color="auto"/>
                                        <w:left w:val="none" w:sz="0" w:space="0" w:color="auto"/>
                                        <w:bottom w:val="none" w:sz="0" w:space="0" w:color="auto"/>
                                        <w:right w:val="none" w:sz="0" w:space="0" w:color="auto"/>
                                      </w:divBdr>
                                      <w:divsChild>
                                        <w:div w:id="410280631">
                                          <w:marLeft w:val="0"/>
                                          <w:marRight w:val="0"/>
                                          <w:marTop w:val="0"/>
                                          <w:marBottom w:val="0"/>
                                          <w:divBdr>
                                            <w:top w:val="none" w:sz="0" w:space="0" w:color="auto"/>
                                            <w:left w:val="none" w:sz="0" w:space="0" w:color="auto"/>
                                            <w:bottom w:val="none" w:sz="0" w:space="0" w:color="auto"/>
                                            <w:right w:val="none" w:sz="0" w:space="0" w:color="auto"/>
                                          </w:divBdr>
                                          <w:divsChild>
                                            <w:div w:id="608244765">
                                              <w:marLeft w:val="0"/>
                                              <w:marRight w:val="0"/>
                                              <w:marTop w:val="0"/>
                                              <w:marBottom w:val="0"/>
                                              <w:divBdr>
                                                <w:top w:val="single" w:sz="6" w:space="0" w:color="F5F5F5"/>
                                                <w:left w:val="single" w:sz="6" w:space="0" w:color="F5F5F5"/>
                                                <w:bottom w:val="single" w:sz="6" w:space="0" w:color="F5F5F5"/>
                                                <w:right w:val="single" w:sz="6" w:space="0" w:color="F5F5F5"/>
                                              </w:divBdr>
                                              <w:divsChild>
                                                <w:div w:id="785778589">
                                                  <w:marLeft w:val="0"/>
                                                  <w:marRight w:val="0"/>
                                                  <w:marTop w:val="0"/>
                                                  <w:marBottom w:val="0"/>
                                                  <w:divBdr>
                                                    <w:top w:val="none" w:sz="0" w:space="0" w:color="auto"/>
                                                    <w:left w:val="none" w:sz="0" w:space="0" w:color="auto"/>
                                                    <w:bottom w:val="none" w:sz="0" w:space="0" w:color="auto"/>
                                                    <w:right w:val="none" w:sz="0" w:space="0" w:color="auto"/>
                                                  </w:divBdr>
                                                  <w:divsChild>
                                                    <w:div w:id="1107773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20208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chart" Target="charts/chart72.xml"/><Relationship Id="rId21" Type="http://schemas.openxmlformats.org/officeDocument/2006/relationships/chart" Target="charts/chart3.xml"/><Relationship Id="rId42" Type="http://schemas.openxmlformats.org/officeDocument/2006/relationships/chart" Target="charts/chart22.xml"/><Relationship Id="rId63" Type="http://schemas.openxmlformats.org/officeDocument/2006/relationships/chart" Target="charts/chart40.xml"/><Relationship Id="rId84" Type="http://schemas.openxmlformats.org/officeDocument/2006/relationships/image" Target="media/image19.emf"/><Relationship Id="rId138" Type="http://schemas.openxmlformats.org/officeDocument/2006/relationships/chart" Target="charts/chart89.xml"/><Relationship Id="rId159" Type="http://schemas.openxmlformats.org/officeDocument/2006/relationships/customXml" Target="../customXml/item4.xml"/><Relationship Id="rId107" Type="http://schemas.openxmlformats.org/officeDocument/2006/relationships/chart" Target="charts/chart62.xml"/><Relationship Id="rId11" Type="http://schemas.openxmlformats.org/officeDocument/2006/relationships/image" Target="media/image4.jpeg"/><Relationship Id="rId32" Type="http://schemas.openxmlformats.org/officeDocument/2006/relationships/chart" Target="charts/chart12.xml"/><Relationship Id="rId53" Type="http://schemas.openxmlformats.org/officeDocument/2006/relationships/chart" Target="charts/chart32.xml"/><Relationship Id="rId74" Type="http://schemas.openxmlformats.org/officeDocument/2006/relationships/image" Target="media/image10.emf"/><Relationship Id="rId128" Type="http://schemas.openxmlformats.org/officeDocument/2006/relationships/chart" Target="charts/chart80.xml"/><Relationship Id="rId149" Type="http://schemas.openxmlformats.org/officeDocument/2006/relationships/chart" Target="charts/chart100.xml"/><Relationship Id="rId5" Type="http://schemas.openxmlformats.org/officeDocument/2006/relationships/webSettings" Target="webSettings.xml"/><Relationship Id="rId95" Type="http://schemas.openxmlformats.org/officeDocument/2006/relationships/image" Target="media/image27.emf"/><Relationship Id="rId22" Type="http://schemas.openxmlformats.org/officeDocument/2006/relationships/image" Target="media/image5.emf"/><Relationship Id="rId43" Type="http://schemas.openxmlformats.org/officeDocument/2006/relationships/chart" Target="charts/chart23.xml"/><Relationship Id="rId64" Type="http://schemas.openxmlformats.org/officeDocument/2006/relationships/chart" Target="charts/chart41.xml"/><Relationship Id="rId118" Type="http://schemas.openxmlformats.org/officeDocument/2006/relationships/chart" Target="charts/chart73.xml"/><Relationship Id="rId139" Type="http://schemas.openxmlformats.org/officeDocument/2006/relationships/chart" Target="charts/chart90.xml"/><Relationship Id="rId80" Type="http://schemas.openxmlformats.org/officeDocument/2006/relationships/chart" Target="charts/chart50.xml"/><Relationship Id="rId85" Type="http://schemas.openxmlformats.org/officeDocument/2006/relationships/image" Target="media/image20.emf"/><Relationship Id="rId150" Type="http://schemas.openxmlformats.org/officeDocument/2006/relationships/chart" Target="charts/chart101.xml"/><Relationship Id="rId155" Type="http://schemas.openxmlformats.org/officeDocument/2006/relationships/fontTable" Target="fontTable.xml"/><Relationship Id="rId12" Type="http://schemas.openxmlformats.org/officeDocument/2006/relationships/header" Target="header1.xml"/><Relationship Id="rId17" Type="http://schemas.openxmlformats.org/officeDocument/2006/relationships/footer" Target="footer2.xml"/><Relationship Id="rId33" Type="http://schemas.openxmlformats.org/officeDocument/2006/relationships/chart" Target="charts/chart13.xml"/><Relationship Id="rId38" Type="http://schemas.openxmlformats.org/officeDocument/2006/relationships/chart" Target="charts/chart18.xml"/><Relationship Id="rId59" Type="http://schemas.openxmlformats.org/officeDocument/2006/relationships/chart" Target="charts/chart38.xml"/><Relationship Id="rId103" Type="http://schemas.openxmlformats.org/officeDocument/2006/relationships/chart" Target="charts/chart58.xml"/><Relationship Id="rId108" Type="http://schemas.openxmlformats.org/officeDocument/2006/relationships/chart" Target="charts/chart63.xml"/><Relationship Id="rId124" Type="http://schemas.openxmlformats.org/officeDocument/2006/relationships/chart" Target="charts/chart79.xml"/><Relationship Id="rId129" Type="http://schemas.openxmlformats.org/officeDocument/2006/relationships/chart" Target="charts/chart81.xml"/><Relationship Id="rId54" Type="http://schemas.openxmlformats.org/officeDocument/2006/relationships/chart" Target="charts/chart33.xml"/><Relationship Id="rId70" Type="http://schemas.openxmlformats.org/officeDocument/2006/relationships/chart" Target="charts/chart47.xml"/><Relationship Id="rId75" Type="http://schemas.openxmlformats.org/officeDocument/2006/relationships/image" Target="media/image11.emf"/><Relationship Id="rId91" Type="http://schemas.openxmlformats.org/officeDocument/2006/relationships/image" Target="media/image25.emf"/><Relationship Id="rId96" Type="http://schemas.openxmlformats.org/officeDocument/2006/relationships/image" Target="media/image28.emf"/><Relationship Id="rId140" Type="http://schemas.openxmlformats.org/officeDocument/2006/relationships/chart" Target="charts/chart91.xml"/><Relationship Id="rId145" Type="http://schemas.openxmlformats.org/officeDocument/2006/relationships/chart" Target="charts/chart96.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chart" Target="charts/chart4.xml"/><Relationship Id="rId28" Type="http://schemas.openxmlformats.org/officeDocument/2006/relationships/chart" Target="charts/chart9.xml"/><Relationship Id="rId49" Type="http://schemas.openxmlformats.org/officeDocument/2006/relationships/chart" Target="charts/chart28.xml"/><Relationship Id="rId114" Type="http://schemas.openxmlformats.org/officeDocument/2006/relationships/chart" Target="charts/chart69.xml"/><Relationship Id="rId119" Type="http://schemas.openxmlformats.org/officeDocument/2006/relationships/chart" Target="charts/chart74.xml"/><Relationship Id="rId44" Type="http://schemas.openxmlformats.org/officeDocument/2006/relationships/hyperlink" Target="javascript:Redirection('LE0000197998_20040222.HTML');" TargetMode="External"/><Relationship Id="rId60" Type="http://schemas.openxmlformats.org/officeDocument/2006/relationships/chart" Target="charts/chart39.xml"/><Relationship Id="rId65" Type="http://schemas.openxmlformats.org/officeDocument/2006/relationships/chart" Target="charts/chart42.xml"/><Relationship Id="rId81" Type="http://schemas.openxmlformats.org/officeDocument/2006/relationships/image" Target="media/image16.emf"/><Relationship Id="rId86" Type="http://schemas.openxmlformats.org/officeDocument/2006/relationships/image" Target="media/image21.emf"/><Relationship Id="rId130" Type="http://schemas.openxmlformats.org/officeDocument/2006/relationships/chart" Target="charts/chart82.xml"/><Relationship Id="rId135" Type="http://schemas.openxmlformats.org/officeDocument/2006/relationships/image" Target="media/image34.emf"/><Relationship Id="rId151" Type="http://schemas.openxmlformats.org/officeDocument/2006/relationships/header" Target="header6.xml"/><Relationship Id="rId156" Type="http://schemas.openxmlformats.org/officeDocument/2006/relationships/theme" Target="theme/theme1.xml"/><Relationship Id="rId13" Type="http://schemas.openxmlformats.org/officeDocument/2006/relationships/header" Target="header2.xml"/><Relationship Id="rId18" Type="http://schemas.openxmlformats.org/officeDocument/2006/relationships/header" Target="header5.xml"/><Relationship Id="rId39" Type="http://schemas.openxmlformats.org/officeDocument/2006/relationships/chart" Target="charts/chart19.xml"/><Relationship Id="rId109" Type="http://schemas.openxmlformats.org/officeDocument/2006/relationships/chart" Target="charts/chart64.xml"/><Relationship Id="rId34" Type="http://schemas.openxmlformats.org/officeDocument/2006/relationships/chart" Target="charts/chart14.xml"/><Relationship Id="rId50" Type="http://schemas.openxmlformats.org/officeDocument/2006/relationships/chart" Target="charts/chart29.xml"/><Relationship Id="rId55" Type="http://schemas.openxmlformats.org/officeDocument/2006/relationships/chart" Target="charts/chart34.xml"/><Relationship Id="rId76" Type="http://schemas.openxmlformats.org/officeDocument/2006/relationships/image" Target="media/image12.emf"/><Relationship Id="rId97" Type="http://schemas.openxmlformats.org/officeDocument/2006/relationships/image" Target="media/image29.emf"/><Relationship Id="rId104" Type="http://schemas.openxmlformats.org/officeDocument/2006/relationships/chart" Target="charts/chart59.xml"/><Relationship Id="rId120" Type="http://schemas.openxmlformats.org/officeDocument/2006/relationships/chart" Target="charts/chart75.xml"/><Relationship Id="rId125" Type="http://schemas.openxmlformats.org/officeDocument/2006/relationships/image" Target="media/image31.emf"/><Relationship Id="rId141" Type="http://schemas.openxmlformats.org/officeDocument/2006/relationships/chart" Target="charts/chart92.xml"/><Relationship Id="rId146" Type="http://schemas.openxmlformats.org/officeDocument/2006/relationships/chart" Target="charts/chart97.xml"/><Relationship Id="rId7" Type="http://schemas.openxmlformats.org/officeDocument/2006/relationships/endnotes" Target="endnotes.xml"/><Relationship Id="rId71" Type="http://schemas.openxmlformats.org/officeDocument/2006/relationships/chart" Target="charts/chart48.xml"/><Relationship Id="rId92" Type="http://schemas.openxmlformats.org/officeDocument/2006/relationships/chart" Target="charts/chart52.xml"/><Relationship Id="rId2" Type="http://schemas.openxmlformats.org/officeDocument/2006/relationships/numbering" Target="numbering.xml"/><Relationship Id="rId29" Type="http://schemas.openxmlformats.org/officeDocument/2006/relationships/chart" Target="charts/chart10.xml"/><Relationship Id="rId24" Type="http://schemas.openxmlformats.org/officeDocument/2006/relationships/chart" Target="charts/chart5.xml"/><Relationship Id="rId40" Type="http://schemas.openxmlformats.org/officeDocument/2006/relationships/chart" Target="charts/chart20.xml"/><Relationship Id="rId45" Type="http://schemas.openxmlformats.org/officeDocument/2006/relationships/chart" Target="charts/chart24.xml"/><Relationship Id="rId66" Type="http://schemas.openxmlformats.org/officeDocument/2006/relationships/chart" Target="charts/chart43.xml"/><Relationship Id="rId87" Type="http://schemas.openxmlformats.org/officeDocument/2006/relationships/chart" Target="charts/chart51.xml"/><Relationship Id="rId110" Type="http://schemas.openxmlformats.org/officeDocument/2006/relationships/chart" Target="charts/chart65.xml"/><Relationship Id="rId115" Type="http://schemas.openxmlformats.org/officeDocument/2006/relationships/chart" Target="charts/chart70.xml"/><Relationship Id="rId131" Type="http://schemas.openxmlformats.org/officeDocument/2006/relationships/chart" Target="charts/chart83.xml"/><Relationship Id="rId136" Type="http://schemas.openxmlformats.org/officeDocument/2006/relationships/chart" Target="charts/chart87.xml"/><Relationship Id="rId157" Type="http://schemas.openxmlformats.org/officeDocument/2006/relationships/customXml" Target="../customXml/item2.xml"/><Relationship Id="rId61" Type="http://schemas.openxmlformats.org/officeDocument/2006/relationships/image" Target="media/image7.emf"/><Relationship Id="rId82" Type="http://schemas.openxmlformats.org/officeDocument/2006/relationships/image" Target="media/image17.emf"/><Relationship Id="rId152" Type="http://schemas.openxmlformats.org/officeDocument/2006/relationships/header" Target="header7.xml"/><Relationship Id="rId19" Type="http://schemas.openxmlformats.org/officeDocument/2006/relationships/chart" Target="charts/chart1.xml"/><Relationship Id="rId14" Type="http://schemas.openxmlformats.org/officeDocument/2006/relationships/footer" Target="footer1.xml"/><Relationship Id="rId30" Type="http://schemas.openxmlformats.org/officeDocument/2006/relationships/chart" Target="charts/chart11.xml"/><Relationship Id="rId35" Type="http://schemas.openxmlformats.org/officeDocument/2006/relationships/chart" Target="charts/chart15.xml"/><Relationship Id="rId56" Type="http://schemas.openxmlformats.org/officeDocument/2006/relationships/chart" Target="charts/chart35.xml"/><Relationship Id="rId77" Type="http://schemas.openxmlformats.org/officeDocument/2006/relationships/image" Target="media/image13.emf"/><Relationship Id="rId100" Type="http://schemas.openxmlformats.org/officeDocument/2006/relationships/chart" Target="charts/chart55.xml"/><Relationship Id="rId105" Type="http://schemas.openxmlformats.org/officeDocument/2006/relationships/chart" Target="charts/chart60.xml"/><Relationship Id="rId126" Type="http://schemas.openxmlformats.org/officeDocument/2006/relationships/image" Target="media/image32.emf"/><Relationship Id="rId147" Type="http://schemas.openxmlformats.org/officeDocument/2006/relationships/chart" Target="charts/chart98.xml"/><Relationship Id="rId8" Type="http://schemas.openxmlformats.org/officeDocument/2006/relationships/image" Target="media/image1.jpeg"/><Relationship Id="rId51" Type="http://schemas.openxmlformats.org/officeDocument/2006/relationships/chart" Target="charts/chart30.xml"/><Relationship Id="rId72" Type="http://schemas.openxmlformats.org/officeDocument/2006/relationships/chart" Target="charts/chart49.xml"/><Relationship Id="rId93" Type="http://schemas.openxmlformats.org/officeDocument/2006/relationships/chart" Target="charts/chart53.xml"/><Relationship Id="rId98" Type="http://schemas.openxmlformats.org/officeDocument/2006/relationships/image" Target="media/image30.emf"/><Relationship Id="rId121" Type="http://schemas.openxmlformats.org/officeDocument/2006/relationships/chart" Target="charts/chart76.xml"/><Relationship Id="rId142" Type="http://schemas.openxmlformats.org/officeDocument/2006/relationships/chart" Target="charts/chart93.xml"/><Relationship Id="rId3" Type="http://schemas.openxmlformats.org/officeDocument/2006/relationships/styles" Target="styles.xml"/><Relationship Id="rId25" Type="http://schemas.openxmlformats.org/officeDocument/2006/relationships/chart" Target="charts/chart6.xml"/><Relationship Id="rId46" Type="http://schemas.openxmlformats.org/officeDocument/2006/relationships/chart" Target="charts/chart25.xml"/><Relationship Id="rId67" Type="http://schemas.openxmlformats.org/officeDocument/2006/relationships/chart" Target="charts/chart44.xml"/><Relationship Id="rId116" Type="http://schemas.openxmlformats.org/officeDocument/2006/relationships/chart" Target="charts/chart71.xml"/><Relationship Id="rId137" Type="http://schemas.openxmlformats.org/officeDocument/2006/relationships/chart" Target="charts/chart88.xml"/><Relationship Id="rId158" Type="http://schemas.openxmlformats.org/officeDocument/2006/relationships/customXml" Target="../customXml/item3.xml"/><Relationship Id="rId20" Type="http://schemas.openxmlformats.org/officeDocument/2006/relationships/chart" Target="charts/chart2.xml"/><Relationship Id="rId41" Type="http://schemas.openxmlformats.org/officeDocument/2006/relationships/chart" Target="charts/chart21.xml"/><Relationship Id="rId62" Type="http://schemas.openxmlformats.org/officeDocument/2006/relationships/image" Target="media/image8.emf"/><Relationship Id="rId83" Type="http://schemas.openxmlformats.org/officeDocument/2006/relationships/image" Target="media/image18.emf"/><Relationship Id="rId88" Type="http://schemas.openxmlformats.org/officeDocument/2006/relationships/image" Target="media/image22.emf"/><Relationship Id="rId111" Type="http://schemas.openxmlformats.org/officeDocument/2006/relationships/chart" Target="charts/chart66.xml"/><Relationship Id="rId132" Type="http://schemas.openxmlformats.org/officeDocument/2006/relationships/chart" Target="charts/chart84.xml"/><Relationship Id="rId153" Type="http://schemas.openxmlformats.org/officeDocument/2006/relationships/footer" Target="footer3.xml"/><Relationship Id="rId15" Type="http://schemas.openxmlformats.org/officeDocument/2006/relationships/header" Target="header3.xml"/><Relationship Id="rId36" Type="http://schemas.openxmlformats.org/officeDocument/2006/relationships/chart" Target="charts/chart16.xml"/><Relationship Id="rId57" Type="http://schemas.openxmlformats.org/officeDocument/2006/relationships/chart" Target="charts/chart36.xml"/><Relationship Id="rId106" Type="http://schemas.openxmlformats.org/officeDocument/2006/relationships/chart" Target="charts/chart61.xml"/><Relationship Id="rId127" Type="http://schemas.openxmlformats.org/officeDocument/2006/relationships/image" Target="media/image33.emf"/><Relationship Id="rId10" Type="http://schemas.openxmlformats.org/officeDocument/2006/relationships/image" Target="media/image3.jpeg"/><Relationship Id="rId31" Type="http://schemas.openxmlformats.org/officeDocument/2006/relationships/image" Target="media/image6.emf"/><Relationship Id="rId52" Type="http://schemas.openxmlformats.org/officeDocument/2006/relationships/chart" Target="charts/chart31.xml"/><Relationship Id="rId73" Type="http://schemas.openxmlformats.org/officeDocument/2006/relationships/image" Target="media/image9.emf"/><Relationship Id="rId78" Type="http://schemas.openxmlformats.org/officeDocument/2006/relationships/image" Target="media/image14.emf"/><Relationship Id="rId94" Type="http://schemas.openxmlformats.org/officeDocument/2006/relationships/image" Target="media/image26.emf"/><Relationship Id="rId99" Type="http://schemas.openxmlformats.org/officeDocument/2006/relationships/chart" Target="charts/chart54.xml"/><Relationship Id="rId101" Type="http://schemas.openxmlformats.org/officeDocument/2006/relationships/chart" Target="charts/chart56.xml"/><Relationship Id="rId122" Type="http://schemas.openxmlformats.org/officeDocument/2006/relationships/chart" Target="charts/chart77.xml"/><Relationship Id="rId143" Type="http://schemas.openxmlformats.org/officeDocument/2006/relationships/chart" Target="charts/chart94.xml"/><Relationship Id="rId148" Type="http://schemas.openxmlformats.org/officeDocument/2006/relationships/chart" Target="charts/chart99.xml"/><Relationship Id="rId4" Type="http://schemas.openxmlformats.org/officeDocument/2006/relationships/settings" Target="settings.xml"/><Relationship Id="rId9" Type="http://schemas.openxmlformats.org/officeDocument/2006/relationships/image" Target="media/image2.jpeg"/><Relationship Id="rId26" Type="http://schemas.openxmlformats.org/officeDocument/2006/relationships/chart" Target="charts/chart7.xml"/><Relationship Id="rId47" Type="http://schemas.openxmlformats.org/officeDocument/2006/relationships/chart" Target="charts/chart26.xml"/><Relationship Id="rId68" Type="http://schemas.openxmlformats.org/officeDocument/2006/relationships/chart" Target="charts/chart45.xml"/><Relationship Id="rId89" Type="http://schemas.openxmlformats.org/officeDocument/2006/relationships/image" Target="media/image23.emf"/><Relationship Id="rId112" Type="http://schemas.openxmlformats.org/officeDocument/2006/relationships/chart" Target="charts/chart67.xml"/><Relationship Id="rId133" Type="http://schemas.openxmlformats.org/officeDocument/2006/relationships/chart" Target="charts/chart85.xml"/><Relationship Id="rId154" Type="http://schemas.openxmlformats.org/officeDocument/2006/relationships/header" Target="header8.xml"/><Relationship Id="rId16" Type="http://schemas.openxmlformats.org/officeDocument/2006/relationships/header" Target="header4.xml"/><Relationship Id="rId37" Type="http://schemas.openxmlformats.org/officeDocument/2006/relationships/chart" Target="charts/chart17.xml"/><Relationship Id="rId58" Type="http://schemas.openxmlformats.org/officeDocument/2006/relationships/chart" Target="charts/chart37.xml"/><Relationship Id="rId79" Type="http://schemas.openxmlformats.org/officeDocument/2006/relationships/image" Target="media/image15.emf"/><Relationship Id="rId102" Type="http://schemas.openxmlformats.org/officeDocument/2006/relationships/chart" Target="charts/chart57.xml"/><Relationship Id="rId123" Type="http://schemas.openxmlformats.org/officeDocument/2006/relationships/chart" Target="charts/chart78.xml"/><Relationship Id="rId144" Type="http://schemas.openxmlformats.org/officeDocument/2006/relationships/chart" Target="charts/chart95.xml"/><Relationship Id="rId90" Type="http://schemas.openxmlformats.org/officeDocument/2006/relationships/image" Target="media/image24.emf"/><Relationship Id="rId27" Type="http://schemas.openxmlformats.org/officeDocument/2006/relationships/chart" Target="charts/chart8.xml"/><Relationship Id="rId48" Type="http://schemas.openxmlformats.org/officeDocument/2006/relationships/chart" Target="charts/chart27.xml"/><Relationship Id="rId69" Type="http://schemas.openxmlformats.org/officeDocument/2006/relationships/chart" Target="charts/chart46.xml"/><Relationship Id="rId113" Type="http://schemas.openxmlformats.org/officeDocument/2006/relationships/chart" Target="charts/chart68.xml"/><Relationship Id="rId134" Type="http://schemas.openxmlformats.org/officeDocument/2006/relationships/chart" Target="charts/chart86.xml"/></Relationships>
</file>

<file path=word/_rels/footnotes.xml.rels><?xml version="1.0" encoding="UTF-8" standalone="yes"?>
<Relationships xmlns="http://schemas.openxmlformats.org/package/2006/relationships"><Relationship Id="rId3" Type="http://schemas.openxmlformats.org/officeDocument/2006/relationships/hyperlink" Target="http://conacee.org/buscador/guia_cent.php" TargetMode="External"/><Relationship Id="rId2" Type="http://schemas.openxmlformats.org/officeDocument/2006/relationships/hyperlink" Target="http://www.feacem.es/FEACEM/CEE/Catalogo/" TargetMode="External"/><Relationship Id="rId1" Type="http://schemas.openxmlformats.org/officeDocument/2006/relationships/hyperlink" Target="http://www.adp-es.co.uk/adp-news/adp-industry-news/july-2012/businesses-offered-cash-incentives-for-hiring-disabled-peopl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KIS\Templates\report_es.dot"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Esmadfsr20\med_amb\Clientes_y_Targets\Fundaci&#243;n_ONCE\Centros_Esp_Empleo_2012\Doc.KPMG\Encuesta_on_line\Volcado_Monkey\Tratamiento%20de%20respuestas_Monkey_(14.11.12).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Esmadfsr20\med_amb\Clientes_y_Targets\Fundaci&#243;n_ONCE\Centros_Esp_Empleo_2012\Doc.KPMG\Informes_KPMG\Gr&#225;ficos_Informe\PCD%20demandantes%20de%20empleo.xlsx" TargetMode="External"/></Relationships>
</file>

<file path=word/charts/_rels/chart100.xml.rels><?xml version="1.0" encoding="UTF-8" standalone="yes"?>
<Relationships xmlns="http://schemas.openxmlformats.org/package/2006/relationships"><Relationship Id="rId1" Type="http://schemas.openxmlformats.org/officeDocument/2006/relationships/oleObject" Target="file:///\\Esmadfsr20\med_amb\Clientes_y_Targets\Fundaci&#243;n_ONCE\Centros_Esp_Empleo_2012\Encuesta_on_line\Volcado_Monkey\Tratamiento%20de%20respuestas_Monkey_(14.11.12).xlsx" TargetMode="External"/></Relationships>
</file>

<file path=word/charts/_rels/chart101.xml.rels><?xml version="1.0" encoding="UTF-8" standalone="yes"?>
<Relationships xmlns="http://schemas.openxmlformats.org/package/2006/relationships"><Relationship Id="rId1" Type="http://schemas.openxmlformats.org/officeDocument/2006/relationships/oleObject" Target="file:///\\Esmadfsr20\med_amb\Clientes_y_Targets\Fundaci&#243;n_ONCE\Centros_Esp_Empleo_2012\Encuesta_on_line\Volcado_Monkey\Tratamiento%20de%20respuestas_Monkey_(14.11.12).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Esmadfsr20\med_amb\Clientes_y_Targets\Fundaci&#243;n_ONCE\Centros_Esp_Empleo_2012\Doc.KPMG\Informes_KPMG\Gr&#225;ficos_Informe\PCD%20demandantes%20de%20empleo.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Esmadfsr20\med_amb\Clientes_y_Targets\Fundaci&#243;n_ONCE\Centros_Esp_Empleo_2012\Doc.KPMG\Informes_KPMG\Gr&#225;ficos_Informe\PCD%20demandantes%20de%20empleo.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Esmadfsr20\med_amb\Clientes_y_Targets\Fundaci&#243;n_ONCE\Centros_Esp_Empleo_2012\Doc.KPMG\Informes_KPMG\Gr&#225;ficos_Informe\PCD%20demandantes%20de%20empleo.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Esmadfsr20\med_amb\Clientes_y_Targets\Fundaci&#243;n_ONCE\Centros_Esp_Empleo_2012\Doc.KPMG\Informes_KPMG\Gr&#225;ficos_Informe\PCD%20demandantes%20de%20empleo.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Esmadfsr20\med_amb\Clientes_y_Targets\Fundaci&#243;n_ONCE\Centros_Esp_Empleo_2012\Doc.KPMG\Informes_KPMG\Gr&#225;ficos_Informe\PCD%20demandantes%20de%20empleo.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Esmadfsr20\med_amb\Clientes_y_Targets\Fundaci&#243;n_ONCE\Centros_Esp_Empleo_2012\Informes_KPMG\Graficos_OCDE_seleccionados\Final.Figura%201.3.xls"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Esmadfsr20\med_amb\Clientes_y_Targets\Fundaci&#243;n_ONCE\Centros_Esp_Empleo_2012\Informes_KPMG\Tasa%20de%20poblaci&#243;n%20con%20alguna%20discapacidad%20o%20limitaci&#243;n_INE.xls"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Esmadfsr20\med_amb\Clientes_y_Targets\Fundaci&#243;n_ONCE\Centros_Esp_Empleo_2012\Doc.KPMG\Informes_KPMG\Gr&#225;ficos_Informe\Gr&#225;fico%20evoluci&#243;n%20contrataci&#243;n_Datos%20SPEE.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file:///\\Esmadfsr20\med_amb\Clientes_y_Targets\Fundaci&#243;n_ONCE\Centros_Esp_Empleo_2012\Doc.KPMG\Informes_KPMG\Gr&#225;ficos_Informe\Gr&#225;fico%20evoluci&#243;n%20contrataci&#243;n_Datos%20SPEE.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Esmadfsr20\med_amb\Clientes_y_Targets\Fundaci&#243;n_ONCE\Centros_Esp_Empleo_2012\Doc.KPMG\Informes_KPMG\Gr&#225;ficos_Informe\Evoluci&#243;n_CEE_1991-2011.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file:///\\Esmadfsr20\med_amb\Clientes_y_Targets\Fundaci&#243;n_ONCE\Centros_Esp_Empleo_2012\Doc.KPMG\Informes_KPMG\Gr&#225;ficos_Informe\Gr&#225;fico%20evoluci&#243;n%20contrataci&#243;n_Datos%20SPEE.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file:///\\Esmadfsr20\med_amb\Clientes_y_Targets\Fundaci&#243;n_ONCE\Centros_Esp_Empleo_2012\Doc.KPMG\Informes_KPMG\Gr&#225;ficos_Informe\Contratos_PCD_2011_por%20profesiones.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file:///C:\Users\rpueyo\AppData\Local\Microsoft\Windows\Temporary%20Internet%20Files\Content.Outlook\GYKDD27J\Gr&#225;fico%20Eurobar&#243;metro.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file:///\\Esmadfsr20\med_amb\Clientes_y_Targets\Fundaci&#243;n_ONCE\Centros_Esp_Empleo_2012\Informes_KPMG\Graficos_OCDE_seleccionados\Final.%202.2.xls"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file:///C:\Users\bmarquez\Desktop\Gr&#225;ficos%20Informe.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file:///C:\Users\bmarquez\Desktop\Gr&#225;ficos%20Informe.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file:///C:\Users\bmarquez\Desktop\Gr&#225;ficos%20Informe.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file:///\\Esmadfsr20\med_amb\Clientes_y_Targets\Fundaci&#243;n_ONCE\Centros_Esp_Empleo_2012\Doc.KPMG\Informes_KPMG\Gr&#225;ficos_Informe\Gr&#225;fico_N&#250;mero%20de%20CEE_por%20cada%20100.000habitantes.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file:///\\Esmadfsr20\med_amb\Clientes_y_Targets\Fundaci&#243;n_ONCE\Centros_Esp_Empleo_2012\Doc.KPMG\Informes_KPMG\Gr&#225;ficos_Informe\Gr&#225;fico_N&#250;mero%20de%20CEE_por%20cada%20100.000habitante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Esmadfsr20\med_amb\Clientes_y_Targets\Fundaci&#243;n_ONCE\Centros_Esp_Empleo_2012\Doc.KPMG\Informes_KPMG\Gr&#225;ficos_Informe\Evoluci&#243;n_CEE_1991-2011.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file:///C:\Users\bmarquez\Desktop\Gr&#225;ficos%20Informe.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file:///\\Esmadfsr20\med_amb\Clientes_y_Targets\Fundaci&#243;n_ONCE\Centros_Esp_Empleo_2012\Doc.KPMG\Informes_KPMG\Gr&#225;ficos_Informe\Gr&#225;fico_PCD%20especiales%20dificultades%20de%20inserci&#243;n.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file:///\\Esmadfsr20\med_amb\Clientes_y_Targets\Fundaci&#243;n_ONCE\Centros_Esp_Empleo_2012\Doc.KPMG\Informes_KPMG\Gr&#225;ficos_Informe\Gr&#225;fico_PCD%20especiales%20dificultades%20de%20inserci&#243;n.xlsx" TargetMode="External"/></Relationships>
</file>

<file path=word/charts/_rels/chart33.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bmarquez\Desktop\Gr&#225;ficos%20Informe.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file:///\\Esmadfsr20\med_amb\Clientes_y_Targets\Fundaci&#243;n_ONCE\Centros_Esp_Empleo_2012\Doc.KPMG\Informes_KPMG\Gr&#225;ficos_Informe\Tipo%20de%20discapacidad%20de%20las%20personas%20en%20Espa&#241;a.xls"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file:///C:\Users\bmarquez\Desktop\Gr&#225;ficos%20Informe.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file:///\\Esmadfsr20\med_amb\Clientes_y_Targets\Fundaci&#243;n_ONCE\Centros_Esp_Empleo_2012\Informes_KPMG\Gr&#225;ficos_Informe\Gr&#225;fico_PCD%20trabajando%20en%20CEE%20por%20cada%20100.000%20habitantes_2011.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file:///C:\Users\martacontreras\AppData\Local\Microsoft\Windows\Temporary%20Internet%20Files\Content.Outlook\EW6V393A\Gr&#225;fico_PCD%20trabajando%20en%20CEE%20por%20cada%20100%20000%20habitantes_2011%20(3).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file:///\\Esmadfsr20\med_amb\Clientes_y_Targets\Fundaci&#243;n_ONCE\Centros_Esp_Empleo_2012\Doc.KPMG\Informes_KPMG\Gr&#225;ficos_Informe\Gr&#225;fico_Tama&#241;o%20medio%20CEE%20por%20CCAA.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file:///\\Esmadfsr20\med_amb\Clientes_y_Targets\Fundaci&#243;n_ONCE\Centros_Esp_Empleo_2012\Doc.KPMG\Informes_KPMG\Gr&#225;ficos_Informe\Gr&#225;fico_PCD%20en%20CEE-PCD%20en%20CCAA.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Esmadfsr20\med_amb\Clientes_y_Targets\Fundaci&#243;n_ONCE\Centros_Esp_Empleo_2012\Informes_KPMG\Graficos_OCDE_seleccionados\Final.Figura%202.7.xls"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file:///\\Esmadfsr20\med_amb\Clientes_y_Targets\Fundaci&#243;n_ONCE\Centros_Esp_Empleo_2012\Informes_KPMG\Gr&#225;ficos_Informe\Sectores%20de%20actividades_CEE.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file:///\\Esmadfsr20\med_amb\Clientes_y_Targets\Fundaci&#243;n_ONCE\Centros_Esp_Empleo_2012\Doc.KPMG\Informes_KPMG\Gr&#225;ficos_Informe\Gr&#225;fica_actividades%20PCD.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file:///\\Esmadfsr20\med_amb\Clientes_y_Targets\Fundaci&#243;n_ONCE\Centros_Esp_Empleo_2012\Informes_KPMG\Tipologia%20de%20empleo_2009_SPEE.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file:///\\Esmadfsr20\med_amb\Clientes_y_Targets\Fundaci&#243;n_ONCE\Centros_Esp_Empleo_2012\Informes_KPMG\Tipologia%20de%20empleo_2009_SPEE.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file:///\\Esmadfsr20\med_amb\Clientes_y_Targets\Fundaci&#243;n_ONCE\Centros_Esp_Empleo_2012\Doc.KPMG\Informes_KPMG\Gr&#225;ficos_Informe\Datos_Iniciativa%20social_FEACEM.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file:///\\Esmadfsr20\med_amb\Clientes_y_Targets\Fundaci&#243;n_ONCE\Centros_Esp_Empleo_2012\Doc.KPMG\Informes_KPMG\Gr&#225;ficos_Informe\Datos_Iniciativa%20social_FEACEM.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file:///\\Esmadfsr20\med_amb\Clientes_y_Targets\Fundaci&#243;n_ONCE\Centros_Esp_Empleo_2012\Doc.KPMG\Informes_KPMG\Gr&#225;ficos_Informe\Datos_Iniciativa%20social_FEACEM.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file:///C:\Users\martacontreras\Desktop\ONCE\Visitas_CEE\Gr&#225;ficos_entrevistas_personas_con_discapacidad.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file:///C:\Users\martacontreras\Desktop\ONCE\Visitas_CEE\Gr&#225;ficos_entrevistas_personas_con_discapacidad.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file:///C:\Users\martacontreras\Desktop\ONCE\Visitas_CEE\Gr&#225;ficos_entrevistas_personas_con_discapacidad.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Esmadfsr20\med_amb\Clientes_y_Targets\Fundaci&#243;n_ONCE\Centros_Esp_Empleo_2012\Informes_KPMG\Graficos_OCDE_seleccionados\Final.Figura%201.5.xls"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file:///E:\Marta\Gr&#225;ficos_entrevistas_personas_con_discapacidad.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file:///E:\Marta\Gr&#225;ficos_entrevistas_personas_con_discapacidad.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file:///\\Esmadfsr20\med_amb\Clientes_y_Targets\Fundaci&#243;n_ONCE\Centros_Esp_Empleo_2012\Doc.KPMG\Encuesta_on_line\Volcado_Monkey\Tratamiento%20de%20respuestas_Monkey_(14.11.12).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file:///\\Esmadfsr20\med_amb\Clientes_y_Targets\Fundaci&#243;n_ONCE\Centros_Esp_Empleo_2012\Doc.KPMG\Encuesta_on_line\Volcado_Monkey\Tratamiento%20de%20respuestas_Monkey_(14.11.12).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file:///\\Esmadfsr20\med_amb\Clientes_y_Targets\Fundaci&#243;n_ONCE\Centros_Esp_Empleo_2012\Modelos_Europeos\5%20pa&#237;ses\071112_5pa&#237;ses.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file:///\\Esmadfsr20\med_amb\Clientes_y_Targets\Fundaci&#243;n_ONCE\Centros_Esp_Empleo_2012\Modelos_Europeos\5%20pa&#237;ses\071112_5pa&#237;ses.xlsx" TargetMode="External"/></Relationships>
</file>

<file path=word/charts/_rels/chart56.xml.rels><?xml version="1.0" encoding="UTF-8" standalone="yes"?>
<Relationships xmlns="http://schemas.openxmlformats.org/package/2006/relationships"><Relationship Id="rId1" Type="http://schemas.openxmlformats.org/officeDocument/2006/relationships/oleObject" Target="file:///\\Esmadfsr20\med_amb\Clientes_y_Targets\Fundaci&#243;n_ONCE\Centros_Esp_Empleo_2012\Modelos_Europeos\5%20pa&#237;ses\071112_5pa&#237;ses.xlsx" TargetMode="External"/></Relationships>
</file>

<file path=word/charts/_rels/chart57.xml.rels><?xml version="1.0" encoding="UTF-8" standalone="yes"?>
<Relationships xmlns="http://schemas.openxmlformats.org/package/2006/relationships"><Relationship Id="rId1" Type="http://schemas.openxmlformats.org/officeDocument/2006/relationships/oleObject" Target="file:///\\Esmadfsr20\med_amb\Clientes_y_Targets\Fundaci&#243;n_ONCE\Centros_Esp_Empleo_2012\Modelos_Europeos\5%20pa&#237;ses\071112_5pa&#237;ses.xlsx" TargetMode="External"/></Relationships>
</file>

<file path=word/charts/_rels/chart58.xml.rels><?xml version="1.0" encoding="UTF-8" standalone="yes"?>
<Relationships xmlns="http://schemas.openxmlformats.org/package/2006/relationships"><Relationship Id="rId1" Type="http://schemas.openxmlformats.org/officeDocument/2006/relationships/oleObject" Target="file:///\\Esmadfsr20\med_amb\Clientes_y_Targets\Fundaci&#243;n_ONCE\Centros_Esp_Empleo_2012\Modelos_Europeos\5%20pa&#237;ses\071112_5pa&#237;ses.xlsx" TargetMode="External"/></Relationships>
</file>

<file path=word/charts/_rels/chart59.xml.rels><?xml version="1.0" encoding="UTF-8" standalone="yes"?>
<Relationships xmlns="http://schemas.openxmlformats.org/package/2006/relationships"><Relationship Id="rId1" Type="http://schemas.openxmlformats.org/officeDocument/2006/relationships/oleObject" Target="file:///\\Esmadfsr20\med_amb\Clientes_y_Targets\Fundaci&#243;n_ONCE\Centros_Esp_Empleo_2012\Modelos_Europeos\5%20pa&#237;ses\071112_5pa&#237;ses.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Esmadfsr20\med_amb\Clientes_y_Targets\Fundaci&#243;n_ONCE\Centros_Esp_Empleo_2012\Doc.KPMG\Informes_KPMG\Gr&#225;ficos_Informe\Gr&#225;fico_autobuses%20accesibles_Observatorio%20discapacidad.xlsx" TargetMode="External"/></Relationships>
</file>

<file path=word/charts/_rels/chart60.xml.rels><?xml version="1.0" encoding="UTF-8" standalone="yes"?>
<Relationships xmlns="http://schemas.openxmlformats.org/package/2006/relationships"><Relationship Id="rId1" Type="http://schemas.openxmlformats.org/officeDocument/2006/relationships/oleObject" Target="file:///\\Esmadfsr20\med_amb\Clientes_y_Targets\Fundaci&#243;n_ONCE\Centros_Esp_Empleo_2012\Modelos_Europeos\5%20pa&#237;ses\071112_5pa&#237;ses.xlsx" TargetMode="External"/></Relationships>
</file>

<file path=word/charts/_rels/chart61.xml.rels><?xml version="1.0" encoding="UTF-8" standalone="yes"?>
<Relationships xmlns="http://schemas.openxmlformats.org/package/2006/relationships"><Relationship Id="rId1" Type="http://schemas.openxmlformats.org/officeDocument/2006/relationships/oleObject" Target="file:///\\Esmadfsr20\med_amb\Clientes_y_Targets\Fundaci&#243;n_ONCE\Centros_Esp_Empleo_2012\Modelos_Europeos\5%20pa&#237;ses\071112_5pa&#237;ses.xlsx" TargetMode="External"/></Relationships>
</file>

<file path=word/charts/_rels/chart62.xml.rels><?xml version="1.0" encoding="UTF-8" standalone="yes"?>
<Relationships xmlns="http://schemas.openxmlformats.org/package/2006/relationships"><Relationship Id="rId1" Type="http://schemas.openxmlformats.org/officeDocument/2006/relationships/oleObject" Target="file:///\\Esmadfsr20\med_amb\Clientes_y_Targets\Fundaci&#243;n_ONCE\Centros_Esp_Empleo_2012\Doc.KPMG\Modelos_Europeos\5%20pa&#237;ses\071112_5pa&#237;ses.xlsx" TargetMode="External"/></Relationships>
</file>

<file path=word/charts/_rels/chart63.xml.rels><?xml version="1.0" encoding="UTF-8" standalone="yes"?>
<Relationships xmlns="http://schemas.openxmlformats.org/package/2006/relationships"><Relationship Id="rId1" Type="http://schemas.openxmlformats.org/officeDocument/2006/relationships/oleObject" Target="file:///\\Esmadfsr20\med_amb\Clientes_y_Targets\Fundaci&#243;n_ONCE\Centros_Esp_Empleo_2012\Doc.KPMG\Modelos_Europeos\5%20pa&#237;ses\071112_5pa&#237;ses.xlsx" TargetMode="External"/></Relationships>
</file>

<file path=word/charts/_rels/chart64.xml.rels><?xml version="1.0" encoding="UTF-8" standalone="yes"?>
<Relationships xmlns="http://schemas.openxmlformats.org/package/2006/relationships"><Relationship Id="rId1" Type="http://schemas.openxmlformats.org/officeDocument/2006/relationships/oleObject" Target="file:///\\Esmadfsr20\med_amb\Clientes_y_Targets\Fundaci&#243;n_ONCE\Centros_Esp_Empleo_2012\Doc.KPMG\Modelos_Europeos\5%20pa&#237;ses\071112_5pa&#237;ses.xlsx" TargetMode="External"/></Relationships>
</file>

<file path=word/charts/_rels/chart65.xml.rels><?xml version="1.0" encoding="UTF-8" standalone="yes"?>
<Relationships xmlns="http://schemas.openxmlformats.org/package/2006/relationships"><Relationship Id="rId1" Type="http://schemas.openxmlformats.org/officeDocument/2006/relationships/oleObject" Target="file:///\\Esmadfsr20\med_amb\Clientes_y_Targets\Fundaci&#243;n_ONCE\Centros_Esp_Empleo_2012\Doc.KPMG\Modelos_Europeos\5%20pa&#237;ses\071112_5pa&#237;ses.xlsx" TargetMode="External"/></Relationships>
</file>

<file path=word/charts/_rels/chart66.xml.rels><?xml version="1.0" encoding="UTF-8" standalone="yes"?>
<Relationships xmlns="http://schemas.openxmlformats.org/package/2006/relationships"><Relationship Id="rId1" Type="http://schemas.openxmlformats.org/officeDocument/2006/relationships/oleObject" Target="file:///\\Esmadfsr20\med_amb\Clientes_y_Targets\Fundaci&#243;n_ONCE\Centros_Esp_Empleo_2012\Doc.KPMG\Modelos_Europeos\5%20pa&#237;ses\071112_5pa&#237;ses.xlsx" TargetMode="External"/></Relationships>
</file>

<file path=word/charts/_rels/chart67.xml.rels><?xml version="1.0" encoding="UTF-8" standalone="yes"?>
<Relationships xmlns="http://schemas.openxmlformats.org/package/2006/relationships"><Relationship Id="rId1" Type="http://schemas.openxmlformats.org/officeDocument/2006/relationships/oleObject" Target="file:///\\Esmadfsr20\med_amb\Clientes_y_Targets\Fundaci&#243;n_ONCE\Centros_Esp_Empleo_2012\Doc.KPMG\Modelos_Europeos\5%20pa&#237;ses\071112_5pa&#237;ses.xlsx" TargetMode="External"/></Relationships>
</file>

<file path=word/charts/_rels/chart68.xml.rels><?xml version="1.0" encoding="UTF-8" standalone="yes"?>
<Relationships xmlns="http://schemas.openxmlformats.org/package/2006/relationships"><Relationship Id="rId1" Type="http://schemas.openxmlformats.org/officeDocument/2006/relationships/oleObject" Target="file:///\\Esmadfsr20\med_amb\Clientes_y_Targets\Fundaci&#243;n_ONCE\Centros_Esp_Empleo_2012\Modelos_Europeos\5%20pa&#237;ses\071112_5pa&#237;ses.xlsx" TargetMode="External"/></Relationships>
</file>

<file path=word/charts/_rels/chart69.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C:\Users\martacontreras\Desktop\Graficos_impacto.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Esmadfsr20\med_amb\Clientes_y_Targets\Fundaci&#243;n_ONCE\Centros_Esp_Empleo_2012\Doc.KPMG\Informes_KPMG\Gr&#225;ficos_Informe\Gr&#225;fico_autobuses%20accesibles_Observatorio%20discapacidad.xlsx" TargetMode="External"/></Relationships>
</file>

<file path=word/charts/_rels/chart70.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Esmadfsr20\med_amb\Clientes_y_Targets\Fundaci&#243;n_ONCE\Centros_Esp_Empleo_2012\Impacto\Medici&#243;n_Impacto_CEE_v11_03.11.12.xlsx" TargetMode="External"/></Relationships>
</file>

<file path=word/charts/_rels/chart71.xml.rels><?xml version="1.0" encoding="UTF-8" standalone="yes"?>
<Relationships xmlns="http://schemas.openxmlformats.org/package/2006/relationships"><Relationship Id="rId2" Type="http://schemas.openxmlformats.org/officeDocument/2006/relationships/chartUserShapes" Target="../drawings/drawing4.xml"/><Relationship Id="rId1" Type="http://schemas.openxmlformats.org/officeDocument/2006/relationships/oleObject" Target="file:///\\Esmadfsr20\med_amb\Clientes_y_Targets\Fundaci&#243;n_ONCE\Centros_Esp_Empleo_2012\Impacto\Medici&#243;n_Impacto_CEE_v11_03.11.12.xlsx" TargetMode="External"/></Relationships>
</file>

<file path=word/charts/_rels/chart72.xml.rels><?xml version="1.0" encoding="UTF-8" standalone="yes"?>
<Relationships xmlns="http://schemas.openxmlformats.org/package/2006/relationships"><Relationship Id="rId1" Type="http://schemas.openxmlformats.org/officeDocument/2006/relationships/oleObject" Target="file:///\\Esmadfsr20\med_amb\Clientes_y_Targets\Fundaci&#243;n_ONCE\Centros_Esp_Empleo_2012\Impacto\Medici&#243;n_Impacto_CEE_v11_03.11.12.xlsx" TargetMode="External"/></Relationships>
</file>

<file path=word/charts/_rels/chart73.xml.rels><?xml version="1.0" encoding="UTF-8" standalone="yes"?>
<Relationships xmlns="http://schemas.openxmlformats.org/package/2006/relationships"><Relationship Id="rId1" Type="http://schemas.openxmlformats.org/officeDocument/2006/relationships/oleObject" Target="file:///C:\Users\martacontreras\Desktop\Graficos_impacto.xlsx" TargetMode="External"/></Relationships>
</file>

<file path=word/charts/_rels/chart74.xml.rels><?xml version="1.0" encoding="UTF-8" standalone="yes"?>
<Relationships xmlns="http://schemas.openxmlformats.org/package/2006/relationships"><Relationship Id="rId1" Type="http://schemas.openxmlformats.org/officeDocument/2006/relationships/oleObject" Target="file:///C:\Users\bmarquez\AppData\Local\Microsoft\Windows\Temporary%20Internet%20Files\Content.Outlook\LJSZ9O8P\New%20Microsoft%20Office%20Excel%20Worksheet.xlsx" TargetMode="External"/></Relationships>
</file>

<file path=word/charts/_rels/chart75.xml.rels><?xml version="1.0" encoding="UTF-8" standalone="yes"?>
<Relationships xmlns="http://schemas.openxmlformats.org/package/2006/relationships"><Relationship Id="rId2" Type="http://schemas.openxmlformats.org/officeDocument/2006/relationships/chartUserShapes" Target="../drawings/drawing5.xml"/><Relationship Id="rId1" Type="http://schemas.openxmlformats.org/officeDocument/2006/relationships/oleObject" Target="file:///C:\Users\martacontreras\Desktop\Graficos_impacto.xlsx" TargetMode="External"/></Relationships>
</file>

<file path=word/charts/_rels/chart76.xml.rels><?xml version="1.0" encoding="UTF-8" standalone="yes"?>
<Relationships xmlns="http://schemas.openxmlformats.org/package/2006/relationships"><Relationship Id="rId2" Type="http://schemas.openxmlformats.org/officeDocument/2006/relationships/chartUserShapes" Target="../drawings/drawing6.xml"/><Relationship Id="rId1" Type="http://schemas.openxmlformats.org/officeDocument/2006/relationships/oleObject" Target="file:///\\Esmadfsr20\med_amb\Clientes_y_Targets\Fundaci&#243;n_ONCE\Centros_Esp_Empleo_2012\Doc.KPMG\Impacto\c&#225;lculos_IMPACTO\Impacto_global_28.01.13.xlsx" TargetMode="External"/></Relationships>
</file>

<file path=word/charts/_rels/chart77.xml.rels><?xml version="1.0" encoding="UTF-8" standalone="yes"?>
<Relationships xmlns="http://schemas.openxmlformats.org/package/2006/relationships"><Relationship Id="rId1" Type="http://schemas.openxmlformats.org/officeDocument/2006/relationships/oleObject" Target="file:///\\Esmadfsr20\med_amb\Clientes_y_Targets\Fundaci&#243;n_ONCE\Centros_Esp_Empleo_2012\Doc.KPMG\Impacto\c&#225;lculos_IMPACTO\Impacto_global_28.01.13.xlsx" TargetMode="External"/></Relationships>
</file>

<file path=word/charts/_rels/chart78.xml.rels><?xml version="1.0" encoding="UTF-8" standalone="yes"?>
<Relationships xmlns="http://schemas.openxmlformats.org/package/2006/relationships"><Relationship Id="rId1" Type="http://schemas.openxmlformats.org/officeDocument/2006/relationships/oleObject" Target="file:///\\Esmadfsr20\med_amb\Clientes_y_Targets\Fundaci&#243;n_ONCE\Centros_Esp_Empleo_2012\Doc.KPMG\Impacto\c&#225;lculos_IMPACTO\Impacto_global_28.01.13.xlsx" TargetMode="External"/></Relationships>
</file>

<file path=word/charts/_rels/chart79.xml.rels><?xml version="1.0" encoding="UTF-8" standalone="yes"?>
<Relationships xmlns="http://schemas.openxmlformats.org/package/2006/relationships"><Relationship Id="rId1" Type="http://schemas.openxmlformats.org/officeDocument/2006/relationships/oleObject" Target="file:///\\Esmadfsr20\med_amb\Clientes_y_Targets\Fundaci&#243;n_ONCE\Centros_Esp_Empleo_2012\Doc.KPMG\Impacto\c&#225;lculos_IMPACTO\Impacto_global_28.01.13.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Esmadfsr20\med_amb\Clientes_y_Targets\Fundaci&#243;n_ONCE\Centros_Esp_Empleo_2012\Doc.KPMG\Informes_KPMG\Gr&#225;ficos_Informe\PCD%20demandantes%20de%20empleo.xlsx" TargetMode="External"/></Relationships>
</file>

<file path=word/charts/_rels/chart80.xml.rels><?xml version="1.0" encoding="UTF-8" standalone="yes"?>
<Relationships xmlns="http://schemas.openxmlformats.org/package/2006/relationships"><Relationship Id="rId1" Type="http://schemas.openxmlformats.org/officeDocument/2006/relationships/oleObject" Target="file:///\\Esmadfsr20\med_amb\Clientes_y_Targets\Fundaci&#243;n_ONCE\Centros_Esp_Empleo_2012\Impacto\Medici&#243;n_Impacto_CEE_v11_03.11.12.xlsx" TargetMode="External"/></Relationships>
</file>

<file path=word/charts/_rels/chart81.xml.rels><?xml version="1.0" encoding="UTF-8" standalone="yes"?>
<Relationships xmlns="http://schemas.openxmlformats.org/package/2006/relationships"><Relationship Id="rId1" Type="http://schemas.openxmlformats.org/officeDocument/2006/relationships/oleObject" Target="file:///\\Esmadfsr20\med_amb\Clientes_y_Targets\Fundaci&#243;n_ONCE\Centros_Esp_Empleo_2012\Doc.KPMG\Impacto\c&#225;lculos_IMPACTO\Impacto_global_28.01.13.xlsx" TargetMode="External"/></Relationships>
</file>

<file path=word/charts/_rels/chart82.xml.rels><?xml version="1.0" encoding="UTF-8" standalone="yes"?>
<Relationships xmlns="http://schemas.openxmlformats.org/package/2006/relationships"><Relationship Id="rId1" Type="http://schemas.openxmlformats.org/officeDocument/2006/relationships/oleObject" Target="file:///\\Esmadfsr20\med_amb\Clientes_y_Targets\Fundaci&#243;n_ONCE\Centros_Esp_Empleo_2012\Doc.KPMG\Impacto\c&#225;lculos_IMPACTO\Impacto_global_28.01.13.xlsx" TargetMode="External"/></Relationships>
</file>

<file path=word/charts/_rels/chart83.xml.rels><?xml version="1.0" encoding="UTF-8" standalone="yes"?>
<Relationships xmlns="http://schemas.openxmlformats.org/package/2006/relationships"><Relationship Id="rId1" Type="http://schemas.openxmlformats.org/officeDocument/2006/relationships/oleObject" Target="file:///\\Esmadfsr20\med_amb\Clientes_y_Targets\Fundaci&#243;n_ONCE\Centros_Esp_Empleo_2012\Doc.KPMG\Impacto\c&#225;lculos_IMPACTO\Impacto_global_22.03.13.xlsx" TargetMode="External"/></Relationships>
</file>

<file path=word/charts/_rels/chart84.xml.rels><?xml version="1.0" encoding="UTF-8" standalone="yes"?>
<Relationships xmlns="http://schemas.openxmlformats.org/package/2006/relationships"><Relationship Id="rId1" Type="http://schemas.openxmlformats.org/officeDocument/2006/relationships/oleObject" Target="file:///\\Esmadfsr20\med_amb\Clientes_y_Targets\Fundaci&#243;n_ONCE\Centros_Esp_Empleo_2012\Visi&#243;n%202020\Visi&#243;n%202020v3.xlsx" TargetMode="External"/></Relationships>
</file>

<file path=word/charts/_rels/chart85.xml.rels><?xml version="1.0" encoding="UTF-8" standalone="yes"?>
<Relationships xmlns="http://schemas.openxmlformats.org/package/2006/relationships"><Relationship Id="rId1" Type="http://schemas.openxmlformats.org/officeDocument/2006/relationships/oleObject" Target="file:///\\Esmadfsr20\med_amb\Clientes_y_Targets\Fundaci&#243;n_ONCE\Centros_Esp_Empleo_2012\Impacto\Medici&#243;n_Impacto_CEE_v11_03.11.12.xlsx" TargetMode="External"/></Relationships>
</file>

<file path=word/charts/_rels/chart86.xml.rels><?xml version="1.0" encoding="UTF-8" standalone="yes"?>
<Relationships xmlns="http://schemas.openxmlformats.org/package/2006/relationships"><Relationship Id="rId2" Type="http://schemas.openxmlformats.org/officeDocument/2006/relationships/chartUserShapes" Target="../drawings/drawing7.xml"/><Relationship Id="rId1" Type="http://schemas.openxmlformats.org/officeDocument/2006/relationships/oleObject" Target="file:///\\Esmadfsr20\med_amb\Clientes_y_Targets\Fundaci&#243;n_ONCE\Centros_Esp_Empleo_2012\Impacto\Medici&#243;n_Impacto_CEE_v11_03.11.12.xlsx" TargetMode="External"/></Relationships>
</file>

<file path=word/charts/_rels/chart87.xml.rels><?xml version="1.0" encoding="UTF-8" standalone="yes"?>
<Relationships xmlns="http://schemas.openxmlformats.org/package/2006/relationships"><Relationship Id="rId2" Type="http://schemas.openxmlformats.org/officeDocument/2006/relationships/chartUserShapes" Target="../drawings/drawing8.xml"/><Relationship Id="rId1" Type="http://schemas.openxmlformats.org/officeDocument/2006/relationships/oleObject" Target="file:///\\Esmadfsr20\med_amb\Clientes_y_Targets\Fundaci&#243;n_ONCE\Centros_Esp_Empleo_2012\Doc.KPMG\Impacto\c&#225;lculos_IMPACTO\Impacto_global_28.01.13.xlsx" TargetMode="External"/></Relationships>
</file>

<file path=word/charts/_rels/chart88.xml.rels><?xml version="1.0" encoding="UTF-8" standalone="yes"?>
<Relationships xmlns="http://schemas.openxmlformats.org/package/2006/relationships"><Relationship Id="rId2" Type="http://schemas.openxmlformats.org/officeDocument/2006/relationships/chartUserShapes" Target="../drawings/drawing9.xml"/><Relationship Id="rId1" Type="http://schemas.openxmlformats.org/officeDocument/2006/relationships/oleObject" Target="file:///\\Esmadfsr20\med_amb\Clientes_y_Targets\Fundaci&#243;n_ONCE\Centros_Esp_Empleo_2012\Doc.KPMG\Impacto\c&#225;lculos_IMPACTO\Impacto_global_28.01.13.xlsx" TargetMode="External"/></Relationships>
</file>

<file path=word/charts/_rels/chart89.xml.rels><?xml version="1.0" encoding="UTF-8" standalone="yes"?>
<Relationships xmlns="http://schemas.openxmlformats.org/package/2006/relationships"><Relationship Id="rId2" Type="http://schemas.openxmlformats.org/officeDocument/2006/relationships/chartUserShapes" Target="../drawings/drawing10.xml"/><Relationship Id="rId1" Type="http://schemas.openxmlformats.org/officeDocument/2006/relationships/oleObject" Target="file:///\\Esmadfsr20\med_amb\Clientes_y_Targets\Fundaci&#243;n_ONCE\Centros_Esp_Empleo_2012\Doc.KPMG\Impacto\c&#225;lculos_IMPACTO\Impacto_global_28.01.13.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Esmadfsr20\med_amb\Clientes_y_Targets\Fundaci&#243;n_ONCE\Centros_Esp_Empleo_2012\Doc.KPMG\Informes_KPMG\Gr&#225;ficos_Informe\PCD%20demandantes%20de%20empleo.xlsx" TargetMode="External"/></Relationships>
</file>

<file path=word/charts/_rels/chart90.xml.rels><?xml version="1.0" encoding="UTF-8" standalone="yes"?>
<Relationships xmlns="http://schemas.openxmlformats.org/package/2006/relationships"><Relationship Id="rId1" Type="http://schemas.openxmlformats.org/officeDocument/2006/relationships/oleObject" Target="file:///\\Esmadfsr20\med_amb\Clientes_y_Targets\Fundaci&#243;n_ONCE\Centros_Esp_Empleo_2012\Doc.KPMG\Impacto\c&#225;lculos_IMPACTO\Impacto_global_28.01.13.xlsx" TargetMode="External"/></Relationships>
</file>

<file path=word/charts/_rels/chart91.xml.rels><?xml version="1.0" encoding="UTF-8" standalone="yes"?>
<Relationships xmlns="http://schemas.openxmlformats.org/package/2006/relationships"><Relationship Id="rId2" Type="http://schemas.openxmlformats.org/officeDocument/2006/relationships/chartUserShapes" Target="../drawings/drawing11.xml"/><Relationship Id="rId1" Type="http://schemas.openxmlformats.org/officeDocument/2006/relationships/oleObject" Target="file:///\\Esmadfsr20\med_amb\Clientes_y_Targets\Fundaci&#243;n_ONCE\Centros_Esp_Empleo_2012\Doc.KPMG\Visi&#243;n%202020\Visi&#243;n%202020v3.xlsx" TargetMode="External"/></Relationships>
</file>

<file path=word/charts/_rels/chart92.xml.rels><?xml version="1.0" encoding="UTF-8" standalone="yes"?>
<Relationships xmlns="http://schemas.openxmlformats.org/package/2006/relationships"><Relationship Id="rId1" Type="http://schemas.openxmlformats.org/officeDocument/2006/relationships/oleObject" Target="file:///C:\Users\martacontreras\Desktop\ONCE\Modelos_Europeos\Datos.xlsx" TargetMode="External"/></Relationships>
</file>

<file path=word/charts/_rels/chart93.xml.rels><?xml version="1.0" encoding="UTF-8" standalone="yes"?>
<Relationships xmlns="http://schemas.openxmlformats.org/package/2006/relationships"><Relationship Id="rId1" Type="http://schemas.openxmlformats.org/officeDocument/2006/relationships/oleObject" Target="file:///C:\Users\martacontreras\Desktop\ONCE\Modelos_Europeos\Datos.xlsx" TargetMode="External"/></Relationships>
</file>

<file path=word/charts/_rels/chart94.xml.rels><?xml version="1.0" encoding="UTF-8" standalone="yes"?>
<Relationships xmlns="http://schemas.openxmlformats.org/package/2006/relationships"><Relationship Id="rId1" Type="http://schemas.openxmlformats.org/officeDocument/2006/relationships/oleObject" Target="file:///\\Esmadfsr20\med_amb\Clientes_y_Targets\Fundaci&#243;n_ONCE\Centros_Esp_Empleo_2012\Encuesta_on_line\Volcado_Monkey\Tratamiento%20de%20respuestas_Monkey_(14.11.12).xlsx" TargetMode="External"/></Relationships>
</file>

<file path=word/charts/_rels/chart95.xml.rels><?xml version="1.0" encoding="UTF-8" standalone="yes"?>
<Relationships xmlns="http://schemas.openxmlformats.org/package/2006/relationships"><Relationship Id="rId1" Type="http://schemas.openxmlformats.org/officeDocument/2006/relationships/oleObject" Target="file:///\\Esmadfsr20\med_amb\Clientes_y_Targets\Fundaci&#243;n_ONCE\Centros_Esp_Empleo_2012\Encuesta_on_line\Volcado_Monkey\Tratamiento%20de%20respuestas_Monkey_(14.11.12).xlsx" TargetMode="External"/></Relationships>
</file>

<file path=word/charts/_rels/chart96.xml.rels><?xml version="1.0" encoding="UTF-8" standalone="yes"?>
<Relationships xmlns="http://schemas.openxmlformats.org/package/2006/relationships"><Relationship Id="rId1" Type="http://schemas.openxmlformats.org/officeDocument/2006/relationships/oleObject" Target="file:///\\Esmadfsr20\med_amb\Clientes_y_Targets\Fundaci&#243;n_ONCE\Centros_Esp_Empleo_2012\Encuesta_on_line\Volcado_Monkey\Tratamiento%20de%20respuestas_Monkey_(14.11.12).xlsx" TargetMode="External"/></Relationships>
</file>

<file path=word/charts/_rels/chart97.xml.rels><?xml version="1.0" encoding="UTF-8" standalone="yes"?>
<Relationships xmlns="http://schemas.openxmlformats.org/package/2006/relationships"><Relationship Id="rId1" Type="http://schemas.openxmlformats.org/officeDocument/2006/relationships/oleObject" Target="file:///\\Esmadfsr20\med_amb\Clientes_y_Targets\Fundaci&#243;n_ONCE\Centros_Esp_Empleo_2012\Encuesta_on_line\Volcado_Monkey\Tratamiento%20de%20respuestas_Monkey_(14.11.12).xlsx" TargetMode="External"/></Relationships>
</file>

<file path=word/charts/_rels/chart98.xml.rels><?xml version="1.0" encoding="UTF-8" standalone="yes"?>
<Relationships xmlns="http://schemas.openxmlformats.org/package/2006/relationships"><Relationship Id="rId1" Type="http://schemas.openxmlformats.org/officeDocument/2006/relationships/oleObject" Target="file:///\\Esmadfsr20\med_amb\Clientes_y_Targets\Fundaci&#243;n_ONCE\Centros_Esp_Empleo_2012\Encuesta_on_line\Volcado_Monkey\Tratamiento%20de%20respuestas_Monkey_(14.11.12).xlsx" TargetMode="External"/></Relationships>
</file>

<file path=word/charts/_rels/chart99.xml.rels><?xml version="1.0" encoding="UTF-8" standalone="yes"?>
<Relationships xmlns="http://schemas.openxmlformats.org/package/2006/relationships"><Relationship Id="rId1" Type="http://schemas.openxmlformats.org/officeDocument/2006/relationships/oleObject" Target="file:///C:\Users\rpueyo\AppData\Local\Microsoft\Windows\Temporary%20Internet%20Files\Content.Outlook\GYKDD27J\Tratamiento%20de%20respuestas_Monkey_(06%2011%2012)%20v4.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s-ES"/>
  <c:chart>
    <c:autoTitleDeleted val="1"/>
    <c:plotArea>
      <c:layout>
        <c:manualLayout>
          <c:layoutTarget val="inner"/>
          <c:xMode val="edge"/>
          <c:yMode val="edge"/>
          <c:x val="0.13494580936945724"/>
          <c:y val="8.5388151984357633E-2"/>
          <c:w val="0.81687739032620921"/>
          <c:h val="0.66678618612270779"/>
        </c:manualLayout>
      </c:layout>
      <c:barChart>
        <c:barDir val="col"/>
        <c:grouping val="clustered"/>
        <c:ser>
          <c:idx val="1"/>
          <c:order val="0"/>
          <c:tx>
            <c:strRef>
              <c:f>'1.2'!$D$2</c:f>
              <c:strCache>
                <c:ptCount val="1"/>
                <c:pt idx="0">
                  <c:v>Aperturas CEE</c:v>
                </c:pt>
              </c:strCache>
            </c:strRef>
          </c:tx>
          <c:spPr>
            <a:solidFill>
              <a:srgbClr val="007C92"/>
            </a:solidFill>
            <a:ln w="3175">
              <a:solidFill>
                <a:srgbClr val="FFFFFF"/>
              </a:solidFill>
              <a:prstDash val="solid"/>
            </a:ln>
          </c:spPr>
          <c:dLbls>
            <c:dLbl>
              <c:idx val="0"/>
              <c:layout>
                <c:manualLayout>
                  <c:x val="9.5068312571137768E-3"/>
                  <c:y val="3.3057851239669442E-3"/>
                </c:manualLayout>
              </c:layout>
              <c:showVal val="1"/>
            </c:dLbl>
            <c:dLbl>
              <c:idx val="1"/>
              <c:layout>
                <c:manualLayout>
                  <c:x val="1.9013662514227501E-2"/>
                  <c:y val="0"/>
                </c:manualLayout>
              </c:layout>
              <c:showVal val="1"/>
            </c:dLbl>
            <c:dLbl>
              <c:idx val="2"/>
              <c:delete val="1"/>
            </c:dLbl>
            <c:dLbl>
              <c:idx val="5"/>
              <c:layout>
                <c:manualLayout>
                  <c:x val="1.4260246885670616E-2"/>
                  <c:y val="0"/>
                </c:manualLayout>
              </c:layout>
              <c:showVal val="1"/>
            </c:dLbl>
            <c:dLbl>
              <c:idx val="6"/>
              <c:delete val="1"/>
            </c:dLbl>
            <c:dLbl>
              <c:idx val="8"/>
              <c:layout>
                <c:manualLayout>
                  <c:x val="1.1883539071392356E-2"/>
                  <c:y val="-6.0605360487766636E-17"/>
                </c:manualLayout>
              </c:layout>
              <c:showVal val="1"/>
            </c:dLbl>
            <c:dLbl>
              <c:idx val="9"/>
              <c:delete val="1"/>
            </c:dLbl>
            <c:dLbl>
              <c:idx val="11"/>
              <c:delete val="1"/>
            </c:dLbl>
            <c:dLbl>
              <c:idx val="12"/>
              <c:layout>
                <c:manualLayout>
                  <c:x val="-7.1301234428353807E-3"/>
                  <c:y val="3.3057851239669442E-3"/>
                </c:manualLayout>
              </c:layout>
              <c:showVal val="1"/>
            </c:dLbl>
            <c:dLbl>
              <c:idx val="14"/>
              <c:layout>
                <c:manualLayout>
                  <c:x val="2.3767078142784381E-3"/>
                  <c:y val="-3.3060454220082327E-3"/>
                </c:manualLayout>
              </c:layout>
              <c:showVal val="1"/>
            </c:dLbl>
            <c:dLbl>
              <c:idx val="16"/>
              <c:layout>
                <c:manualLayout>
                  <c:x val="4.7534156285568754E-3"/>
                  <c:y val="0"/>
                </c:manualLayout>
              </c:layout>
              <c:showVal val="1"/>
            </c:dLbl>
            <c:dLbl>
              <c:idx val="19"/>
              <c:layout>
                <c:manualLayout>
                  <c:x val="1.9013475371879921E-2"/>
                  <c:y val="-2.6029804131784812E-7"/>
                </c:manualLayout>
              </c:layout>
              <c:showVal val="1"/>
            </c:dLbl>
            <c:dLbl>
              <c:idx val="20"/>
              <c:delete val="1"/>
            </c:dLbl>
            <c:dLbl>
              <c:idx val="21"/>
              <c:layout>
                <c:manualLayout>
                  <c:x val="7.1301234428353807E-3"/>
                  <c:y val="6.0605360487766636E-17"/>
                </c:manualLayout>
              </c:layout>
              <c:showVal val="1"/>
            </c:dLbl>
            <c:dLbl>
              <c:idx val="22"/>
              <c:layout>
                <c:manualLayout>
                  <c:x val="4.7534156285568754E-3"/>
                  <c:y val="1.6528925619834937E-2"/>
                </c:manualLayout>
              </c:layout>
              <c:showVal val="1"/>
            </c:dLbl>
            <c:dLbl>
              <c:idx val="24"/>
              <c:delete val="1"/>
            </c:dLbl>
            <c:dLbl>
              <c:idx val="25"/>
              <c:layout>
                <c:manualLayout>
                  <c:x val="7.1301234428353807E-3"/>
                  <c:y val="6.6115702479338893E-3"/>
                </c:manualLayout>
              </c:layout>
              <c:showVal val="1"/>
            </c:dLbl>
            <c:dLbl>
              <c:idx val="26"/>
              <c:delete val="1"/>
            </c:dLbl>
            <c:dLbl>
              <c:idx val="27"/>
              <c:layout>
                <c:manualLayout>
                  <c:x val="7.1301234428353807E-3"/>
                  <c:y val="1.6528925619834937E-2"/>
                </c:manualLayout>
              </c:layout>
              <c:showVal val="1"/>
            </c:dLbl>
            <c:dLbl>
              <c:idx val="28"/>
              <c:layout>
                <c:manualLayout>
                  <c:x val="2.3767078142784381E-3"/>
                  <c:y val="3.3057851239669442E-3"/>
                </c:manualLayout>
              </c:layout>
              <c:showVal val="1"/>
            </c:dLbl>
            <c:txPr>
              <a:bodyPr/>
              <a:lstStyle/>
              <a:p>
                <a:pPr>
                  <a:defRPr sz="700"/>
                </a:pPr>
                <a:endParaRPr lang="es-ES"/>
              </a:p>
            </c:txPr>
            <c:showVal val="1"/>
          </c:dLbls>
          <c:cat>
            <c:numRef>
              <c:f>'1.2'!$C$3:$C$31</c:f>
              <c:numCache>
                <c:formatCode>General</c:formatCode>
                <c:ptCount val="29"/>
                <c:pt idx="0">
                  <c:v>1982</c:v>
                </c:pt>
                <c:pt idx="1">
                  <c:v>1983</c:v>
                </c:pt>
                <c:pt idx="2">
                  <c:v>1984</c:v>
                </c:pt>
                <c:pt idx="3">
                  <c:v>1986</c:v>
                </c:pt>
                <c:pt idx="4">
                  <c:v>1987</c:v>
                </c:pt>
                <c:pt idx="5">
                  <c:v>1988</c:v>
                </c:pt>
                <c:pt idx="6">
                  <c:v>1989</c:v>
                </c:pt>
                <c:pt idx="7">
                  <c:v>1990</c:v>
                </c:pt>
                <c:pt idx="8">
                  <c:v>1991</c:v>
                </c:pt>
                <c:pt idx="9">
                  <c:v>1992</c:v>
                </c:pt>
                <c:pt idx="10">
                  <c:v>1993</c:v>
                </c:pt>
                <c:pt idx="11">
                  <c:v>1994</c:v>
                </c:pt>
                <c:pt idx="12">
                  <c:v>1995</c:v>
                </c:pt>
                <c:pt idx="13">
                  <c:v>1996</c:v>
                </c:pt>
                <c:pt idx="14">
                  <c:v>1997</c:v>
                </c:pt>
                <c:pt idx="15">
                  <c:v>1998</c:v>
                </c:pt>
                <c:pt idx="16">
                  <c:v>1999</c:v>
                </c:pt>
                <c:pt idx="17">
                  <c:v>2000</c:v>
                </c:pt>
                <c:pt idx="18">
                  <c:v>2001</c:v>
                </c:pt>
                <c:pt idx="19">
                  <c:v>2002</c:v>
                </c:pt>
                <c:pt idx="20">
                  <c:v>2003</c:v>
                </c:pt>
                <c:pt idx="21">
                  <c:v>2004</c:v>
                </c:pt>
                <c:pt idx="22">
                  <c:v>2005</c:v>
                </c:pt>
                <c:pt idx="23">
                  <c:v>2006</c:v>
                </c:pt>
                <c:pt idx="24">
                  <c:v>2007</c:v>
                </c:pt>
                <c:pt idx="25">
                  <c:v>2008</c:v>
                </c:pt>
                <c:pt idx="26">
                  <c:v>2009</c:v>
                </c:pt>
                <c:pt idx="27">
                  <c:v>2010</c:v>
                </c:pt>
                <c:pt idx="28">
                  <c:v>2011</c:v>
                </c:pt>
              </c:numCache>
            </c:numRef>
          </c:cat>
          <c:val>
            <c:numRef>
              <c:f>'1.2'!$E$3:$E$31</c:f>
              <c:numCache>
                <c:formatCode>0.0%</c:formatCode>
                <c:ptCount val="29"/>
                <c:pt idx="0">
                  <c:v>7.8947368421052475E-2</c:v>
                </c:pt>
                <c:pt idx="1">
                  <c:v>5.2631578947368524E-3</c:v>
                </c:pt>
                <c:pt idx="2">
                  <c:v>5.2631578947368524E-3</c:v>
                </c:pt>
                <c:pt idx="3">
                  <c:v>1.0526315789473684E-2</c:v>
                </c:pt>
                <c:pt idx="4">
                  <c:v>2.6315789473684216E-2</c:v>
                </c:pt>
                <c:pt idx="5">
                  <c:v>1.5789473684210738E-2</c:v>
                </c:pt>
                <c:pt idx="6">
                  <c:v>1.5789473684210738E-2</c:v>
                </c:pt>
                <c:pt idx="7">
                  <c:v>3.1578947368421498E-2</c:v>
                </c:pt>
                <c:pt idx="8">
                  <c:v>4.2105263157894736E-2</c:v>
                </c:pt>
                <c:pt idx="9">
                  <c:v>4.2105263157894736E-2</c:v>
                </c:pt>
                <c:pt idx="10">
                  <c:v>1.5789473684210738E-2</c:v>
                </c:pt>
                <c:pt idx="11">
                  <c:v>2.6315789473684216E-2</c:v>
                </c:pt>
                <c:pt idx="12">
                  <c:v>2.6315789473684216E-2</c:v>
                </c:pt>
                <c:pt idx="13">
                  <c:v>4.2105263157894736E-2</c:v>
                </c:pt>
                <c:pt idx="14">
                  <c:v>3.6842105263157891E-2</c:v>
                </c:pt>
                <c:pt idx="15">
                  <c:v>0.1</c:v>
                </c:pt>
                <c:pt idx="16">
                  <c:v>6.3157894736842107E-2</c:v>
                </c:pt>
                <c:pt idx="17">
                  <c:v>9.4736842105265659E-2</c:v>
                </c:pt>
                <c:pt idx="18">
                  <c:v>2.6315789473684216E-2</c:v>
                </c:pt>
                <c:pt idx="19">
                  <c:v>4.2105263157894736E-2</c:v>
                </c:pt>
                <c:pt idx="20">
                  <c:v>4.2105263157894736E-2</c:v>
                </c:pt>
                <c:pt idx="21">
                  <c:v>3.1578947368421498E-2</c:v>
                </c:pt>
                <c:pt idx="22">
                  <c:v>2.1052631578947382E-2</c:v>
                </c:pt>
                <c:pt idx="23">
                  <c:v>3.1578947368421498E-2</c:v>
                </c:pt>
                <c:pt idx="24">
                  <c:v>2.6315789473684216E-2</c:v>
                </c:pt>
                <c:pt idx="25">
                  <c:v>2.6315789473684216E-2</c:v>
                </c:pt>
                <c:pt idx="26">
                  <c:v>2.6315789473684216E-2</c:v>
                </c:pt>
                <c:pt idx="27">
                  <c:v>2.1052631578947382E-2</c:v>
                </c:pt>
                <c:pt idx="28">
                  <c:v>2.6315789473684216E-2</c:v>
                </c:pt>
              </c:numCache>
            </c:numRef>
          </c:val>
        </c:ser>
        <c:gapWidth val="40"/>
        <c:axId val="206880128"/>
        <c:axId val="206926976"/>
      </c:barChart>
      <c:catAx>
        <c:axId val="206880128"/>
        <c:scaling>
          <c:orientation val="minMax"/>
        </c:scaling>
        <c:axPos val="b"/>
        <c:numFmt formatCode="General" sourceLinked="1"/>
        <c:tickLblPos val="low"/>
        <c:spPr>
          <a:ln w="3175">
            <a:solidFill>
              <a:srgbClr val="000000"/>
            </a:solidFill>
            <a:prstDash val="solid"/>
          </a:ln>
        </c:spPr>
        <c:crossAx val="206926976"/>
        <c:crosses val="autoZero"/>
        <c:auto val="1"/>
        <c:lblAlgn val="ctr"/>
        <c:lblOffset val="100"/>
      </c:catAx>
      <c:valAx>
        <c:axId val="206926976"/>
        <c:scaling>
          <c:orientation val="minMax"/>
        </c:scaling>
        <c:axPos val="l"/>
        <c:title>
          <c:tx>
            <c:rich>
              <a:bodyPr rot="-5400000" vert="horz"/>
              <a:lstStyle/>
              <a:p>
                <a:pPr>
                  <a:defRPr/>
                </a:pPr>
                <a:r>
                  <a:rPr lang="en-US"/>
                  <a:t>Apertura de centros especiales de empleo (%)</a:t>
                </a:r>
              </a:p>
            </c:rich>
          </c:tx>
          <c:layout>
            <c:manualLayout>
              <c:xMode val="edge"/>
              <c:yMode val="edge"/>
              <c:x val="1.8740060402064121E-2"/>
              <c:y val="0.11892314700332016"/>
            </c:manualLayout>
          </c:layout>
        </c:title>
        <c:numFmt formatCode="0.0%" sourceLinked="1"/>
        <c:tickLblPos val="nextTo"/>
        <c:spPr>
          <a:ln w="3175">
            <a:solidFill>
              <a:srgbClr val="000000"/>
            </a:solidFill>
            <a:prstDash val="solid"/>
          </a:ln>
        </c:spPr>
        <c:crossAx val="206880128"/>
        <c:crosses val="autoZero"/>
        <c:crossBetween val="between"/>
      </c:valAx>
      <c:spPr>
        <a:noFill/>
        <a:ln w="25400">
          <a:noFill/>
        </a:ln>
      </c:spPr>
    </c:plotArea>
    <c:legend>
      <c:legendPos val="b"/>
      <c:layout>
        <c:manualLayout>
          <c:xMode val="edge"/>
          <c:yMode val="edge"/>
          <c:x val="0.42798065241845146"/>
          <c:y val="0.86363636363636354"/>
          <c:w val="0.17894774082201809"/>
          <c:h val="4.981741795698498E-2"/>
        </c:manualLayout>
      </c:layout>
      <c:spPr>
        <a:noFill/>
        <a:ln w="25400">
          <a:noFill/>
        </a:ln>
      </c:spPr>
    </c:legend>
    <c:plotVisOnly val="1"/>
  </c:chart>
  <c:spPr>
    <a:noFill/>
    <a:ln w="9525">
      <a:noFill/>
    </a:ln>
  </c:spPr>
  <c:txPr>
    <a:bodyPr/>
    <a:lstStyle/>
    <a:p>
      <a:pPr>
        <a:defRPr sz="800" b="0" i="0">
          <a:solidFill>
            <a:srgbClr val="000000"/>
          </a:solidFill>
          <a:latin typeface="MinionPro-Regular"/>
          <a:ea typeface="Arial"/>
          <a:cs typeface="Arial"/>
        </a:defRPr>
      </a:pPr>
      <a:endParaRPr lang="es-ES"/>
    </a:p>
  </c:tx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es-ES"/>
  <c:chart>
    <c:autoTitleDeleted val="1"/>
    <c:plotArea>
      <c:layout>
        <c:manualLayout>
          <c:layoutTarget val="inner"/>
          <c:xMode val="edge"/>
          <c:yMode val="edge"/>
          <c:x val="0.16136321183581689"/>
          <c:y val="5.6769104629403794E-2"/>
          <c:w val="0.81997012012151471"/>
          <c:h val="0.70258437436011179"/>
        </c:manualLayout>
      </c:layout>
      <c:barChart>
        <c:barDir val="col"/>
        <c:grouping val="clustered"/>
        <c:ser>
          <c:idx val="0"/>
          <c:order val="0"/>
          <c:spPr>
            <a:solidFill>
              <a:srgbClr val="409DAD"/>
            </a:solidFill>
            <a:ln w="3175">
              <a:solidFill>
                <a:srgbClr val="FFFFFF"/>
              </a:solidFill>
              <a:prstDash val="solid"/>
            </a:ln>
          </c:spPr>
          <c:dLbls>
            <c:txPr>
              <a:bodyPr/>
              <a:lstStyle/>
              <a:p>
                <a:pPr>
                  <a:defRPr sz="600"/>
                </a:pPr>
                <a:endParaRPr lang="es-ES"/>
              </a:p>
            </c:txPr>
            <c:showVal val="1"/>
          </c:dLbls>
          <c:cat>
            <c:strRef>
              <c:f>Sheet1!$C$89:$C$107</c:f>
              <c:strCache>
                <c:ptCount val="19"/>
                <c:pt idx="0">
                  <c:v>Melilla</c:v>
                </c:pt>
                <c:pt idx="1">
                  <c:v>Ceuta</c:v>
                </c:pt>
                <c:pt idx="2">
                  <c:v>Murcia</c:v>
                </c:pt>
                <c:pt idx="3">
                  <c:v>Extremadura</c:v>
                </c:pt>
                <c:pt idx="4">
                  <c:v>Asturias</c:v>
                </c:pt>
                <c:pt idx="5">
                  <c:v>Canarias</c:v>
                </c:pt>
                <c:pt idx="6">
                  <c:v>Galicia</c:v>
                </c:pt>
                <c:pt idx="7">
                  <c:v>C.Valenciana</c:v>
                </c:pt>
                <c:pt idx="8">
                  <c:v>Cantabria</c:v>
                </c:pt>
                <c:pt idx="9">
                  <c:v>Andalucía</c:v>
                </c:pt>
                <c:pt idx="10">
                  <c:v>Castilla La Mancha</c:v>
                </c:pt>
                <c:pt idx="11">
                  <c:v>Castilla y León</c:v>
                </c:pt>
                <c:pt idx="12">
                  <c:v>La Rioja</c:v>
                </c:pt>
                <c:pt idx="13">
                  <c:v>Baleares</c:v>
                </c:pt>
                <c:pt idx="14">
                  <c:v>Aragón</c:v>
                </c:pt>
                <c:pt idx="15">
                  <c:v>País Vasco</c:v>
                </c:pt>
                <c:pt idx="16">
                  <c:v>Cataluña</c:v>
                </c:pt>
                <c:pt idx="17">
                  <c:v>Madrid</c:v>
                </c:pt>
                <c:pt idx="18">
                  <c:v>Navarra</c:v>
                </c:pt>
              </c:strCache>
            </c:strRef>
          </c:cat>
          <c:val>
            <c:numRef>
              <c:f>Sheet1!$D$89:$D$107</c:f>
              <c:numCache>
                <c:formatCode>0.0</c:formatCode>
                <c:ptCount val="19"/>
                <c:pt idx="0">
                  <c:v>862.78413804546301</c:v>
                </c:pt>
                <c:pt idx="1">
                  <c:v>621.65585338744279</c:v>
                </c:pt>
                <c:pt idx="2">
                  <c:v>361.01254132652474</c:v>
                </c:pt>
                <c:pt idx="3">
                  <c:v>359.55987208250701</c:v>
                </c:pt>
                <c:pt idx="4">
                  <c:v>344.3133910146513</c:v>
                </c:pt>
                <c:pt idx="5">
                  <c:v>308.94031308899014</c:v>
                </c:pt>
                <c:pt idx="6">
                  <c:v>292.54739374386776</c:v>
                </c:pt>
                <c:pt idx="7">
                  <c:v>291.98314963208543</c:v>
                </c:pt>
                <c:pt idx="8">
                  <c:v>289.48721633455858</c:v>
                </c:pt>
                <c:pt idx="9">
                  <c:v>272.57599310037881</c:v>
                </c:pt>
                <c:pt idx="10">
                  <c:v>263.89879224034627</c:v>
                </c:pt>
                <c:pt idx="11">
                  <c:v>248.37377695807484</c:v>
                </c:pt>
                <c:pt idx="12">
                  <c:v>243.37889963041266</c:v>
                </c:pt>
                <c:pt idx="13">
                  <c:v>204.76108034810278</c:v>
                </c:pt>
                <c:pt idx="14">
                  <c:v>190.39170765483081</c:v>
                </c:pt>
                <c:pt idx="15">
                  <c:v>181.02520274680498</c:v>
                </c:pt>
                <c:pt idx="16">
                  <c:v>155.89991900926805</c:v>
                </c:pt>
                <c:pt idx="17">
                  <c:v>151.37263411957278</c:v>
                </c:pt>
                <c:pt idx="18">
                  <c:v>140.91341457144318</c:v>
                </c:pt>
              </c:numCache>
            </c:numRef>
          </c:val>
        </c:ser>
        <c:gapWidth val="40"/>
        <c:axId val="207762560"/>
        <c:axId val="207764096"/>
      </c:barChart>
      <c:catAx>
        <c:axId val="207762560"/>
        <c:scaling>
          <c:orientation val="minMax"/>
        </c:scaling>
        <c:axPos val="b"/>
        <c:tickLblPos val="low"/>
        <c:spPr>
          <a:ln w="3175">
            <a:solidFill>
              <a:srgbClr val="000000"/>
            </a:solidFill>
            <a:prstDash val="solid"/>
          </a:ln>
        </c:spPr>
        <c:crossAx val="207764096"/>
        <c:crosses val="autoZero"/>
        <c:auto val="1"/>
        <c:lblAlgn val="ctr"/>
        <c:lblOffset val="100"/>
      </c:catAx>
      <c:valAx>
        <c:axId val="207764096"/>
        <c:scaling>
          <c:orientation val="minMax"/>
          <c:max val="900"/>
        </c:scaling>
        <c:axPos val="l"/>
        <c:title>
          <c:tx>
            <c:rich>
              <a:bodyPr rot="-5400000" vert="horz"/>
              <a:lstStyle/>
              <a:p>
                <a:pPr>
                  <a:defRPr/>
                </a:pPr>
                <a:r>
                  <a:rPr lang="en-US"/>
                  <a:t>Número</a:t>
                </a:r>
                <a:r>
                  <a:rPr lang="en-US" baseline="0"/>
                  <a:t> de personas con discapacidad</a:t>
                </a:r>
              </a:p>
              <a:p>
                <a:pPr>
                  <a:defRPr/>
                </a:pPr>
                <a:r>
                  <a:rPr lang="en-US" baseline="0"/>
                  <a:t> demandantes de empleo </a:t>
                </a:r>
              </a:p>
              <a:p>
                <a:pPr>
                  <a:defRPr/>
                </a:pPr>
                <a:r>
                  <a:rPr lang="en-US" baseline="0"/>
                  <a:t>por cada 100.000 habitantes</a:t>
                </a:r>
                <a:endParaRPr lang="en-US"/>
              </a:p>
            </c:rich>
          </c:tx>
          <c:layout>
            <c:manualLayout>
              <c:xMode val="edge"/>
              <c:yMode val="edge"/>
              <c:x val="2.3604542798248786E-2"/>
              <c:y val="0.14534766323130441"/>
            </c:manualLayout>
          </c:layout>
        </c:title>
        <c:numFmt formatCode="0.0" sourceLinked="1"/>
        <c:tickLblPos val="nextTo"/>
        <c:spPr>
          <a:ln w="3175">
            <a:solidFill>
              <a:srgbClr val="000000"/>
            </a:solidFill>
            <a:prstDash val="solid"/>
          </a:ln>
        </c:spPr>
        <c:crossAx val="207762560"/>
        <c:crosses val="autoZero"/>
        <c:crossBetween val="between"/>
      </c:valAx>
      <c:spPr>
        <a:noFill/>
        <a:ln w="25400">
          <a:noFill/>
        </a:ln>
      </c:spPr>
    </c:plotArea>
    <c:plotVisOnly val="1"/>
  </c:chart>
  <c:spPr>
    <a:noFill/>
    <a:ln w="9525">
      <a:noFill/>
    </a:ln>
  </c:spPr>
  <c:txPr>
    <a:bodyPr/>
    <a:lstStyle/>
    <a:p>
      <a:pPr>
        <a:defRPr sz="800" b="0" i="0">
          <a:solidFill>
            <a:srgbClr val="000000"/>
          </a:solidFill>
          <a:latin typeface="MinionPro-Regular"/>
          <a:ea typeface="Arial"/>
          <a:cs typeface="Arial"/>
        </a:defRPr>
      </a:pPr>
      <a:endParaRPr lang="es-ES"/>
    </a:p>
  </c:txPr>
  <c:externalData r:id="rId1"/>
</c:chartSpace>
</file>

<file path=word/charts/chart100.xml><?xml version="1.0" encoding="utf-8"?>
<c:chartSpace xmlns:c="http://schemas.openxmlformats.org/drawingml/2006/chart" xmlns:a="http://schemas.openxmlformats.org/drawingml/2006/main" xmlns:r="http://schemas.openxmlformats.org/officeDocument/2006/relationships">
  <c:date1904 val="1"/>
  <c:lang val="es-ES"/>
  <c:chart>
    <c:title>
      <c:tx>
        <c:rich>
          <a:bodyPr/>
          <a:lstStyle/>
          <a:p>
            <a:pPr algn="ctr">
              <a:defRPr/>
            </a:pPr>
            <a:r>
              <a:rPr lang="en-US"/>
              <a:t>¿Se percibe a los centros</a:t>
            </a:r>
            <a:r>
              <a:rPr lang="en-US" baseline="0"/>
              <a:t> especiales de empleo</a:t>
            </a:r>
            <a:r>
              <a:rPr lang="en-US"/>
              <a:t> como dependientes de subvenciones?</a:t>
            </a:r>
          </a:p>
        </c:rich>
      </c:tx>
      <c:layout>
        <c:manualLayout>
          <c:xMode val="edge"/>
          <c:yMode val="edge"/>
          <c:x val="0.17969988751406368"/>
          <c:y val="3.5833432968384496E-2"/>
        </c:manualLayout>
      </c:layout>
    </c:title>
    <c:plotArea>
      <c:layout>
        <c:manualLayout>
          <c:layoutTarget val="inner"/>
          <c:xMode val="edge"/>
          <c:yMode val="edge"/>
          <c:x val="0.3342857142857189"/>
          <c:y val="0.30644849437205107"/>
          <c:w val="0.33142857142858345"/>
          <c:h val="0.52727272727272656"/>
        </c:manualLayout>
      </c:layout>
      <c:pieChart>
        <c:varyColors val="1"/>
        <c:ser>
          <c:idx val="0"/>
          <c:order val="0"/>
          <c:dPt>
            <c:idx val="0"/>
            <c:spPr>
              <a:solidFill>
                <a:srgbClr val="BFDEE4"/>
              </a:solidFill>
              <a:ln w="3175">
                <a:solidFill>
                  <a:srgbClr val="FFFFFF"/>
                </a:solidFill>
                <a:prstDash val="solid"/>
              </a:ln>
            </c:spPr>
          </c:dPt>
          <c:dPt>
            <c:idx val="1"/>
            <c:spPr>
              <a:solidFill>
                <a:srgbClr val="80A8AE"/>
              </a:solidFill>
              <a:ln w="3175">
                <a:solidFill>
                  <a:srgbClr val="FFFFFF"/>
                </a:solidFill>
                <a:prstDash val="solid"/>
              </a:ln>
            </c:spPr>
          </c:dPt>
          <c:dPt>
            <c:idx val="2"/>
            <c:spPr>
              <a:solidFill>
                <a:srgbClr val="407C85"/>
              </a:solidFill>
              <a:ln w="3175">
                <a:solidFill>
                  <a:srgbClr val="FFFFFF"/>
                </a:solidFill>
                <a:prstDash val="solid"/>
              </a:ln>
            </c:spPr>
          </c:dPt>
          <c:dPt>
            <c:idx val="3"/>
            <c:spPr>
              <a:solidFill>
                <a:srgbClr val="007C92"/>
              </a:solidFill>
              <a:ln w="3175">
                <a:solidFill>
                  <a:srgbClr val="FFFFFF"/>
                </a:solidFill>
                <a:prstDash val="solid"/>
              </a:ln>
            </c:spPr>
          </c:dPt>
          <c:dPt>
            <c:idx val="4"/>
            <c:spPr>
              <a:solidFill>
                <a:srgbClr val="00505C"/>
              </a:solidFill>
              <a:ln w="3175">
                <a:solidFill>
                  <a:srgbClr val="FFFFFF"/>
                </a:solidFill>
                <a:prstDash val="solid"/>
              </a:ln>
            </c:spPr>
          </c:dPt>
          <c:dLbls>
            <c:dLbl>
              <c:idx val="0"/>
              <c:tx>
                <c:rich>
                  <a:bodyPr/>
                  <a:lstStyle/>
                  <a:p>
                    <a:r>
                      <a:rPr lang="en-US"/>
                      <a:t>Totalmente en desacuerdo
3%</a:t>
                    </a:r>
                  </a:p>
                </c:rich>
              </c:tx>
              <c:dLblPos val="outEnd"/>
              <c:showCatName val="1"/>
              <c:showPercent val="1"/>
            </c:dLbl>
            <c:dLbl>
              <c:idx val="1"/>
              <c:layout>
                <c:manualLayout>
                  <c:x val="4.5714285714285714E-2"/>
                  <c:y val="9.0909090909091547E-3"/>
                </c:manualLayout>
              </c:layout>
              <c:tx>
                <c:rich>
                  <a:bodyPr/>
                  <a:lstStyle/>
                  <a:p>
                    <a:r>
                      <a:rPr lang="en-US"/>
                      <a:t>En desacuerdo
7%</a:t>
                    </a:r>
                  </a:p>
                </c:rich>
              </c:tx>
              <c:dLblPos val="bestFit"/>
              <c:showCatName val="1"/>
              <c:showPercent val="1"/>
            </c:dLbl>
            <c:dLbl>
              <c:idx val="2"/>
              <c:tx>
                <c:rich>
                  <a:bodyPr/>
                  <a:lstStyle/>
                  <a:p>
                    <a:r>
                      <a:rPr lang="en-US"/>
                      <a:t>Indiferente
17%</a:t>
                    </a:r>
                  </a:p>
                </c:rich>
              </c:tx>
              <c:dLblPos val="outEnd"/>
              <c:showCatName val="1"/>
              <c:showPercent val="1"/>
            </c:dLbl>
            <c:dLbl>
              <c:idx val="3"/>
              <c:tx>
                <c:rich>
                  <a:bodyPr/>
                  <a:lstStyle/>
                  <a:p>
                    <a:r>
                      <a:rPr lang="en-US"/>
                      <a:t>De acuerdo
35%</a:t>
                    </a:r>
                  </a:p>
                </c:rich>
              </c:tx>
              <c:dLblPos val="outEnd"/>
              <c:showCatName val="1"/>
              <c:showPercent val="1"/>
            </c:dLbl>
            <c:dLbl>
              <c:idx val="4"/>
              <c:tx>
                <c:rich>
                  <a:bodyPr/>
                  <a:lstStyle/>
                  <a:p>
                    <a:r>
                      <a:rPr lang="en-US"/>
                      <a:t>Totalmente de acuerdo
38%</a:t>
                    </a:r>
                  </a:p>
                </c:rich>
              </c:tx>
              <c:dLblPos val="outEnd"/>
              <c:showCatName val="1"/>
              <c:showPercent val="1"/>
            </c:dLbl>
            <c:dLblPos val="outEnd"/>
            <c:showCatName val="1"/>
            <c:showPercent val="1"/>
          </c:dLbls>
          <c:cat>
            <c:strRef>
              <c:f>'2.3.9'!$C$6:$C$10</c:f>
              <c:strCache>
                <c:ptCount val="5"/>
                <c:pt idx="0">
                  <c:v>Totalmente en desacuerdo (1)</c:v>
                </c:pt>
                <c:pt idx="1">
                  <c:v>En desacuerdo (2)</c:v>
                </c:pt>
                <c:pt idx="2">
                  <c:v>Indiferente (3)</c:v>
                </c:pt>
                <c:pt idx="3">
                  <c:v>De acuerdo (4)</c:v>
                </c:pt>
                <c:pt idx="4">
                  <c:v>Totalmente de acuerdo (5)</c:v>
                </c:pt>
              </c:strCache>
            </c:strRef>
          </c:cat>
          <c:val>
            <c:numRef>
              <c:f>'2.3.9'!$D$6:$D$10</c:f>
              <c:numCache>
                <c:formatCode>General</c:formatCode>
                <c:ptCount val="5"/>
                <c:pt idx="0">
                  <c:v>4</c:v>
                </c:pt>
                <c:pt idx="1">
                  <c:v>9</c:v>
                </c:pt>
                <c:pt idx="2">
                  <c:v>20</c:v>
                </c:pt>
                <c:pt idx="3">
                  <c:v>43</c:v>
                </c:pt>
                <c:pt idx="4">
                  <c:v>46</c:v>
                </c:pt>
              </c:numCache>
            </c:numRef>
          </c:val>
        </c:ser>
        <c:firstSliceAng val="0"/>
      </c:pieChart>
      <c:spPr>
        <a:noFill/>
        <a:ln w="25400">
          <a:noFill/>
        </a:ln>
      </c:spPr>
    </c:plotArea>
    <c:plotVisOnly val="1"/>
  </c:chart>
  <c:spPr>
    <a:noFill/>
    <a:ln w="9525">
      <a:noFill/>
    </a:ln>
  </c:spPr>
  <c:txPr>
    <a:bodyPr/>
    <a:lstStyle/>
    <a:p>
      <a:pPr>
        <a:defRPr sz="800" b="0" i="0">
          <a:solidFill>
            <a:srgbClr val="000000"/>
          </a:solidFill>
          <a:latin typeface="MinIONpRO-rEGULAR"/>
          <a:ea typeface="Arial"/>
          <a:cs typeface="Arial"/>
        </a:defRPr>
      </a:pPr>
      <a:endParaRPr lang="es-ES"/>
    </a:p>
  </c:txPr>
  <c:externalData r:id="rId1"/>
</c:chartSpace>
</file>

<file path=word/charts/chart101.xml><?xml version="1.0" encoding="utf-8"?>
<c:chartSpace xmlns:c="http://schemas.openxmlformats.org/drawingml/2006/chart" xmlns:a="http://schemas.openxmlformats.org/drawingml/2006/main" xmlns:r="http://schemas.openxmlformats.org/officeDocument/2006/relationships">
  <c:date1904 val="1"/>
  <c:lang val="es-ES"/>
  <c:chart>
    <c:title>
      <c:tx>
        <c:rich>
          <a:bodyPr/>
          <a:lstStyle/>
          <a:p>
            <a:pPr algn="l">
              <a:defRPr sz="800"/>
            </a:pPr>
            <a:r>
              <a:rPr lang="en-US" sz="800"/>
              <a:t>¿Aporta valor la red asociativa?</a:t>
            </a:r>
          </a:p>
        </c:rich>
      </c:tx>
      <c:layout>
        <c:manualLayout>
          <c:xMode val="edge"/>
          <c:yMode val="edge"/>
          <c:x val="0.30285714285714288"/>
          <c:y val="1.8686828919112906E-2"/>
        </c:manualLayout>
      </c:layout>
    </c:title>
    <c:plotArea>
      <c:layout>
        <c:manualLayout>
          <c:layoutTarget val="inner"/>
          <c:xMode val="edge"/>
          <c:yMode val="edge"/>
          <c:x val="0.34285714285714286"/>
          <c:y val="0.26363636363636361"/>
          <c:w val="0.33142857142858345"/>
          <c:h val="0.52727272727272656"/>
        </c:manualLayout>
      </c:layout>
      <c:pieChart>
        <c:varyColors val="1"/>
        <c:ser>
          <c:idx val="0"/>
          <c:order val="0"/>
          <c:dPt>
            <c:idx val="0"/>
            <c:spPr>
              <a:solidFill>
                <a:srgbClr val="80A8AE"/>
              </a:solidFill>
              <a:ln w="3175">
                <a:solidFill>
                  <a:srgbClr val="FFFFFF"/>
                </a:solidFill>
                <a:prstDash val="solid"/>
              </a:ln>
            </c:spPr>
          </c:dPt>
          <c:dPt>
            <c:idx val="1"/>
            <c:spPr>
              <a:solidFill>
                <a:srgbClr val="407C85"/>
              </a:solidFill>
              <a:ln w="3175">
                <a:solidFill>
                  <a:srgbClr val="FFFFFF"/>
                </a:solidFill>
                <a:prstDash val="solid"/>
              </a:ln>
            </c:spPr>
          </c:dPt>
          <c:dPt>
            <c:idx val="2"/>
            <c:spPr>
              <a:solidFill>
                <a:srgbClr val="007C92"/>
              </a:solidFill>
              <a:ln w="3175">
                <a:solidFill>
                  <a:srgbClr val="FFFFFF"/>
                </a:solidFill>
                <a:prstDash val="solid"/>
              </a:ln>
            </c:spPr>
          </c:dPt>
          <c:dPt>
            <c:idx val="3"/>
            <c:spPr>
              <a:solidFill>
                <a:srgbClr val="00505C"/>
              </a:solidFill>
              <a:ln w="3175">
                <a:solidFill>
                  <a:srgbClr val="FFFFFF"/>
                </a:solidFill>
                <a:prstDash val="solid"/>
              </a:ln>
            </c:spPr>
          </c:dPt>
          <c:dPt>
            <c:idx val="4"/>
            <c:spPr>
              <a:solidFill>
                <a:srgbClr val="BFDEE4"/>
              </a:solidFill>
              <a:ln w="3175">
                <a:solidFill>
                  <a:srgbClr val="FFFFFF"/>
                </a:solidFill>
                <a:prstDash val="solid"/>
              </a:ln>
            </c:spPr>
          </c:dPt>
          <c:dLbls>
            <c:dLbl>
              <c:idx val="0"/>
              <c:tx>
                <c:rich>
                  <a:bodyPr/>
                  <a:lstStyle/>
                  <a:p>
                    <a:r>
                      <a:rPr lang="en-US"/>
                      <a:t>Totalmente en desacuerdo
4%</a:t>
                    </a:r>
                  </a:p>
                </c:rich>
              </c:tx>
              <c:dLblPos val="outEnd"/>
              <c:showCatName val="1"/>
              <c:showPercent val="1"/>
            </c:dLbl>
            <c:dLbl>
              <c:idx val="1"/>
              <c:layout>
                <c:manualLayout>
                  <c:x val="1.1428571428571666E-2"/>
                  <c:y val="4.0909090909090923E-2"/>
                </c:manualLayout>
              </c:layout>
              <c:tx>
                <c:rich>
                  <a:bodyPr/>
                  <a:lstStyle/>
                  <a:p>
                    <a:r>
                      <a:rPr lang="en-US"/>
                      <a:t>En desacuerdo
10%</a:t>
                    </a:r>
                  </a:p>
                </c:rich>
              </c:tx>
              <c:dLblPos val="bestFit"/>
              <c:showCatName val="1"/>
              <c:showPercent val="1"/>
            </c:dLbl>
            <c:dLbl>
              <c:idx val="2"/>
              <c:tx>
                <c:rich>
                  <a:bodyPr/>
                  <a:lstStyle/>
                  <a:p>
                    <a:r>
                      <a:rPr lang="en-US"/>
                      <a:t>Indiferente
28%</a:t>
                    </a:r>
                  </a:p>
                </c:rich>
              </c:tx>
              <c:dLblPos val="outEnd"/>
              <c:showCatName val="1"/>
              <c:showPercent val="1"/>
            </c:dLbl>
            <c:dLbl>
              <c:idx val="3"/>
              <c:tx>
                <c:rich>
                  <a:bodyPr/>
                  <a:lstStyle/>
                  <a:p>
                    <a:r>
                      <a:rPr lang="en-US"/>
                      <a:t>De acuerdo
34%</a:t>
                    </a:r>
                  </a:p>
                </c:rich>
              </c:tx>
              <c:dLblPos val="outEnd"/>
              <c:showCatName val="1"/>
              <c:showPercent val="1"/>
            </c:dLbl>
            <c:dLbl>
              <c:idx val="4"/>
              <c:tx>
                <c:rich>
                  <a:bodyPr/>
                  <a:lstStyle/>
                  <a:p>
                    <a:r>
                      <a:rPr lang="en-US"/>
                      <a:t>Totalmente de acuerdo
24%</a:t>
                    </a:r>
                  </a:p>
                </c:rich>
              </c:tx>
              <c:dLblPos val="outEnd"/>
              <c:showCatName val="1"/>
              <c:showPercent val="1"/>
            </c:dLbl>
            <c:dLblPos val="outEnd"/>
            <c:showCatName val="1"/>
            <c:showPercent val="1"/>
          </c:dLbls>
          <c:cat>
            <c:strRef>
              <c:f>'2.3.3'!$C$5:$C$9</c:f>
              <c:strCache>
                <c:ptCount val="5"/>
                <c:pt idx="0">
                  <c:v>Totalmente en desacuerdo (1)</c:v>
                </c:pt>
                <c:pt idx="1">
                  <c:v>En desacuerdo (2)</c:v>
                </c:pt>
                <c:pt idx="2">
                  <c:v>Indiferente (3)</c:v>
                </c:pt>
                <c:pt idx="3">
                  <c:v>De acuerdo (4)</c:v>
                </c:pt>
                <c:pt idx="4">
                  <c:v>Totalmente de acuerdo (5)</c:v>
                </c:pt>
              </c:strCache>
            </c:strRef>
          </c:cat>
          <c:val>
            <c:numRef>
              <c:f>'2.3.3'!$D$5:$D$9</c:f>
              <c:numCache>
                <c:formatCode>General</c:formatCode>
                <c:ptCount val="5"/>
                <c:pt idx="0">
                  <c:v>5</c:v>
                </c:pt>
                <c:pt idx="1">
                  <c:v>12</c:v>
                </c:pt>
                <c:pt idx="2">
                  <c:v>34</c:v>
                </c:pt>
                <c:pt idx="3">
                  <c:v>42</c:v>
                </c:pt>
                <c:pt idx="4">
                  <c:v>29</c:v>
                </c:pt>
              </c:numCache>
            </c:numRef>
          </c:val>
        </c:ser>
        <c:firstSliceAng val="0"/>
      </c:pieChart>
      <c:spPr>
        <a:noFill/>
        <a:ln w="25400">
          <a:noFill/>
        </a:ln>
      </c:spPr>
    </c:plotArea>
    <c:plotVisOnly val="1"/>
  </c:chart>
  <c:spPr>
    <a:noFill/>
    <a:ln w="9525">
      <a:noFill/>
    </a:ln>
  </c:spPr>
  <c:txPr>
    <a:bodyPr/>
    <a:lstStyle/>
    <a:p>
      <a:pPr>
        <a:defRPr sz="800" b="0" i="0">
          <a:solidFill>
            <a:srgbClr val="000000"/>
          </a:solidFill>
          <a:latin typeface="MinIONpRO-rEGULAR"/>
          <a:ea typeface="Arial"/>
          <a:cs typeface="Arial"/>
        </a:defRPr>
      </a:pPr>
      <a:endParaRPr lang="es-ES"/>
    </a:p>
  </c:tx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es-ES"/>
  <c:chart>
    <c:autoTitleDeleted val="1"/>
    <c:plotArea>
      <c:layout>
        <c:manualLayout>
          <c:layoutTarget val="inner"/>
          <c:xMode val="edge"/>
          <c:yMode val="edge"/>
          <c:x val="0.22206707926758537"/>
          <c:y val="0.19362482817801077"/>
          <c:w val="0.69056220472440688"/>
          <c:h val="0.46834502505368647"/>
        </c:manualLayout>
      </c:layout>
      <c:barChart>
        <c:barDir val="col"/>
        <c:grouping val="clustered"/>
        <c:ser>
          <c:idx val="0"/>
          <c:order val="0"/>
          <c:spPr>
            <a:solidFill>
              <a:srgbClr val="409DAD"/>
            </a:solidFill>
            <a:ln w="3175">
              <a:solidFill>
                <a:srgbClr val="FFFFFF"/>
              </a:solidFill>
              <a:prstDash val="solid"/>
            </a:ln>
          </c:spPr>
          <c:dLbls>
            <c:txPr>
              <a:bodyPr/>
              <a:lstStyle/>
              <a:p>
                <a:pPr>
                  <a:defRPr sz="600"/>
                </a:pPr>
                <a:endParaRPr lang="es-ES"/>
              </a:p>
            </c:txPr>
            <c:showVal val="1"/>
          </c:dLbls>
          <c:cat>
            <c:strRef>
              <c:f>DEFINITIVA!$C$89:$C$105</c:f>
              <c:strCache>
                <c:ptCount val="17"/>
                <c:pt idx="0">
                  <c:v>Canarias</c:v>
                </c:pt>
                <c:pt idx="1">
                  <c:v>Extremadura</c:v>
                </c:pt>
                <c:pt idx="2">
                  <c:v>C.Valenciana</c:v>
                </c:pt>
                <c:pt idx="3">
                  <c:v>Andalucía + Ceuta y Melilla</c:v>
                </c:pt>
                <c:pt idx="4">
                  <c:v>Castilla y León</c:v>
                </c:pt>
                <c:pt idx="5">
                  <c:v>Galicia</c:v>
                </c:pt>
                <c:pt idx="6">
                  <c:v>Cantabria</c:v>
                </c:pt>
                <c:pt idx="7">
                  <c:v>Asturias</c:v>
                </c:pt>
                <c:pt idx="8">
                  <c:v>Baleares</c:v>
                </c:pt>
                <c:pt idx="9">
                  <c:v>Castilla La Mancha</c:v>
                </c:pt>
                <c:pt idx="10">
                  <c:v>La Rioja</c:v>
                </c:pt>
                <c:pt idx="11">
                  <c:v>Madrid</c:v>
                </c:pt>
                <c:pt idx="12">
                  <c:v>Aragón</c:v>
                </c:pt>
                <c:pt idx="13">
                  <c:v>Murcia</c:v>
                </c:pt>
                <c:pt idx="14">
                  <c:v>Cataluña</c:v>
                </c:pt>
                <c:pt idx="15">
                  <c:v>País Vasco</c:v>
                </c:pt>
                <c:pt idx="16">
                  <c:v>Navarra</c:v>
                </c:pt>
              </c:strCache>
            </c:strRef>
          </c:cat>
          <c:val>
            <c:numRef>
              <c:f>DEFINITIVA!$D$89:$D$105</c:f>
              <c:numCache>
                <c:formatCode>0.00</c:formatCode>
                <c:ptCount val="17"/>
                <c:pt idx="0">
                  <c:v>0.68774869109947756</c:v>
                </c:pt>
                <c:pt idx="1">
                  <c:v>0.67266435986159245</c:v>
                </c:pt>
                <c:pt idx="2">
                  <c:v>0.64117389399912506</c:v>
                </c:pt>
                <c:pt idx="3">
                  <c:v>0.44845399698340932</c:v>
                </c:pt>
                <c:pt idx="4">
                  <c:v>0.39934725848564046</c:v>
                </c:pt>
                <c:pt idx="5">
                  <c:v>0.37573182247403175</c:v>
                </c:pt>
                <c:pt idx="6">
                  <c:v>0.36112311015118775</c:v>
                </c:pt>
                <c:pt idx="7">
                  <c:v>0.33919172932330832</c:v>
                </c:pt>
                <c:pt idx="8">
                  <c:v>0.30527027027027065</c:v>
                </c:pt>
                <c:pt idx="9">
                  <c:v>0.29685777287761878</c:v>
                </c:pt>
                <c:pt idx="10">
                  <c:v>0.26928571428571402</c:v>
                </c:pt>
                <c:pt idx="11">
                  <c:v>0.26205405405405402</c:v>
                </c:pt>
                <c:pt idx="12">
                  <c:v>0.23797709923664101</c:v>
                </c:pt>
                <c:pt idx="13">
                  <c:v>0.230323974082073</c:v>
                </c:pt>
                <c:pt idx="14">
                  <c:v>0.16900882045148799</c:v>
                </c:pt>
                <c:pt idx="15">
                  <c:v>0.16853486319505701</c:v>
                </c:pt>
                <c:pt idx="16">
                  <c:v>0.15146804835924044</c:v>
                </c:pt>
              </c:numCache>
            </c:numRef>
          </c:val>
        </c:ser>
        <c:gapWidth val="40"/>
        <c:axId val="207800576"/>
        <c:axId val="207806464"/>
      </c:barChart>
      <c:catAx>
        <c:axId val="207800576"/>
        <c:scaling>
          <c:orientation val="minMax"/>
        </c:scaling>
        <c:axPos val="b"/>
        <c:tickLblPos val="low"/>
        <c:spPr>
          <a:ln w="3175">
            <a:solidFill>
              <a:srgbClr val="000000"/>
            </a:solidFill>
            <a:prstDash val="solid"/>
          </a:ln>
        </c:spPr>
        <c:crossAx val="207806464"/>
        <c:crosses val="autoZero"/>
        <c:auto val="1"/>
        <c:lblAlgn val="ctr"/>
        <c:lblOffset val="100"/>
      </c:catAx>
      <c:valAx>
        <c:axId val="207806464"/>
        <c:scaling>
          <c:orientation val="minMax"/>
        </c:scaling>
        <c:axPos val="l"/>
        <c:title>
          <c:tx>
            <c:rich>
              <a:bodyPr rot="-5400000" vert="horz"/>
              <a:lstStyle/>
              <a:p>
                <a:pPr rtl="0">
                  <a:defRPr/>
                </a:pPr>
                <a:r>
                  <a:rPr lang="en-US"/>
                  <a:t>Número</a:t>
                </a:r>
                <a:r>
                  <a:rPr lang="en-US" baseline="0"/>
                  <a:t> de personas con discapacidad</a:t>
                </a:r>
              </a:p>
              <a:p>
                <a:pPr rtl="0">
                  <a:defRPr/>
                </a:pPr>
                <a:r>
                  <a:rPr lang="en-US" baseline="0"/>
                  <a:t> demandantes de empleo </a:t>
                </a:r>
              </a:p>
              <a:p>
                <a:pPr rtl="0">
                  <a:defRPr/>
                </a:pPr>
                <a:r>
                  <a:rPr lang="en-US" sz="800" b="0" i="0" u="none" strike="noStrike" kern="1200" baseline="0">
                    <a:solidFill>
                      <a:srgbClr val="000000"/>
                    </a:solidFill>
                    <a:latin typeface="MinionPro-Regular"/>
                    <a:ea typeface="Arial"/>
                    <a:cs typeface="Arial"/>
                  </a:rPr>
                  <a:t>por cada persona con discapacidad ocupada</a:t>
                </a:r>
              </a:p>
            </c:rich>
          </c:tx>
          <c:layout>
            <c:manualLayout>
              <c:xMode val="edge"/>
              <c:yMode val="edge"/>
              <c:x val="5.7732525735219066E-2"/>
              <c:y val="0.17059539117243538"/>
            </c:manualLayout>
          </c:layout>
        </c:title>
        <c:numFmt formatCode="0.00" sourceLinked="1"/>
        <c:tickLblPos val="nextTo"/>
        <c:spPr>
          <a:ln w="3175">
            <a:solidFill>
              <a:srgbClr val="000000"/>
            </a:solidFill>
            <a:prstDash val="solid"/>
          </a:ln>
        </c:spPr>
        <c:crossAx val="207800576"/>
        <c:crosses val="autoZero"/>
        <c:crossBetween val="between"/>
      </c:valAx>
      <c:spPr>
        <a:noFill/>
        <a:ln w="25400">
          <a:noFill/>
        </a:ln>
      </c:spPr>
    </c:plotArea>
    <c:plotVisOnly val="1"/>
  </c:chart>
  <c:spPr>
    <a:noFill/>
    <a:ln w="9525">
      <a:noFill/>
    </a:ln>
  </c:spPr>
  <c:txPr>
    <a:bodyPr/>
    <a:lstStyle/>
    <a:p>
      <a:pPr>
        <a:defRPr sz="800" b="0" i="0">
          <a:solidFill>
            <a:srgbClr val="000000"/>
          </a:solidFill>
          <a:latin typeface="MinionPro-Regular"/>
          <a:ea typeface="Arial"/>
          <a:cs typeface="Arial"/>
        </a:defRPr>
      </a:pPr>
      <a:endParaRPr lang="es-ES"/>
    </a:p>
  </c:tx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es-ES"/>
  <c:chart>
    <c:autoTitleDeleted val="1"/>
    <c:plotArea>
      <c:layout>
        <c:manualLayout>
          <c:layoutTarget val="inner"/>
          <c:xMode val="edge"/>
          <c:yMode val="edge"/>
          <c:x val="0.22206707926758537"/>
          <c:y val="0.19362482817800936"/>
          <c:w val="0.69056220472440222"/>
          <c:h val="0.46834502505368647"/>
        </c:manualLayout>
      </c:layout>
      <c:barChart>
        <c:barDir val="col"/>
        <c:grouping val="clustered"/>
        <c:ser>
          <c:idx val="0"/>
          <c:order val="0"/>
          <c:spPr>
            <a:solidFill>
              <a:srgbClr val="409DAD"/>
            </a:solidFill>
            <a:ln w="3175">
              <a:solidFill>
                <a:srgbClr val="FFFFFF"/>
              </a:solidFill>
              <a:prstDash val="solid"/>
            </a:ln>
          </c:spPr>
          <c:dLbls>
            <c:txPr>
              <a:bodyPr/>
              <a:lstStyle/>
              <a:p>
                <a:pPr>
                  <a:defRPr sz="600"/>
                </a:pPr>
                <a:endParaRPr lang="es-ES"/>
              </a:p>
            </c:txPr>
            <c:showVal val="1"/>
          </c:dLbls>
          <c:cat>
            <c:strRef>
              <c:f>Sheet1!$C$161:$C$179</c:f>
              <c:strCache>
                <c:ptCount val="19"/>
                <c:pt idx="0">
                  <c:v>Murcia</c:v>
                </c:pt>
                <c:pt idx="1">
                  <c:v>Extremadura</c:v>
                </c:pt>
                <c:pt idx="2">
                  <c:v>La Rioja</c:v>
                </c:pt>
                <c:pt idx="3">
                  <c:v>Castilla La Mancha</c:v>
                </c:pt>
                <c:pt idx="4">
                  <c:v>Castilla y León</c:v>
                </c:pt>
                <c:pt idx="5">
                  <c:v>Baleares</c:v>
                </c:pt>
                <c:pt idx="6">
                  <c:v>Galicia</c:v>
                </c:pt>
                <c:pt idx="7">
                  <c:v>C.Valenciana</c:v>
                </c:pt>
                <c:pt idx="8">
                  <c:v>Andalucía</c:v>
                </c:pt>
                <c:pt idx="9">
                  <c:v>Aragón</c:v>
                </c:pt>
                <c:pt idx="10">
                  <c:v>Navarra</c:v>
                </c:pt>
                <c:pt idx="11">
                  <c:v>Cantabria</c:v>
                </c:pt>
                <c:pt idx="12">
                  <c:v>País Vasco</c:v>
                </c:pt>
                <c:pt idx="13">
                  <c:v>Melilla</c:v>
                </c:pt>
                <c:pt idx="14">
                  <c:v>Cataluña</c:v>
                </c:pt>
                <c:pt idx="15">
                  <c:v>Asturias</c:v>
                </c:pt>
                <c:pt idx="16">
                  <c:v>Canarias</c:v>
                </c:pt>
                <c:pt idx="17">
                  <c:v>Ceuta</c:v>
                </c:pt>
                <c:pt idx="18">
                  <c:v>Madrid</c:v>
                </c:pt>
              </c:strCache>
            </c:strRef>
          </c:cat>
          <c:val>
            <c:numRef>
              <c:f>Sheet1!$D$161:$D$179</c:f>
              <c:numCache>
                <c:formatCode>0.0</c:formatCode>
                <c:ptCount val="19"/>
                <c:pt idx="0">
                  <c:v>17.942296221216989</c:v>
                </c:pt>
                <c:pt idx="1">
                  <c:v>15.998934637416054</c:v>
                </c:pt>
                <c:pt idx="2">
                  <c:v>15.493616952599339</c:v>
                </c:pt>
                <c:pt idx="3">
                  <c:v>8.8211295456383176</c:v>
                </c:pt>
                <c:pt idx="4">
                  <c:v>8.5254156850597749</c:v>
                </c:pt>
                <c:pt idx="5">
                  <c:v>8.0433607701304481</c:v>
                </c:pt>
                <c:pt idx="6">
                  <c:v>7.3522843363625645</c:v>
                </c:pt>
                <c:pt idx="7">
                  <c:v>6.1237072644521975</c:v>
                </c:pt>
                <c:pt idx="8">
                  <c:v>5.2674530185177675</c:v>
                </c:pt>
                <c:pt idx="9">
                  <c:v>4.6748008200936289</c:v>
                </c:pt>
                <c:pt idx="10">
                  <c:v>3.6955627538690936</c:v>
                </c:pt>
                <c:pt idx="11">
                  <c:v>2.5970743092215192</c:v>
                </c:pt>
                <c:pt idx="12">
                  <c:v>2.559665082044376</c:v>
                </c:pt>
                <c:pt idx="13">
                  <c:v>2.55261579303387</c:v>
                </c:pt>
                <c:pt idx="14">
                  <c:v>2.0409719604928602</c:v>
                </c:pt>
                <c:pt idx="15">
                  <c:v>1.8128471035688765</c:v>
                </c:pt>
                <c:pt idx="16">
                  <c:v>1.8128471035688765</c:v>
                </c:pt>
                <c:pt idx="17">
                  <c:v>1.292423811616306</c:v>
                </c:pt>
                <c:pt idx="18">
                  <c:v>0.90548811663935891</c:v>
                </c:pt>
              </c:numCache>
            </c:numRef>
          </c:val>
        </c:ser>
        <c:gapWidth val="40"/>
        <c:axId val="207814016"/>
        <c:axId val="207897728"/>
      </c:barChart>
      <c:catAx>
        <c:axId val="207814016"/>
        <c:scaling>
          <c:orientation val="minMax"/>
        </c:scaling>
        <c:axPos val="b"/>
        <c:tickLblPos val="low"/>
        <c:spPr>
          <a:ln w="3175">
            <a:solidFill>
              <a:srgbClr val="000000"/>
            </a:solidFill>
            <a:prstDash val="solid"/>
          </a:ln>
        </c:spPr>
        <c:crossAx val="207897728"/>
        <c:crosses val="autoZero"/>
        <c:auto val="1"/>
        <c:lblAlgn val="ctr"/>
        <c:lblOffset val="100"/>
      </c:catAx>
      <c:valAx>
        <c:axId val="207897728"/>
        <c:scaling>
          <c:orientation val="minMax"/>
          <c:max val="20"/>
        </c:scaling>
        <c:axPos val="l"/>
        <c:title>
          <c:tx>
            <c:rich>
              <a:bodyPr rot="-5400000" vert="horz"/>
              <a:lstStyle/>
              <a:p>
                <a:pPr>
                  <a:defRPr/>
                </a:pPr>
                <a:r>
                  <a:rPr lang="en-US"/>
                  <a:t>Número</a:t>
                </a:r>
                <a:r>
                  <a:rPr lang="en-US" baseline="0"/>
                  <a:t> de personas con discapacidad</a:t>
                </a:r>
              </a:p>
              <a:p>
                <a:pPr>
                  <a:defRPr/>
                </a:pPr>
                <a:r>
                  <a:rPr lang="en-US" baseline="0"/>
                  <a:t> demandantes de empleo sector agricultura</a:t>
                </a:r>
              </a:p>
              <a:p>
                <a:pPr>
                  <a:defRPr/>
                </a:pPr>
                <a:r>
                  <a:rPr lang="en-US" baseline="0"/>
                  <a:t>por cada 100.000 habitantes</a:t>
                </a:r>
                <a:endParaRPr lang="en-US"/>
              </a:p>
            </c:rich>
          </c:tx>
          <c:layout>
            <c:manualLayout>
              <c:xMode val="edge"/>
              <c:yMode val="edge"/>
              <c:x val="6.1999191685175148E-2"/>
              <c:y val="0.13756786823665387"/>
            </c:manualLayout>
          </c:layout>
        </c:title>
        <c:numFmt formatCode="0.0" sourceLinked="1"/>
        <c:tickLblPos val="nextTo"/>
        <c:spPr>
          <a:ln w="3175">
            <a:solidFill>
              <a:srgbClr val="000000"/>
            </a:solidFill>
            <a:prstDash val="solid"/>
          </a:ln>
        </c:spPr>
        <c:crossAx val="207814016"/>
        <c:crosses val="autoZero"/>
        <c:crossBetween val="between"/>
      </c:valAx>
      <c:spPr>
        <a:noFill/>
        <a:ln w="25400">
          <a:noFill/>
        </a:ln>
      </c:spPr>
    </c:plotArea>
    <c:plotVisOnly val="1"/>
  </c:chart>
  <c:spPr>
    <a:noFill/>
    <a:ln w="9525">
      <a:noFill/>
    </a:ln>
  </c:spPr>
  <c:txPr>
    <a:bodyPr/>
    <a:lstStyle/>
    <a:p>
      <a:pPr>
        <a:defRPr sz="800" b="0" i="0">
          <a:solidFill>
            <a:srgbClr val="000000"/>
          </a:solidFill>
          <a:latin typeface="MinionPro-Regular"/>
          <a:ea typeface="Arial"/>
          <a:cs typeface="Arial"/>
        </a:defRPr>
      </a:pPr>
      <a:endParaRPr lang="es-ES"/>
    </a:p>
  </c:tx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es-ES"/>
  <c:chart>
    <c:autoTitleDeleted val="1"/>
    <c:plotArea>
      <c:layout>
        <c:manualLayout>
          <c:layoutTarget val="inner"/>
          <c:xMode val="edge"/>
          <c:yMode val="edge"/>
          <c:x val="0.22206707926758537"/>
          <c:y val="0.1936248281780093"/>
          <c:w val="0.690562204724402"/>
          <c:h val="0.46834502505368647"/>
        </c:manualLayout>
      </c:layout>
      <c:barChart>
        <c:barDir val="col"/>
        <c:grouping val="clustered"/>
        <c:ser>
          <c:idx val="0"/>
          <c:order val="0"/>
          <c:spPr>
            <a:solidFill>
              <a:srgbClr val="409DAD"/>
            </a:solidFill>
            <a:ln w="3175">
              <a:solidFill>
                <a:srgbClr val="FFFFFF"/>
              </a:solidFill>
              <a:prstDash val="solid"/>
            </a:ln>
          </c:spPr>
          <c:dLbls>
            <c:dLbl>
              <c:idx val="1"/>
              <c:layout>
                <c:manualLayout>
                  <c:x val="7.1933820884785993E-3"/>
                  <c:y val="0"/>
                </c:manualLayout>
              </c:layout>
              <c:showVal val="1"/>
            </c:dLbl>
            <c:dLbl>
              <c:idx val="2"/>
              <c:layout>
                <c:manualLayout>
                  <c:x val="9.5911761179714658E-3"/>
                  <c:y val="1.6356573297894177E-2"/>
                </c:manualLayout>
              </c:layout>
              <c:showVal val="1"/>
            </c:dLbl>
            <c:dLbl>
              <c:idx val="6"/>
              <c:layout>
                <c:manualLayout>
                  <c:x val="0"/>
                  <c:y val="4.0891433244735721E-3"/>
                </c:manualLayout>
              </c:layout>
              <c:showVal val="1"/>
            </c:dLbl>
            <c:dLbl>
              <c:idx val="7"/>
              <c:layout>
                <c:manualLayout>
                  <c:x val="-2.3977940294928682E-3"/>
                  <c:y val="1.6356573297894177E-2"/>
                </c:manualLayout>
              </c:layout>
              <c:showVal val="1"/>
            </c:dLbl>
            <c:dLbl>
              <c:idx val="8"/>
              <c:layout>
                <c:manualLayout>
                  <c:x val="0"/>
                  <c:y val="1.2267429973420568E-2"/>
                </c:manualLayout>
              </c:layout>
              <c:showVal val="1"/>
            </c:dLbl>
            <c:dLbl>
              <c:idx val="9"/>
              <c:layout>
                <c:manualLayout>
                  <c:x val="2.3977940294928682E-3"/>
                  <c:y val="1.2267429973420568E-2"/>
                </c:manualLayout>
              </c:layout>
              <c:showVal val="1"/>
            </c:dLbl>
            <c:dLbl>
              <c:idx val="10"/>
              <c:layout>
                <c:manualLayout>
                  <c:x val="0"/>
                  <c:y val="1.6356573297894177E-2"/>
                </c:manualLayout>
              </c:layout>
              <c:showVal val="1"/>
            </c:dLbl>
            <c:dLbl>
              <c:idx val="11"/>
              <c:layout>
                <c:manualLayout>
                  <c:x val="8.7918098777361003E-17"/>
                  <c:y val="1.6356573297894177E-2"/>
                </c:manualLayout>
              </c:layout>
              <c:showVal val="1"/>
            </c:dLbl>
            <c:dLbl>
              <c:idx val="12"/>
              <c:layout>
                <c:manualLayout>
                  <c:x val="0"/>
                  <c:y val="8.1782866489470748E-3"/>
                </c:manualLayout>
              </c:layout>
              <c:showVal val="1"/>
            </c:dLbl>
            <c:dLbl>
              <c:idx val="13"/>
              <c:layout>
                <c:manualLayout>
                  <c:x val="0"/>
                  <c:y val="1.2267429973420568E-2"/>
                </c:manualLayout>
              </c:layout>
              <c:showVal val="1"/>
            </c:dLbl>
            <c:dLbl>
              <c:idx val="14"/>
              <c:layout>
                <c:manualLayout>
                  <c:x val="4.7953992563062459E-3"/>
                  <c:y val="8.1782866489470748E-3"/>
                </c:manualLayout>
              </c:layout>
              <c:showVal val="1"/>
            </c:dLbl>
            <c:dLbl>
              <c:idx val="15"/>
              <c:layout>
                <c:manualLayout>
                  <c:x val="4.7955880589857286E-3"/>
                  <c:y val="4.0891433244735721E-3"/>
                </c:manualLayout>
              </c:layout>
              <c:showVal val="1"/>
            </c:dLbl>
            <c:dLbl>
              <c:idx val="16"/>
              <c:layout>
                <c:manualLayout>
                  <c:x val="4.7955880589857286E-3"/>
                  <c:y val="0"/>
                </c:manualLayout>
              </c:layout>
              <c:showVal val="1"/>
            </c:dLbl>
            <c:dLbl>
              <c:idx val="17"/>
              <c:layout>
                <c:manualLayout>
                  <c:x val="4.7955880589857286E-3"/>
                  <c:y val="4.0891433244735721E-3"/>
                </c:manualLayout>
              </c:layout>
              <c:showVal val="1"/>
            </c:dLbl>
            <c:dLbl>
              <c:idx val="18"/>
              <c:layout>
                <c:manualLayout>
                  <c:x val="4.7955880589857286E-3"/>
                  <c:y val="8.1782866489470262E-3"/>
                </c:manualLayout>
              </c:layout>
              <c:showVal val="1"/>
            </c:dLbl>
            <c:txPr>
              <a:bodyPr/>
              <a:lstStyle/>
              <a:p>
                <a:pPr>
                  <a:defRPr sz="600"/>
                </a:pPr>
                <a:endParaRPr lang="es-ES"/>
              </a:p>
            </c:txPr>
            <c:showVal val="1"/>
          </c:dLbls>
          <c:cat>
            <c:strRef>
              <c:f>Sheet1!$C$205:$C$223</c:f>
              <c:strCache>
                <c:ptCount val="19"/>
                <c:pt idx="0">
                  <c:v>La Rioja</c:v>
                </c:pt>
                <c:pt idx="1">
                  <c:v>Murcia</c:v>
                </c:pt>
                <c:pt idx="2">
                  <c:v>C.Valenciana</c:v>
                </c:pt>
                <c:pt idx="3">
                  <c:v>Galicia</c:v>
                </c:pt>
                <c:pt idx="4">
                  <c:v>Asturias</c:v>
                </c:pt>
                <c:pt idx="5">
                  <c:v>País Vasco</c:v>
                </c:pt>
                <c:pt idx="6">
                  <c:v>Cantabria</c:v>
                </c:pt>
                <c:pt idx="7">
                  <c:v>Castilla y León</c:v>
                </c:pt>
                <c:pt idx="8">
                  <c:v>Extremadura</c:v>
                </c:pt>
                <c:pt idx="9">
                  <c:v>Aragón</c:v>
                </c:pt>
                <c:pt idx="10">
                  <c:v>Castilla La Mancha</c:v>
                </c:pt>
                <c:pt idx="11">
                  <c:v>Cataluña</c:v>
                </c:pt>
                <c:pt idx="12">
                  <c:v>Andalucía</c:v>
                </c:pt>
                <c:pt idx="13">
                  <c:v>Madrid</c:v>
                </c:pt>
                <c:pt idx="14">
                  <c:v>Navarra</c:v>
                </c:pt>
                <c:pt idx="15">
                  <c:v>Canarias</c:v>
                </c:pt>
                <c:pt idx="16">
                  <c:v>Baleares</c:v>
                </c:pt>
                <c:pt idx="17">
                  <c:v>Melilla</c:v>
                </c:pt>
                <c:pt idx="18">
                  <c:v>Ceuta</c:v>
                </c:pt>
              </c:strCache>
            </c:strRef>
          </c:cat>
          <c:val>
            <c:numRef>
              <c:f>Sheet1!$D$205:$D$223</c:f>
              <c:numCache>
                <c:formatCode>0.00</c:formatCode>
                <c:ptCount val="19"/>
                <c:pt idx="0">
                  <c:v>43.575797679185293</c:v>
                </c:pt>
                <c:pt idx="1">
                  <c:v>42.722977039954912</c:v>
                </c:pt>
                <c:pt idx="2">
                  <c:v>42.42711840876165</c:v>
                </c:pt>
                <c:pt idx="3">
                  <c:v>32.129482549904552</c:v>
                </c:pt>
                <c:pt idx="4">
                  <c:v>29.766078691208431</c:v>
                </c:pt>
                <c:pt idx="5">
                  <c:v>27.729705055480743</c:v>
                </c:pt>
                <c:pt idx="6">
                  <c:v>26.317019666778055</c:v>
                </c:pt>
                <c:pt idx="7">
                  <c:v>25.413858184987731</c:v>
                </c:pt>
                <c:pt idx="8">
                  <c:v>25.154394343220631</c:v>
                </c:pt>
                <c:pt idx="9">
                  <c:v>24.047068128016239</c:v>
                </c:pt>
                <c:pt idx="10">
                  <c:v>21.611767386813895</c:v>
                </c:pt>
                <c:pt idx="11">
                  <c:v>19.940847668058531</c:v>
                </c:pt>
                <c:pt idx="12">
                  <c:v>18.501777604055928</c:v>
                </c:pt>
                <c:pt idx="13">
                  <c:v>15.830430177108916</c:v>
                </c:pt>
                <c:pt idx="14">
                  <c:v>15.424957581366652</c:v>
                </c:pt>
                <c:pt idx="15">
                  <c:v>13.734861665953902</c:v>
                </c:pt>
                <c:pt idx="16">
                  <c:v>13.233783856052689</c:v>
                </c:pt>
                <c:pt idx="17">
                  <c:v>11.486771068652601</c:v>
                </c:pt>
                <c:pt idx="18">
                  <c:v>9.0469666813141139</c:v>
                </c:pt>
              </c:numCache>
            </c:numRef>
          </c:val>
        </c:ser>
        <c:gapWidth val="40"/>
        <c:axId val="207942400"/>
        <c:axId val="207943936"/>
      </c:barChart>
      <c:catAx>
        <c:axId val="207942400"/>
        <c:scaling>
          <c:orientation val="minMax"/>
        </c:scaling>
        <c:axPos val="b"/>
        <c:tickLblPos val="low"/>
        <c:spPr>
          <a:ln w="3175">
            <a:solidFill>
              <a:srgbClr val="000000"/>
            </a:solidFill>
            <a:prstDash val="solid"/>
          </a:ln>
        </c:spPr>
        <c:crossAx val="207943936"/>
        <c:crosses val="autoZero"/>
        <c:auto val="1"/>
        <c:lblAlgn val="ctr"/>
        <c:lblOffset val="100"/>
      </c:catAx>
      <c:valAx>
        <c:axId val="207943936"/>
        <c:scaling>
          <c:orientation val="minMax"/>
          <c:max val="50"/>
        </c:scaling>
        <c:axPos val="l"/>
        <c:title>
          <c:tx>
            <c:rich>
              <a:bodyPr rot="-5400000" vert="horz"/>
              <a:lstStyle/>
              <a:p>
                <a:pPr>
                  <a:defRPr/>
                </a:pPr>
                <a:r>
                  <a:rPr lang="en-US"/>
                  <a:t>Número</a:t>
                </a:r>
                <a:r>
                  <a:rPr lang="en-US" baseline="0"/>
                  <a:t> de personas con discapacidad</a:t>
                </a:r>
              </a:p>
              <a:p>
                <a:pPr>
                  <a:defRPr/>
                </a:pPr>
                <a:r>
                  <a:rPr lang="en-US" baseline="0"/>
                  <a:t> demandantes de empleo sector industria</a:t>
                </a:r>
              </a:p>
              <a:p>
                <a:pPr>
                  <a:defRPr/>
                </a:pPr>
                <a:r>
                  <a:rPr lang="en-US" baseline="0"/>
                  <a:t>por cada 100.000 habitantes</a:t>
                </a:r>
                <a:endParaRPr lang="en-US"/>
              </a:p>
            </c:rich>
          </c:tx>
          <c:layout>
            <c:manualLayout>
              <c:xMode val="edge"/>
              <c:yMode val="edge"/>
              <c:x val="6.1999191685175148E-2"/>
              <c:y val="0.13756786823665387"/>
            </c:manualLayout>
          </c:layout>
        </c:title>
        <c:numFmt formatCode="0.00" sourceLinked="1"/>
        <c:tickLblPos val="nextTo"/>
        <c:spPr>
          <a:ln w="3175">
            <a:solidFill>
              <a:srgbClr val="000000"/>
            </a:solidFill>
            <a:prstDash val="solid"/>
          </a:ln>
        </c:spPr>
        <c:crossAx val="207942400"/>
        <c:crosses val="autoZero"/>
        <c:crossBetween val="between"/>
      </c:valAx>
      <c:spPr>
        <a:noFill/>
        <a:ln w="25400">
          <a:noFill/>
        </a:ln>
      </c:spPr>
    </c:plotArea>
    <c:plotVisOnly val="1"/>
  </c:chart>
  <c:spPr>
    <a:noFill/>
    <a:ln w="9525">
      <a:noFill/>
    </a:ln>
  </c:spPr>
  <c:txPr>
    <a:bodyPr/>
    <a:lstStyle/>
    <a:p>
      <a:pPr>
        <a:defRPr sz="800" b="0" i="0">
          <a:solidFill>
            <a:srgbClr val="000000"/>
          </a:solidFill>
          <a:latin typeface="MinionPro-Regular"/>
          <a:ea typeface="Arial"/>
          <a:cs typeface="Arial"/>
        </a:defRPr>
      </a:pPr>
      <a:endParaRPr lang="es-ES"/>
    </a:p>
  </c:tx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es-ES"/>
  <c:chart>
    <c:autoTitleDeleted val="1"/>
    <c:plotArea>
      <c:layout>
        <c:manualLayout>
          <c:layoutTarget val="inner"/>
          <c:xMode val="edge"/>
          <c:yMode val="edge"/>
          <c:x val="0.22206707926758537"/>
          <c:y val="0.19362482817800974"/>
          <c:w val="0.69056220472440344"/>
          <c:h val="0.46834502505368647"/>
        </c:manualLayout>
      </c:layout>
      <c:barChart>
        <c:barDir val="col"/>
        <c:grouping val="clustered"/>
        <c:ser>
          <c:idx val="0"/>
          <c:order val="0"/>
          <c:spPr>
            <a:solidFill>
              <a:srgbClr val="409DAD"/>
            </a:solidFill>
            <a:ln w="3175">
              <a:solidFill>
                <a:srgbClr val="FFFFFF"/>
              </a:solidFill>
              <a:prstDash val="solid"/>
            </a:ln>
          </c:spPr>
          <c:dLbls>
            <c:txPr>
              <a:bodyPr/>
              <a:lstStyle/>
              <a:p>
                <a:pPr>
                  <a:defRPr sz="600"/>
                </a:pPr>
                <a:endParaRPr lang="es-ES"/>
              </a:p>
            </c:txPr>
            <c:showVal val="1"/>
          </c:dLbls>
          <c:cat>
            <c:strRef>
              <c:f>Sheet1!$C$249:$C$267</c:f>
              <c:strCache>
                <c:ptCount val="19"/>
                <c:pt idx="0">
                  <c:v>Murcia</c:v>
                </c:pt>
                <c:pt idx="1">
                  <c:v>Melilla</c:v>
                </c:pt>
                <c:pt idx="2">
                  <c:v>Cantabria</c:v>
                </c:pt>
                <c:pt idx="3">
                  <c:v>Galicia</c:v>
                </c:pt>
                <c:pt idx="4">
                  <c:v>Castilla y León</c:v>
                </c:pt>
                <c:pt idx="5">
                  <c:v>Extremadura</c:v>
                </c:pt>
                <c:pt idx="6">
                  <c:v>Asturias</c:v>
                </c:pt>
                <c:pt idx="7">
                  <c:v>Andalucía</c:v>
                </c:pt>
                <c:pt idx="8">
                  <c:v>C.Valenciana</c:v>
                </c:pt>
                <c:pt idx="9">
                  <c:v>Castilla La Mancha</c:v>
                </c:pt>
                <c:pt idx="10">
                  <c:v>Baleares</c:v>
                </c:pt>
                <c:pt idx="11">
                  <c:v>Ceuta</c:v>
                </c:pt>
                <c:pt idx="12">
                  <c:v>La Rioja</c:v>
                </c:pt>
                <c:pt idx="13">
                  <c:v>Aragón</c:v>
                </c:pt>
                <c:pt idx="14">
                  <c:v>Canarias</c:v>
                </c:pt>
                <c:pt idx="15">
                  <c:v>País Vasco</c:v>
                </c:pt>
                <c:pt idx="16">
                  <c:v>Cataluña</c:v>
                </c:pt>
                <c:pt idx="17">
                  <c:v>Madrid</c:v>
                </c:pt>
                <c:pt idx="18">
                  <c:v>Navarra</c:v>
                </c:pt>
              </c:strCache>
            </c:strRef>
          </c:cat>
          <c:val>
            <c:numRef>
              <c:f>Sheet1!$D$249:$D$267</c:f>
              <c:numCache>
                <c:formatCode>0.00</c:formatCode>
                <c:ptCount val="19"/>
                <c:pt idx="0">
                  <c:v>44.009405825626594</c:v>
                </c:pt>
                <c:pt idx="1">
                  <c:v>37.01292899899201</c:v>
                </c:pt>
                <c:pt idx="2">
                  <c:v>30.645476848813889</c:v>
                </c:pt>
                <c:pt idx="3">
                  <c:v>28.600386068450653</c:v>
                </c:pt>
                <c:pt idx="4">
                  <c:v>27.646705150122425</c:v>
                </c:pt>
                <c:pt idx="5">
                  <c:v>25.61679129805923</c:v>
                </c:pt>
                <c:pt idx="6">
                  <c:v>24.995873772745529</c:v>
                </c:pt>
                <c:pt idx="7">
                  <c:v>24.331764817833985</c:v>
                </c:pt>
                <c:pt idx="8">
                  <c:v>22.759446217393794</c:v>
                </c:pt>
                <c:pt idx="9">
                  <c:v>20.435616780728576</c:v>
                </c:pt>
                <c:pt idx="10">
                  <c:v>18.400398101223889</c:v>
                </c:pt>
                <c:pt idx="11">
                  <c:v>16.801509551011929</c:v>
                </c:pt>
                <c:pt idx="12">
                  <c:v>16.784751698649149</c:v>
                </c:pt>
                <c:pt idx="13">
                  <c:v>15.115299966181427</c:v>
                </c:pt>
                <c:pt idx="14">
                  <c:v>13.123378098634094</c:v>
                </c:pt>
                <c:pt idx="15">
                  <c:v>11.897702510984132</c:v>
                </c:pt>
                <c:pt idx="16">
                  <c:v>11.473572102230078</c:v>
                </c:pt>
                <c:pt idx="17">
                  <c:v>9.9447574189529604</c:v>
                </c:pt>
                <c:pt idx="18">
                  <c:v>5.7843590930124984</c:v>
                </c:pt>
              </c:numCache>
            </c:numRef>
          </c:val>
        </c:ser>
        <c:gapWidth val="40"/>
        <c:axId val="207988608"/>
        <c:axId val="207990144"/>
      </c:barChart>
      <c:catAx>
        <c:axId val="207988608"/>
        <c:scaling>
          <c:orientation val="minMax"/>
        </c:scaling>
        <c:axPos val="b"/>
        <c:tickLblPos val="low"/>
        <c:spPr>
          <a:ln w="3175">
            <a:solidFill>
              <a:srgbClr val="000000"/>
            </a:solidFill>
            <a:prstDash val="solid"/>
          </a:ln>
        </c:spPr>
        <c:crossAx val="207990144"/>
        <c:crosses val="autoZero"/>
        <c:auto val="1"/>
        <c:lblAlgn val="ctr"/>
        <c:lblOffset val="100"/>
      </c:catAx>
      <c:valAx>
        <c:axId val="207990144"/>
        <c:scaling>
          <c:orientation val="minMax"/>
          <c:max val="50"/>
        </c:scaling>
        <c:axPos val="l"/>
        <c:title>
          <c:tx>
            <c:rich>
              <a:bodyPr rot="-5400000" vert="horz"/>
              <a:lstStyle/>
              <a:p>
                <a:pPr>
                  <a:defRPr/>
                </a:pPr>
                <a:r>
                  <a:rPr lang="en-US"/>
                  <a:t>Número</a:t>
                </a:r>
                <a:r>
                  <a:rPr lang="en-US" baseline="0"/>
                  <a:t> de personas con discapacidad</a:t>
                </a:r>
              </a:p>
              <a:p>
                <a:pPr>
                  <a:defRPr/>
                </a:pPr>
                <a:r>
                  <a:rPr lang="en-US" baseline="0"/>
                  <a:t> demandantes de empleo sector  construcción</a:t>
                </a:r>
              </a:p>
              <a:p>
                <a:pPr>
                  <a:defRPr/>
                </a:pPr>
                <a:r>
                  <a:rPr lang="en-US" baseline="0"/>
                  <a:t>por cada 100.000 habitantes</a:t>
                </a:r>
                <a:endParaRPr lang="en-US"/>
              </a:p>
            </c:rich>
          </c:tx>
          <c:layout>
            <c:manualLayout>
              <c:xMode val="edge"/>
              <c:yMode val="edge"/>
              <c:x val="6.1999191685175148E-2"/>
              <c:y val="0.13756786823665387"/>
            </c:manualLayout>
          </c:layout>
        </c:title>
        <c:numFmt formatCode="0.00" sourceLinked="1"/>
        <c:tickLblPos val="nextTo"/>
        <c:spPr>
          <a:ln w="3175">
            <a:solidFill>
              <a:srgbClr val="000000"/>
            </a:solidFill>
            <a:prstDash val="solid"/>
          </a:ln>
        </c:spPr>
        <c:crossAx val="207988608"/>
        <c:crosses val="autoZero"/>
        <c:crossBetween val="between"/>
      </c:valAx>
      <c:spPr>
        <a:noFill/>
        <a:ln w="25400">
          <a:noFill/>
        </a:ln>
      </c:spPr>
    </c:plotArea>
    <c:plotVisOnly val="1"/>
  </c:chart>
  <c:spPr>
    <a:noFill/>
    <a:ln w="9525">
      <a:noFill/>
    </a:ln>
  </c:spPr>
  <c:txPr>
    <a:bodyPr/>
    <a:lstStyle/>
    <a:p>
      <a:pPr>
        <a:defRPr sz="800" b="0" i="0">
          <a:solidFill>
            <a:srgbClr val="000000"/>
          </a:solidFill>
          <a:latin typeface="MinionPro-Regular"/>
          <a:ea typeface="Arial"/>
          <a:cs typeface="Arial"/>
        </a:defRPr>
      </a:pPr>
      <a:endParaRPr lang="es-ES"/>
    </a:p>
  </c:tx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date1904 val="1"/>
  <c:lang val="es-ES"/>
  <c:chart>
    <c:autoTitleDeleted val="1"/>
    <c:plotArea>
      <c:layout>
        <c:manualLayout>
          <c:layoutTarget val="inner"/>
          <c:xMode val="edge"/>
          <c:yMode val="edge"/>
          <c:x val="0.17033278247626674"/>
          <c:y val="8.4410612478899263E-2"/>
          <c:w val="0.78227295662116314"/>
          <c:h val="0.56137943115584465"/>
        </c:manualLayout>
      </c:layout>
      <c:barChart>
        <c:barDir val="col"/>
        <c:grouping val="clustered"/>
        <c:ser>
          <c:idx val="0"/>
          <c:order val="0"/>
          <c:spPr>
            <a:solidFill>
              <a:srgbClr val="409DAD"/>
            </a:solidFill>
            <a:ln w="3175">
              <a:solidFill>
                <a:srgbClr val="FFFFFF"/>
              </a:solidFill>
              <a:prstDash val="solid"/>
            </a:ln>
          </c:spPr>
          <c:dLbls>
            <c:txPr>
              <a:bodyPr/>
              <a:lstStyle/>
              <a:p>
                <a:pPr>
                  <a:defRPr sz="600"/>
                </a:pPr>
                <a:endParaRPr lang="es-ES"/>
              </a:p>
            </c:txPr>
            <c:showVal val="1"/>
          </c:dLbls>
          <c:cat>
            <c:strRef>
              <c:f>Sheet1!$C$301:$C$319</c:f>
              <c:strCache>
                <c:ptCount val="19"/>
                <c:pt idx="0">
                  <c:v>Melilla</c:v>
                </c:pt>
                <c:pt idx="1">
                  <c:v>Ceuta</c:v>
                </c:pt>
                <c:pt idx="2">
                  <c:v>Asturias</c:v>
                </c:pt>
                <c:pt idx="3">
                  <c:v>Extremadura</c:v>
                </c:pt>
                <c:pt idx="4">
                  <c:v>Murcia</c:v>
                </c:pt>
                <c:pt idx="5">
                  <c:v>Cantabria</c:v>
                </c:pt>
                <c:pt idx="6">
                  <c:v>Castilla La Mancha</c:v>
                </c:pt>
                <c:pt idx="7">
                  <c:v>C.Valenciana</c:v>
                </c:pt>
                <c:pt idx="8">
                  <c:v>Galicia</c:v>
                </c:pt>
                <c:pt idx="9">
                  <c:v>Baleares</c:v>
                </c:pt>
                <c:pt idx="10">
                  <c:v>Andalucía</c:v>
                </c:pt>
                <c:pt idx="11">
                  <c:v>La Rioja</c:v>
                </c:pt>
                <c:pt idx="12">
                  <c:v>Castilla y León</c:v>
                </c:pt>
                <c:pt idx="13">
                  <c:v>Aragón</c:v>
                </c:pt>
                <c:pt idx="14">
                  <c:v>Canarias</c:v>
                </c:pt>
                <c:pt idx="15">
                  <c:v>País Vasco</c:v>
                </c:pt>
                <c:pt idx="16">
                  <c:v>Madrid</c:v>
                </c:pt>
                <c:pt idx="17">
                  <c:v>Cataluña</c:v>
                </c:pt>
                <c:pt idx="18">
                  <c:v>Navarra</c:v>
                </c:pt>
              </c:strCache>
            </c:strRef>
          </c:cat>
          <c:val>
            <c:numRef>
              <c:f>Sheet1!$D$301:$D$319</c:f>
              <c:numCache>
                <c:formatCode>0.0</c:formatCode>
                <c:ptCount val="19"/>
                <c:pt idx="0">
                  <c:v>719.83765363555563</c:v>
                </c:pt>
                <c:pt idx="1">
                  <c:v>500.16801509551016</c:v>
                </c:pt>
                <c:pt idx="2">
                  <c:v>249.76792953071677</c:v>
                </c:pt>
                <c:pt idx="3">
                  <c:v>239.15170504253129</c:v>
                </c:pt>
                <c:pt idx="4">
                  <c:v>221.94281891754613</c:v>
                </c:pt>
                <c:pt idx="5">
                  <c:v>196.51195606442818</c:v>
                </c:pt>
                <c:pt idx="6">
                  <c:v>189.16422247868837</c:v>
                </c:pt>
                <c:pt idx="7">
                  <c:v>187.62081605680001</c:v>
                </c:pt>
                <c:pt idx="8">
                  <c:v>161.89730108670594</c:v>
                </c:pt>
                <c:pt idx="9">
                  <c:v>155.0890697103161</c:v>
                </c:pt>
                <c:pt idx="10">
                  <c:v>154.33807059945875</c:v>
                </c:pt>
                <c:pt idx="11">
                  <c:v>147.51214473620502</c:v>
                </c:pt>
                <c:pt idx="12">
                  <c:v>134.092609560726</c:v>
                </c:pt>
                <c:pt idx="13">
                  <c:v>127.41129112907583</c:v>
                </c:pt>
                <c:pt idx="14">
                  <c:v>118.7218864550275</c:v>
                </c:pt>
                <c:pt idx="15">
                  <c:v>118.50301305761</c:v>
                </c:pt>
                <c:pt idx="16">
                  <c:v>113.34213322071976</c:v>
                </c:pt>
                <c:pt idx="17">
                  <c:v>110.63998675023068</c:v>
                </c:pt>
                <c:pt idx="18">
                  <c:v>101.5476374106638</c:v>
                </c:pt>
              </c:numCache>
            </c:numRef>
          </c:val>
        </c:ser>
        <c:gapWidth val="40"/>
        <c:axId val="208116736"/>
        <c:axId val="208126720"/>
      </c:barChart>
      <c:catAx>
        <c:axId val="208116736"/>
        <c:scaling>
          <c:orientation val="minMax"/>
        </c:scaling>
        <c:axPos val="b"/>
        <c:tickLblPos val="low"/>
        <c:spPr>
          <a:ln w="3175">
            <a:solidFill>
              <a:srgbClr val="000000"/>
            </a:solidFill>
            <a:prstDash val="solid"/>
          </a:ln>
        </c:spPr>
        <c:crossAx val="208126720"/>
        <c:crosses val="autoZero"/>
        <c:auto val="1"/>
        <c:lblAlgn val="ctr"/>
        <c:lblOffset val="100"/>
      </c:catAx>
      <c:valAx>
        <c:axId val="208126720"/>
        <c:scaling>
          <c:orientation val="minMax"/>
          <c:max val="800"/>
        </c:scaling>
        <c:axPos val="l"/>
        <c:title>
          <c:tx>
            <c:rich>
              <a:bodyPr rot="-5400000" vert="horz"/>
              <a:lstStyle/>
              <a:p>
                <a:pPr>
                  <a:defRPr/>
                </a:pPr>
                <a:r>
                  <a:rPr lang="en-US"/>
                  <a:t>Número</a:t>
                </a:r>
                <a:r>
                  <a:rPr lang="en-US" baseline="0"/>
                  <a:t> de personas con discapacidad</a:t>
                </a:r>
              </a:p>
              <a:p>
                <a:pPr>
                  <a:defRPr/>
                </a:pPr>
                <a:r>
                  <a:rPr lang="en-US" baseline="0"/>
                  <a:t> demandantes de empleo sector servicios</a:t>
                </a:r>
              </a:p>
              <a:p>
                <a:pPr>
                  <a:defRPr/>
                </a:pPr>
                <a:r>
                  <a:rPr lang="en-US" baseline="0"/>
                  <a:t>por cada 100.000 habitantes</a:t>
                </a:r>
                <a:endParaRPr lang="en-US"/>
              </a:p>
            </c:rich>
          </c:tx>
          <c:layout>
            <c:manualLayout>
              <c:xMode val="edge"/>
              <c:yMode val="edge"/>
              <c:x val="1.9671059636064338E-2"/>
              <c:y val="0.1213880307035704"/>
            </c:manualLayout>
          </c:layout>
        </c:title>
        <c:numFmt formatCode="0.0" sourceLinked="1"/>
        <c:tickLblPos val="nextTo"/>
        <c:spPr>
          <a:ln w="3175">
            <a:solidFill>
              <a:srgbClr val="000000"/>
            </a:solidFill>
            <a:prstDash val="solid"/>
          </a:ln>
        </c:spPr>
        <c:crossAx val="208116736"/>
        <c:crosses val="autoZero"/>
        <c:crossBetween val="between"/>
      </c:valAx>
      <c:spPr>
        <a:noFill/>
        <a:ln w="25400">
          <a:noFill/>
        </a:ln>
      </c:spPr>
    </c:plotArea>
    <c:plotVisOnly val="1"/>
  </c:chart>
  <c:spPr>
    <a:noFill/>
    <a:ln w="9525">
      <a:noFill/>
    </a:ln>
  </c:spPr>
  <c:txPr>
    <a:bodyPr/>
    <a:lstStyle/>
    <a:p>
      <a:pPr>
        <a:defRPr sz="800" b="0" i="0">
          <a:solidFill>
            <a:srgbClr val="000000"/>
          </a:solidFill>
          <a:latin typeface="MinionPro-Regular"/>
          <a:ea typeface="Arial"/>
          <a:cs typeface="Arial"/>
        </a:defRPr>
      </a:pPr>
      <a:endParaRPr lang="es-ES"/>
    </a:p>
  </c:tx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date1904 val="1"/>
  <c:lang val="es-ES"/>
  <c:chart>
    <c:autoTitleDeleted val="1"/>
    <c:plotArea>
      <c:layout>
        <c:manualLayout>
          <c:layoutTarget val="inner"/>
          <c:xMode val="edge"/>
          <c:yMode val="edge"/>
          <c:x val="0.19724349340394981"/>
          <c:y val="0.17193630365553991"/>
          <c:w val="0.67062221188484583"/>
          <c:h val="0.43232263401078286"/>
        </c:manualLayout>
      </c:layout>
      <c:lineChart>
        <c:grouping val="standard"/>
        <c:ser>
          <c:idx val="0"/>
          <c:order val="0"/>
          <c:tx>
            <c:strRef>
              <c:f>Data!$B$213</c:f>
              <c:strCache>
                <c:ptCount val="1"/>
                <c:pt idx="0">
                  <c:v>Estudio de mercado</c:v>
                </c:pt>
              </c:strCache>
            </c:strRef>
          </c:tx>
          <c:spPr>
            <a:ln w="12700">
              <a:solidFill>
                <a:srgbClr val="007C92"/>
              </a:solidFill>
              <a:prstDash val="solid"/>
            </a:ln>
          </c:spPr>
          <c:marker>
            <c:symbol val="none"/>
          </c:marker>
          <c:cat>
            <c:numRef>
              <c:f>Data!$C$212:$BU$212</c:f>
              <c:numCache>
                <c:formatCode>General</c:formatCode>
                <c:ptCount val="71"/>
                <c:pt idx="0">
                  <c:v>1980</c:v>
                </c:pt>
                <c:pt idx="1">
                  <c:v>1981</c:v>
                </c:pt>
                <c:pt idx="2">
                  <c:v>1982</c:v>
                </c:pt>
                <c:pt idx="3">
                  <c:v>1983</c:v>
                </c:pt>
                <c:pt idx="4">
                  <c:v>1984</c:v>
                </c:pt>
                <c:pt idx="5">
                  <c:v>1985</c:v>
                </c:pt>
                <c:pt idx="6">
                  <c:v>1986</c:v>
                </c:pt>
                <c:pt idx="7">
                  <c:v>1987</c:v>
                </c:pt>
                <c:pt idx="8">
                  <c:v>1988</c:v>
                </c:pt>
                <c:pt idx="9">
                  <c:v>1989</c:v>
                </c:pt>
                <c:pt idx="10">
                  <c:v>1990</c:v>
                </c:pt>
                <c:pt idx="11">
                  <c:v>1991</c:v>
                </c:pt>
                <c:pt idx="12">
                  <c:v>1992</c:v>
                </c:pt>
                <c:pt idx="13">
                  <c:v>1993</c:v>
                </c:pt>
                <c:pt idx="14">
                  <c:v>1994</c:v>
                </c:pt>
                <c:pt idx="15">
                  <c:v>1995</c:v>
                </c:pt>
                <c:pt idx="16">
                  <c:v>1996</c:v>
                </c:pt>
                <c:pt idx="17">
                  <c:v>1997</c:v>
                </c:pt>
                <c:pt idx="18">
                  <c:v>1998</c:v>
                </c:pt>
                <c:pt idx="19">
                  <c:v>1999</c:v>
                </c:pt>
                <c:pt idx="20">
                  <c:v>2000</c:v>
                </c:pt>
                <c:pt idx="21">
                  <c:v>2001</c:v>
                </c:pt>
                <c:pt idx="22">
                  <c:v>2002</c:v>
                </c:pt>
                <c:pt idx="23">
                  <c:v>2003</c:v>
                </c:pt>
                <c:pt idx="24">
                  <c:v>2004</c:v>
                </c:pt>
                <c:pt idx="25">
                  <c:v>2005</c:v>
                </c:pt>
                <c:pt idx="26">
                  <c:v>2006</c:v>
                </c:pt>
                <c:pt idx="27" formatCode="0">
                  <c:v>2007</c:v>
                </c:pt>
                <c:pt idx="28">
                  <c:v>2008</c:v>
                </c:pt>
                <c:pt idx="29">
                  <c:v>2009</c:v>
                </c:pt>
                <c:pt idx="30">
                  <c:v>2010</c:v>
                </c:pt>
                <c:pt idx="31">
                  <c:v>2011</c:v>
                </c:pt>
                <c:pt idx="32">
                  <c:v>2012</c:v>
                </c:pt>
                <c:pt idx="33">
                  <c:v>2013</c:v>
                </c:pt>
                <c:pt idx="34">
                  <c:v>2014</c:v>
                </c:pt>
                <c:pt idx="35">
                  <c:v>2015</c:v>
                </c:pt>
                <c:pt idx="36">
                  <c:v>2016</c:v>
                </c:pt>
                <c:pt idx="37">
                  <c:v>2017</c:v>
                </c:pt>
                <c:pt idx="38">
                  <c:v>2018</c:v>
                </c:pt>
                <c:pt idx="39">
                  <c:v>2019</c:v>
                </c:pt>
                <c:pt idx="40">
                  <c:v>2020</c:v>
                </c:pt>
                <c:pt idx="41">
                  <c:v>2021</c:v>
                </c:pt>
                <c:pt idx="42">
                  <c:v>2022</c:v>
                </c:pt>
                <c:pt idx="43">
                  <c:v>2023</c:v>
                </c:pt>
                <c:pt idx="44">
                  <c:v>2024</c:v>
                </c:pt>
                <c:pt idx="45">
                  <c:v>2025</c:v>
                </c:pt>
                <c:pt idx="46">
                  <c:v>2026</c:v>
                </c:pt>
                <c:pt idx="47">
                  <c:v>2027</c:v>
                </c:pt>
                <c:pt idx="48">
                  <c:v>2028</c:v>
                </c:pt>
                <c:pt idx="49">
                  <c:v>2029</c:v>
                </c:pt>
                <c:pt idx="50">
                  <c:v>2030</c:v>
                </c:pt>
                <c:pt idx="51">
                  <c:v>2031</c:v>
                </c:pt>
                <c:pt idx="52">
                  <c:v>2032</c:v>
                </c:pt>
                <c:pt idx="53">
                  <c:v>2033</c:v>
                </c:pt>
                <c:pt idx="54">
                  <c:v>2034</c:v>
                </c:pt>
                <c:pt idx="55">
                  <c:v>2035</c:v>
                </c:pt>
                <c:pt idx="56">
                  <c:v>2036</c:v>
                </c:pt>
                <c:pt idx="57">
                  <c:v>2037</c:v>
                </c:pt>
                <c:pt idx="58">
                  <c:v>2038</c:v>
                </c:pt>
                <c:pt idx="59">
                  <c:v>2039</c:v>
                </c:pt>
                <c:pt idx="60">
                  <c:v>2040</c:v>
                </c:pt>
                <c:pt idx="61">
                  <c:v>2041</c:v>
                </c:pt>
                <c:pt idx="62">
                  <c:v>2042</c:v>
                </c:pt>
                <c:pt idx="63">
                  <c:v>2043</c:v>
                </c:pt>
                <c:pt idx="64">
                  <c:v>2044</c:v>
                </c:pt>
                <c:pt idx="65">
                  <c:v>2045</c:v>
                </c:pt>
                <c:pt idx="66">
                  <c:v>2046</c:v>
                </c:pt>
                <c:pt idx="67">
                  <c:v>2047</c:v>
                </c:pt>
                <c:pt idx="68">
                  <c:v>2048</c:v>
                </c:pt>
                <c:pt idx="69">
                  <c:v>2049</c:v>
                </c:pt>
                <c:pt idx="70">
                  <c:v>2050</c:v>
                </c:pt>
              </c:numCache>
            </c:numRef>
          </c:cat>
          <c:val>
            <c:numRef>
              <c:f>Data!$C$213:$BU$213</c:f>
              <c:numCache>
                <c:formatCode>General</c:formatCode>
                <c:ptCount val="71"/>
                <c:pt idx="27" formatCode="0">
                  <c:v>21426.512765255517</c:v>
                </c:pt>
                <c:pt idx="28" formatCode="0">
                  <c:v>21771.008576765296</c:v>
                </c:pt>
                <c:pt idx="29" formatCode="0">
                  <c:v>22044.228914507861</c:v>
                </c:pt>
                <c:pt idx="30" formatCode="0">
                  <c:v>22271.946161515021</c:v>
                </c:pt>
                <c:pt idx="31" formatCode="0">
                  <c:v>22465.168933127799</c:v>
                </c:pt>
                <c:pt idx="32" formatCode="0">
                  <c:v>22626.793213177156</c:v>
                </c:pt>
                <c:pt idx="33" formatCode="0">
                  <c:v>22758.581397087299</c:v>
                </c:pt>
                <c:pt idx="34" formatCode="0">
                  <c:v>22861.511462067618</c:v>
                </c:pt>
                <c:pt idx="35" formatCode="0">
                  <c:v>22936.467670587717</c:v>
                </c:pt>
                <c:pt idx="36" formatCode="0">
                  <c:v>22987.161195842629</c:v>
                </c:pt>
                <c:pt idx="37" formatCode="0">
                  <c:v>23015.109607549286</c:v>
                </c:pt>
                <c:pt idx="38" formatCode="0">
                  <c:v>23019.994257118986</c:v>
                </c:pt>
                <c:pt idx="39" formatCode="0">
                  <c:v>23004.945077768338</c:v>
                </c:pt>
                <c:pt idx="40" formatCode="0">
                  <c:v>22974.469039723339</c:v>
                </c:pt>
                <c:pt idx="41" formatCode="0">
                  <c:v>22930.092185604135</c:v>
                </c:pt>
                <c:pt idx="42" formatCode="0">
                  <c:v>22868.394878911018</c:v>
                </c:pt>
                <c:pt idx="43" formatCode="0">
                  <c:v>22793.048848185117</c:v>
                </c:pt>
                <c:pt idx="44" formatCode="0">
                  <c:v>22709.371812133239</c:v>
                </c:pt>
                <c:pt idx="45" formatCode="0">
                  <c:v>22617.876406618481</c:v>
                </c:pt>
                <c:pt idx="46" formatCode="0">
                  <c:v>22520.592108571691</c:v>
                </c:pt>
                <c:pt idx="47" formatCode="0">
                  <c:v>22420.298616284923</c:v>
                </c:pt>
                <c:pt idx="48" formatCode="0">
                  <c:v>22321.762429070557</c:v>
                </c:pt>
                <c:pt idx="49" formatCode="0">
                  <c:v>22221.134767176929</c:v>
                </c:pt>
                <c:pt idx="50" formatCode="0">
                  <c:v>22112.671586452456</c:v>
                </c:pt>
                <c:pt idx="51" formatCode="0">
                  <c:v>21996.725655365157</c:v>
                </c:pt>
                <c:pt idx="52" formatCode="0">
                  <c:v>21876.250702773701</c:v>
                </c:pt>
                <c:pt idx="53" formatCode="0">
                  <c:v>21752.754049910156</c:v>
                </c:pt>
                <c:pt idx="54" formatCode="0">
                  <c:v>21622.283337615001</c:v>
                </c:pt>
                <c:pt idx="55" formatCode="0">
                  <c:v>21482.831017204655</c:v>
                </c:pt>
                <c:pt idx="56" formatCode="0">
                  <c:v>21335.003857518677</c:v>
                </c:pt>
                <c:pt idx="57" formatCode="0">
                  <c:v>21179.9041880853</c:v>
                </c:pt>
                <c:pt idx="58" formatCode="0">
                  <c:v>21018.865598177286</c:v>
                </c:pt>
                <c:pt idx="59" formatCode="0">
                  <c:v>20853.176632701849</c:v>
                </c:pt>
                <c:pt idx="60" formatCode="0">
                  <c:v>20684.825064117871</c:v>
                </c:pt>
                <c:pt idx="61" formatCode="0">
                  <c:v>20515.905144481159</c:v>
                </c:pt>
                <c:pt idx="62" formatCode="0">
                  <c:v>20348.863888063908</c:v>
                </c:pt>
                <c:pt idx="63" formatCode="0">
                  <c:v>20186.324568151056</c:v>
                </c:pt>
                <c:pt idx="64" formatCode="0">
                  <c:v>20031.048206479016</c:v>
                </c:pt>
                <c:pt idx="65" formatCode="0">
                  <c:v>19884.736938544316</c:v>
                </c:pt>
                <c:pt idx="66" formatCode="0">
                  <c:v>19748.101371793942</c:v>
                </c:pt>
                <c:pt idx="67" formatCode="0">
                  <c:v>19621.998534731745</c:v>
                </c:pt>
                <c:pt idx="68" formatCode="0">
                  <c:v>19506.533972058496</c:v>
                </c:pt>
                <c:pt idx="69" formatCode="0">
                  <c:v>19401.50795871457</c:v>
                </c:pt>
                <c:pt idx="70" formatCode="0">
                  <c:v>19305.984577074436</c:v>
                </c:pt>
              </c:numCache>
            </c:numRef>
          </c:val>
        </c:ser>
        <c:ser>
          <c:idx val="1"/>
          <c:order val="1"/>
          <c:tx>
            <c:strRef>
              <c:f>Data!$B$214</c:f>
              <c:strCache>
                <c:ptCount val="1"/>
                <c:pt idx="0">
                  <c:v>Igualdad personas con discapacidad</c:v>
                </c:pt>
              </c:strCache>
            </c:strRef>
          </c:tx>
          <c:spPr>
            <a:ln w="12700">
              <a:solidFill>
                <a:srgbClr val="8E258D"/>
              </a:solidFill>
              <a:prstDash val="solid"/>
            </a:ln>
          </c:spPr>
          <c:marker>
            <c:symbol val="none"/>
          </c:marker>
          <c:cat>
            <c:numRef>
              <c:f>Data!$C$212:$BU$212</c:f>
              <c:numCache>
                <c:formatCode>General</c:formatCode>
                <c:ptCount val="71"/>
                <c:pt idx="0">
                  <c:v>1980</c:v>
                </c:pt>
                <c:pt idx="1">
                  <c:v>1981</c:v>
                </c:pt>
                <c:pt idx="2">
                  <c:v>1982</c:v>
                </c:pt>
                <c:pt idx="3">
                  <c:v>1983</c:v>
                </c:pt>
                <c:pt idx="4">
                  <c:v>1984</c:v>
                </c:pt>
                <c:pt idx="5">
                  <c:v>1985</c:v>
                </c:pt>
                <c:pt idx="6">
                  <c:v>1986</c:v>
                </c:pt>
                <c:pt idx="7">
                  <c:v>1987</c:v>
                </c:pt>
                <c:pt idx="8">
                  <c:v>1988</c:v>
                </c:pt>
                <c:pt idx="9">
                  <c:v>1989</c:v>
                </c:pt>
                <c:pt idx="10">
                  <c:v>1990</c:v>
                </c:pt>
                <c:pt idx="11">
                  <c:v>1991</c:v>
                </c:pt>
                <c:pt idx="12">
                  <c:v>1992</c:v>
                </c:pt>
                <c:pt idx="13">
                  <c:v>1993</c:v>
                </c:pt>
                <c:pt idx="14">
                  <c:v>1994</c:v>
                </c:pt>
                <c:pt idx="15">
                  <c:v>1995</c:v>
                </c:pt>
                <c:pt idx="16">
                  <c:v>1996</c:v>
                </c:pt>
                <c:pt idx="17">
                  <c:v>1997</c:v>
                </c:pt>
                <c:pt idx="18">
                  <c:v>1998</c:v>
                </c:pt>
                <c:pt idx="19">
                  <c:v>1999</c:v>
                </c:pt>
                <c:pt idx="20">
                  <c:v>2000</c:v>
                </c:pt>
                <c:pt idx="21">
                  <c:v>2001</c:v>
                </c:pt>
                <c:pt idx="22">
                  <c:v>2002</c:v>
                </c:pt>
                <c:pt idx="23">
                  <c:v>2003</c:v>
                </c:pt>
                <c:pt idx="24">
                  <c:v>2004</c:v>
                </c:pt>
                <c:pt idx="25">
                  <c:v>2005</c:v>
                </c:pt>
                <c:pt idx="26">
                  <c:v>2006</c:v>
                </c:pt>
                <c:pt idx="27" formatCode="0">
                  <c:v>2007</c:v>
                </c:pt>
                <c:pt idx="28">
                  <c:v>2008</c:v>
                </c:pt>
                <c:pt idx="29">
                  <c:v>2009</c:v>
                </c:pt>
                <c:pt idx="30">
                  <c:v>2010</c:v>
                </c:pt>
                <c:pt idx="31">
                  <c:v>2011</c:v>
                </c:pt>
                <c:pt idx="32">
                  <c:v>2012</c:v>
                </c:pt>
                <c:pt idx="33">
                  <c:v>2013</c:v>
                </c:pt>
                <c:pt idx="34">
                  <c:v>2014</c:v>
                </c:pt>
                <c:pt idx="35">
                  <c:v>2015</c:v>
                </c:pt>
                <c:pt idx="36">
                  <c:v>2016</c:v>
                </c:pt>
                <c:pt idx="37">
                  <c:v>2017</c:v>
                </c:pt>
                <c:pt idx="38">
                  <c:v>2018</c:v>
                </c:pt>
                <c:pt idx="39">
                  <c:v>2019</c:v>
                </c:pt>
                <c:pt idx="40">
                  <c:v>2020</c:v>
                </c:pt>
                <c:pt idx="41">
                  <c:v>2021</c:v>
                </c:pt>
                <c:pt idx="42">
                  <c:v>2022</c:v>
                </c:pt>
                <c:pt idx="43">
                  <c:v>2023</c:v>
                </c:pt>
                <c:pt idx="44">
                  <c:v>2024</c:v>
                </c:pt>
                <c:pt idx="45">
                  <c:v>2025</c:v>
                </c:pt>
                <c:pt idx="46">
                  <c:v>2026</c:v>
                </c:pt>
                <c:pt idx="47">
                  <c:v>2027</c:v>
                </c:pt>
                <c:pt idx="48">
                  <c:v>2028</c:v>
                </c:pt>
                <c:pt idx="49">
                  <c:v>2029</c:v>
                </c:pt>
                <c:pt idx="50">
                  <c:v>2030</c:v>
                </c:pt>
                <c:pt idx="51">
                  <c:v>2031</c:v>
                </c:pt>
                <c:pt idx="52">
                  <c:v>2032</c:v>
                </c:pt>
                <c:pt idx="53">
                  <c:v>2033</c:v>
                </c:pt>
                <c:pt idx="54">
                  <c:v>2034</c:v>
                </c:pt>
                <c:pt idx="55">
                  <c:v>2035</c:v>
                </c:pt>
                <c:pt idx="56">
                  <c:v>2036</c:v>
                </c:pt>
                <c:pt idx="57">
                  <c:v>2037</c:v>
                </c:pt>
                <c:pt idx="58">
                  <c:v>2038</c:v>
                </c:pt>
                <c:pt idx="59">
                  <c:v>2039</c:v>
                </c:pt>
                <c:pt idx="60">
                  <c:v>2040</c:v>
                </c:pt>
                <c:pt idx="61">
                  <c:v>2041</c:v>
                </c:pt>
                <c:pt idx="62">
                  <c:v>2042</c:v>
                </c:pt>
                <c:pt idx="63">
                  <c:v>2043</c:v>
                </c:pt>
                <c:pt idx="64">
                  <c:v>2044</c:v>
                </c:pt>
                <c:pt idx="65">
                  <c:v>2045</c:v>
                </c:pt>
                <c:pt idx="66">
                  <c:v>2046</c:v>
                </c:pt>
                <c:pt idx="67">
                  <c:v>2047</c:v>
                </c:pt>
                <c:pt idx="68">
                  <c:v>2048</c:v>
                </c:pt>
                <c:pt idx="69">
                  <c:v>2049</c:v>
                </c:pt>
                <c:pt idx="70">
                  <c:v>2050</c:v>
                </c:pt>
              </c:numCache>
            </c:numRef>
          </c:cat>
          <c:val>
            <c:numRef>
              <c:f>Data!$C$214:$BU$214</c:f>
              <c:numCache>
                <c:formatCode>General</c:formatCode>
                <c:ptCount val="71"/>
                <c:pt idx="27" formatCode="0">
                  <c:v>21426.512765255517</c:v>
                </c:pt>
                <c:pt idx="28" formatCode="0">
                  <c:v>21785.432513059117</c:v>
                </c:pt>
                <c:pt idx="29" formatCode="0">
                  <c:v>22073.917369673058</c:v>
                </c:pt>
                <c:pt idx="30" formatCode="0">
                  <c:v>22317.683958195496</c:v>
                </c:pt>
                <c:pt idx="31" formatCode="0">
                  <c:v>22527.720518623963</c:v>
                </c:pt>
                <c:pt idx="32" formatCode="0">
                  <c:v>22706.91594554222</c:v>
                </c:pt>
                <c:pt idx="33" formatCode="0">
                  <c:v>22857.044354377096</c:v>
                </c:pt>
                <c:pt idx="34" formatCode="0">
                  <c:v>22979.073436532097</c:v>
                </c:pt>
                <c:pt idx="35" formatCode="0">
                  <c:v>23073.831827395268</c:v>
                </c:pt>
                <c:pt idx="36" formatCode="0">
                  <c:v>23145.011830166244</c:v>
                </c:pt>
                <c:pt idx="37" formatCode="0">
                  <c:v>23194.116850995812</c:v>
                </c:pt>
                <c:pt idx="38" formatCode="0">
                  <c:v>23220.731643102281</c:v>
                </c:pt>
                <c:pt idx="39" formatCode="0">
                  <c:v>23227.881994289335</c:v>
                </c:pt>
                <c:pt idx="40" formatCode="0">
                  <c:v>23220.007395385048</c:v>
                </c:pt>
                <c:pt idx="41" formatCode="0">
                  <c:v>23198.542223027591</c:v>
                </c:pt>
                <c:pt idx="42" formatCode="0">
                  <c:v>23159.930771094314</c:v>
                </c:pt>
                <c:pt idx="43" formatCode="0">
                  <c:v>23107.755764750134</c:v>
                </c:pt>
                <c:pt idx="44" formatCode="0">
                  <c:v>23047.312179560096</c:v>
                </c:pt>
                <c:pt idx="45" formatCode="0">
                  <c:v>22979.121375562088</c:v>
                </c:pt>
                <c:pt idx="46" formatCode="0">
                  <c:v>22905.219443478109</c:v>
                </c:pt>
                <c:pt idx="47" formatCode="0">
                  <c:v>22828.300100550699</c:v>
                </c:pt>
                <c:pt idx="48" formatCode="0">
                  <c:v>22753.075379423648</c:v>
                </c:pt>
                <c:pt idx="49" formatCode="0">
                  <c:v>22675.670680144372</c:v>
                </c:pt>
                <c:pt idx="50" formatCode="0">
                  <c:v>22590.256821665025</c:v>
                </c:pt>
                <c:pt idx="51" formatCode="0">
                  <c:v>22497.139492833816</c:v>
                </c:pt>
                <c:pt idx="52" formatCode="0">
                  <c:v>22399.199929381346</c:v>
                </c:pt>
                <c:pt idx="53" formatCode="0">
                  <c:v>22297.795320502901</c:v>
                </c:pt>
                <c:pt idx="54" formatCode="0">
                  <c:v>22188.760896181935</c:v>
                </c:pt>
                <c:pt idx="55" formatCode="0">
                  <c:v>22069.944607303358</c:v>
                </c:pt>
                <c:pt idx="56" formatCode="0">
                  <c:v>21941.842987314762</c:v>
                </c:pt>
                <c:pt idx="57" formatCode="0">
                  <c:v>21805.440838081518</c:v>
                </c:pt>
                <c:pt idx="58" formatCode="0">
                  <c:v>21662.055105842639</c:v>
                </c:pt>
                <c:pt idx="59" formatCode="0">
                  <c:v>21512.924863736425</c:v>
                </c:pt>
                <c:pt idx="60" formatCode="0">
                  <c:v>21360.095677963436</c:v>
                </c:pt>
                <c:pt idx="61" formatCode="0">
                  <c:v>21205.8572854675</c:v>
                </c:pt>
                <c:pt idx="62" formatCode="0">
                  <c:v>21052.939009043232</c:v>
                </c:pt>
                <c:pt idx="63" formatCode="0">
                  <c:v>20904.366620897858</c:v>
                </c:pt>
                <c:pt idx="64" formatCode="0">
                  <c:v>20763.224213856462</c:v>
                </c:pt>
                <c:pt idx="65" formatCode="0">
                  <c:v>20631.482581267708</c:v>
                </c:pt>
                <c:pt idx="66" formatCode="0">
                  <c:v>20510.126426526458</c:v>
                </c:pt>
                <c:pt idx="67" formatCode="0">
                  <c:v>20400.189917170934</c:v>
                </c:pt>
                <c:pt idx="68" formatCode="0">
                  <c:v>20301.949049751533</c:v>
                </c:pt>
                <c:pt idx="69" formatCode="0">
                  <c:v>20215.290841526861</c:v>
                </c:pt>
                <c:pt idx="70" formatCode="0">
                  <c:v>20139.180350697116</c:v>
                </c:pt>
              </c:numCache>
            </c:numRef>
          </c:val>
        </c:ser>
        <c:ser>
          <c:idx val="2"/>
          <c:order val="2"/>
          <c:tx>
            <c:strRef>
              <c:f>Data!$B$215</c:f>
              <c:strCache>
                <c:ptCount val="1"/>
                <c:pt idx="0">
                  <c:v>Jubilación tardía</c:v>
                </c:pt>
              </c:strCache>
            </c:strRef>
          </c:tx>
          <c:spPr>
            <a:ln w="12700">
              <a:solidFill>
                <a:srgbClr val="A79E70"/>
              </a:solidFill>
              <a:prstDash val="solid"/>
            </a:ln>
          </c:spPr>
          <c:marker>
            <c:symbol val="none"/>
          </c:marker>
          <c:cat>
            <c:numRef>
              <c:f>Data!$C$212:$BU$212</c:f>
              <c:numCache>
                <c:formatCode>General</c:formatCode>
                <c:ptCount val="71"/>
                <c:pt idx="0">
                  <c:v>1980</c:v>
                </c:pt>
                <c:pt idx="1">
                  <c:v>1981</c:v>
                </c:pt>
                <c:pt idx="2">
                  <c:v>1982</c:v>
                </c:pt>
                <c:pt idx="3">
                  <c:v>1983</c:v>
                </c:pt>
                <c:pt idx="4">
                  <c:v>1984</c:v>
                </c:pt>
                <c:pt idx="5">
                  <c:v>1985</c:v>
                </c:pt>
                <c:pt idx="6">
                  <c:v>1986</c:v>
                </c:pt>
                <c:pt idx="7">
                  <c:v>1987</c:v>
                </c:pt>
                <c:pt idx="8">
                  <c:v>1988</c:v>
                </c:pt>
                <c:pt idx="9">
                  <c:v>1989</c:v>
                </c:pt>
                <c:pt idx="10">
                  <c:v>1990</c:v>
                </c:pt>
                <c:pt idx="11">
                  <c:v>1991</c:v>
                </c:pt>
                <c:pt idx="12">
                  <c:v>1992</c:v>
                </c:pt>
                <c:pt idx="13">
                  <c:v>1993</c:v>
                </c:pt>
                <c:pt idx="14">
                  <c:v>1994</c:v>
                </c:pt>
                <c:pt idx="15">
                  <c:v>1995</c:v>
                </c:pt>
                <c:pt idx="16">
                  <c:v>1996</c:v>
                </c:pt>
                <c:pt idx="17">
                  <c:v>1997</c:v>
                </c:pt>
                <c:pt idx="18">
                  <c:v>1998</c:v>
                </c:pt>
                <c:pt idx="19">
                  <c:v>1999</c:v>
                </c:pt>
                <c:pt idx="20">
                  <c:v>2000</c:v>
                </c:pt>
                <c:pt idx="21">
                  <c:v>2001</c:v>
                </c:pt>
                <c:pt idx="22">
                  <c:v>2002</c:v>
                </c:pt>
                <c:pt idx="23">
                  <c:v>2003</c:v>
                </c:pt>
                <c:pt idx="24">
                  <c:v>2004</c:v>
                </c:pt>
                <c:pt idx="25">
                  <c:v>2005</c:v>
                </c:pt>
                <c:pt idx="26">
                  <c:v>2006</c:v>
                </c:pt>
                <c:pt idx="27" formatCode="0">
                  <c:v>2007</c:v>
                </c:pt>
                <c:pt idx="28">
                  <c:v>2008</c:v>
                </c:pt>
                <c:pt idx="29">
                  <c:v>2009</c:v>
                </c:pt>
                <c:pt idx="30">
                  <c:v>2010</c:v>
                </c:pt>
                <c:pt idx="31">
                  <c:v>2011</c:v>
                </c:pt>
                <c:pt idx="32">
                  <c:v>2012</c:v>
                </c:pt>
                <c:pt idx="33">
                  <c:v>2013</c:v>
                </c:pt>
                <c:pt idx="34">
                  <c:v>2014</c:v>
                </c:pt>
                <c:pt idx="35">
                  <c:v>2015</c:v>
                </c:pt>
                <c:pt idx="36">
                  <c:v>2016</c:v>
                </c:pt>
                <c:pt idx="37">
                  <c:v>2017</c:v>
                </c:pt>
                <c:pt idx="38">
                  <c:v>2018</c:v>
                </c:pt>
                <c:pt idx="39">
                  <c:v>2019</c:v>
                </c:pt>
                <c:pt idx="40">
                  <c:v>2020</c:v>
                </c:pt>
                <c:pt idx="41">
                  <c:v>2021</c:v>
                </c:pt>
                <c:pt idx="42">
                  <c:v>2022</c:v>
                </c:pt>
                <c:pt idx="43">
                  <c:v>2023</c:v>
                </c:pt>
                <c:pt idx="44">
                  <c:v>2024</c:v>
                </c:pt>
                <c:pt idx="45">
                  <c:v>2025</c:v>
                </c:pt>
                <c:pt idx="46">
                  <c:v>2026</c:v>
                </c:pt>
                <c:pt idx="47">
                  <c:v>2027</c:v>
                </c:pt>
                <c:pt idx="48">
                  <c:v>2028</c:v>
                </c:pt>
                <c:pt idx="49">
                  <c:v>2029</c:v>
                </c:pt>
                <c:pt idx="50">
                  <c:v>2030</c:v>
                </c:pt>
                <c:pt idx="51">
                  <c:v>2031</c:v>
                </c:pt>
                <c:pt idx="52">
                  <c:v>2032</c:v>
                </c:pt>
                <c:pt idx="53">
                  <c:v>2033</c:v>
                </c:pt>
                <c:pt idx="54">
                  <c:v>2034</c:v>
                </c:pt>
                <c:pt idx="55">
                  <c:v>2035</c:v>
                </c:pt>
                <c:pt idx="56">
                  <c:v>2036</c:v>
                </c:pt>
                <c:pt idx="57">
                  <c:v>2037</c:v>
                </c:pt>
                <c:pt idx="58">
                  <c:v>2038</c:v>
                </c:pt>
                <c:pt idx="59">
                  <c:v>2039</c:v>
                </c:pt>
                <c:pt idx="60">
                  <c:v>2040</c:v>
                </c:pt>
                <c:pt idx="61">
                  <c:v>2041</c:v>
                </c:pt>
                <c:pt idx="62">
                  <c:v>2042</c:v>
                </c:pt>
                <c:pt idx="63">
                  <c:v>2043</c:v>
                </c:pt>
                <c:pt idx="64">
                  <c:v>2044</c:v>
                </c:pt>
                <c:pt idx="65">
                  <c:v>2045</c:v>
                </c:pt>
                <c:pt idx="66">
                  <c:v>2046</c:v>
                </c:pt>
                <c:pt idx="67">
                  <c:v>2047</c:v>
                </c:pt>
                <c:pt idx="68">
                  <c:v>2048</c:v>
                </c:pt>
                <c:pt idx="69">
                  <c:v>2049</c:v>
                </c:pt>
                <c:pt idx="70">
                  <c:v>2050</c:v>
                </c:pt>
              </c:numCache>
            </c:numRef>
          </c:cat>
          <c:val>
            <c:numRef>
              <c:f>Data!$C$215:$BU$215</c:f>
              <c:numCache>
                <c:formatCode>General</c:formatCode>
                <c:ptCount val="71"/>
                <c:pt idx="27" formatCode="0">
                  <c:v>21426.512765255517</c:v>
                </c:pt>
                <c:pt idx="28" formatCode="0">
                  <c:v>21789.760890278521</c:v>
                </c:pt>
                <c:pt idx="29" formatCode="0">
                  <c:v>22082.846909688717</c:v>
                </c:pt>
                <c:pt idx="30" formatCode="0">
                  <c:v>22331.443426638136</c:v>
                </c:pt>
                <c:pt idx="31" formatCode="0">
                  <c:v>22546.522928833096</c:v>
                </c:pt>
                <c:pt idx="32" formatCode="0">
                  <c:v>22731.020630631756</c:v>
                </c:pt>
                <c:pt idx="33" formatCode="0">
                  <c:v>22886.945478717305</c:v>
                </c:pt>
                <c:pt idx="34" formatCode="0">
                  <c:v>23015.472099299321</c:v>
                </c:pt>
                <c:pt idx="35" formatCode="0">
                  <c:v>23117.485629072027</c:v>
                </c:pt>
                <c:pt idx="36" formatCode="0">
                  <c:v>23196.882540794191</c:v>
                </c:pt>
                <c:pt idx="37" formatCode="0">
                  <c:v>23255.410198266101</c:v>
                </c:pt>
                <c:pt idx="38" formatCode="0">
                  <c:v>23292.645949145292</c:v>
                </c:pt>
                <c:pt idx="39" formatCode="0">
                  <c:v>23311.538930233863</c:v>
                </c:pt>
                <c:pt idx="40" formatCode="0">
                  <c:v>23316.418808073409</c:v>
                </c:pt>
                <c:pt idx="41" formatCode="0">
                  <c:v>23308.584460332557</c:v>
                </c:pt>
                <c:pt idx="42" formatCode="0">
                  <c:v>23284.471094431679</c:v>
                </c:pt>
                <c:pt idx="43" formatCode="0">
                  <c:v>23247.658000209762</c:v>
                </c:pt>
                <c:pt idx="44" formatCode="0">
                  <c:v>23203.515869559673</c:v>
                </c:pt>
                <c:pt idx="45" formatCode="0">
                  <c:v>23152.780831361069</c:v>
                </c:pt>
                <c:pt idx="46" formatCode="0">
                  <c:v>23097.465539764769</c:v>
                </c:pt>
                <c:pt idx="47" formatCode="0">
                  <c:v>23039.792323648649</c:v>
                </c:pt>
                <c:pt idx="48" formatCode="0">
                  <c:v>22984.276776988016</c:v>
                </c:pt>
                <c:pt idx="49" formatCode="0">
                  <c:v>22927.023611904304</c:v>
                </c:pt>
                <c:pt idx="50" formatCode="0">
                  <c:v>22861.832725861823</c:v>
                </c:pt>
                <c:pt idx="51" formatCode="0">
                  <c:v>22788.898765596547</c:v>
                </c:pt>
                <c:pt idx="52" formatCode="0">
                  <c:v>22711.321850593271</c:v>
                </c:pt>
                <c:pt idx="53" formatCode="0">
                  <c:v>22630.265818125121</c:v>
                </c:pt>
                <c:pt idx="54" formatCode="0">
                  <c:v>22541.173932726448</c:v>
                </c:pt>
                <c:pt idx="55" formatCode="0">
                  <c:v>22441.738154128521</c:v>
                </c:pt>
                <c:pt idx="56" formatCode="0">
                  <c:v>22332.090231699156</c:v>
                </c:pt>
                <c:pt idx="57" formatCode="0">
                  <c:v>22212.394249573092</c:v>
                </c:pt>
                <c:pt idx="58" formatCode="0">
                  <c:v>22082.917515168967</c:v>
                </c:pt>
                <c:pt idx="59" formatCode="0">
                  <c:v>21943.966587197305</c:v>
                </c:pt>
                <c:pt idx="60" formatCode="0">
                  <c:v>21797.078046750215</c:v>
                </c:pt>
                <c:pt idx="61" formatCode="0">
                  <c:v>21644.297229770502</c:v>
                </c:pt>
                <c:pt idx="62" formatCode="0">
                  <c:v>21488.554268339536</c:v>
                </c:pt>
                <c:pt idx="63" formatCode="0">
                  <c:v>21333.446700851371</c:v>
                </c:pt>
                <c:pt idx="64" formatCode="0">
                  <c:v>21182.874039305916</c:v>
                </c:pt>
                <c:pt idx="65" formatCode="0">
                  <c:v>21040.081115512818</c:v>
                </c:pt>
                <c:pt idx="66" formatCode="0">
                  <c:v>20907.45523703748</c:v>
                </c:pt>
                <c:pt idx="67" formatCode="0">
                  <c:v>20787.065584936809</c:v>
                </c:pt>
                <c:pt idx="68" formatCode="0">
                  <c:v>20679.719010556852</c:v>
                </c:pt>
                <c:pt idx="69" formatCode="0">
                  <c:v>20585.958107391463</c:v>
                </c:pt>
                <c:pt idx="70" formatCode="0">
                  <c:v>20505.12071446011</c:v>
                </c:pt>
              </c:numCache>
            </c:numRef>
          </c:val>
        </c:ser>
        <c:ser>
          <c:idx val="3"/>
          <c:order val="3"/>
          <c:tx>
            <c:strRef>
              <c:f>Data!$B$216</c:f>
              <c:strCache>
                <c:ptCount val="1"/>
                <c:pt idx="0">
                  <c:v>Igualdad de género</c:v>
                </c:pt>
              </c:strCache>
            </c:strRef>
          </c:tx>
          <c:spPr>
            <a:ln w="12700">
              <a:solidFill>
                <a:srgbClr val="7AB800"/>
              </a:solidFill>
              <a:prstDash val="solid"/>
            </a:ln>
          </c:spPr>
          <c:marker>
            <c:symbol val="none"/>
          </c:marker>
          <c:cat>
            <c:numRef>
              <c:f>Data!$C$212:$BU$212</c:f>
              <c:numCache>
                <c:formatCode>General</c:formatCode>
                <c:ptCount val="71"/>
                <c:pt idx="0">
                  <c:v>1980</c:v>
                </c:pt>
                <c:pt idx="1">
                  <c:v>1981</c:v>
                </c:pt>
                <c:pt idx="2">
                  <c:v>1982</c:v>
                </c:pt>
                <c:pt idx="3">
                  <c:v>1983</c:v>
                </c:pt>
                <c:pt idx="4">
                  <c:v>1984</c:v>
                </c:pt>
                <c:pt idx="5">
                  <c:v>1985</c:v>
                </c:pt>
                <c:pt idx="6">
                  <c:v>1986</c:v>
                </c:pt>
                <c:pt idx="7">
                  <c:v>1987</c:v>
                </c:pt>
                <c:pt idx="8">
                  <c:v>1988</c:v>
                </c:pt>
                <c:pt idx="9">
                  <c:v>1989</c:v>
                </c:pt>
                <c:pt idx="10">
                  <c:v>1990</c:v>
                </c:pt>
                <c:pt idx="11">
                  <c:v>1991</c:v>
                </c:pt>
                <c:pt idx="12">
                  <c:v>1992</c:v>
                </c:pt>
                <c:pt idx="13">
                  <c:v>1993</c:v>
                </c:pt>
                <c:pt idx="14">
                  <c:v>1994</c:v>
                </c:pt>
                <c:pt idx="15">
                  <c:v>1995</c:v>
                </c:pt>
                <c:pt idx="16">
                  <c:v>1996</c:v>
                </c:pt>
                <c:pt idx="17">
                  <c:v>1997</c:v>
                </c:pt>
                <c:pt idx="18">
                  <c:v>1998</c:v>
                </c:pt>
                <c:pt idx="19">
                  <c:v>1999</c:v>
                </c:pt>
                <c:pt idx="20">
                  <c:v>2000</c:v>
                </c:pt>
                <c:pt idx="21">
                  <c:v>2001</c:v>
                </c:pt>
                <c:pt idx="22">
                  <c:v>2002</c:v>
                </c:pt>
                <c:pt idx="23">
                  <c:v>2003</c:v>
                </c:pt>
                <c:pt idx="24">
                  <c:v>2004</c:v>
                </c:pt>
                <c:pt idx="25">
                  <c:v>2005</c:v>
                </c:pt>
                <c:pt idx="26">
                  <c:v>2006</c:v>
                </c:pt>
                <c:pt idx="27" formatCode="0">
                  <c:v>2007</c:v>
                </c:pt>
                <c:pt idx="28">
                  <c:v>2008</c:v>
                </c:pt>
                <c:pt idx="29">
                  <c:v>2009</c:v>
                </c:pt>
                <c:pt idx="30">
                  <c:v>2010</c:v>
                </c:pt>
                <c:pt idx="31">
                  <c:v>2011</c:v>
                </c:pt>
                <c:pt idx="32">
                  <c:v>2012</c:v>
                </c:pt>
                <c:pt idx="33">
                  <c:v>2013</c:v>
                </c:pt>
                <c:pt idx="34">
                  <c:v>2014</c:v>
                </c:pt>
                <c:pt idx="35">
                  <c:v>2015</c:v>
                </c:pt>
                <c:pt idx="36">
                  <c:v>2016</c:v>
                </c:pt>
                <c:pt idx="37">
                  <c:v>2017</c:v>
                </c:pt>
                <c:pt idx="38">
                  <c:v>2018</c:v>
                </c:pt>
                <c:pt idx="39">
                  <c:v>2019</c:v>
                </c:pt>
                <c:pt idx="40">
                  <c:v>2020</c:v>
                </c:pt>
                <c:pt idx="41">
                  <c:v>2021</c:v>
                </c:pt>
                <c:pt idx="42">
                  <c:v>2022</c:v>
                </c:pt>
                <c:pt idx="43">
                  <c:v>2023</c:v>
                </c:pt>
                <c:pt idx="44">
                  <c:v>2024</c:v>
                </c:pt>
                <c:pt idx="45">
                  <c:v>2025</c:v>
                </c:pt>
                <c:pt idx="46">
                  <c:v>2026</c:v>
                </c:pt>
                <c:pt idx="47">
                  <c:v>2027</c:v>
                </c:pt>
                <c:pt idx="48">
                  <c:v>2028</c:v>
                </c:pt>
                <c:pt idx="49">
                  <c:v>2029</c:v>
                </c:pt>
                <c:pt idx="50">
                  <c:v>2030</c:v>
                </c:pt>
                <c:pt idx="51">
                  <c:v>2031</c:v>
                </c:pt>
                <c:pt idx="52">
                  <c:v>2032</c:v>
                </c:pt>
                <c:pt idx="53">
                  <c:v>2033</c:v>
                </c:pt>
                <c:pt idx="54">
                  <c:v>2034</c:v>
                </c:pt>
                <c:pt idx="55">
                  <c:v>2035</c:v>
                </c:pt>
                <c:pt idx="56">
                  <c:v>2036</c:v>
                </c:pt>
                <c:pt idx="57">
                  <c:v>2037</c:v>
                </c:pt>
                <c:pt idx="58">
                  <c:v>2038</c:v>
                </c:pt>
                <c:pt idx="59">
                  <c:v>2039</c:v>
                </c:pt>
                <c:pt idx="60">
                  <c:v>2040</c:v>
                </c:pt>
                <c:pt idx="61">
                  <c:v>2041</c:v>
                </c:pt>
                <c:pt idx="62">
                  <c:v>2042</c:v>
                </c:pt>
                <c:pt idx="63">
                  <c:v>2043</c:v>
                </c:pt>
                <c:pt idx="64">
                  <c:v>2044</c:v>
                </c:pt>
                <c:pt idx="65">
                  <c:v>2045</c:v>
                </c:pt>
                <c:pt idx="66">
                  <c:v>2046</c:v>
                </c:pt>
                <c:pt idx="67">
                  <c:v>2047</c:v>
                </c:pt>
                <c:pt idx="68">
                  <c:v>2048</c:v>
                </c:pt>
                <c:pt idx="69">
                  <c:v>2049</c:v>
                </c:pt>
                <c:pt idx="70">
                  <c:v>2050</c:v>
                </c:pt>
              </c:numCache>
            </c:numRef>
          </c:cat>
          <c:val>
            <c:numRef>
              <c:f>Data!$C$216:$BU$216</c:f>
              <c:numCache>
                <c:formatCode>General</c:formatCode>
                <c:ptCount val="71"/>
                <c:pt idx="27" formatCode="0">
                  <c:v>21426.512765255517</c:v>
                </c:pt>
                <c:pt idx="28" formatCode="0">
                  <c:v>21829.167181817425</c:v>
                </c:pt>
                <c:pt idx="29" formatCode="0">
                  <c:v>22163.104322339052</c:v>
                </c:pt>
                <c:pt idx="30" formatCode="0">
                  <c:v>22453.872745695888</c:v>
                </c:pt>
                <c:pt idx="31" formatCode="0">
                  <c:v>22712.315003328637</c:v>
                </c:pt>
                <c:pt idx="32" formatCode="0">
                  <c:v>22941.148872665159</c:v>
                </c:pt>
                <c:pt idx="33" formatCode="0">
                  <c:v>23141.997277922907</c:v>
                </c:pt>
                <c:pt idx="34" formatCode="0">
                  <c:v>23315.673521157496</c:v>
                </c:pt>
                <c:pt idx="35" formatCode="0">
                  <c:v>23462.807586629609</c:v>
                </c:pt>
                <c:pt idx="36" formatCode="0">
                  <c:v>23586.98757924412</c:v>
                </c:pt>
                <c:pt idx="37" formatCode="0">
                  <c:v>23689.649078723472</c:v>
                </c:pt>
                <c:pt idx="38" formatCode="0">
                  <c:v>23770.220756997096</c:v>
                </c:pt>
                <c:pt idx="39" formatCode="0">
                  <c:v>23831.651430933696</c:v>
                </c:pt>
                <c:pt idx="40" formatCode="0">
                  <c:v>23878.376424707105</c:v>
                </c:pt>
                <c:pt idx="41" formatCode="0">
                  <c:v>23911.775312358372</c:v>
                </c:pt>
                <c:pt idx="42" formatCode="0">
                  <c:v>23928.032931974696</c:v>
                </c:pt>
                <c:pt idx="43" formatCode="0">
                  <c:v>23930.580558169757</c:v>
                </c:pt>
                <c:pt idx="44" formatCode="0">
                  <c:v>23924.664792119325</c:v>
                </c:pt>
                <c:pt idx="45" formatCode="0">
                  <c:v>23910.6476153408</c:v>
                </c:pt>
                <c:pt idx="46" formatCode="0">
                  <c:v>23890.474693750912</c:v>
                </c:pt>
                <c:pt idx="47" formatCode="0">
                  <c:v>23866.78738290245</c:v>
                </c:pt>
                <c:pt idx="48" formatCode="0">
                  <c:v>23844.291472031346</c:v>
                </c:pt>
                <c:pt idx="49" formatCode="0">
                  <c:v>23818.863969522208</c:v>
                </c:pt>
                <c:pt idx="50" formatCode="0">
                  <c:v>23784.449642309617</c:v>
                </c:pt>
                <c:pt idx="51" formatCode="0">
                  <c:v>23741.406158880342</c:v>
                </c:pt>
                <c:pt idx="52" formatCode="0">
                  <c:v>23692.712853333702</c:v>
                </c:pt>
                <c:pt idx="53" formatCode="0">
                  <c:v>23639.752547054697</c:v>
                </c:pt>
                <c:pt idx="54" formatCode="0">
                  <c:v>23578.452949034996</c:v>
                </c:pt>
                <c:pt idx="55" formatCode="0">
                  <c:v>23506.761667974992</c:v>
                </c:pt>
                <c:pt idx="56" formatCode="0">
                  <c:v>23425.152219710606</c:v>
                </c:pt>
                <c:pt idx="57" formatCode="0">
                  <c:v>23334.391202200797</c:v>
                </c:pt>
                <c:pt idx="58" formatCode="0">
                  <c:v>23235.754497063721</c:v>
                </c:pt>
                <c:pt idx="59" formatCode="0">
                  <c:v>23130.330911685302</c:v>
                </c:pt>
                <c:pt idx="60" formatCode="0">
                  <c:v>23019.918516559814</c:v>
                </c:pt>
                <c:pt idx="61" formatCode="0">
                  <c:v>22906.906506108557</c:v>
                </c:pt>
                <c:pt idx="62" formatCode="0">
                  <c:v>22794.567125962003</c:v>
                </c:pt>
                <c:pt idx="63" formatCode="0">
                  <c:v>22686.458096126909</c:v>
                </c:pt>
                <c:pt idx="64" formatCode="0">
                  <c:v>22585.959618387169</c:v>
                </c:pt>
                <c:pt idx="65" formatCode="0">
                  <c:v>22495.44106238426</c:v>
                </c:pt>
                <c:pt idx="66" formatCode="0">
                  <c:v>22416.332528487608</c:v>
                </c:pt>
                <c:pt idx="67" formatCode="0">
                  <c:v>22349.774121388862</c:v>
                </c:pt>
                <c:pt idx="68" formatCode="0">
                  <c:v>22296.228371848036</c:v>
                </c:pt>
                <c:pt idx="69" formatCode="0">
                  <c:v>22256.060326250663</c:v>
                </c:pt>
                <c:pt idx="70" formatCode="0">
                  <c:v>22228.199661177787</c:v>
                </c:pt>
              </c:numCache>
            </c:numRef>
          </c:val>
        </c:ser>
        <c:ser>
          <c:idx val="4"/>
          <c:order val="4"/>
          <c:tx>
            <c:strRef>
              <c:f>Data!$B$217</c:f>
              <c:strCache>
                <c:ptCount val="1"/>
                <c:pt idx="0">
                  <c:v>Mano de obra</c:v>
                </c:pt>
              </c:strCache>
            </c:strRef>
          </c:tx>
          <c:spPr>
            <a:ln w="12700">
              <a:solidFill>
                <a:srgbClr val="00338D"/>
              </a:solidFill>
              <a:prstDash val="solid"/>
            </a:ln>
          </c:spPr>
          <c:marker>
            <c:symbol val="none"/>
          </c:marker>
          <c:cat>
            <c:numRef>
              <c:f>Data!$C$212:$BU$212</c:f>
              <c:numCache>
                <c:formatCode>General</c:formatCode>
                <c:ptCount val="71"/>
                <c:pt idx="0">
                  <c:v>1980</c:v>
                </c:pt>
                <c:pt idx="1">
                  <c:v>1981</c:v>
                </c:pt>
                <c:pt idx="2">
                  <c:v>1982</c:v>
                </c:pt>
                <c:pt idx="3">
                  <c:v>1983</c:v>
                </c:pt>
                <c:pt idx="4">
                  <c:v>1984</c:v>
                </c:pt>
                <c:pt idx="5">
                  <c:v>1985</c:v>
                </c:pt>
                <c:pt idx="6">
                  <c:v>1986</c:v>
                </c:pt>
                <c:pt idx="7">
                  <c:v>1987</c:v>
                </c:pt>
                <c:pt idx="8">
                  <c:v>1988</c:v>
                </c:pt>
                <c:pt idx="9">
                  <c:v>1989</c:v>
                </c:pt>
                <c:pt idx="10">
                  <c:v>1990</c:v>
                </c:pt>
                <c:pt idx="11">
                  <c:v>1991</c:v>
                </c:pt>
                <c:pt idx="12">
                  <c:v>1992</c:v>
                </c:pt>
                <c:pt idx="13">
                  <c:v>1993</c:v>
                </c:pt>
                <c:pt idx="14">
                  <c:v>1994</c:v>
                </c:pt>
                <c:pt idx="15">
                  <c:v>1995</c:v>
                </c:pt>
                <c:pt idx="16">
                  <c:v>1996</c:v>
                </c:pt>
                <c:pt idx="17">
                  <c:v>1997</c:v>
                </c:pt>
                <c:pt idx="18">
                  <c:v>1998</c:v>
                </c:pt>
                <c:pt idx="19">
                  <c:v>1999</c:v>
                </c:pt>
                <c:pt idx="20">
                  <c:v>2000</c:v>
                </c:pt>
                <c:pt idx="21">
                  <c:v>2001</c:v>
                </c:pt>
                <c:pt idx="22">
                  <c:v>2002</c:v>
                </c:pt>
                <c:pt idx="23">
                  <c:v>2003</c:v>
                </c:pt>
                <c:pt idx="24">
                  <c:v>2004</c:v>
                </c:pt>
                <c:pt idx="25">
                  <c:v>2005</c:v>
                </c:pt>
                <c:pt idx="26">
                  <c:v>2006</c:v>
                </c:pt>
                <c:pt idx="27" formatCode="0">
                  <c:v>2007</c:v>
                </c:pt>
                <c:pt idx="28">
                  <c:v>2008</c:v>
                </c:pt>
                <c:pt idx="29">
                  <c:v>2009</c:v>
                </c:pt>
                <c:pt idx="30">
                  <c:v>2010</c:v>
                </c:pt>
                <c:pt idx="31">
                  <c:v>2011</c:v>
                </c:pt>
                <c:pt idx="32">
                  <c:v>2012</c:v>
                </c:pt>
                <c:pt idx="33">
                  <c:v>2013</c:v>
                </c:pt>
                <c:pt idx="34">
                  <c:v>2014</c:v>
                </c:pt>
                <c:pt idx="35">
                  <c:v>2015</c:v>
                </c:pt>
                <c:pt idx="36">
                  <c:v>2016</c:v>
                </c:pt>
                <c:pt idx="37">
                  <c:v>2017</c:v>
                </c:pt>
                <c:pt idx="38">
                  <c:v>2018</c:v>
                </c:pt>
                <c:pt idx="39">
                  <c:v>2019</c:v>
                </c:pt>
                <c:pt idx="40">
                  <c:v>2020</c:v>
                </c:pt>
                <c:pt idx="41">
                  <c:v>2021</c:v>
                </c:pt>
                <c:pt idx="42">
                  <c:v>2022</c:v>
                </c:pt>
                <c:pt idx="43">
                  <c:v>2023</c:v>
                </c:pt>
                <c:pt idx="44">
                  <c:v>2024</c:v>
                </c:pt>
                <c:pt idx="45">
                  <c:v>2025</c:v>
                </c:pt>
                <c:pt idx="46">
                  <c:v>2026</c:v>
                </c:pt>
                <c:pt idx="47">
                  <c:v>2027</c:v>
                </c:pt>
                <c:pt idx="48">
                  <c:v>2028</c:v>
                </c:pt>
                <c:pt idx="49">
                  <c:v>2029</c:v>
                </c:pt>
                <c:pt idx="50">
                  <c:v>2030</c:v>
                </c:pt>
                <c:pt idx="51">
                  <c:v>2031</c:v>
                </c:pt>
                <c:pt idx="52">
                  <c:v>2032</c:v>
                </c:pt>
                <c:pt idx="53">
                  <c:v>2033</c:v>
                </c:pt>
                <c:pt idx="54">
                  <c:v>2034</c:v>
                </c:pt>
                <c:pt idx="55">
                  <c:v>2035</c:v>
                </c:pt>
                <c:pt idx="56">
                  <c:v>2036</c:v>
                </c:pt>
                <c:pt idx="57">
                  <c:v>2037</c:v>
                </c:pt>
                <c:pt idx="58">
                  <c:v>2038</c:v>
                </c:pt>
                <c:pt idx="59">
                  <c:v>2039</c:v>
                </c:pt>
                <c:pt idx="60">
                  <c:v>2040</c:v>
                </c:pt>
                <c:pt idx="61">
                  <c:v>2041</c:v>
                </c:pt>
                <c:pt idx="62">
                  <c:v>2042</c:v>
                </c:pt>
                <c:pt idx="63">
                  <c:v>2043</c:v>
                </c:pt>
                <c:pt idx="64">
                  <c:v>2044</c:v>
                </c:pt>
                <c:pt idx="65">
                  <c:v>2045</c:v>
                </c:pt>
                <c:pt idx="66">
                  <c:v>2046</c:v>
                </c:pt>
                <c:pt idx="67">
                  <c:v>2047</c:v>
                </c:pt>
                <c:pt idx="68">
                  <c:v>2048</c:v>
                </c:pt>
                <c:pt idx="69">
                  <c:v>2049</c:v>
                </c:pt>
                <c:pt idx="70">
                  <c:v>2050</c:v>
                </c:pt>
              </c:numCache>
            </c:numRef>
          </c:cat>
          <c:val>
            <c:numRef>
              <c:f>Data!$C$217:$BU$217</c:f>
              <c:numCache>
                <c:formatCode>General</c:formatCode>
                <c:ptCount val="71"/>
                <c:pt idx="0">
                  <c:v>11608.088015838757</c:v>
                </c:pt>
                <c:pt idx="1">
                  <c:v>11724.610846373978</c:v>
                </c:pt>
                <c:pt idx="2">
                  <c:v>11931.139484835112</c:v>
                </c:pt>
                <c:pt idx="3">
                  <c:v>12150.11876832051</c:v>
                </c:pt>
                <c:pt idx="4">
                  <c:v>12262.93491827565</c:v>
                </c:pt>
                <c:pt idx="5">
                  <c:v>12404.929297410728</c:v>
                </c:pt>
                <c:pt idx="6">
                  <c:v>12601.66849741716</c:v>
                </c:pt>
                <c:pt idx="7">
                  <c:v>13042.76348641711</c:v>
                </c:pt>
                <c:pt idx="8">
                  <c:v>13405.638010873419</c:v>
                </c:pt>
                <c:pt idx="9">
                  <c:v>13630.509966049853</c:v>
                </c:pt>
                <c:pt idx="10">
                  <c:v>13842.456060742783</c:v>
                </c:pt>
                <c:pt idx="11">
                  <c:v>14025.604098623173</c:v>
                </c:pt>
                <c:pt idx="12">
                  <c:v>14129.771327225613</c:v>
                </c:pt>
                <c:pt idx="13">
                  <c:v>14336.585094961578</c:v>
                </c:pt>
                <c:pt idx="14">
                  <c:v>14572.482048785992</c:v>
                </c:pt>
                <c:pt idx="15">
                  <c:v>14797.264503263123</c:v>
                </c:pt>
                <c:pt idx="16">
                  <c:v>15127.410618220229</c:v>
                </c:pt>
                <c:pt idx="17">
                  <c:v>15437.022282790518</c:v>
                </c:pt>
                <c:pt idx="18">
                  <c:v>15741.948902855072</c:v>
                </c:pt>
                <c:pt idx="19">
                  <c:v>16127.418415699007</c:v>
                </c:pt>
                <c:pt idx="20">
                  <c:v>16718.332114209188</c:v>
                </c:pt>
                <c:pt idx="21">
                  <c:v>17166.102750799557</c:v>
                </c:pt>
                <c:pt idx="22">
                  <c:v>17698.3038702911</c:v>
                </c:pt>
                <c:pt idx="23">
                  <c:v>18202.893131738223</c:v>
                </c:pt>
                <c:pt idx="24">
                  <c:v>19527.514704385412</c:v>
                </c:pt>
                <c:pt idx="25">
                  <c:v>20139.541007710781</c:v>
                </c:pt>
                <c:pt idx="26">
                  <c:v>20827.345413871422</c:v>
                </c:pt>
                <c:pt idx="27" formatCode="0">
                  <c:v>21426.512765255517</c:v>
                </c:pt>
              </c:numCache>
            </c:numRef>
          </c:val>
        </c:ser>
        <c:marker val="1"/>
        <c:axId val="211237120"/>
        <c:axId val="211267584"/>
      </c:lineChart>
      <c:catAx>
        <c:axId val="211237120"/>
        <c:scaling>
          <c:orientation val="minMax"/>
        </c:scaling>
        <c:axPos val="b"/>
        <c:numFmt formatCode="General" sourceLinked="1"/>
        <c:tickLblPos val="low"/>
        <c:spPr>
          <a:ln w="3175">
            <a:solidFill>
              <a:srgbClr val="000000"/>
            </a:solidFill>
            <a:prstDash val="solid"/>
          </a:ln>
        </c:spPr>
        <c:txPr>
          <a:bodyPr rot="-5400000" vert="horz"/>
          <a:lstStyle/>
          <a:p>
            <a:pPr>
              <a:defRPr sz="600" b="0" i="0" u="none" strike="noStrike" baseline="0">
                <a:solidFill>
                  <a:srgbClr val="000000"/>
                </a:solidFill>
                <a:latin typeface="MinionPro-Regular"/>
                <a:ea typeface="Arial"/>
                <a:cs typeface="Arial"/>
              </a:defRPr>
            </a:pPr>
            <a:endParaRPr lang="es-ES"/>
          </a:p>
        </c:txPr>
        <c:crossAx val="211267584"/>
        <c:crossesAt val="5000"/>
        <c:auto val="1"/>
        <c:lblAlgn val="ctr"/>
        <c:lblOffset val="100"/>
        <c:tickLblSkip val="7"/>
      </c:catAx>
      <c:valAx>
        <c:axId val="211267584"/>
        <c:scaling>
          <c:orientation val="minMax"/>
          <c:max val="25000"/>
          <c:min val="5000"/>
        </c:scaling>
        <c:axPos val="l"/>
        <c:numFmt formatCode="General" sourceLinked="1"/>
        <c:tickLblPos val="nextTo"/>
        <c:spPr>
          <a:ln w="3175">
            <a:solidFill>
              <a:srgbClr val="000000"/>
            </a:solidFill>
            <a:prstDash val="solid"/>
          </a:ln>
        </c:spPr>
        <c:txPr>
          <a:bodyPr rot="0" vert="horz"/>
          <a:lstStyle/>
          <a:p>
            <a:pPr>
              <a:defRPr sz="600" b="0" i="0" u="none" strike="noStrike" baseline="0">
                <a:solidFill>
                  <a:srgbClr val="000000"/>
                </a:solidFill>
                <a:latin typeface="MinionPro-Regular"/>
                <a:ea typeface="Arial"/>
                <a:cs typeface="Arial"/>
              </a:defRPr>
            </a:pPr>
            <a:endParaRPr lang="es-ES"/>
          </a:p>
        </c:txPr>
        <c:crossAx val="211237120"/>
        <c:crosses val="autoZero"/>
        <c:crossBetween val="midCat"/>
        <c:majorUnit val="5000"/>
      </c:valAx>
      <c:spPr>
        <a:noFill/>
        <a:ln w="25400">
          <a:noFill/>
        </a:ln>
      </c:spPr>
    </c:plotArea>
    <c:legend>
      <c:legendPos val="b"/>
      <c:layout>
        <c:manualLayout>
          <c:xMode val="edge"/>
          <c:yMode val="edge"/>
          <c:x val="1.5173136904581656E-2"/>
          <c:y val="0.77943214941692618"/>
          <c:w val="0.95124004031584763"/>
          <c:h val="0.18935466534713821"/>
        </c:manualLayout>
      </c:layout>
      <c:txPr>
        <a:bodyPr/>
        <a:lstStyle/>
        <a:p>
          <a:pPr>
            <a:defRPr sz="600" b="0" i="0" u="none" strike="noStrike" baseline="0">
              <a:solidFill>
                <a:srgbClr val="000000"/>
              </a:solidFill>
              <a:latin typeface="MinionPro-Regular"/>
              <a:ea typeface="Arial"/>
              <a:cs typeface="Arial"/>
            </a:defRPr>
          </a:pPr>
          <a:endParaRPr lang="es-ES"/>
        </a:p>
      </c:txPr>
    </c:legend>
    <c:plotVisOnly val="1"/>
    <c:dispBlanksAs val="gap"/>
  </c:chart>
  <c:spPr>
    <a:noFill/>
    <a:ln w="9525">
      <a:noFill/>
    </a:ln>
  </c:spPr>
  <c:txPr>
    <a:bodyPr/>
    <a:lstStyle/>
    <a:p>
      <a:pPr>
        <a:defRPr sz="800" b="0" i="0" u="none" strike="noStrike" baseline="0">
          <a:solidFill>
            <a:srgbClr val="000000"/>
          </a:solidFill>
          <a:latin typeface="Arial"/>
          <a:ea typeface="Arial"/>
          <a:cs typeface="Arial"/>
        </a:defRPr>
      </a:pPr>
      <a:endParaRPr lang="es-ES"/>
    </a:p>
  </c:tx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date1904 val="1"/>
  <c:lang val="es-ES"/>
  <c:chart>
    <c:plotArea>
      <c:layout>
        <c:manualLayout>
          <c:layoutTarget val="inner"/>
          <c:xMode val="edge"/>
          <c:yMode val="edge"/>
          <c:x val="0.22614692598054217"/>
          <c:y val="4.7085682820890533E-2"/>
          <c:w val="0.62557142704016688"/>
          <c:h val="0.80394637432594551"/>
        </c:manualLayout>
      </c:layout>
      <c:barChart>
        <c:barDir val="bar"/>
        <c:grouping val="clustered"/>
        <c:ser>
          <c:idx val="0"/>
          <c:order val="0"/>
          <c:spPr>
            <a:solidFill>
              <a:srgbClr val="409DAD"/>
            </a:solidFill>
            <a:ln w="3175">
              <a:solidFill>
                <a:srgbClr val="FFFFFF"/>
              </a:solidFill>
              <a:prstDash val="solid"/>
            </a:ln>
          </c:spPr>
          <c:dLbls>
            <c:dLbl>
              <c:idx val="12"/>
              <c:layout>
                <c:manualLayout>
                  <c:x val="0"/>
                  <c:y val="1.1281398040589963E-2"/>
                </c:manualLayout>
              </c:layout>
              <c:showVal val="1"/>
            </c:dLbl>
            <c:dLbl>
              <c:idx val="13"/>
              <c:layout>
                <c:manualLayout>
                  <c:x val="4.6247817086848789E-2"/>
                  <c:y val="-5.6406990202950034E-3"/>
                </c:manualLayout>
              </c:layout>
              <c:showVal val="1"/>
            </c:dLbl>
            <c:dLbl>
              <c:idx val="14"/>
              <c:layout>
                <c:manualLayout>
                  <c:x val="5.3961855868657746E-2"/>
                  <c:y val="1.9503494124345881E-2"/>
                </c:manualLayout>
              </c:layout>
              <c:spPr/>
              <c:txPr>
                <a:bodyPr/>
                <a:lstStyle/>
                <a:p>
                  <a:pPr>
                    <a:defRPr/>
                  </a:pPr>
                  <a:endParaRPr lang="es-ES"/>
                </a:p>
              </c:txPr>
              <c:dLblPos val="outEnd"/>
              <c:showVal val="1"/>
            </c:dLbl>
            <c:dLbl>
              <c:idx val="15"/>
              <c:layout>
                <c:manualLayout>
                  <c:x val="0"/>
                  <c:y val="-3.2887975334018611E-2"/>
                </c:manualLayout>
              </c:layout>
              <c:spPr/>
              <c:txPr>
                <a:bodyPr/>
                <a:lstStyle/>
                <a:p>
                  <a:pPr>
                    <a:defRPr/>
                  </a:pPr>
                  <a:endParaRPr lang="es-ES"/>
                </a:p>
              </c:txPr>
              <c:dLblPos val="outEnd"/>
              <c:showVal val="1"/>
            </c:dLbl>
            <c:showVal val="1"/>
          </c:dLbls>
          <c:cat>
            <c:strRef>
              <c:f>pcaxis!$A$10:$A$25</c:f>
              <c:strCache>
                <c:ptCount val="16"/>
                <c:pt idx="0">
                  <c:v>De 0 a 5 años</c:v>
                </c:pt>
                <c:pt idx="1">
                  <c:v>De 6 a 64 años</c:v>
                </c:pt>
                <c:pt idx="2">
                  <c:v>De 6 a 15 años</c:v>
                </c:pt>
                <c:pt idx="3">
                  <c:v>De 16 a 24 años</c:v>
                </c:pt>
                <c:pt idx="4">
                  <c:v>De 25 a 34 años</c:v>
                </c:pt>
                <c:pt idx="5">
                  <c:v>De 35 a 44 años</c:v>
                </c:pt>
                <c:pt idx="6">
                  <c:v>De 45 a 54 años</c:v>
                </c:pt>
                <c:pt idx="7">
                  <c:v>De 55 a 64 años</c:v>
                </c:pt>
                <c:pt idx="8">
                  <c:v>De 65 a 79 años</c:v>
                </c:pt>
                <c:pt idx="9">
                  <c:v>De 65 a 69 años</c:v>
                </c:pt>
                <c:pt idx="10">
                  <c:v>De 70 a 74 años</c:v>
                </c:pt>
                <c:pt idx="11">
                  <c:v>De 75 a 79 años</c:v>
                </c:pt>
                <c:pt idx="12">
                  <c:v>De 80 y más años</c:v>
                </c:pt>
                <c:pt idx="13">
                  <c:v>De 80 a 84 años</c:v>
                </c:pt>
                <c:pt idx="14">
                  <c:v>De 85 a 89 años</c:v>
                </c:pt>
                <c:pt idx="15">
                  <c:v>De 90 y más años</c:v>
                </c:pt>
              </c:strCache>
            </c:strRef>
          </c:cat>
          <c:val>
            <c:numRef>
              <c:f>pcaxis!$B$10:$B$25</c:f>
              <c:numCache>
                <c:formatCode>General</c:formatCode>
                <c:ptCount val="16"/>
                <c:pt idx="0">
                  <c:v>21.5</c:v>
                </c:pt>
                <c:pt idx="1">
                  <c:v>44.760000000000012</c:v>
                </c:pt>
                <c:pt idx="2">
                  <c:v>18.41</c:v>
                </c:pt>
                <c:pt idx="3">
                  <c:v>16.279999999999987</c:v>
                </c:pt>
                <c:pt idx="4">
                  <c:v>21.99</c:v>
                </c:pt>
                <c:pt idx="5">
                  <c:v>38.61</c:v>
                </c:pt>
                <c:pt idx="6">
                  <c:v>66.649999999999991</c:v>
                </c:pt>
                <c:pt idx="7">
                  <c:v>113.27</c:v>
                </c:pt>
                <c:pt idx="8">
                  <c:v>223.91</c:v>
                </c:pt>
                <c:pt idx="9">
                  <c:v>155.75</c:v>
                </c:pt>
                <c:pt idx="10">
                  <c:v>218.23999999999998</c:v>
                </c:pt>
                <c:pt idx="11">
                  <c:v>308.89</c:v>
                </c:pt>
                <c:pt idx="12">
                  <c:v>514.55999999999949</c:v>
                </c:pt>
                <c:pt idx="13">
                  <c:v>426.54</c:v>
                </c:pt>
                <c:pt idx="14">
                  <c:v>574.48</c:v>
                </c:pt>
                <c:pt idx="15">
                  <c:v>751.47</c:v>
                </c:pt>
              </c:numCache>
            </c:numRef>
          </c:val>
        </c:ser>
        <c:gapWidth val="40"/>
        <c:axId val="211293312"/>
        <c:axId val="211294848"/>
      </c:barChart>
      <c:catAx>
        <c:axId val="211293312"/>
        <c:scaling>
          <c:orientation val="minMax"/>
        </c:scaling>
        <c:axPos val="l"/>
        <c:numFmt formatCode="General" sourceLinked="1"/>
        <c:tickLblPos val="low"/>
        <c:spPr>
          <a:ln w="3175">
            <a:solidFill>
              <a:srgbClr val="000000"/>
            </a:solidFill>
            <a:prstDash val="solid"/>
          </a:ln>
        </c:spPr>
        <c:crossAx val="211294848"/>
        <c:crosses val="autoZero"/>
        <c:auto val="1"/>
        <c:lblAlgn val="ctr"/>
        <c:lblOffset val="100"/>
      </c:catAx>
      <c:valAx>
        <c:axId val="211294848"/>
        <c:scaling>
          <c:orientation val="minMax"/>
        </c:scaling>
        <c:axPos val="b"/>
        <c:title>
          <c:tx>
            <c:rich>
              <a:bodyPr/>
              <a:lstStyle/>
              <a:p>
                <a:pPr>
                  <a:defRPr/>
                </a:pPr>
                <a:r>
                  <a:rPr lang="en-US"/>
                  <a:t>Miles de personas</a:t>
                </a:r>
              </a:p>
            </c:rich>
          </c:tx>
        </c:title>
        <c:numFmt formatCode="General" sourceLinked="1"/>
        <c:tickLblPos val="nextTo"/>
        <c:spPr>
          <a:ln w="3175">
            <a:solidFill>
              <a:srgbClr val="000000"/>
            </a:solidFill>
            <a:prstDash val="solid"/>
          </a:ln>
        </c:spPr>
        <c:crossAx val="211293312"/>
        <c:crosses val="autoZero"/>
        <c:crossBetween val="between"/>
      </c:valAx>
      <c:spPr>
        <a:noFill/>
        <a:ln w="25400">
          <a:noFill/>
        </a:ln>
      </c:spPr>
    </c:plotArea>
    <c:plotVisOnly val="1"/>
    <c:dispBlanksAs val="gap"/>
  </c:chart>
  <c:spPr>
    <a:noFill/>
    <a:ln w="9525">
      <a:noFill/>
    </a:ln>
  </c:spPr>
  <c:txPr>
    <a:bodyPr/>
    <a:lstStyle/>
    <a:p>
      <a:pPr>
        <a:defRPr sz="800" b="0" i="0">
          <a:solidFill>
            <a:srgbClr val="000000"/>
          </a:solidFill>
          <a:latin typeface="MinionPro-Regular"/>
          <a:ea typeface="Arial"/>
          <a:cs typeface="Arial"/>
        </a:defRPr>
      </a:pPr>
      <a:endParaRPr lang="es-ES"/>
    </a:p>
  </c:tx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es-ES"/>
  <c:chart>
    <c:autoTitleDeleted val="1"/>
    <c:plotArea>
      <c:layout>
        <c:manualLayout>
          <c:layoutTarget val="inner"/>
          <c:xMode val="edge"/>
          <c:yMode val="edge"/>
          <c:x val="0.18787379077615299"/>
          <c:y val="8.4534001431640582E-2"/>
          <c:w val="0.50098335208098987"/>
          <c:h val="0.51309484609879252"/>
        </c:manualLayout>
      </c:layout>
      <c:lineChart>
        <c:grouping val="standard"/>
        <c:ser>
          <c:idx val="0"/>
          <c:order val="0"/>
          <c:tx>
            <c:strRef>
              <c:f>Sheet2!$B$7</c:f>
              <c:strCache>
                <c:ptCount val="1"/>
                <c:pt idx="0">
                  <c:v>Personas con discapacidad</c:v>
                </c:pt>
              </c:strCache>
            </c:strRef>
          </c:tx>
          <c:spPr>
            <a:ln w="19050">
              <a:solidFill>
                <a:schemeClr val="accent3"/>
              </a:solidFill>
            </a:ln>
          </c:spPr>
          <c:marker>
            <c:spPr>
              <a:solidFill>
                <a:srgbClr val="9BBB59"/>
              </a:solidFill>
            </c:spPr>
          </c:marker>
          <c:dLbls>
            <c:dLbl>
              <c:idx val="0"/>
              <c:layout>
                <c:manualLayout>
                  <c:x val="-5.7142857142857143E-3"/>
                  <c:y val="-5.4545454545454515E-2"/>
                </c:manualLayout>
              </c:layout>
              <c:showVal val="1"/>
            </c:dLbl>
            <c:dLbl>
              <c:idx val="1"/>
              <c:layout>
                <c:manualLayout>
                  <c:x val="-1.1428571428571493E-2"/>
                  <c:y val="-4.0909090909090923E-2"/>
                </c:manualLayout>
              </c:layout>
              <c:showVal val="1"/>
            </c:dLbl>
            <c:dLbl>
              <c:idx val="2"/>
              <c:layout>
                <c:manualLayout>
                  <c:x val="-1.1428571428571547E-2"/>
                  <c:y val="-3.636363636363632E-2"/>
                </c:manualLayout>
              </c:layout>
              <c:showVal val="1"/>
            </c:dLbl>
            <c:showVal val="1"/>
          </c:dLbls>
          <c:cat>
            <c:numRef>
              <c:f>Sheet2!$C$6:$E$6</c:f>
              <c:numCache>
                <c:formatCode>General</c:formatCode>
                <c:ptCount val="3"/>
                <c:pt idx="0">
                  <c:v>2009</c:v>
                </c:pt>
                <c:pt idx="1">
                  <c:v>2010</c:v>
                </c:pt>
                <c:pt idx="2">
                  <c:v>2011</c:v>
                </c:pt>
              </c:numCache>
            </c:numRef>
          </c:cat>
          <c:val>
            <c:numRef>
              <c:f>Sheet2!$C$7:$E$7</c:f>
              <c:numCache>
                <c:formatCode>General</c:formatCode>
                <c:ptCount val="3"/>
                <c:pt idx="0">
                  <c:v>36.200000000000003</c:v>
                </c:pt>
                <c:pt idx="1">
                  <c:v>36.200000000000003</c:v>
                </c:pt>
                <c:pt idx="2">
                  <c:v>36.6</c:v>
                </c:pt>
              </c:numCache>
            </c:numRef>
          </c:val>
        </c:ser>
        <c:ser>
          <c:idx val="1"/>
          <c:order val="1"/>
          <c:tx>
            <c:strRef>
              <c:f>Sheet2!$B$8</c:f>
              <c:strCache>
                <c:ptCount val="1"/>
                <c:pt idx="0">
                  <c:v>Personas sin discapacidad</c:v>
                </c:pt>
              </c:strCache>
            </c:strRef>
          </c:tx>
          <c:spPr>
            <a:ln w="19050">
              <a:solidFill>
                <a:schemeClr val="accent2">
                  <a:lumMod val="75000"/>
                </a:schemeClr>
              </a:solidFill>
            </a:ln>
          </c:spPr>
          <c:marker>
            <c:spPr>
              <a:solidFill>
                <a:schemeClr val="accent2">
                  <a:lumMod val="75000"/>
                </a:schemeClr>
              </a:solidFill>
            </c:spPr>
          </c:marker>
          <c:dLbls>
            <c:dLbl>
              <c:idx val="0"/>
              <c:layout>
                <c:manualLayout>
                  <c:x val="0"/>
                  <c:y val="-2.7272727272727622E-2"/>
                </c:manualLayout>
              </c:layout>
              <c:showVal val="1"/>
            </c:dLbl>
            <c:dLbl>
              <c:idx val="1"/>
              <c:layout>
                <c:manualLayout>
                  <c:x val="-1.428571428571424E-2"/>
                  <c:y val="-4.0909090909090923E-2"/>
                </c:manualLayout>
              </c:layout>
              <c:showVal val="1"/>
            </c:dLbl>
            <c:dLbl>
              <c:idx val="2"/>
              <c:layout>
                <c:manualLayout>
                  <c:x val="-8.5714285714285736E-3"/>
                  <c:y val="-5.4545454545454515E-2"/>
                </c:manualLayout>
              </c:layout>
              <c:showVal val="1"/>
            </c:dLbl>
            <c:showVal val="1"/>
          </c:dLbls>
          <c:cat>
            <c:numRef>
              <c:f>Sheet2!$C$6:$E$6</c:f>
              <c:numCache>
                <c:formatCode>General</c:formatCode>
                <c:ptCount val="3"/>
                <c:pt idx="0">
                  <c:v>2009</c:v>
                </c:pt>
                <c:pt idx="1">
                  <c:v>2010</c:v>
                </c:pt>
                <c:pt idx="2">
                  <c:v>2011</c:v>
                </c:pt>
              </c:numCache>
            </c:numRef>
          </c:cat>
          <c:val>
            <c:numRef>
              <c:f>Sheet2!$C$8:$E$8</c:f>
              <c:numCache>
                <c:formatCode>General</c:formatCode>
                <c:ptCount val="3"/>
                <c:pt idx="0">
                  <c:v>75.400000000000006</c:v>
                </c:pt>
                <c:pt idx="1">
                  <c:v>75.900000000000006</c:v>
                </c:pt>
                <c:pt idx="2">
                  <c:v>76.400000000000006</c:v>
                </c:pt>
              </c:numCache>
            </c:numRef>
          </c:val>
        </c:ser>
        <c:marker val="1"/>
        <c:axId val="211324288"/>
        <c:axId val="211326080"/>
      </c:lineChart>
      <c:catAx>
        <c:axId val="211324288"/>
        <c:scaling>
          <c:orientation val="minMax"/>
        </c:scaling>
        <c:axPos val="b"/>
        <c:numFmt formatCode="General" sourceLinked="1"/>
        <c:tickLblPos val="low"/>
        <c:spPr>
          <a:ln w="3175">
            <a:solidFill>
              <a:srgbClr val="000000"/>
            </a:solidFill>
            <a:prstDash val="solid"/>
          </a:ln>
        </c:spPr>
        <c:crossAx val="211326080"/>
        <c:crosses val="autoZero"/>
        <c:auto val="1"/>
        <c:lblAlgn val="ctr"/>
        <c:lblOffset val="100"/>
      </c:catAx>
      <c:valAx>
        <c:axId val="211326080"/>
        <c:scaling>
          <c:orientation val="minMax"/>
        </c:scaling>
        <c:axPos val="l"/>
        <c:title>
          <c:tx>
            <c:rich>
              <a:bodyPr rot="-5400000" vert="horz"/>
              <a:lstStyle/>
              <a:p>
                <a:pPr>
                  <a:defRPr/>
                </a:pPr>
                <a:r>
                  <a:rPr lang="en-US"/>
                  <a:t>Tasa</a:t>
                </a:r>
                <a:r>
                  <a:rPr lang="en-US" baseline="0"/>
                  <a:t> de actividad (%)</a:t>
                </a:r>
                <a:endParaRPr lang="en-US"/>
              </a:p>
            </c:rich>
          </c:tx>
          <c:layout>
            <c:manualLayout>
              <c:xMode val="edge"/>
              <c:yMode val="edge"/>
              <c:x val="7.4285714285714302E-2"/>
              <c:y val="0.22011560486757339"/>
            </c:manualLayout>
          </c:layout>
        </c:title>
        <c:numFmt formatCode="General" sourceLinked="1"/>
        <c:tickLblPos val="nextTo"/>
        <c:spPr>
          <a:ln w="3175">
            <a:solidFill>
              <a:srgbClr val="000000"/>
            </a:solidFill>
            <a:prstDash val="solid"/>
          </a:ln>
        </c:spPr>
        <c:crossAx val="211324288"/>
        <c:crosses val="autoZero"/>
        <c:crossBetween val="midCat"/>
      </c:valAx>
      <c:spPr>
        <a:noFill/>
        <a:ln w="25400">
          <a:noFill/>
        </a:ln>
      </c:spPr>
    </c:plotArea>
    <c:legend>
      <c:legendPos val="b"/>
      <c:layout>
        <c:manualLayout>
          <c:xMode val="edge"/>
          <c:yMode val="edge"/>
          <c:x val="0"/>
          <c:y val="0.83636363636363664"/>
          <c:w val="0.82637142857142865"/>
          <c:h val="6.7479957050823533E-2"/>
        </c:manualLayout>
      </c:layout>
      <c:spPr>
        <a:noFill/>
        <a:ln w="25400">
          <a:noFill/>
        </a:ln>
      </c:spPr>
    </c:legend>
    <c:plotVisOnly val="1"/>
  </c:chart>
  <c:spPr>
    <a:noFill/>
    <a:ln w="9525">
      <a:noFill/>
    </a:ln>
  </c:spPr>
  <c:txPr>
    <a:bodyPr/>
    <a:lstStyle/>
    <a:p>
      <a:pPr>
        <a:defRPr sz="800" b="0" i="0">
          <a:solidFill>
            <a:srgbClr val="000000"/>
          </a:solidFill>
          <a:latin typeface="MinionPro-Regular"/>
          <a:ea typeface="Arial"/>
          <a:cs typeface="Arial"/>
        </a:defRPr>
      </a:pPr>
      <a:endParaRPr lang="es-ES"/>
    </a:p>
  </c:tx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date1904 val="1"/>
  <c:lang val="es-ES"/>
  <c:chart>
    <c:autoTitleDeleted val="1"/>
    <c:plotArea>
      <c:layout>
        <c:manualLayout>
          <c:layoutTarget val="inner"/>
          <c:xMode val="edge"/>
          <c:yMode val="edge"/>
          <c:x val="0.18787379077615299"/>
          <c:y val="8.4534001431640721E-2"/>
          <c:w val="0.50098335208098987"/>
          <c:h val="0.5130948460987933"/>
        </c:manualLayout>
      </c:layout>
      <c:lineChart>
        <c:grouping val="standard"/>
        <c:ser>
          <c:idx val="0"/>
          <c:order val="0"/>
          <c:tx>
            <c:strRef>
              <c:f>Sheet2!$B$30</c:f>
              <c:strCache>
                <c:ptCount val="1"/>
                <c:pt idx="0">
                  <c:v>Personas con discapacidad</c:v>
                </c:pt>
              </c:strCache>
            </c:strRef>
          </c:tx>
          <c:spPr>
            <a:ln w="19050">
              <a:solidFill>
                <a:schemeClr val="accent3"/>
              </a:solidFill>
            </a:ln>
          </c:spPr>
          <c:marker>
            <c:spPr>
              <a:solidFill>
                <a:srgbClr val="9BBB59"/>
              </a:solidFill>
            </c:spPr>
          </c:marker>
          <c:dLbls>
            <c:dLbl>
              <c:idx val="0"/>
              <c:layout>
                <c:manualLayout>
                  <c:x val="-5.7142857142857143E-3"/>
                  <c:y val="-5.4545454545454515E-2"/>
                </c:manualLayout>
              </c:layout>
              <c:showVal val="1"/>
            </c:dLbl>
            <c:dLbl>
              <c:idx val="1"/>
              <c:layout>
                <c:manualLayout>
                  <c:x val="-1.1428571428571505E-2"/>
                  <c:y val="-4.0909090909090923E-2"/>
                </c:manualLayout>
              </c:layout>
              <c:showVal val="1"/>
            </c:dLbl>
            <c:dLbl>
              <c:idx val="2"/>
              <c:layout>
                <c:manualLayout>
                  <c:x val="-1.1428571428571559E-2"/>
                  <c:y val="-3.636363636363632E-2"/>
                </c:manualLayout>
              </c:layout>
              <c:showVal val="1"/>
            </c:dLbl>
            <c:showVal val="1"/>
          </c:dLbls>
          <c:cat>
            <c:numRef>
              <c:f>Sheet2!$C$29:$E$29</c:f>
              <c:numCache>
                <c:formatCode>General</c:formatCode>
                <c:ptCount val="3"/>
                <c:pt idx="0">
                  <c:v>2009</c:v>
                </c:pt>
                <c:pt idx="1">
                  <c:v>2010</c:v>
                </c:pt>
                <c:pt idx="2">
                  <c:v>2011</c:v>
                </c:pt>
              </c:numCache>
            </c:numRef>
          </c:cat>
          <c:val>
            <c:numRef>
              <c:f>Sheet2!$C$30:$E$30</c:f>
              <c:numCache>
                <c:formatCode>General</c:formatCode>
                <c:ptCount val="3"/>
                <c:pt idx="0">
                  <c:v>28.3</c:v>
                </c:pt>
                <c:pt idx="1">
                  <c:v>27.7</c:v>
                </c:pt>
                <c:pt idx="2">
                  <c:v>26.7</c:v>
                </c:pt>
              </c:numCache>
            </c:numRef>
          </c:val>
        </c:ser>
        <c:ser>
          <c:idx val="1"/>
          <c:order val="1"/>
          <c:tx>
            <c:strRef>
              <c:f>Sheet2!$B$31</c:f>
              <c:strCache>
                <c:ptCount val="1"/>
                <c:pt idx="0">
                  <c:v>Personas sin discapacidad</c:v>
                </c:pt>
              </c:strCache>
            </c:strRef>
          </c:tx>
          <c:spPr>
            <a:ln w="19050">
              <a:solidFill>
                <a:schemeClr val="accent2">
                  <a:lumMod val="75000"/>
                </a:schemeClr>
              </a:solidFill>
            </a:ln>
          </c:spPr>
          <c:marker>
            <c:spPr>
              <a:solidFill>
                <a:schemeClr val="accent2">
                  <a:lumMod val="75000"/>
                </a:schemeClr>
              </a:solidFill>
            </c:spPr>
          </c:marker>
          <c:dLbls>
            <c:dLbl>
              <c:idx val="0"/>
              <c:layout>
                <c:manualLayout>
                  <c:x val="0"/>
                  <c:y val="-2.727272727272765E-2"/>
                </c:manualLayout>
              </c:layout>
              <c:showVal val="1"/>
            </c:dLbl>
            <c:dLbl>
              <c:idx val="1"/>
              <c:layout>
                <c:manualLayout>
                  <c:x val="-1.428571428571424E-2"/>
                  <c:y val="-4.0909090909090923E-2"/>
                </c:manualLayout>
              </c:layout>
              <c:showVal val="1"/>
            </c:dLbl>
            <c:dLbl>
              <c:idx val="2"/>
              <c:layout>
                <c:manualLayout>
                  <c:x val="-8.5714285714285736E-3"/>
                  <c:y val="-5.4545454545454515E-2"/>
                </c:manualLayout>
              </c:layout>
              <c:showVal val="1"/>
            </c:dLbl>
            <c:showVal val="1"/>
          </c:dLbls>
          <c:cat>
            <c:numRef>
              <c:f>Sheet2!$C$29:$E$29</c:f>
              <c:numCache>
                <c:formatCode>General</c:formatCode>
                <c:ptCount val="3"/>
                <c:pt idx="0">
                  <c:v>2009</c:v>
                </c:pt>
                <c:pt idx="1">
                  <c:v>2010</c:v>
                </c:pt>
                <c:pt idx="2">
                  <c:v>2011</c:v>
                </c:pt>
              </c:numCache>
            </c:numRef>
          </c:cat>
          <c:val>
            <c:numRef>
              <c:f>Sheet2!$C$31:$E$31</c:f>
              <c:numCache>
                <c:formatCode>General</c:formatCode>
                <c:ptCount val="3"/>
                <c:pt idx="0">
                  <c:v>61.8</c:v>
                </c:pt>
                <c:pt idx="1">
                  <c:v>60.6</c:v>
                </c:pt>
                <c:pt idx="2">
                  <c:v>59.8</c:v>
                </c:pt>
              </c:numCache>
            </c:numRef>
          </c:val>
        </c:ser>
        <c:marker val="1"/>
        <c:axId val="211401344"/>
        <c:axId val="211427712"/>
      </c:lineChart>
      <c:catAx>
        <c:axId val="211401344"/>
        <c:scaling>
          <c:orientation val="minMax"/>
        </c:scaling>
        <c:axPos val="b"/>
        <c:numFmt formatCode="General" sourceLinked="1"/>
        <c:tickLblPos val="low"/>
        <c:spPr>
          <a:ln w="3175">
            <a:solidFill>
              <a:srgbClr val="000000"/>
            </a:solidFill>
            <a:prstDash val="solid"/>
          </a:ln>
        </c:spPr>
        <c:crossAx val="211427712"/>
        <c:crosses val="autoZero"/>
        <c:auto val="1"/>
        <c:lblAlgn val="ctr"/>
        <c:lblOffset val="100"/>
      </c:catAx>
      <c:valAx>
        <c:axId val="211427712"/>
        <c:scaling>
          <c:orientation val="minMax"/>
        </c:scaling>
        <c:axPos val="l"/>
        <c:title>
          <c:tx>
            <c:rich>
              <a:bodyPr rot="-5400000" vert="horz"/>
              <a:lstStyle/>
              <a:p>
                <a:pPr>
                  <a:defRPr/>
                </a:pPr>
                <a:r>
                  <a:rPr lang="en-US"/>
                  <a:t>Tasa</a:t>
                </a:r>
                <a:r>
                  <a:rPr lang="en-US" baseline="0"/>
                  <a:t> de empleo (%)</a:t>
                </a:r>
                <a:endParaRPr lang="en-US"/>
              </a:p>
            </c:rich>
          </c:tx>
          <c:layout>
            <c:manualLayout>
              <c:xMode val="edge"/>
              <c:yMode val="edge"/>
              <c:x val="7.4285714285714302E-2"/>
              <c:y val="0.22011560486757339"/>
            </c:manualLayout>
          </c:layout>
        </c:title>
        <c:numFmt formatCode="General" sourceLinked="1"/>
        <c:tickLblPos val="nextTo"/>
        <c:spPr>
          <a:ln w="3175">
            <a:solidFill>
              <a:srgbClr val="000000"/>
            </a:solidFill>
            <a:prstDash val="solid"/>
          </a:ln>
        </c:spPr>
        <c:crossAx val="211401344"/>
        <c:crosses val="autoZero"/>
        <c:crossBetween val="midCat"/>
      </c:valAx>
      <c:spPr>
        <a:noFill/>
        <a:ln w="25400">
          <a:noFill/>
        </a:ln>
      </c:spPr>
    </c:plotArea>
    <c:legend>
      <c:legendPos val="b"/>
      <c:layout>
        <c:manualLayout>
          <c:xMode val="edge"/>
          <c:yMode val="edge"/>
          <c:x val="0"/>
          <c:y val="0.83636363636363664"/>
          <c:w val="0.82637142857142865"/>
          <c:h val="6.7479957050823533E-2"/>
        </c:manualLayout>
      </c:layout>
      <c:spPr>
        <a:noFill/>
        <a:ln w="25400">
          <a:noFill/>
        </a:ln>
      </c:spPr>
    </c:legend>
    <c:plotVisOnly val="1"/>
  </c:chart>
  <c:spPr>
    <a:noFill/>
    <a:ln w="9525">
      <a:noFill/>
    </a:ln>
  </c:spPr>
  <c:txPr>
    <a:bodyPr/>
    <a:lstStyle/>
    <a:p>
      <a:pPr>
        <a:defRPr sz="800" b="0" i="0">
          <a:solidFill>
            <a:srgbClr val="000000"/>
          </a:solidFill>
          <a:latin typeface="MinionPro-Regular"/>
          <a:ea typeface="Arial"/>
          <a:cs typeface="Arial"/>
        </a:defRPr>
      </a:pPr>
      <a:endParaRPr lang="es-ES"/>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s-ES"/>
  <c:chart>
    <c:autoTitleDeleted val="1"/>
    <c:plotArea>
      <c:layout>
        <c:manualLayout>
          <c:layoutTarget val="inner"/>
          <c:xMode val="edge"/>
          <c:yMode val="edge"/>
          <c:x val="0.20926265480082759"/>
          <c:y val="0.12249251514928562"/>
          <c:w val="0.73202141085039363"/>
          <c:h val="0.59905183384999183"/>
        </c:manualLayout>
      </c:layout>
      <c:lineChart>
        <c:grouping val="standard"/>
        <c:ser>
          <c:idx val="1"/>
          <c:order val="0"/>
          <c:tx>
            <c:strRef>
              <c:f>Sheet1!$D$27</c:f>
              <c:strCache>
                <c:ptCount val="1"/>
                <c:pt idx="0">
                  <c:v>Plantilla total</c:v>
                </c:pt>
              </c:strCache>
            </c:strRef>
          </c:tx>
          <c:spPr>
            <a:ln w="12700">
              <a:solidFill>
                <a:srgbClr val="007C92"/>
              </a:solidFill>
              <a:prstDash val="solid"/>
            </a:ln>
          </c:spPr>
          <c:marker>
            <c:symbol val="square"/>
            <c:size val="3"/>
            <c:spPr>
              <a:solidFill>
                <a:srgbClr val="007C92"/>
              </a:solidFill>
              <a:ln>
                <a:solidFill>
                  <a:srgbClr val="007C92"/>
                </a:solidFill>
                <a:prstDash val="solid"/>
              </a:ln>
            </c:spPr>
          </c:marker>
          <c:cat>
            <c:numRef>
              <c:f>Sheet1!$C$28:$C$43</c:f>
              <c:numCache>
                <c:formatCode>General</c:formatCode>
                <c:ptCount val="16"/>
                <c:pt idx="0">
                  <c:v>1991</c:v>
                </c:pt>
                <c:pt idx="1">
                  <c:v>1992</c:v>
                </c:pt>
                <c:pt idx="2">
                  <c:v>1993</c:v>
                </c:pt>
                <c:pt idx="3">
                  <c:v>1994</c:v>
                </c:pt>
                <c:pt idx="4">
                  <c:v>1995</c:v>
                </c:pt>
                <c:pt idx="5">
                  <c:v>1996</c:v>
                </c:pt>
                <c:pt idx="6">
                  <c:v>1997</c:v>
                </c:pt>
                <c:pt idx="7">
                  <c:v>1998</c:v>
                </c:pt>
                <c:pt idx="8">
                  <c:v>1999</c:v>
                </c:pt>
                <c:pt idx="9">
                  <c:v>2000</c:v>
                </c:pt>
                <c:pt idx="10">
                  <c:v>2001</c:v>
                </c:pt>
                <c:pt idx="11">
                  <c:v>2006</c:v>
                </c:pt>
                <c:pt idx="12">
                  <c:v>2008</c:v>
                </c:pt>
                <c:pt idx="13">
                  <c:v>2009</c:v>
                </c:pt>
                <c:pt idx="14">
                  <c:v>2010</c:v>
                </c:pt>
                <c:pt idx="15">
                  <c:v>2011</c:v>
                </c:pt>
              </c:numCache>
            </c:numRef>
          </c:cat>
          <c:val>
            <c:numRef>
              <c:f>Sheet1!$D$28:$D$43</c:f>
              <c:numCache>
                <c:formatCode>General</c:formatCode>
                <c:ptCount val="16"/>
                <c:pt idx="0">
                  <c:v>7793</c:v>
                </c:pt>
                <c:pt idx="1">
                  <c:v>8393</c:v>
                </c:pt>
                <c:pt idx="2">
                  <c:v>9249</c:v>
                </c:pt>
                <c:pt idx="3">
                  <c:v>11130</c:v>
                </c:pt>
                <c:pt idx="4">
                  <c:v>13525</c:v>
                </c:pt>
                <c:pt idx="5">
                  <c:v>15469</c:v>
                </c:pt>
                <c:pt idx="6">
                  <c:v>17786</c:v>
                </c:pt>
                <c:pt idx="7">
                  <c:v>21284</c:v>
                </c:pt>
                <c:pt idx="8">
                  <c:v>24796</c:v>
                </c:pt>
                <c:pt idx="9">
                  <c:v>28463</c:v>
                </c:pt>
                <c:pt idx="10">
                  <c:v>30833</c:v>
                </c:pt>
                <c:pt idx="11">
                  <c:v>48634</c:v>
                </c:pt>
                <c:pt idx="12">
                  <c:v>52924</c:v>
                </c:pt>
                <c:pt idx="13">
                  <c:v>69691</c:v>
                </c:pt>
                <c:pt idx="14">
                  <c:v>63179</c:v>
                </c:pt>
                <c:pt idx="15">
                  <c:v>71815</c:v>
                </c:pt>
              </c:numCache>
            </c:numRef>
          </c:val>
        </c:ser>
        <c:marker val="1"/>
        <c:axId val="206946304"/>
        <c:axId val="206948224"/>
      </c:lineChart>
      <c:catAx>
        <c:axId val="206946304"/>
        <c:scaling>
          <c:orientation val="minMax"/>
        </c:scaling>
        <c:axPos val="b"/>
        <c:numFmt formatCode="General" sourceLinked="1"/>
        <c:tickLblPos val="low"/>
        <c:spPr>
          <a:ln w="3175">
            <a:solidFill>
              <a:srgbClr val="000000"/>
            </a:solidFill>
            <a:prstDash val="solid"/>
          </a:ln>
        </c:spPr>
        <c:crossAx val="206948224"/>
        <c:crosses val="autoZero"/>
        <c:auto val="1"/>
        <c:lblAlgn val="ctr"/>
        <c:lblOffset val="100"/>
      </c:catAx>
      <c:valAx>
        <c:axId val="206948224"/>
        <c:scaling>
          <c:orientation val="minMax"/>
        </c:scaling>
        <c:axPos val="l"/>
        <c:numFmt formatCode="General" sourceLinked="1"/>
        <c:tickLblPos val="nextTo"/>
        <c:spPr>
          <a:ln w="3175">
            <a:solidFill>
              <a:srgbClr val="000000"/>
            </a:solidFill>
            <a:prstDash val="solid"/>
          </a:ln>
        </c:spPr>
        <c:crossAx val="206946304"/>
        <c:crosses val="autoZero"/>
        <c:crossBetween val="between"/>
      </c:valAx>
      <c:spPr>
        <a:noFill/>
        <a:ln w="25400">
          <a:noFill/>
        </a:ln>
      </c:spPr>
    </c:plotArea>
    <c:legend>
      <c:legendPos val="b"/>
      <c:layout>
        <c:manualLayout>
          <c:xMode val="edge"/>
          <c:yMode val="edge"/>
          <c:x val="0.26509442570679376"/>
          <c:y val="0.87591669558153273"/>
          <c:w val="0.56624984720062965"/>
          <c:h val="6.7479957050823491E-2"/>
        </c:manualLayout>
      </c:layout>
      <c:spPr>
        <a:noFill/>
        <a:ln w="25400">
          <a:noFill/>
        </a:ln>
      </c:spPr>
    </c:legend>
    <c:plotVisOnly val="1"/>
    <c:dispBlanksAs val="gap"/>
  </c:chart>
  <c:spPr>
    <a:noFill/>
    <a:ln w="9525">
      <a:noFill/>
    </a:ln>
  </c:spPr>
  <c:txPr>
    <a:bodyPr/>
    <a:lstStyle/>
    <a:p>
      <a:pPr>
        <a:defRPr sz="700" b="0" i="0">
          <a:solidFill>
            <a:srgbClr val="000000"/>
          </a:solidFill>
          <a:latin typeface="MinionPro-Regular"/>
          <a:ea typeface="Arial"/>
          <a:cs typeface="Arial"/>
        </a:defRPr>
      </a:pPr>
      <a:endParaRPr lang="es-ES"/>
    </a:p>
  </c:txPr>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date1904 val="1"/>
  <c:lang val="es-ES"/>
  <c:chart>
    <c:autoTitleDeleted val="1"/>
    <c:plotArea>
      <c:layout>
        <c:manualLayout>
          <c:layoutTarget val="inner"/>
          <c:xMode val="edge"/>
          <c:yMode val="edge"/>
          <c:x val="0.18787379077615299"/>
          <c:y val="8.4534001431640388E-2"/>
          <c:w val="0.50098335208098987"/>
          <c:h val="0.51309484609879108"/>
        </c:manualLayout>
      </c:layout>
      <c:lineChart>
        <c:grouping val="standard"/>
        <c:ser>
          <c:idx val="0"/>
          <c:order val="0"/>
          <c:tx>
            <c:strRef>
              <c:f>Sheet1!$C$23</c:f>
              <c:strCache>
                <c:ptCount val="1"/>
                <c:pt idx="0">
                  <c:v>Total contratación indefinida</c:v>
                </c:pt>
              </c:strCache>
            </c:strRef>
          </c:tx>
          <c:spPr>
            <a:ln w="12700">
              <a:solidFill>
                <a:srgbClr val="007C92"/>
              </a:solidFill>
              <a:prstDash val="solid"/>
            </a:ln>
          </c:spPr>
          <c:marker>
            <c:symbol val="diamond"/>
            <c:size val="3"/>
            <c:spPr>
              <a:solidFill>
                <a:srgbClr val="007C92"/>
              </a:solidFill>
              <a:ln>
                <a:solidFill>
                  <a:srgbClr val="007C92"/>
                </a:solidFill>
                <a:prstDash val="solid"/>
              </a:ln>
            </c:spPr>
          </c:marker>
          <c:dLbls>
            <c:dLbl>
              <c:idx val="0"/>
              <c:layout>
                <c:manualLayout>
                  <c:x val="-2.8571428571428602E-3"/>
                  <c:y val="-5.9090909090909124E-2"/>
                </c:manualLayout>
              </c:layout>
              <c:showVal val="1"/>
            </c:dLbl>
            <c:dLbl>
              <c:idx val="1"/>
              <c:layout>
                <c:manualLayout>
                  <c:x val="-8.5714285714285736E-3"/>
                  <c:y val="-0.05"/>
                </c:manualLayout>
              </c:layout>
              <c:showVal val="1"/>
            </c:dLbl>
            <c:dLbl>
              <c:idx val="2"/>
              <c:layout>
                <c:manualLayout>
                  <c:x val="-1.428571428571424E-2"/>
                  <c:y val="-5.4545454545454515E-2"/>
                </c:manualLayout>
              </c:layout>
              <c:showVal val="1"/>
            </c:dLbl>
            <c:dLbl>
              <c:idx val="3"/>
              <c:layout>
                <c:manualLayout>
                  <c:x val="-1.7142857142857307E-2"/>
                  <c:y val="-6.363636363636363E-2"/>
                </c:manualLayout>
              </c:layout>
              <c:showVal val="1"/>
            </c:dLbl>
            <c:dLbl>
              <c:idx val="4"/>
              <c:layout>
                <c:manualLayout>
                  <c:x val="-3.4285714285714648E-2"/>
                  <c:y val="-5.4545454545454515E-2"/>
                </c:manualLayout>
              </c:layout>
              <c:showVal val="1"/>
            </c:dLbl>
            <c:showVal val="1"/>
          </c:dLbls>
          <c:cat>
            <c:numRef>
              <c:f>Sheet1!$D$22:$I$22</c:f>
              <c:numCache>
                <c:formatCode>General</c:formatCode>
                <c:ptCount val="6"/>
                <c:pt idx="0">
                  <c:v>2006</c:v>
                </c:pt>
                <c:pt idx="1">
                  <c:v>2007</c:v>
                </c:pt>
                <c:pt idx="2">
                  <c:v>2008</c:v>
                </c:pt>
                <c:pt idx="3">
                  <c:v>2009</c:v>
                </c:pt>
                <c:pt idx="4">
                  <c:v>2010</c:v>
                </c:pt>
                <c:pt idx="5">
                  <c:v>2011</c:v>
                </c:pt>
              </c:numCache>
            </c:numRef>
          </c:cat>
          <c:val>
            <c:numRef>
              <c:f>Sheet1!$D$23:$I$23</c:f>
              <c:numCache>
                <c:formatCode>_-* #,##0.00\ _€_-;\-* #,##0.00\ _€_-;_-* "-"??\ _€_-;_-@_-</c:formatCode>
                <c:ptCount val="6"/>
                <c:pt idx="0">
                  <c:v>25.655162400000005</c:v>
                </c:pt>
                <c:pt idx="1">
                  <c:v>27.903033899999809</c:v>
                </c:pt>
                <c:pt idx="2">
                  <c:v>24.586111999999989</c:v>
                </c:pt>
                <c:pt idx="3">
                  <c:v>18.780103999999838</c:v>
                </c:pt>
                <c:pt idx="4">
                  <c:v>20.227173599999986</c:v>
                </c:pt>
                <c:pt idx="5">
                  <c:v>7.1659999999999755</c:v>
                </c:pt>
              </c:numCache>
            </c:numRef>
          </c:val>
        </c:ser>
        <c:ser>
          <c:idx val="1"/>
          <c:order val="1"/>
          <c:tx>
            <c:strRef>
              <c:f>Sheet1!$C$24</c:f>
              <c:strCache>
                <c:ptCount val="1"/>
                <c:pt idx="0">
                  <c:v>Total contratación temporal</c:v>
                </c:pt>
              </c:strCache>
            </c:strRef>
          </c:tx>
          <c:spPr>
            <a:ln w="12700">
              <a:solidFill>
                <a:srgbClr val="8E258D"/>
              </a:solidFill>
              <a:prstDash val="solid"/>
            </a:ln>
          </c:spPr>
          <c:marker>
            <c:symbol val="square"/>
            <c:size val="3"/>
            <c:spPr>
              <a:solidFill>
                <a:srgbClr val="8E258D"/>
              </a:solidFill>
              <a:ln>
                <a:solidFill>
                  <a:srgbClr val="8E258D"/>
                </a:solidFill>
                <a:prstDash val="solid"/>
              </a:ln>
            </c:spPr>
          </c:marker>
          <c:dLbls>
            <c:dLbl>
              <c:idx val="0"/>
              <c:layout>
                <c:manualLayout>
                  <c:x val="-1.1428571428571545E-2"/>
                  <c:y val="4.0909090909090923E-2"/>
                </c:manualLayout>
              </c:layout>
              <c:showVal val="1"/>
            </c:dLbl>
            <c:dLbl>
              <c:idx val="1"/>
              <c:layout>
                <c:manualLayout>
                  <c:x val="-4.0000000000000022E-2"/>
                  <c:y val="6.363636363636363E-2"/>
                </c:manualLayout>
              </c:layout>
              <c:showVal val="1"/>
            </c:dLbl>
            <c:dLbl>
              <c:idx val="2"/>
              <c:layout>
                <c:manualLayout>
                  <c:x val="-5.7142857142857086E-2"/>
                  <c:y val="5.4545454545454515E-2"/>
                </c:manualLayout>
              </c:layout>
              <c:showVal val="1"/>
            </c:dLbl>
            <c:dLbl>
              <c:idx val="3"/>
              <c:layout>
                <c:manualLayout>
                  <c:x val="-6.0000000000000032E-2"/>
                  <c:y val="5.4545454545454515E-2"/>
                </c:manualLayout>
              </c:layout>
              <c:showVal val="1"/>
            </c:dLbl>
            <c:dLbl>
              <c:idx val="4"/>
              <c:layout>
                <c:manualLayout>
                  <c:x val="-4.5714285714285714E-2"/>
                  <c:y val="0.05"/>
                </c:manualLayout>
              </c:layout>
              <c:showVal val="1"/>
            </c:dLbl>
            <c:dLbl>
              <c:idx val="5"/>
              <c:layout>
                <c:manualLayout>
                  <c:x val="-2.8571428571428602E-3"/>
                  <c:y val="4.5454545454545504E-3"/>
                </c:manualLayout>
              </c:layout>
              <c:showVal val="1"/>
            </c:dLbl>
            <c:showVal val="1"/>
          </c:dLbls>
          <c:cat>
            <c:numRef>
              <c:f>Sheet1!$D$22:$I$22</c:f>
              <c:numCache>
                <c:formatCode>General</c:formatCode>
                <c:ptCount val="6"/>
                <c:pt idx="0">
                  <c:v>2006</c:v>
                </c:pt>
                <c:pt idx="1">
                  <c:v>2007</c:v>
                </c:pt>
                <c:pt idx="2">
                  <c:v>2008</c:v>
                </c:pt>
                <c:pt idx="3">
                  <c:v>2009</c:v>
                </c:pt>
                <c:pt idx="4">
                  <c:v>2010</c:v>
                </c:pt>
                <c:pt idx="5">
                  <c:v>2011</c:v>
                </c:pt>
              </c:numCache>
            </c:numRef>
          </c:cat>
          <c:val>
            <c:numRef>
              <c:f>Sheet1!$D$24:$I$24</c:f>
              <c:numCache>
                <c:formatCode>_-* #,##0.00\ _€_-;\-* #,##0.00\ _€_-;_-* "-"??\ _€_-;_-@_-</c:formatCode>
                <c:ptCount val="6"/>
                <c:pt idx="0">
                  <c:v>125.16883759999912</c:v>
                </c:pt>
                <c:pt idx="1">
                  <c:v>136.13596609999999</c:v>
                </c:pt>
                <c:pt idx="2">
                  <c:v>128.69388800000002</c:v>
                </c:pt>
                <c:pt idx="3">
                  <c:v>119.30889599999998</c:v>
                </c:pt>
                <c:pt idx="4">
                  <c:v>131.1738264</c:v>
                </c:pt>
                <c:pt idx="5">
                  <c:v>148.334</c:v>
                </c:pt>
              </c:numCache>
            </c:numRef>
          </c:val>
        </c:ser>
        <c:ser>
          <c:idx val="2"/>
          <c:order val="2"/>
          <c:tx>
            <c:strRef>
              <c:f>Sheet1!$C$25</c:f>
              <c:strCache>
                <c:ptCount val="1"/>
                <c:pt idx="0">
                  <c:v>Total</c:v>
                </c:pt>
              </c:strCache>
            </c:strRef>
          </c:tx>
          <c:spPr>
            <a:ln w="22225"/>
          </c:spPr>
          <c:dLbls>
            <c:dLbl>
              <c:idx val="0"/>
              <c:layout>
                <c:manualLayout>
                  <c:x val="-1.4285714285714285E-2"/>
                  <c:y val="-5.4545454545454515E-2"/>
                </c:manualLayout>
              </c:layout>
              <c:showVal val="1"/>
            </c:dLbl>
            <c:dLbl>
              <c:idx val="1"/>
              <c:layout>
                <c:manualLayout>
                  <c:x val="-2.2857142857143183E-2"/>
                  <c:y val="-4.0909090909090923E-2"/>
                </c:manualLayout>
              </c:layout>
              <c:showVal val="1"/>
            </c:dLbl>
            <c:dLbl>
              <c:idx val="2"/>
              <c:layout>
                <c:manualLayout>
                  <c:x val="-1.1428571428571491E-2"/>
                  <c:y val="-4.0909090909090923E-2"/>
                </c:manualLayout>
              </c:layout>
              <c:showVal val="1"/>
            </c:dLbl>
            <c:dLbl>
              <c:idx val="3"/>
              <c:layout>
                <c:manualLayout>
                  <c:x val="-2.8571428571428591E-2"/>
                  <c:y val="-6.8181818181818177E-2"/>
                </c:manualLayout>
              </c:layout>
              <c:showVal val="1"/>
            </c:dLbl>
            <c:dLbl>
              <c:idx val="4"/>
              <c:layout>
                <c:manualLayout>
                  <c:x val="-4.0000000000000022E-2"/>
                  <c:y val="-0.05"/>
                </c:manualLayout>
              </c:layout>
              <c:showVal val="1"/>
            </c:dLbl>
            <c:dLbl>
              <c:idx val="5"/>
              <c:layout>
                <c:manualLayout>
                  <c:x val="-8.5714285714285736E-3"/>
                  <c:y val="-2.2727272727273089E-2"/>
                </c:manualLayout>
              </c:layout>
              <c:showVal val="1"/>
            </c:dLbl>
            <c:showVal val="1"/>
          </c:dLbls>
          <c:cat>
            <c:numRef>
              <c:f>Sheet1!$D$22:$I$22</c:f>
              <c:numCache>
                <c:formatCode>General</c:formatCode>
                <c:ptCount val="6"/>
                <c:pt idx="0">
                  <c:v>2006</c:v>
                </c:pt>
                <c:pt idx="1">
                  <c:v>2007</c:v>
                </c:pt>
                <c:pt idx="2">
                  <c:v>2008</c:v>
                </c:pt>
                <c:pt idx="3">
                  <c:v>2009</c:v>
                </c:pt>
                <c:pt idx="4">
                  <c:v>2010</c:v>
                </c:pt>
                <c:pt idx="5">
                  <c:v>2011</c:v>
                </c:pt>
              </c:numCache>
            </c:numRef>
          </c:cat>
          <c:val>
            <c:numRef>
              <c:f>Sheet1!$D$25:$I$25</c:f>
              <c:numCache>
                <c:formatCode>_-* #,##0.00\ _€_-;\-* #,##0.00\ _€_-;_-* "-"??\ _€_-;_-@_-</c:formatCode>
                <c:ptCount val="6"/>
                <c:pt idx="0">
                  <c:v>150.82400000000001</c:v>
                </c:pt>
                <c:pt idx="1">
                  <c:v>164.03900000000002</c:v>
                </c:pt>
                <c:pt idx="2">
                  <c:v>153.28000000000003</c:v>
                </c:pt>
                <c:pt idx="3">
                  <c:v>138.089</c:v>
                </c:pt>
                <c:pt idx="4">
                  <c:v>151.40100000000001</c:v>
                </c:pt>
                <c:pt idx="5">
                  <c:v>155.5</c:v>
                </c:pt>
              </c:numCache>
            </c:numRef>
          </c:val>
        </c:ser>
        <c:marker val="1"/>
        <c:axId val="211483648"/>
        <c:axId val="211546880"/>
      </c:lineChart>
      <c:catAx>
        <c:axId val="211483648"/>
        <c:scaling>
          <c:orientation val="minMax"/>
        </c:scaling>
        <c:axPos val="b"/>
        <c:numFmt formatCode="General" sourceLinked="1"/>
        <c:tickLblPos val="low"/>
        <c:spPr>
          <a:ln w="3175">
            <a:solidFill>
              <a:srgbClr val="000000"/>
            </a:solidFill>
            <a:prstDash val="solid"/>
          </a:ln>
        </c:spPr>
        <c:crossAx val="211546880"/>
        <c:crosses val="autoZero"/>
        <c:auto val="1"/>
        <c:lblAlgn val="ctr"/>
        <c:lblOffset val="100"/>
      </c:catAx>
      <c:valAx>
        <c:axId val="211546880"/>
        <c:scaling>
          <c:orientation val="minMax"/>
        </c:scaling>
        <c:axPos val="l"/>
        <c:title>
          <c:tx>
            <c:rich>
              <a:bodyPr rot="-5400000" vert="horz"/>
              <a:lstStyle/>
              <a:p>
                <a:pPr>
                  <a:defRPr/>
                </a:pPr>
                <a:r>
                  <a:rPr lang="en-US"/>
                  <a:t>Núero de contratos (miles)</a:t>
                </a:r>
              </a:p>
            </c:rich>
          </c:tx>
          <c:layout>
            <c:manualLayout>
              <c:xMode val="edge"/>
              <c:yMode val="edge"/>
              <c:x val="1.7142857142857307E-2"/>
              <c:y val="0.12466105941302863"/>
            </c:manualLayout>
          </c:layout>
        </c:title>
        <c:numFmt formatCode="_-* #,##0.00\ _€_-;\-* #,##0.00\ _€_-;_-* &quot;-&quot;??\ _€_-;_-@_-" sourceLinked="1"/>
        <c:tickLblPos val="nextTo"/>
        <c:spPr>
          <a:ln w="3175">
            <a:solidFill>
              <a:srgbClr val="000000"/>
            </a:solidFill>
            <a:prstDash val="solid"/>
          </a:ln>
        </c:spPr>
        <c:crossAx val="211483648"/>
        <c:crosses val="autoZero"/>
        <c:crossBetween val="midCat"/>
      </c:valAx>
      <c:spPr>
        <a:noFill/>
        <a:ln w="25400">
          <a:noFill/>
        </a:ln>
      </c:spPr>
    </c:plotArea>
    <c:legend>
      <c:legendPos val="b"/>
      <c:layout>
        <c:manualLayout>
          <c:xMode val="edge"/>
          <c:yMode val="edge"/>
          <c:x val="0"/>
          <c:y val="0.83636363636363664"/>
          <c:w val="0.9"/>
          <c:h val="6.7479957050823533E-2"/>
        </c:manualLayout>
      </c:layout>
      <c:spPr>
        <a:noFill/>
        <a:ln w="25400">
          <a:noFill/>
        </a:ln>
      </c:spPr>
    </c:legend>
    <c:plotVisOnly val="1"/>
  </c:chart>
  <c:spPr>
    <a:noFill/>
    <a:ln w="9525">
      <a:noFill/>
    </a:ln>
  </c:spPr>
  <c:txPr>
    <a:bodyPr/>
    <a:lstStyle/>
    <a:p>
      <a:pPr>
        <a:defRPr sz="800" b="0" i="0">
          <a:solidFill>
            <a:srgbClr val="000000"/>
          </a:solidFill>
          <a:latin typeface="MinionPro-Regular"/>
          <a:ea typeface="Arial"/>
          <a:cs typeface="Arial"/>
        </a:defRPr>
      </a:pPr>
      <a:endParaRPr lang="es-ES"/>
    </a:p>
  </c:txPr>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date1904 val="1"/>
  <c:lang val="es-ES"/>
  <c:chart>
    <c:autoTitleDeleted val="1"/>
    <c:plotArea>
      <c:layout>
        <c:manualLayout>
          <c:layoutTarget val="inner"/>
          <c:xMode val="edge"/>
          <c:yMode val="edge"/>
          <c:x val="0.20268171374528768"/>
          <c:y val="7.812369607645199E-2"/>
          <c:w val="0.72479534108140564"/>
          <c:h val="0.45848356368041804"/>
        </c:manualLayout>
      </c:layout>
      <c:barChart>
        <c:barDir val="col"/>
        <c:grouping val="clustered"/>
        <c:ser>
          <c:idx val="0"/>
          <c:order val="0"/>
          <c:spPr>
            <a:solidFill>
              <a:srgbClr val="409DAD"/>
            </a:solidFill>
            <a:ln w="3175">
              <a:solidFill>
                <a:srgbClr val="FFFFFF"/>
              </a:solidFill>
              <a:prstDash val="solid"/>
            </a:ln>
          </c:spPr>
          <c:dLbls>
            <c:showVal val="1"/>
          </c:dLbls>
          <c:cat>
            <c:strRef>
              <c:f>Sheet1!$B$31:$B$48</c:f>
              <c:strCache>
                <c:ptCount val="18"/>
                <c:pt idx="0">
                  <c:v>Directores comerciales y de investigación y desarrollo</c:v>
                </c:pt>
                <c:pt idx="1">
                  <c:v>Médicos de familia y especialistas</c:v>
                </c:pt>
                <c:pt idx="2">
                  <c:v>Otros profesionales de la formación</c:v>
                </c:pt>
                <c:pt idx="3">
                  <c:v>Ingenieros industriales y de producción</c:v>
                </c:pt>
                <c:pt idx="4">
                  <c:v>Profesionales de las tecnologías de la información</c:v>
                </c:pt>
                <c:pt idx="5">
                  <c:v>Representantes, agentes comerciales y afines</c:v>
                </c:pt>
                <c:pt idx="6">
                  <c:v>Profesionales del área de apoyo en la empresa</c:v>
                </c:pt>
                <c:pt idx="7">
                  <c:v>Cocineros</c:v>
                </c:pt>
                <c:pt idx="8">
                  <c:v>Camareros</c:v>
                </c:pt>
                <c:pt idx="9">
                  <c:v>Vendedores en tiendas y almacenes</c:v>
                </c:pt>
                <c:pt idx="10">
                  <c:v>Auxiliares de enfermería</c:v>
                </c:pt>
                <c:pt idx="11">
                  <c:v>Trabajadores de los cuidados a personas</c:v>
                </c:pt>
                <c:pt idx="12">
                  <c:v>Peluqueros y especialistas en tratamiento de estética</c:v>
                </c:pt>
                <c:pt idx="13">
                  <c:v>Personal de seguridad privada</c:v>
                </c:pt>
                <c:pt idx="14">
                  <c:v>Trabajadores cualificados en actividades agrícolas</c:v>
                </c:pt>
                <c:pt idx="15">
                  <c:v>Soldadores</c:v>
                </c:pt>
                <c:pt idx="16">
                  <c:v>Mecánicos y reparadores de equipos electrónicos</c:v>
                </c:pt>
                <c:pt idx="17">
                  <c:v>Conductores de vehículos para el transporte urbano o por carretera</c:v>
                </c:pt>
              </c:strCache>
            </c:strRef>
          </c:cat>
          <c:val>
            <c:numRef>
              <c:f>Sheet1!$C$31:$C$48</c:f>
              <c:numCache>
                <c:formatCode>0</c:formatCode>
                <c:ptCount val="18"/>
                <c:pt idx="0">
                  <c:v>54.722500000000359</c:v>
                </c:pt>
                <c:pt idx="1">
                  <c:v>62.752300000000012</c:v>
                </c:pt>
                <c:pt idx="2">
                  <c:v>1562.252</c:v>
                </c:pt>
                <c:pt idx="3">
                  <c:v>24.314399999999999</c:v>
                </c:pt>
                <c:pt idx="4">
                  <c:v>150.23159999999999</c:v>
                </c:pt>
                <c:pt idx="5">
                  <c:v>1262.97</c:v>
                </c:pt>
                <c:pt idx="6">
                  <c:v>101.18499999999999</c:v>
                </c:pt>
                <c:pt idx="7">
                  <c:v>1845.5423999999998</c:v>
                </c:pt>
                <c:pt idx="8">
                  <c:v>5951.5066000000024</c:v>
                </c:pt>
                <c:pt idx="9">
                  <c:v>4885.3184000000001</c:v>
                </c:pt>
                <c:pt idx="10">
                  <c:v>2360.5749999999998</c:v>
                </c:pt>
                <c:pt idx="11">
                  <c:v>1159.2319</c:v>
                </c:pt>
                <c:pt idx="12">
                  <c:v>343.66200000000032</c:v>
                </c:pt>
                <c:pt idx="13">
                  <c:v>3905.3262000000004</c:v>
                </c:pt>
                <c:pt idx="14">
                  <c:v>1620.7293999999999</c:v>
                </c:pt>
                <c:pt idx="15">
                  <c:v>1156.1999999999998</c:v>
                </c:pt>
                <c:pt idx="16">
                  <c:v>62.142500000000013</c:v>
                </c:pt>
                <c:pt idx="17">
                  <c:v>5160.0383999999995</c:v>
                </c:pt>
              </c:numCache>
            </c:numRef>
          </c:val>
        </c:ser>
        <c:gapWidth val="40"/>
        <c:axId val="211563648"/>
        <c:axId val="211565184"/>
      </c:barChart>
      <c:catAx>
        <c:axId val="211563648"/>
        <c:scaling>
          <c:orientation val="minMax"/>
        </c:scaling>
        <c:axPos val="b"/>
        <c:tickLblPos val="low"/>
        <c:spPr>
          <a:ln w="3175">
            <a:solidFill>
              <a:srgbClr val="000000"/>
            </a:solidFill>
            <a:prstDash val="solid"/>
          </a:ln>
        </c:spPr>
        <c:txPr>
          <a:bodyPr rot="-5400000" vert="horz"/>
          <a:lstStyle/>
          <a:p>
            <a:pPr>
              <a:defRPr/>
            </a:pPr>
            <a:endParaRPr lang="es-ES"/>
          </a:p>
        </c:txPr>
        <c:crossAx val="211565184"/>
        <c:crosses val="autoZero"/>
        <c:auto val="1"/>
        <c:lblAlgn val="ctr"/>
        <c:lblOffset val="100"/>
      </c:catAx>
      <c:valAx>
        <c:axId val="211565184"/>
        <c:scaling>
          <c:orientation val="minMax"/>
          <c:max val="6000"/>
          <c:min val="0"/>
        </c:scaling>
        <c:axPos val="l"/>
        <c:title>
          <c:tx>
            <c:rich>
              <a:bodyPr rot="-5400000" vert="horz"/>
              <a:lstStyle/>
              <a:p>
                <a:pPr>
                  <a:defRPr/>
                </a:pPr>
                <a:r>
                  <a:rPr lang="en-US"/>
                  <a:t>Número de contratos a personas con</a:t>
                </a:r>
              </a:p>
              <a:p>
                <a:pPr>
                  <a:defRPr/>
                </a:pPr>
                <a:r>
                  <a:rPr lang="en-US"/>
                  <a:t> discapacidad en 2011</a:t>
                </a:r>
              </a:p>
            </c:rich>
          </c:tx>
          <c:layout>
            <c:manualLayout>
              <c:xMode val="edge"/>
              <c:yMode val="edge"/>
              <c:x val="6.3056456293988108E-2"/>
              <c:y val="0.10635219548605376"/>
            </c:manualLayout>
          </c:layout>
        </c:title>
        <c:numFmt formatCode="0" sourceLinked="1"/>
        <c:tickLblPos val="nextTo"/>
        <c:spPr>
          <a:ln w="3175">
            <a:solidFill>
              <a:srgbClr val="000000"/>
            </a:solidFill>
            <a:prstDash val="solid"/>
          </a:ln>
        </c:spPr>
        <c:crossAx val="211563648"/>
        <c:crosses val="autoZero"/>
        <c:crossBetween val="between"/>
        <c:majorUnit val="500"/>
      </c:valAx>
      <c:spPr>
        <a:noFill/>
        <a:ln w="25400">
          <a:noFill/>
        </a:ln>
      </c:spPr>
    </c:plotArea>
    <c:plotVisOnly val="1"/>
  </c:chart>
  <c:spPr>
    <a:noFill/>
    <a:ln w="9525">
      <a:noFill/>
    </a:ln>
  </c:spPr>
  <c:txPr>
    <a:bodyPr/>
    <a:lstStyle/>
    <a:p>
      <a:pPr>
        <a:defRPr sz="800" b="0" i="0">
          <a:solidFill>
            <a:srgbClr val="000000"/>
          </a:solidFill>
          <a:latin typeface="MinionPro-Regular"/>
          <a:ea typeface="Arial"/>
          <a:cs typeface="Arial"/>
        </a:defRPr>
      </a:pPr>
      <a:endParaRPr lang="es-ES"/>
    </a:p>
  </c:txPr>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date1904 val="1"/>
  <c:lang val="es-ES"/>
  <c:chart>
    <c:autoTitleDeleted val="1"/>
    <c:plotArea>
      <c:layout>
        <c:manualLayout>
          <c:layoutTarget val="inner"/>
          <c:xMode val="edge"/>
          <c:yMode val="edge"/>
          <c:x val="0.13731785681962191"/>
          <c:y val="8.4455568053995747E-2"/>
          <c:w val="0.65618653271789362"/>
          <c:h val="0.74685451818522763"/>
        </c:manualLayout>
      </c:layout>
      <c:barChart>
        <c:barDir val="col"/>
        <c:grouping val="clustered"/>
        <c:ser>
          <c:idx val="0"/>
          <c:order val="0"/>
          <c:tx>
            <c:strRef>
              <c:f>Sheet1!$C$8</c:f>
              <c:strCache>
                <c:ptCount val="1"/>
                <c:pt idx="0">
                  <c:v>EU</c:v>
                </c:pt>
              </c:strCache>
            </c:strRef>
          </c:tx>
          <c:spPr>
            <a:solidFill>
              <a:srgbClr val="409DAD"/>
            </a:solidFill>
            <a:ln w="3175">
              <a:solidFill>
                <a:srgbClr val="FFFFFF"/>
              </a:solidFill>
              <a:prstDash val="solid"/>
            </a:ln>
          </c:spPr>
          <c:dLbls>
            <c:showVal val="1"/>
          </c:dLbls>
          <c:cat>
            <c:strRef>
              <c:f>Sheet1!$B$9:$B$11</c:f>
              <c:strCache>
                <c:ptCount val="3"/>
                <c:pt idx="0">
                  <c:v>Edad</c:v>
                </c:pt>
                <c:pt idx="1">
                  <c:v>Discapacidad</c:v>
                </c:pt>
                <c:pt idx="2">
                  <c:v>Género</c:v>
                </c:pt>
              </c:strCache>
            </c:strRef>
          </c:cat>
          <c:val>
            <c:numRef>
              <c:f>Sheet1!$C$9:$C$11</c:f>
              <c:numCache>
                <c:formatCode>0%</c:formatCode>
                <c:ptCount val="3"/>
                <c:pt idx="0">
                  <c:v>0.48000000000000032</c:v>
                </c:pt>
                <c:pt idx="1">
                  <c:v>0.37000000000000038</c:v>
                </c:pt>
                <c:pt idx="2">
                  <c:v>0.19</c:v>
                </c:pt>
              </c:numCache>
            </c:numRef>
          </c:val>
        </c:ser>
        <c:ser>
          <c:idx val="1"/>
          <c:order val="1"/>
          <c:tx>
            <c:strRef>
              <c:f>Sheet1!$D$8</c:f>
              <c:strCache>
                <c:ptCount val="1"/>
                <c:pt idx="0">
                  <c:v>España</c:v>
                </c:pt>
              </c:strCache>
            </c:strRef>
          </c:tx>
          <c:spPr>
            <a:solidFill>
              <a:srgbClr val="BFDEE4"/>
            </a:solidFill>
            <a:ln w="3175">
              <a:solidFill>
                <a:srgbClr val="FFFFFF"/>
              </a:solidFill>
              <a:prstDash val="solid"/>
            </a:ln>
          </c:spPr>
          <c:dLbls>
            <c:dLbl>
              <c:idx val="0"/>
              <c:layout>
                <c:manualLayout>
                  <c:x val="1.4285714285714311E-2"/>
                  <c:y val="0"/>
                </c:manualLayout>
              </c:layout>
              <c:showVal val="1"/>
            </c:dLbl>
            <c:dLbl>
              <c:idx val="1"/>
              <c:layout>
                <c:manualLayout>
                  <c:x val="8.5714285714285268E-3"/>
                  <c:y val="4.1666185335342728E-17"/>
                </c:manualLayout>
              </c:layout>
              <c:showVal val="1"/>
            </c:dLbl>
            <c:dLbl>
              <c:idx val="2"/>
              <c:layout>
                <c:manualLayout>
                  <c:x val="8.5714285714285736E-3"/>
                  <c:y val="0"/>
                </c:manualLayout>
              </c:layout>
              <c:showVal val="1"/>
            </c:dLbl>
            <c:showVal val="1"/>
          </c:dLbls>
          <c:cat>
            <c:strRef>
              <c:f>Sheet1!$B$9:$B$11</c:f>
              <c:strCache>
                <c:ptCount val="3"/>
                <c:pt idx="0">
                  <c:v>Edad</c:v>
                </c:pt>
                <c:pt idx="1">
                  <c:v>Discapacidad</c:v>
                </c:pt>
                <c:pt idx="2">
                  <c:v>Género</c:v>
                </c:pt>
              </c:strCache>
            </c:strRef>
          </c:cat>
          <c:val>
            <c:numRef>
              <c:f>Sheet1!$D$9:$D$11</c:f>
              <c:numCache>
                <c:formatCode>0%</c:formatCode>
                <c:ptCount val="3"/>
                <c:pt idx="0">
                  <c:v>0.43000000000000038</c:v>
                </c:pt>
                <c:pt idx="1">
                  <c:v>0.28000000000000008</c:v>
                </c:pt>
                <c:pt idx="2">
                  <c:v>0.14000000000000001</c:v>
                </c:pt>
              </c:numCache>
            </c:numRef>
          </c:val>
        </c:ser>
        <c:gapWidth val="240"/>
        <c:axId val="211602048"/>
        <c:axId val="211816832"/>
      </c:barChart>
      <c:catAx>
        <c:axId val="211602048"/>
        <c:scaling>
          <c:orientation val="minMax"/>
        </c:scaling>
        <c:axPos val="b"/>
        <c:tickLblPos val="low"/>
        <c:spPr>
          <a:ln w="3175">
            <a:solidFill>
              <a:srgbClr val="000000"/>
            </a:solidFill>
            <a:prstDash val="solid"/>
          </a:ln>
        </c:spPr>
        <c:crossAx val="211816832"/>
        <c:crosses val="autoZero"/>
        <c:auto val="1"/>
        <c:lblAlgn val="ctr"/>
        <c:lblOffset val="100"/>
      </c:catAx>
      <c:valAx>
        <c:axId val="211816832"/>
        <c:scaling>
          <c:orientation val="minMax"/>
        </c:scaling>
        <c:axPos val="l"/>
        <c:numFmt formatCode="0%" sourceLinked="1"/>
        <c:tickLblPos val="nextTo"/>
        <c:spPr>
          <a:ln w="3175">
            <a:solidFill>
              <a:srgbClr val="000000"/>
            </a:solidFill>
            <a:prstDash val="solid"/>
          </a:ln>
        </c:spPr>
        <c:crossAx val="211602048"/>
        <c:crosses val="autoZero"/>
        <c:crossBetween val="between"/>
      </c:valAx>
      <c:spPr>
        <a:noFill/>
        <a:ln w="25400">
          <a:noFill/>
        </a:ln>
      </c:spPr>
    </c:plotArea>
    <c:legend>
      <c:legendPos val="r"/>
      <c:layout>
        <c:manualLayout>
          <c:xMode val="edge"/>
          <c:yMode val="edge"/>
          <c:x val="0.79548978488240008"/>
          <c:y val="0.45546104034293011"/>
          <c:w val="0.11832337768123879"/>
          <c:h val="0.13152239690968862"/>
        </c:manualLayout>
      </c:layout>
      <c:spPr>
        <a:noFill/>
        <a:ln w="25400">
          <a:noFill/>
        </a:ln>
      </c:spPr>
    </c:legend>
    <c:plotVisOnly val="1"/>
  </c:chart>
  <c:spPr>
    <a:noFill/>
    <a:ln w="9525">
      <a:noFill/>
    </a:ln>
  </c:spPr>
  <c:txPr>
    <a:bodyPr/>
    <a:lstStyle/>
    <a:p>
      <a:pPr>
        <a:defRPr sz="800" b="0" i="0">
          <a:solidFill>
            <a:srgbClr val="000000"/>
          </a:solidFill>
          <a:latin typeface="MinionPro-Regular"/>
          <a:ea typeface="Arial"/>
          <a:cs typeface="Arial"/>
        </a:defRPr>
      </a:pPr>
      <a:endParaRPr lang="es-ES"/>
    </a:p>
  </c:txPr>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date1904 val="1"/>
  <c:lang val="es-ES"/>
  <c:chart>
    <c:autoTitleDeleted val="1"/>
    <c:plotArea>
      <c:layout>
        <c:manualLayout>
          <c:layoutTarget val="inner"/>
          <c:xMode val="edge"/>
          <c:yMode val="edge"/>
          <c:x val="4.4604316546762585E-2"/>
          <c:y val="0.26785989758106837"/>
          <c:w val="0.94640910739816064"/>
          <c:h val="0.51573438667919524"/>
        </c:manualLayout>
      </c:layout>
      <c:lineChart>
        <c:grouping val="standard"/>
        <c:ser>
          <c:idx val="3"/>
          <c:order val="0"/>
          <c:tx>
            <c:strRef>
              <c:f>Data!$D$4</c:f>
              <c:strCache>
                <c:ptCount val="1"/>
                <c:pt idx="0">
                  <c:v>Enfermedad mental</c:v>
                </c:pt>
              </c:strCache>
            </c:strRef>
          </c:tx>
          <c:spPr>
            <a:ln w="12700">
              <a:noFill/>
              <a:prstDash val="solid"/>
            </a:ln>
          </c:spPr>
          <c:marker>
            <c:symbol val="diamond"/>
            <c:size val="14"/>
            <c:spPr>
              <a:solidFill>
                <a:schemeClr val="tx2"/>
              </a:solidFill>
              <a:ln w="12700">
                <a:solidFill>
                  <a:srgbClr val="000080"/>
                </a:solidFill>
                <a:prstDash val="solid"/>
              </a:ln>
            </c:spPr>
          </c:marker>
          <c:cat>
            <c:strRef>
              <c:f>Data!$B$9:$B$13</c:f>
              <c:strCache>
                <c:ptCount val="4"/>
                <c:pt idx="0">
                  <c:v>Suecia</c:v>
                </c:pt>
                <c:pt idx="1">
                  <c:v>España</c:v>
                </c:pt>
                <c:pt idx="2">
                  <c:v>Italia</c:v>
                </c:pt>
                <c:pt idx="3">
                  <c:v>Reino Unido</c:v>
                </c:pt>
              </c:strCache>
            </c:strRef>
          </c:cat>
          <c:val>
            <c:numRef>
              <c:f>Data!$D$9:$D$13</c:f>
              <c:numCache>
                <c:formatCode>#,##0.00</c:formatCode>
                <c:ptCount val="5"/>
                <c:pt idx="0">
                  <c:v>0.84106738704908224</c:v>
                </c:pt>
                <c:pt idx="1">
                  <c:v>0.5104507444141535</c:v>
                </c:pt>
                <c:pt idx="2">
                  <c:v>0.42855157011446743</c:v>
                </c:pt>
                <c:pt idx="3">
                  <c:v>0.4111662521134905</c:v>
                </c:pt>
              </c:numCache>
            </c:numRef>
          </c:val>
        </c:ser>
        <c:ser>
          <c:idx val="4"/>
          <c:order val="1"/>
          <c:tx>
            <c:strRef>
              <c:f>Data!$E$4</c:f>
              <c:strCache>
                <c:ptCount val="1"/>
                <c:pt idx="0">
                  <c:v>Discapacidad física</c:v>
                </c:pt>
              </c:strCache>
            </c:strRef>
          </c:tx>
          <c:spPr>
            <a:ln w="28575">
              <a:noFill/>
            </a:ln>
          </c:spPr>
          <c:marker>
            <c:symbol val="diamond"/>
            <c:size val="10"/>
            <c:spPr>
              <a:solidFill>
                <a:schemeClr val="bg1">
                  <a:lumMod val="75000"/>
                </a:schemeClr>
              </a:solidFill>
              <a:ln w="12700">
                <a:solidFill>
                  <a:schemeClr val="tx2"/>
                </a:solidFill>
              </a:ln>
            </c:spPr>
          </c:marker>
          <c:val>
            <c:numRef>
              <c:f>Data!$E$9:$E$13</c:f>
              <c:numCache>
                <c:formatCode>#,##0.00</c:formatCode>
                <c:ptCount val="5"/>
                <c:pt idx="0">
                  <c:v>1.0064121740416561</c:v>
                </c:pt>
                <c:pt idx="1">
                  <c:v>1.0880997041221017</c:v>
                </c:pt>
                <c:pt idx="2">
                  <c:v>1.2083612279919898</c:v>
                </c:pt>
                <c:pt idx="3">
                  <c:v>0.91670795528336069</c:v>
                </c:pt>
              </c:numCache>
            </c:numRef>
          </c:val>
        </c:ser>
        <c:ser>
          <c:idx val="2"/>
          <c:order val="2"/>
          <c:tx>
            <c:strRef>
              <c:f>Data!$F$4</c:f>
              <c:strCache>
                <c:ptCount val="1"/>
                <c:pt idx="0">
                  <c:v>Otros</c:v>
                </c:pt>
              </c:strCache>
            </c:strRef>
          </c:tx>
          <c:spPr>
            <a:ln w="28575">
              <a:noFill/>
            </a:ln>
          </c:spPr>
          <c:marker>
            <c:symbol val="diamond"/>
            <c:size val="6"/>
            <c:spPr>
              <a:solidFill>
                <a:schemeClr val="accent5">
                  <a:lumMod val="75000"/>
                </a:schemeClr>
              </a:solidFill>
              <a:ln w="12700">
                <a:solidFill>
                  <a:schemeClr val="accent5">
                    <a:lumMod val="75000"/>
                  </a:schemeClr>
                </a:solidFill>
              </a:ln>
            </c:spPr>
          </c:marker>
          <c:cat>
            <c:strRef>
              <c:f>Data!$A$9:$A$13</c:f>
              <c:strCache>
                <c:ptCount val="4"/>
                <c:pt idx="0">
                  <c:v>SWE</c:v>
                </c:pt>
                <c:pt idx="1">
                  <c:v>ESP</c:v>
                </c:pt>
                <c:pt idx="2">
                  <c:v>ITA</c:v>
                </c:pt>
                <c:pt idx="3">
                  <c:v>GBR</c:v>
                </c:pt>
              </c:strCache>
            </c:strRef>
          </c:cat>
          <c:val>
            <c:numRef>
              <c:f>Data!$F$9:$F$13</c:f>
              <c:numCache>
                <c:formatCode>#,##0.00</c:formatCode>
                <c:ptCount val="5"/>
                <c:pt idx="0">
                  <c:v>1.0217782042879398</c:v>
                </c:pt>
                <c:pt idx="1">
                  <c:v>1.0844903985764078</c:v>
                </c:pt>
                <c:pt idx="2">
                  <c:v>0.95644291806275916</c:v>
                </c:pt>
                <c:pt idx="3">
                  <c:v>1.1318777741769661</c:v>
                </c:pt>
              </c:numCache>
            </c:numRef>
          </c:val>
        </c:ser>
        <c:hiLowLines/>
        <c:marker val="1"/>
        <c:axId val="211858944"/>
        <c:axId val="211860480"/>
      </c:lineChart>
      <c:catAx>
        <c:axId val="211858944"/>
        <c:scaling>
          <c:orientation val="minMax"/>
        </c:scaling>
        <c:axPos val="b"/>
        <c:numFmt formatCode="General" sourceLinked="1"/>
        <c:majorTickMark val="none"/>
        <c:tickLblPos val="nextTo"/>
        <c:spPr>
          <a:ln w="3175">
            <a:solidFill>
              <a:srgbClr val="C0C0C0"/>
            </a:solidFill>
            <a:prstDash val="solid"/>
          </a:ln>
        </c:spPr>
        <c:txPr>
          <a:bodyPr rot="-5400000" vert="horz"/>
          <a:lstStyle/>
          <a:p>
            <a:pPr>
              <a:defRPr/>
            </a:pPr>
            <a:endParaRPr lang="es-ES"/>
          </a:p>
        </c:txPr>
        <c:crossAx val="211860480"/>
        <c:crosses val="autoZero"/>
        <c:auto val="1"/>
        <c:lblAlgn val="ctr"/>
        <c:lblOffset val="0"/>
        <c:tickLblSkip val="1"/>
        <c:tickMarkSkip val="1"/>
      </c:catAx>
      <c:valAx>
        <c:axId val="211860480"/>
        <c:scaling>
          <c:orientation val="minMax"/>
          <c:max val="1.22"/>
          <c:min val="0.2"/>
        </c:scaling>
        <c:axPos val="l"/>
        <c:majorGridlines>
          <c:spPr>
            <a:ln w="12700">
              <a:solidFill>
                <a:schemeClr val="bg1"/>
              </a:solidFill>
              <a:prstDash val="solid"/>
            </a:ln>
          </c:spPr>
        </c:majorGridlines>
        <c:numFmt formatCode="0.0" sourceLinked="0"/>
        <c:majorTickMark val="none"/>
        <c:tickLblPos val="nextTo"/>
        <c:spPr>
          <a:ln w="12700">
            <a:solidFill>
              <a:srgbClr val="C0C0C0"/>
            </a:solidFill>
            <a:prstDash val="solid"/>
          </a:ln>
        </c:spPr>
        <c:txPr>
          <a:bodyPr rot="0" vert="horz"/>
          <a:lstStyle/>
          <a:p>
            <a:pPr>
              <a:defRPr/>
            </a:pPr>
            <a:endParaRPr lang="es-ES"/>
          </a:p>
        </c:txPr>
        <c:crossAx val="211858944"/>
        <c:crosses val="autoZero"/>
        <c:crossBetween val="between"/>
        <c:majorUnit val="0.1"/>
      </c:valAx>
      <c:spPr>
        <a:noFill/>
        <a:ln w="3175">
          <a:solidFill>
            <a:schemeClr val="bg1">
              <a:lumMod val="75000"/>
            </a:schemeClr>
          </a:solidFill>
        </a:ln>
      </c:spPr>
    </c:plotArea>
    <c:legend>
      <c:legendPos val="r"/>
      <c:layout>
        <c:manualLayout>
          <c:xMode val="edge"/>
          <c:yMode val="edge"/>
          <c:x val="4.2145371929827632E-2"/>
          <c:y val="0.14257780817124954"/>
          <c:w val="0.92108280824473909"/>
          <c:h val="5.9880305394627492E-2"/>
        </c:manualLayout>
      </c:layout>
      <c:spPr>
        <a:noFill/>
        <a:ln w="25400">
          <a:noFill/>
        </a:ln>
      </c:spPr>
    </c:legend>
    <c:plotVisOnly val="1"/>
    <c:dispBlanksAs val="gap"/>
  </c:chart>
  <c:spPr>
    <a:noFill/>
    <a:ln w="9525">
      <a:noFill/>
    </a:ln>
  </c:spPr>
  <c:txPr>
    <a:bodyPr/>
    <a:lstStyle/>
    <a:p>
      <a:pPr>
        <a:defRPr sz="1000" b="0" i="0" u="none" strike="noStrike" baseline="0">
          <a:solidFill>
            <a:srgbClr val="000000"/>
          </a:solidFill>
          <a:latin typeface="MinionPro-Regular"/>
          <a:ea typeface="Arial"/>
          <a:cs typeface="Arial"/>
        </a:defRPr>
      </a:pPr>
      <a:endParaRPr lang="es-ES"/>
    </a:p>
  </c:txPr>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date1904 val="1"/>
  <c:lang val="es-ES"/>
  <c:chart>
    <c:autoTitleDeleted val="1"/>
    <c:plotArea>
      <c:layout>
        <c:manualLayout>
          <c:layoutTarget val="inner"/>
          <c:xMode val="edge"/>
          <c:yMode val="edge"/>
          <c:x val="0.12863364796789559"/>
          <c:y val="6.8841118786532055E-2"/>
          <c:w val="0.68214550818928565"/>
          <c:h val="0.62282691657410827"/>
        </c:manualLayout>
      </c:layout>
      <c:barChart>
        <c:barDir val="col"/>
        <c:grouping val="clustered"/>
        <c:ser>
          <c:idx val="0"/>
          <c:order val="0"/>
          <c:tx>
            <c:strRef>
              <c:f>Sheet1!$C$10</c:f>
              <c:strCache>
                <c:ptCount val="1"/>
                <c:pt idx="0">
                  <c:v>2009</c:v>
                </c:pt>
              </c:strCache>
            </c:strRef>
          </c:tx>
          <c:spPr>
            <a:solidFill>
              <a:srgbClr val="409DAD"/>
            </a:solidFill>
            <a:ln w="3175">
              <a:solidFill>
                <a:srgbClr val="FFFFFF"/>
              </a:solidFill>
              <a:prstDash val="solid"/>
            </a:ln>
          </c:spPr>
          <c:cat>
            <c:strRef>
              <c:f>Sheet1!$G$11:$G$29</c:f>
              <c:strCache>
                <c:ptCount val="19"/>
                <c:pt idx="0">
                  <c:v>Andalucía</c:v>
                </c:pt>
                <c:pt idx="1">
                  <c:v>Aragón</c:v>
                </c:pt>
                <c:pt idx="2">
                  <c:v>Asturias</c:v>
                </c:pt>
                <c:pt idx="3">
                  <c:v>Baleares</c:v>
                </c:pt>
                <c:pt idx="4">
                  <c:v>Canarias</c:v>
                </c:pt>
                <c:pt idx="5">
                  <c:v>Cantabria</c:v>
                </c:pt>
                <c:pt idx="6">
                  <c:v>Castilla y La Mancha</c:v>
                </c:pt>
                <c:pt idx="7">
                  <c:v>Castilla y León</c:v>
                </c:pt>
                <c:pt idx="8">
                  <c:v>Cataluña</c:v>
                </c:pt>
                <c:pt idx="9">
                  <c:v>C.Valenciana</c:v>
                </c:pt>
                <c:pt idx="10">
                  <c:v>Extremadura</c:v>
                </c:pt>
                <c:pt idx="11">
                  <c:v>Galicia</c:v>
                </c:pt>
                <c:pt idx="12">
                  <c:v>Madrid</c:v>
                </c:pt>
                <c:pt idx="13">
                  <c:v>Murcia</c:v>
                </c:pt>
                <c:pt idx="14">
                  <c:v>Navarra</c:v>
                </c:pt>
                <c:pt idx="15">
                  <c:v>La Rioja</c:v>
                </c:pt>
                <c:pt idx="16">
                  <c:v>País Vasco</c:v>
                </c:pt>
                <c:pt idx="17">
                  <c:v>Ceuta</c:v>
                </c:pt>
                <c:pt idx="18">
                  <c:v>Melilla</c:v>
                </c:pt>
              </c:strCache>
            </c:strRef>
          </c:cat>
          <c:val>
            <c:numRef>
              <c:f>Sheet1!$C$11:$C$29</c:f>
              <c:numCache>
                <c:formatCode>General</c:formatCode>
                <c:ptCount val="19"/>
                <c:pt idx="0">
                  <c:v>434</c:v>
                </c:pt>
                <c:pt idx="1">
                  <c:v>63</c:v>
                </c:pt>
                <c:pt idx="2">
                  <c:v>89</c:v>
                </c:pt>
                <c:pt idx="3">
                  <c:v>30</c:v>
                </c:pt>
                <c:pt idx="4">
                  <c:v>60</c:v>
                </c:pt>
                <c:pt idx="5">
                  <c:v>17</c:v>
                </c:pt>
                <c:pt idx="6">
                  <c:v>96</c:v>
                </c:pt>
                <c:pt idx="7">
                  <c:v>185</c:v>
                </c:pt>
                <c:pt idx="8">
                  <c:v>207</c:v>
                </c:pt>
                <c:pt idx="9">
                  <c:v>121</c:v>
                </c:pt>
                <c:pt idx="10">
                  <c:v>109</c:v>
                </c:pt>
                <c:pt idx="11">
                  <c:v>105</c:v>
                </c:pt>
                <c:pt idx="12">
                  <c:v>200</c:v>
                </c:pt>
                <c:pt idx="13">
                  <c:v>39</c:v>
                </c:pt>
                <c:pt idx="14">
                  <c:v>15</c:v>
                </c:pt>
                <c:pt idx="15">
                  <c:v>28</c:v>
                </c:pt>
                <c:pt idx="16">
                  <c:v>93</c:v>
                </c:pt>
                <c:pt idx="17">
                  <c:v>4</c:v>
                </c:pt>
                <c:pt idx="18">
                  <c:v>5</c:v>
                </c:pt>
              </c:numCache>
            </c:numRef>
          </c:val>
        </c:ser>
        <c:ser>
          <c:idx val="1"/>
          <c:order val="1"/>
          <c:tx>
            <c:strRef>
              <c:f>Sheet1!$D$10</c:f>
              <c:strCache>
                <c:ptCount val="1"/>
                <c:pt idx="0">
                  <c:v>2010</c:v>
                </c:pt>
              </c:strCache>
            </c:strRef>
          </c:tx>
          <c:spPr>
            <a:solidFill>
              <a:srgbClr val="BFDEE4"/>
            </a:solidFill>
            <a:ln w="3175">
              <a:solidFill>
                <a:srgbClr val="FFFFFF"/>
              </a:solidFill>
              <a:prstDash val="solid"/>
            </a:ln>
          </c:spPr>
          <c:cat>
            <c:strRef>
              <c:f>Sheet1!$B$11:$B$29</c:f>
              <c:strCache>
                <c:ptCount val="19"/>
                <c:pt idx="0">
                  <c:v>Andalucía</c:v>
                </c:pt>
                <c:pt idx="1">
                  <c:v>Aragón</c:v>
                </c:pt>
                <c:pt idx="2">
                  <c:v>Asturias</c:v>
                </c:pt>
                <c:pt idx="3">
                  <c:v>Baleares</c:v>
                </c:pt>
                <c:pt idx="4">
                  <c:v>Canarias</c:v>
                </c:pt>
                <c:pt idx="5">
                  <c:v>Cantabria</c:v>
                </c:pt>
                <c:pt idx="6">
                  <c:v>Castilla y La Mancha</c:v>
                </c:pt>
                <c:pt idx="7">
                  <c:v>Castilla y León</c:v>
                </c:pt>
                <c:pt idx="8">
                  <c:v>Cataluña</c:v>
                </c:pt>
                <c:pt idx="9">
                  <c:v>C.Valenciana</c:v>
                </c:pt>
                <c:pt idx="10">
                  <c:v>Extremadura</c:v>
                </c:pt>
                <c:pt idx="11">
                  <c:v>Galicia</c:v>
                </c:pt>
                <c:pt idx="12">
                  <c:v>Madrid</c:v>
                </c:pt>
                <c:pt idx="13">
                  <c:v>Murcia</c:v>
                </c:pt>
                <c:pt idx="14">
                  <c:v>Navarra</c:v>
                </c:pt>
                <c:pt idx="15">
                  <c:v>La Rioja</c:v>
                </c:pt>
                <c:pt idx="16">
                  <c:v>País Vasco</c:v>
                </c:pt>
                <c:pt idx="17">
                  <c:v>Ceuta</c:v>
                </c:pt>
                <c:pt idx="18">
                  <c:v>Melilla</c:v>
                </c:pt>
              </c:strCache>
            </c:strRef>
          </c:cat>
          <c:val>
            <c:numRef>
              <c:f>Sheet1!$D$11:$D$29</c:f>
              <c:numCache>
                <c:formatCode>General</c:formatCode>
                <c:ptCount val="19"/>
                <c:pt idx="0">
                  <c:v>338</c:v>
                </c:pt>
                <c:pt idx="1">
                  <c:v>65</c:v>
                </c:pt>
                <c:pt idx="2">
                  <c:v>101</c:v>
                </c:pt>
                <c:pt idx="3">
                  <c:v>30</c:v>
                </c:pt>
                <c:pt idx="4">
                  <c:v>59</c:v>
                </c:pt>
                <c:pt idx="5">
                  <c:v>19</c:v>
                </c:pt>
                <c:pt idx="6">
                  <c:v>102</c:v>
                </c:pt>
                <c:pt idx="7">
                  <c:v>189</c:v>
                </c:pt>
                <c:pt idx="8">
                  <c:v>212</c:v>
                </c:pt>
                <c:pt idx="9">
                  <c:v>119</c:v>
                </c:pt>
                <c:pt idx="10">
                  <c:v>117</c:v>
                </c:pt>
                <c:pt idx="11">
                  <c:v>111</c:v>
                </c:pt>
                <c:pt idx="12">
                  <c:v>216</c:v>
                </c:pt>
                <c:pt idx="13">
                  <c:v>37</c:v>
                </c:pt>
                <c:pt idx="14">
                  <c:v>16</c:v>
                </c:pt>
                <c:pt idx="15">
                  <c:v>30</c:v>
                </c:pt>
                <c:pt idx="16">
                  <c:v>100</c:v>
                </c:pt>
                <c:pt idx="17">
                  <c:v>4</c:v>
                </c:pt>
                <c:pt idx="18">
                  <c:v>6</c:v>
                </c:pt>
              </c:numCache>
            </c:numRef>
          </c:val>
        </c:ser>
        <c:ser>
          <c:idx val="2"/>
          <c:order val="2"/>
          <c:tx>
            <c:strRef>
              <c:f>Sheet1!$E$10</c:f>
              <c:strCache>
                <c:ptCount val="1"/>
                <c:pt idx="0">
                  <c:v>2011</c:v>
                </c:pt>
              </c:strCache>
            </c:strRef>
          </c:tx>
          <c:spPr>
            <a:solidFill>
              <a:schemeClr val="accent5">
                <a:lumMod val="60000"/>
                <a:lumOff val="40000"/>
              </a:schemeClr>
            </a:solidFill>
            <a:ln w="3175">
              <a:solidFill>
                <a:srgbClr val="FFFFFF"/>
              </a:solidFill>
              <a:prstDash val="solid"/>
            </a:ln>
          </c:spPr>
          <c:cat>
            <c:strRef>
              <c:f>Sheet1!$B$11:$B$29</c:f>
              <c:strCache>
                <c:ptCount val="19"/>
                <c:pt idx="0">
                  <c:v>Andalucía</c:v>
                </c:pt>
                <c:pt idx="1">
                  <c:v>Aragón</c:v>
                </c:pt>
                <c:pt idx="2">
                  <c:v>Asturias</c:v>
                </c:pt>
                <c:pt idx="3">
                  <c:v>Baleares</c:v>
                </c:pt>
                <c:pt idx="4">
                  <c:v>Canarias</c:v>
                </c:pt>
                <c:pt idx="5">
                  <c:v>Cantabria</c:v>
                </c:pt>
                <c:pt idx="6">
                  <c:v>Castilla y La Mancha</c:v>
                </c:pt>
                <c:pt idx="7">
                  <c:v>Castilla y León</c:v>
                </c:pt>
                <c:pt idx="8">
                  <c:v>Cataluña</c:v>
                </c:pt>
                <c:pt idx="9">
                  <c:v>C.Valenciana</c:v>
                </c:pt>
                <c:pt idx="10">
                  <c:v>Extremadura</c:v>
                </c:pt>
                <c:pt idx="11">
                  <c:v>Galicia</c:v>
                </c:pt>
                <c:pt idx="12">
                  <c:v>Madrid</c:v>
                </c:pt>
                <c:pt idx="13">
                  <c:v>Murcia</c:v>
                </c:pt>
                <c:pt idx="14">
                  <c:v>Navarra</c:v>
                </c:pt>
                <c:pt idx="15">
                  <c:v>La Rioja</c:v>
                </c:pt>
                <c:pt idx="16">
                  <c:v>País Vasco</c:v>
                </c:pt>
                <c:pt idx="17">
                  <c:v>Ceuta</c:v>
                </c:pt>
                <c:pt idx="18">
                  <c:v>Melilla</c:v>
                </c:pt>
              </c:strCache>
            </c:strRef>
          </c:cat>
          <c:val>
            <c:numRef>
              <c:f>Sheet1!$E$11:$E$29</c:f>
              <c:numCache>
                <c:formatCode>General</c:formatCode>
                <c:ptCount val="19"/>
                <c:pt idx="0">
                  <c:v>608</c:v>
                </c:pt>
                <c:pt idx="1">
                  <c:v>104</c:v>
                </c:pt>
                <c:pt idx="2">
                  <c:v>104</c:v>
                </c:pt>
                <c:pt idx="3">
                  <c:v>30</c:v>
                </c:pt>
                <c:pt idx="4">
                  <c:v>62</c:v>
                </c:pt>
                <c:pt idx="5">
                  <c:v>19</c:v>
                </c:pt>
                <c:pt idx="6">
                  <c:v>106</c:v>
                </c:pt>
                <c:pt idx="7">
                  <c:v>214</c:v>
                </c:pt>
                <c:pt idx="8">
                  <c:v>215</c:v>
                </c:pt>
                <c:pt idx="9">
                  <c:v>125</c:v>
                </c:pt>
                <c:pt idx="10">
                  <c:v>118</c:v>
                </c:pt>
                <c:pt idx="11">
                  <c:v>112</c:v>
                </c:pt>
                <c:pt idx="12">
                  <c:v>204</c:v>
                </c:pt>
                <c:pt idx="13">
                  <c:v>43</c:v>
                </c:pt>
                <c:pt idx="14">
                  <c:v>17</c:v>
                </c:pt>
                <c:pt idx="15">
                  <c:v>30</c:v>
                </c:pt>
                <c:pt idx="16">
                  <c:v>94</c:v>
                </c:pt>
                <c:pt idx="17">
                  <c:v>4</c:v>
                </c:pt>
                <c:pt idx="18">
                  <c:v>6</c:v>
                </c:pt>
              </c:numCache>
            </c:numRef>
          </c:val>
        </c:ser>
        <c:gapWidth val="40"/>
        <c:axId val="213979136"/>
        <c:axId val="213980672"/>
      </c:barChart>
      <c:catAx>
        <c:axId val="213979136"/>
        <c:scaling>
          <c:orientation val="minMax"/>
        </c:scaling>
        <c:axPos val="b"/>
        <c:tickLblPos val="low"/>
        <c:spPr>
          <a:ln w="3175">
            <a:solidFill>
              <a:srgbClr val="000000"/>
            </a:solidFill>
            <a:prstDash val="solid"/>
          </a:ln>
        </c:spPr>
        <c:crossAx val="213980672"/>
        <c:crosses val="autoZero"/>
        <c:auto val="1"/>
        <c:lblAlgn val="ctr"/>
        <c:lblOffset val="100"/>
      </c:catAx>
      <c:valAx>
        <c:axId val="213980672"/>
        <c:scaling>
          <c:orientation val="minMax"/>
          <c:max val="650"/>
          <c:min val="0"/>
        </c:scaling>
        <c:axPos val="l"/>
        <c:numFmt formatCode="General" sourceLinked="1"/>
        <c:tickLblPos val="nextTo"/>
        <c:spPr>
          <a:ln w="3175">
            <a:solidFill>
              <a:srgbClr val="000000"/>
            </a:solidFill>
            <a:prstDash val="solid"/>
          </a:ln>
        </c:spPr>
        <c:crossAx val="213979136"/>
        <c:crosses val="autoZero"/>
        <c:crossBetween val="between"/>
        <c:majorUnit val="100"/>
      </c:valAx>
      <c:spPr>
        <a:noFill/>
        <a:ln w="25400">
          <a:noFill/>
        </a:ln>
      </c:spPr>
    </c:plotArea>
    <c:legend>
      <c:legendPos val="r"/>
      <c:layout>
        <c:manualLayout>
          <c:xMode val="edge"/>
          <c:yMode val="edge"/>
          <c:x val="0.81701961451799165"/>
          <c:y val="0.36051244945733135"/>
          <c:w val="8.0713535380470727E-2"/>
          <c:h val="0.18215448529056574"/>
        </c:manualLayout>
      </c:layout>
      <c:spPr>
        <a:noFill/>
        <a:ln w="25400">
          <a:noFill/>
        </a:ln>
      </c:spPr>
    </c:legend>
    <c:plotVisOnly val="1"/>
  </c:chart>
  <c:spPr>
    <a:noFill/>
    <a:ln w="9525">
      <a:noFill/>
    </a:ln>
  </c:spPr>
  <c:txPr>
    <a:bodyPr/>
    <a:lstStyle/>
    <a:p>
      <a:pPr>
        <a:defRPr sz="800" b="0" i="0">
          <a:solidFill>
            <a:srgbClr val="000000"/>
          </a:solidFill>
          <a:latin typeface="MinionPro-Regular"/>
          <a:ea typeface="Arial"/>
          <a:cs typeface="Arial"/>
        </a:defRPr>
      </a:pPr>
      <a:endParaRPr lang="es-ES"/>
    </a:p>
  </c:txPr>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date1904 val="1"/>
  <c:lang val="es-ES"/>
  <c:chart>
    <c:autoTitleDeleted val="1"/>
    <c:plotArea>
      <c:layout>
        <c:manualLayout>
          <c:layoutTarget val="inner"/>
          <c:xMode val="edge"/>
          <c:yMode val="edge"/>
          <c:x val="0.27784521934758188"/>
          <c:y val="0.18312089037650781"/>
          <c:w val="0.47072620922386038"/>
          <c:h val="0.59558981956523716"/>
        </c:manualLayout>
      </c:layout>
      <c:lineChart>
        <c:grouping val="stacked"/>
        <c:ser>
          <c:idx val="0"/>
          <c:order val="0"/>
          <c:tx>
            <c:strRef>
              <c:f>Sheet1!$D$10</c:f>
              <c:strCache>
                <c:ptCount val="1"/>
                <c:pt idx="0">
                  <c:v>2010</c:v>
                </c:pt>
              </c:strCache>
            </c:strRef>
          </c:tx>
          <c:spPr>
            <a:ln w="15875"/>
          </c:spPr>
          <c:marker>
            <c:symbol val="diamond"/>
            <c:size val="5"/>
            <c:spPr>
              <a:solidFill>
                <a:srgbClr val="007C92"/>
              </a:solidFill>
              <a:ln>
                <a:solidFill>
                  <a:srgbClr val="007C92"/>
                </a:solidFill>
                <a:prstDash val="solid"/>
              </a:ln>
            </c:spPr>
          </c:marker>
          <c:dLbls>
            <c:dLbl>
              <c:idx val="0"/>
              <c:layout>
                <c:manualLayout>
                  <c:x val="-5.4285714285714284E-2"/>
                  <c:y val="-6.363636363636363E-2"/>
                </c:manualLayout>
              </c:layout>
              <c:showVal val="1"/>
            </c:dLbl>
            <c:dLbl>
              <c:idx val="1"/>
              <c:layout>
                <c:manualLayout>
                  <c:x val="-4.2857142857142823E-2"/>
                  <c:y val="-9.0909090909091064E-2"/>
                </c:manualLayout>
              </c:layout>
              <c:showVal val="1"/>
            </c:dLbl>
            <c:dLbl>
              <c:idx val="2"/>
              <c:layout>
                <c:manualLayout>
                  <c:x val="-5.1428571428571428E-2"/>
                  <c:y val="-5.9090909090909124E-2"/>
                </c:manualLayout>
              </c:layout>
              <c:showVal val="1"/>
            </c:dLbl>
            <c:txPr>
              <a:bodyPr/>
              <a:lstStyle/>
              <a:p>
                <a:pPr>
                  <a:defRPr sz="900"/>
                </a:pPr>
                <a:endParaRPr lang="es-ES"/>
              </a:p>
            </c:txPr>
            <c:showVal val="1"/>
          </c:dLbls>
          <c:cat>
            <c:numRef>
              <c:f>Sheet1!$C$10:$E$10</c:f>
              <c:numCache>
                <c:formatCode>General</c:formatCode>
                <c:ptCount val="3"/>
                <c:pt idx="0">
                  <c:v>2009</c:v>
                </c:pt>
                <c:pt idx="1">
                  <c:v>2010</c:v>
                </c:pt>
                <c:pt idx="2">
                  <c:v>2011</c:v>
                </c:pt>
              </c:numCache>
            </c:numRef>
          </c:cat>
          <c:val>
            <c:numRef>
              <c:f>Sheet1!$C$30:$E$30</c:f>
              <c:numCache>
                <c:formatCode>_-* #,##0\ _€_-;\-* #,##0\ _€_-;_-* "-"??\ _€_-;_-@_-</c:formatCode>
                <c:ptCount val="3"/>
                <c:pt idx="0">
                  <c:v>1900</c:v>
                </c:pt>
                <c:pt idx="1">
                  <c:v>1871</c:v>
                </c:pt>
                <c:pt idx="2">
                  <c:v>2215</c:v>
                </c:pt>
              </c:numCache>
            </c:numRef>
          </c:val>
        </c:ser>
        <c:marker val="1"/>
        <c:axId val="214017152"/>
        <c:axId val="214018688"/>
      </c:lineChart>
      <c:catAx>
        <c:axId val="214017152"/>
        <c:scaling>
          <c:orientation val="minMax"/>
        </c:scaling>
        <c:axPos val="b"/>
        <c:numFmt formatCode="General" sourceLinked="1"/>
        <c:tickLblPos val="low"/>
        <c:spPr>
          <a:ln w="3175">
            <a:solidFill>
              <a:srgbClr val="000000"/>
            </a:solidFill>
            <a:prstDash val="solid"/>
          </a:ln>
        </c:spPr>
        <c:txPr>
          <a:bodyPr/>
          <a:lstStyle/>
          <a:p>
            <a:pPr>
              <a:defRPr sz="900"/>
            </a:pPr>
            <a:endParaRPr lang="es-ES"/>
          </a:p>
        </c:txPr>
        <c:crossAx val="214018688"/>
        <c:crosses val="autoZero"/>
        <c:auto val="1"/>
        <c:lblAlgn val="ctr"/>
        <c:lblOffset val="100"/>
      </c:catAx>
      <c:valAx>
        <c:axId val="214018688"/>
        <c:scaling>
          <c:orientation val="minMax"/>
        </c:scaling>
        <c:axPos val="l"/>
        <c:title>
          <c:tx>
            <c:rich>
              <a:bodyPr rot="-5400000" vert="horz"/>
              <a:lstStyle/>
              <a:p>
                <a:pPr>
                  <a:defRPr/>
                </a:pPr>
                <a:r>
                  <a:rPr lang="en-US"/>
                  <a:t>Número</a:t>
                </a:r>
                <a:r>
                  <a:rPr lang="en-US" baseline="0"/>
                  <a:t> de centros especiales de empleo</a:t>
                </a:r>
                <a:endParaRPr lang="en-US"/>
              </a:p>
            </c:rich>
          </c:tx>
          <c:layout>
            <c:manualLayout>
              <c:xMode val="edge"/>
              <c:yMode val="edge"/>
              <c:x val="2.9547148069906298E-2"/>
              <c:y val="8.5823754789272066E-2"/>
            </c:manualLayout>
          </c:layout>
        </c:title>
        <c:numFmt formatCode="_-* #,##0\ _€_-;\-* #,##0\ _€_-;_-* &quot;-&quot;??\ _€_-;_-@_-" sourceLinked="1"/>
        <c:tickLblPos val="low"/>
        <c:spPr>
          <a:ln w="3175">
            <a:solidFill>
              <a:srgbClr val="000000"/>
            </a:solidFill>
            <a:prstDash val="solid"/>
          </a:ln>
        </c:spPr>
        <c:txPr>
          <a:bodyPr/>
          <a:lstStyle/>
          <a:p>
            <a:pPr>
              <a:defRPr sz="900"/>
            </a:pPr>
            <a:endParaRPr lang="es-ES"/>
          </a:p>
        </c:txPr>
        <c:crossAx val="214017152"/>
        <c:crossesAt val="2008"/>
        <c:crossBetween val="between"/>
      </c:valAx>
      <c:spPr>
        <a:noFill/>
        <a:ln w="25400">
          <a:noFill/>
        </a:ln>
      </c:spPr>
    </c:plotArea>
    <c:plotVisOnly val="1"/>
  </c:chart>
  <c:spPr>
    <a:noFill/>
    <a:ln w="9525">
      <a:noFill/>
    </a:ln>
  </c:spPr>
  <c:txPr>
    <a:bodyPr/>
    <a:lstStyle/>
    <a:p>
      <a:pPr>
        <a:defRPr sz="1000" b="0" i="0">
          <a:solidFill>
            <a:srgbClr val="000000"/>
          </a:solidFill>
          <a:latin typeface="MinionPro-Regular"/>
          <a:ea typeface="Arial"/>
          <a:cs typeface="Arial"/>
        </a:defRPr>
      </a:pPr>
      <a:endParaRPr lang="es-ES"/>
    </a:p>
  </c:txPr>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date1904 val="1"/>
  <c:lang val="es-ES"/>
  <c:chart>
    <c:autoTitleDeleted val="1"/>
    <c:plotArea>
      <c:layout>
        <c:manualLayout>
          <c:layoutTarget val="inner"/>
          <c:xMode val="edge"/>
          <c:yMode val="edge"/>
          <c:x val="0.14020224971878514"/>
          <c:y val="9.1766494705403268E-2"/>
          <c:w val="0.72438733583349524"/>
          <c:h val="0.60402994453280934"/>
        </c:manualLayout>
      </c:layout>
      <c:barChart>
        <c:barDir val="col"/>
        <c:grouping val="clustered"/>
        <c:ser>
          <c:idx val="0"/>
          <c:order val="0"/>
          <c:tx>
            <c:strRef>
              <c:f>Sheet1!$H$39</c:f>
              <c:strCache>
                <c:ptCount val="1"/>
                <c:pt idx="0">
                  <c:v>2009</c:v>
                </c:pt>
              </c:strCache>
            </c:strRef>
          </c:tx>
          <c:spPr>
            <a:solidFill>
              <a:srgbClr val="409DAD"/>
            </a:solidFill>
            <a:ln w="3175">
              <a:solidFill>
                <a:srgbClr val="FFFFFF"/>
              </a:solidFill>
              <a:prstDash val="solid"/>
            </a:ln>
          </c:spPr>
          <c:cat>
            <c:strRef>
              <c:f>Sheet1!$G$40:$G$58</c:f>
              <c:strCache>
                <c:ptCount val="19"/>
                <c:pt idx="0">
                  <c:v>Andalucía</c:v>
                </c:pt>
                <c:pt idx="1">
                  <c:v>Aragón</c:v>
                </c:pt>
                <c:pt idx="2">
                  <c:v>Asturias</c:v>
                </c:pt>
                <c:pt idx="3">
                  <c:v>Baleares</c:v>
                </c:pt>
                <c:pt idx="4">
                  <c:v>Canarias</c:v>
                </c:pt>
                <c:pt idx="5">
                  <c:v>Cantabria</c:v>
                </c:pt>
                <c:pt idx="6">
                  <c:v>Castilla y La Mancha</c:v>
                </c:pt>
                <c:pt idx="7">
                  <c:v>Castilla y León</c:v>
                </c:pt>
                <c:pt idx="8">
                  <c:v>Cataluña</c:v>
                </c:pt>
                <c:pt idx="9">
                  <c:v>C.Valenciana</c:v>
                </c:pt>
                <c:pt idx="10">
                  <c:v>Extremadura</c:v>
                </c:pt>
                <c:pt idx="11">
                  <c:v>Galicia</c:v>
                </c:pt>
                <c:pt idx="12">
                  <c:v>Madrid</c:v>
                </c:pt>
                <c:pt idx="13">
                  <c:v>Murcia</c:v>
                </c:pt>
                <c:pt idx="14">
                  <c:v>Navarra</c:v>
                </c:pt>
                <c:pt idx="15">
                  <c:v>La Rioja</c:v>
                </c:pt>
                <c:pt idx="16">
                  <c:v>País Vasco</c:v>
                </c:pt>
                <c:pt idx="17">
                  <c:v>Ceuta</c:v>
                </c:pt>
                <c:pt idx="18">
                  <c:v>Melilla</c:v>
                </c:pt>
              </c:strCache>
            </c:strRef>
          </c:cat>
          <c:val>
            <c:numRef>
              <c:f>Sheet1!$H$40:$H$58</c:f>
              <c:numCache>
                <c:formatCode>0.0%</c:formatCode>
                <c:ptCount val="19"/>
                <c:pt idx="0">
                  <c:v>0.20469715259533419</c:v>
                </c:pt>
                <c:pt idx="1">
                  <c:v>2.968117588582124E-2</c:v>
                </c:pt>
                <c:pt idx="2">
                  <c:v>3.17403962223958E-2</c:v>
                </c:pt>
                <c:pt idx="3">
                  <c:v>1.2000284030391252E-2</c:v>
                </c:pt>
                <c:pt idx="4">
                  <c:v>2.1604061634594902E-2</c:v>
                </c:pt>
                <c:pt idx="5">
                  <c:v>1.7751899453241498E-2</c:v>
                </c:pt>
                <c:pt idx="6">
                  <c:v>3.2894269686857415E-2</c:v>
                </c:pt>
                <c:pt idx="7">
                  <c:v>6.1581339203294762E-2</c:v>
                </c:pt>
                <c:pt idx="8">
                  <c:v>0.19321167364908037</c:v>
                </c:pt>
                <c:pt idx="9">
                  <c:v>6.8291557196620042E-2</c:v>
                </c:pt>
                <c:pt idx="10">
                  <c:v>2.3290492082652839E-2</c:v>
                </c:pt>
                <c:pt idx="11">
                  <c:v>2.8314279627920252E-2</c:v>
                </c:pt>
                <c:pt idx="12">
                  <c:v>0.11235177163956538</c:v>
                </c:pt>
                <c:pt idx="13">
                  <c:v>1.540864872541362E-2</c:v>
                </c:pt>
                <c:pt idx="14">
                  <c:v>2.1905843925300844E-2</c:v>
                </c:pt>
                <c:pt idx="15">
                  <c:v>8.3966484413832768E-3</c:v>
                </c:pt>
                <c:pt idx="16">
                  <c:v>0.11492579706028794</c:v>
                </c:pt>
                <c:pt idx="17">
                  <c:v>1.2426329617269659E-3</c:v>
                </c:pt>
                <c:pt idx="18">
                  <c:v>7.10075978129685E-4</c:v>
                </c:pt>
              </c:numCache>
            </c:numRef>
          </c:val>
        </c:ser>
        <c:ser>
          <c:idx val="1"/>
          <c:order val="1"/>
          <c:tx>
            <c:strRef>
              <c:f>Sheet1!$I$39</c:f>
              <c:strCache>
                <c:ptCount val="1"/>
                <c:pt idx="0">
                  <c:v>2010</c:v>
                </c:pt>
              </c:strCache>
            </c:strRef>
          </c:tx>
          <c:spPr>
            <a:solidFill>
              <a:srgbClr val="BFDEE4"/>
            </a:solidFill>
            <a:ln w="3175">
              <a:solidFill>
                <a:srgbClr val="FFFFFF"/>
              </a:solidFill>
              <a:prstDash val="solid"/>
            </a:ln>
          </c:spPr>
          <c:cat>
            <c:strRef>
              <c:f>Sheet1!$G$40:$G$58</c:f>
              <c:strCache>
                <c:ptCount val="19"/>
                <c:pt idx="0">
                  <c:v>Andalucía</c:v>
                </c:pt>
                <c:pt idx="1">
                  <c:v>Aragón</c:v>
                </c:pt>
                <c:pt idx="2">
                  <c:v>Asturias</c:v>
                </c:pt>
                <c:pt idx="3">
                  <c:v>Baleares</c:v>
                </c:pt>
                <c:pt idx="4">
                  <c:v>Canarias</c:v>
                </c:pt>
                <c:pt idx="5">
                  <c:v>Cantabria</c:v>
                </c:pt>
                <c:pt idx="6">
                  <c:v>Castilla y La Mancha</c:v>
                </c:pt>
                <c:pt idx="7">
                  <c:v>Castilla y León</c:v>
                </c:pt>
                <c:pt idx="8">
                  <c:v>Cataluña</c:v>
                </c:pt>
                <c:pt idx="9">
                  <c:v>C.Valenciana</c:v>
                </c:pt>
                <c:pt idx="10">
                  <c:v>Extremadura</c:v>
                </c:pt>
                <c:pt idx="11">
                  <c:v>Galicia</c:v>
                </c:pt>
                <c:pt idx="12">
                  <c:v>Madrid</c:v>
                </c:pt>
                <c:pt idx="13">
                  <c:v>Murcia</c:v>
                </c:pt>
                <c:pt idx="14">
                  <c:v>Navarra</c:v>
                </c:pt>
                <c:pt idx="15">
                  <c:v>La Rioja</c:v>
                </c:pt>
                <c:pt idx="16">
                  <c:v>País Vasco</c:v>
                </c:pt>
                <c:pt idx="17">
                  <c:v>Ceuta</c:v>
                </c:pt>
                <c:pt idx="18">
                  <c:v>Melilla</c:v>
                </c:pt>
              </c:strCache>
            </c:strRef>
          </c:cat>
          <c:val>
            <c:numRef>
              <c:f>Sheet1!$I$40:$I$58</c:f>
              <c:numCache>
                <c:formatCode>0.0%</c:formatCode>
                <c:ptCount val="19"/>
                <c:pt idx="0">
                  <c:v>0.15995606995015629</c:v>
                </c:pt>
                <c:pt idx="1">
                  <c:v>2.953451043338684E-2</c:v>
                </c:pt>
                <c:pt idx="2">
                  <c:v>3.375855368758976E-2</c:v>
                </c:pt>
                <c:pt idx="3">
                  <c:v>1.1962490495903142E-2</c:v>
                </c:pt>
                <c:pt idx="4">
                  <c:v>2.1103320097997803E-2</c:v>
                </c:pt>
                <c:pt idx="5">
                  <c:v>1.6372391653290529E-2</c:v>
                </c:pt>
                <c:pt idx="6">
                  <c:v>3.8134662498944004E-2</c:v>
                </c:pt>
                <c:pt idx="7">
                  <c:v>6.584438624651516E-2</c:v>
                </c:pt>
                <c:pt idx="8">
                  <c:v>0.20089549716989688</c:v>
                </c:pt>
                <c:pt idx="9">
                  <c:v>7.5086592886712114E-2</c:v>
                </c:pt>
                <c:pt idx="10">
                  <c:v>2.2336740728226209E-2</c:v>
                </c:pt>
                <c:pt idx="11">
                  <c:v>3.0142772661992081E-2</c:v>
                </c:pt>
                <c:pt idx="12">
                  <c:v>0.13146912224381177</c:v>
                </c:pt>
                <c:pt idx="13">
                  <c:v>1.4648982005575736E-2</c:v>
                </c:pt>
                <c:pt idx="14">
                  <c:v>2.1491932077385523E-2</c:v>
                </c:pt>
                <c:pt idx="15">
                  <c:v>8.329813297288529E-3</c:v>
                </c:pt>
                <c:pt idx="16">
                  <c:v>0.11736081777477395</c:v>
                </c:pt>
                <c:pt idx="17">
                  <c:v>8.6170482385740247E-4</c:v>
                </c:pt>
                <c:pt idx="18">
                  <c:v>7.0963926670609132E-4</c:v>
                </c:pt>
              </c:numCache>
            </c:numRef>
          </c:val>
        </c:ser>
        <c:ser>
          <c:idx val="2"/>
          <c:order val="2"/>
          <c:tx>
            <c:strRef>
              <c:f>Sheet1!$J$39</c:f>
              <c:strCache>
                <c:ptCount val="1"/>
                <c:pt idx="0">
                  <c:v>2011</c:v>
                </c:pt>
              </c:strCache>
            </c:strRef>
          </c:tx>
          <c:spPr>
            <a:solidFill>
              <a:srgbClr val="AA5CAA"/>
            </a:solidFill>
            <a:ln w="3175">
              <a:solidFill>
                <a:srgbClr val="FFFFFF"/>
              </a:solidFill>
              <a:prstDash val="solid"/>
            </a:ln>
          </c:spPr>
          <c:cat>
            <c:strRef>
              <c:f>Sheet1!$G$40:$G$58</c:f>
              <c:strCache>
                <c:ptCount val="19"/>
                <c:pt idx="0">
                  <c:v>Andalucía</c:v>
                </c:pt>
                <c:pt idx="1">
                  <c:v>Aragón</c:v>
                </c:pt>
                <c:pt idx="2">
                  <c:v>Asturias</c:v>
                </c:pt>
                <c:pt idx="3">
                  <c:v>Baleares</c:v>
                </c:pt>
                <c:pt idx="4">
                  <c:v>Canarias</c:v>
                </c:pt>
                <c:pt idx="5">
                  <c:v>Cantabria</c:v>
                </c:pt>
                <c:pt idx="6">
                  <c:v>Castilla y La Mancha</c:v>
                </c:pt>
                <c:pt idx="7">
                  <c:v>Castilla y León</c:v>
                </c:pt>
                <c:pt idx="8">
                  <c:v>Cataluña</c:v>
                </c:pt>
                <c:pt idx="9">
                  <c:v>C.Valenciana</c:v>
                </c:pt>
                <c:pt idx="10">
                  <c:v>Extremadura</c:v>
                </c:pt>
                <c:pt idx="11">
                  <c:v>Galicia</c:v>
                </c:pt>
                <c:pt idx="12">
                  <c:v>Madrid</c:v>
                </c:pt>
                <c:pt idx="13">
                  <c:v>Murcia</c:v>
                </c:pt>
                <c:pt idx="14">
                  <c:v>Navarra</c:v>
                </c:pt>
                <c:pt idx="15">
                  <c:v>La Rioja</c:v>
                </c:pt>
                <c:pt idx="16">
                  <c:v>País Vasco</c:v>
                </c:pt>
                <c:pt idx="17">
                  <c:v>Ceuta</c:v>
                </c:pt>
                <c:pt idx="18">
                  <c:v>Melilla</c:v>
                </c:pt>
              </c:strCache>
            </c:strRef>
          </c:cat>
          <c:val>
            <c:numRef>
              <c:f>Sheet1!$J$40:$J$58</c:f>
              <c:numCache>
                <c:formatCode>0.0%</c:formatCode>
                <c:ptCount val="19"/>
                <c:pt idx="0">
                  <c:v>0.18862884564613094</c:v>
                </c:pt>
                <c:pt idx="1">
                  <c:v>2.9274277461136897E-2</c:v>
                </c:pt>
                <c:pt idx="2">
                  <c:v>3.2131819664238802E-2</c:v>
                </c:pt>
                <c:pt idx="3">
                  <c:v>1.125933748505226E-2</c:v>
                </c:pt>
                <c:pt idx="4">
                  <c:v>1.8216831544781101E-2</c:v>
                </c:pt>
                <c:pt idx="5">
                  <c:v>1.6492988150517945E-2</c:v>
                </c:pt>
                <c:pt idx="6">
                  <c:v>3.5548446211427061E-2</c:v>
                </c:pt>
                <c:pt idx="7">
                  <c:v>6.4450000776506033E-2</c:v>
                </c:pt>
                <c:pt idx="8">
                  <c:v>0.18915686974887788</c:v>
                </c:pt>
                <c:pt idx="9">
                  <c:v>6.2664036899566913E-2</c:v>
                </c:pt>
                <c:pt idx="10">
                  <c:v>2.1478156885279966E-2</c:v>
                </c:pt>
                <c:pt idx="11">
                  <c:v>2.9041325651101089E-2</c:v>
                </c:pt>
                <c:pt idx="12">
                  <c:v>0.14548617042754441</c:v>
                </c:pt>
                <c:pt idx="13">
                  <c:v>1.4458542342873998E-2</c:v>
                </c:pt>
                <c:pt idx="14">
                  <c:v>1.992514481837579E-2</c:v>
                </c:pt>
                <c:pt idx="15">
                  <c:v>7.8893012998712524E-3</c:v>
                </c:pt>
                <c:pt idx="16">
                  <c:v>0.11246913388517028</c:v>
                </c:pt>
                <c:pt idx="17">
                  <c:v>8.6968675746610768E-4</c:v>
                </c:pt>
                <c:pt idx="18">
                  <c:v>5.5908434408537895E-4</c:v>
                </c:pt>
              </c:numCache>
            </c:numRef>
          </c:val>
        </c:ser>
        <c:gapWidth val="40"/>
        <c:axId val="214060416"/>
        <c:axId val="214066304"/>
      </c:barChart>
      <c:catAx>
        <c:axId val="214060416"/>
        <c:scaling>
          <c:orientation val="minMax"/>
        </c:scaling>
        <c:axPos val="b"/>
        <c:tickLblPos val="low"/>
        <c:spPr>
          <a:ln w="3175">
            <a:solidFill>
              <a:srgbClr val="000000"/>
            </a:solidFill>
            <a:prstDash val="solid"/>
          </a:ln>
        </c:spPr>
        <c:crossAx val="214066304"/>
        <c:crosses val="autoZero"/>
        <c:auto val="1"/>
        <c:lblAlgn val="ctr"/>
        <c:lblOffset val="100"/>
      </c:catAx>
      <c:valAx>
        <c:axId val="214066304"/>
        <c:scaling>
          <c:orientation val="minMax"/>
        </c:scaling>
        <c:axPos val="l"/>
        <c:numFmt formatCode="0.0%" sourceLinked="1"/>
        <c:tickLblPos val="nextTo"/>
        <c:spPr>
          <a:ln w="3175">
            <a:solidFill>
              <a:srgbClr val="000000"/>
            </a:solidFill>
            <a:prstDash val="solid"/>
          </a:ln>
        </c:spPr>
        <c:crossAx val="214060416"/>
        <c:crosses val="autoZero"/>
        <c:crossBetween val="between"/>
      </c:valAx>
      <c:spPr>
        <a:noFill/>
        <a:ln w="25400">
          <a:noFill/>
        </a:ln>
      </c:spPr>
    </c:plotArea>
    <c:legend>
      <c:legendPos val="r"/>
      <c:layout>
        <c:manualLayout>
          <c:xMode val="edge"/>
          <c:yMode val="edge"/>
          <c:x val="0.88795629199101456"/>
          <c:y val="0.30669562856367094"/>
          <c:w val="8.0560394846281247E-2"/>
          <c:h val="0.17551437104844694"/>
        </c:manualLayout>
      </c:layout>
      <c:spPr>
        <a:noFill/>
        <a:ln w="25400">
          <a:noFill/>
        </a:ln>
      </c:spPr>
    </c:legend>
    <c:plotVisOnly val="1"/>
  </c:chart>
  <c:spPr>
    <a:noFill/>
    <a:ln w="9525">
      <a:noFill/>
    </a:ln>
  </c:spPr>
  <c:txPr>
    <a:bodyPr/>
    <a:lstStyle/>
    <a:p>
      <a:pPr>
        <a:defRPr sz="800" b="0" i="0">
          <a:solidFill>
            <a:srgbClr val="000000"/>
          </a:solidFill>
          <a:latin typeface="MinionPro-Regular"/>
          <a:ea typeface="Arial"/>
          <a:cs typeface="Arial"/>
        </a:defRPr>
      </a:pPr>
      <a:endParaRPr lang="es-ES"/>
    </a:p>
  </c:txPr>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date1904 val="1"/>
  <c:lang val="es-ES"/>
  <c:chart>
    <c:autoTitleDeleted val="1"/>
    <c:plotArea>
      <c:layout>
        <c:manualLayout>
          <c:layoutTarget val="inner"/>
          <c:xMode val="edge"/>
          <c:yMode val="edge"/>
          <c:x val="0.25170235299534927"/>
          <c:y val="0.19095516102312321"/>
          <c:w val="0.46972625132385937"/>
          <c:h val="0.62495573984812414"/>
        </c:manualLayout>
      </c:layout>
      <c:lineChart>
        <c:grouping val="standard"/>
        <c:ser>
          <c:idx val="0"/>
          <c:order val="0"/>
          <c:tx>
            <c:strRef>
              <c:f>Sheet1!$B$37</c:f>
              <c:strCache>
                <c:ptCount val="1"/>
                <c:pt idx="0">
                  <c:v>Plantilla de personas con discapacidad en CEE</c:v>
                </c:pt>
              </c:strCache>
            </c:strRef>
          </c:tx>
          <c:spPr>
            <a:ln w="12700">
              <a:solidFill>
                <a:srgbClr val="007C92"/>
              </a:solidFill>
              <a:prstDash val="solid"/>
            </a:ln>
          </c:spPr>
          <c:marker>
            <c:symbol val="diamond"/>
            <c:size val="3"/>
            <c:spPr>
              <a:solidFill>
                <a:srgbClr val="007C92"/>
              </a:solidFill>
              <a:ln>
                <a:solidFill>
                  <a:srgbClr val="007C92"/>
                </a:solidFill>
                <a:prstDash val="solid"/>
              </a:ln>
            </c:spPr>
          </c:marker>
          <c:dLbls>
            <c:dLbl>
              <c:idx val="0"/>
              <c:layout>
                <c:manualLayout>
                  <c:x val="-3.4599918129500943E-3"/>
                  <c:y val="-9.9991018232987047E-2"/>
                </c:manualLayout>
              </c:layout>
              <c:showVal val="1"/>
            </c:dLbl>
            <c:dLbl>
              <c:idx val="1"/>
              <c:layout>
                <c:manualLayout>
                  <c:x val="-6.1563967348119024E-2"/>
                  <c:y val="-8.3272955899523965E-2"/>
                </c:manualLayout>
              </c:layout>
              <c:showVal val="1"/>
            </c:dLbl>
            <c:dLbl>
              <c:idx val="2"/>
              <c:layout>
                <c:manualLayout>
                  <c:x val="-6.526764429675648E-2"/>
                  <c:y val="-6.2040058680877745E-2"/>
                </c:manualLayout>
              </c:layout>
              <c:showVal val="1"/>
            </c:dLbl>
            <c:showVal val="1"/>
          </c:dLbls>
          <c:cat>
            <c:numRef>
              <c:f>Sheet1!$C$39:$E$39</c:f>
              <c:numCache>
                <c:formatCode>General</c:formatCode>
                <c:ptCount val="3"/>
                <c:pt idx="0">
                  <c:v>2009</c:v>
                </c:pt>
                <c:pt idx="1">
                  <c:v>2010</c:v>
                </c:pt>
                <c:pt idx="2">
                  <c:v>2011</c:v>
                </c:pt>
              </c:numCache>
            </c:numRef>
          </c:cat>
          <c:val>
            <c:numRef>
              <c:f>Sheet1!$C$59:$E$59</c:f>
              <c:numCache>
                <c:formatCode>_-* #,##0\ _€_-;\-* #,##0\ _€_-;_-* "-"??\ _€_-;_-@_-</c:formatCode>
                <c:ptCount val="3"/>
                <c:pt idx="0">
                  <c:v>56332</c:v>
                </c:pt>
                <c:pt idx="1">
                  <c:v>59185</c:v>
                </c:pt>
                <c:pt idx="2">
                  <c:v>64391</c:v>
                </c:pt>
              </c:numCache>
            </c:numRef>
          </c:val>
        </c:ser>
        <c:marker val="1"/>
        <c:axId val="214094592"/>
        <c:axId val="214096128"/>
      </c:lineChart>
      <c:catAx>
        <c:axId val="214094592"/>
        <c:scaling>
          <c:orientation val="minMax"/>
        </c:scaling>
        <c:axPos val="b"/>
        <c:numFmt formatCode="General" sourceLinked="1"/>
        <c:tickLblPos val="low"/>
        <c:spPr>
          <a:ln w="3175">
            <a:solidFill>
              <a:srgbClr val="000000"/>
            </a:solidFill>
            <a:prstDash val="solid"/>
          </a:ln>
        </c:spPr>
        <c:crossAx val="214096128"/>
        <c:crosses val="autoZero"/>
        <c:auto val="1"/>
        <c:lblAlgn val="ctr"/>
        <c:lblOffset val="100"/>
      </c:catAx>
      <c:valAx>
        <c:axId val="214096128"/>
        <c:scaling>
          <c:orientation val="minMax"/>
        </c:scaling>
        <c:axPos val="l"/>
        <c:title>
          <c:tx>
            <c:rich>
              <a:bodyPr rot="-5400000" vert="horz"/>
              <a:lstStyle/>
              <a:p>
                <a:pPr>
                  <a:defRPr/>
                </a:pPr>
                <a:r>
                  <a:rPr lang="en-US"/>
                  <a:t>PCD en centros</a:t>
                </a:r>
                <a:r>
                  <a:rPr lang="en-US" baseline="0"/>
                  <a:t> especiales de empleo</a:t>
                </a:r>
                <a:r>
                  <a:rPr lang="en-US"/>
                  <a:t> (Número)</a:t>
                </a:r>
              </a:p>
            </c:rich>
          </c:tx>
          <c:layout>
            <c:manualLayout>
              <c:xMode val="edge"/>
              <c:yMode val="edge"/>
              <c:x val="4.2774446772135141E-2"/>
              <c:y val="0.11680608365019012"/>
            </c:manualLayout>
          </c:layout>
        </c:title>
        <c:numFmt formatCode="_-* #,##0\ _€_-;\-* #,##0\ _€_-;_-* &quot;-&quot;??\ _€_-;_-@_-" sourceLinked="1"/>
        <c:tickLblPos val="nextTo"/>
        <c:spPr>
          <a:ln w="3175">
            <a:solidFill>
              <a:srgbClr val="000000"/>
            </a:solidFill>
            <a:prstDash val="solid"/>
          </a:ln>
        </c:spPr>
        <c:crossAx val="214094592"/>
        <c:crosses val="autoZero"/>
        <c:crossBetween val="midCat"/>
      </c:valAx>
      <c:spPr>
        <a:noFill/>
        <a:ln w="25400">
          <a:noFill/>
        </a:ln>
      </c:spPr>
    </c:plotArea>
    <c:legend>
      <c:legendPos val="r"/>
      <c:layout>
        <c:manualLayout>
          <c:xMode val="edge"/>
          <c:yMode val="edge"/>
          <c:x val="0.75373187047273105"/>
          <c:y val="0.3187177651744772"/>
          <c:w val="0.2240205829534466"/>
          <c:h val="0.41176488819088047"/>
        </c:manualLayout>
      </c:layout>
      <c:spPr>
        <a:noFill/>
        <a:ln w="25400">
          <a:noFill/>
        </a:ln>
      </c:spPr>
    </c:legend>
    <c:plotVisOnly val="1"/>
  </c:chart>
  <c:spPr>
    <a:noFill/>
    <a:ln w="9525">
      <a:noFill/>
    </a:ln>
  </c:spPr>
  <c:txPr>
    <a:bodyPr/>
    <a:lstStyle/>
    <a:p>
      <a:pPr>
        <a:defRPr sz="800" b="0" i="0">
          <a:solidFill>
            <a:srgbClr val="000000"/>
          </a:solidFill>
          <a:latin typeface="MinionPro-Regular"/>
          <a:ea typeface="Arial"/>
          <a:cs typeface="Arial"/>
        </a:defRPr>
      </a:pPr>
      <a:endParaRPr lang="es-ES"/>
    </a:p>
  </c:txPr>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date1904 val="1"/>
  <c:lang val="es-ES"/>
  <c:chart>
    <c:autoTitleDeleted val="1"/>
    <c:plotArea>
      <c:layout>
        <c:manualLayout>
          <c:layoutTarget val="inner"/>
          <c:xMode val="edge"/>
          <c:yMode val="edge"/>
          <c:x val="0.18240202821282284"/>
          <c:y val="0.107678143419985"/>
          <c:w val="0.74486898853092076"/>
          <c:h val="0.56706242999611856"/>
        </c:manualLayout>
      </c:layout>
      <c:barChart>
        <c:barDir val="col"/>
        <c:grouping val="clustered"/>
        <c:ser>
          <c:idx val="0"/>
          <c:order val="0"/>
          <c:spPr>
            <a:solidFill>
              <a:srgbClr val="409DAD"/>
            </a:solidFill>
            <a:ln w="3175">
              <a:solidFill>
                <a:srgbClr val="FFFFFF"/>
              </a:solidFill>
              <a:prstDash val="solid"/>
            </a:ln>
          </c:spPr>
          <c:dLbls>
            <c:txPr>
              <a:bodyPr/>
              <a:lstStyle/>
              <a:p>
                <a:pPr>
                  <a:defRPr sz="700"/>
                </a:pPr>
                <a:endParaRPr lang="es-ES"/>
              </a:p>
            </c:txPr>
            <c:showVal val="1"/>
          </c:dLbls>
          <c:cat>
            <c:strRef>
              <c:f>Sheet1!$C$34:$C$52</c:f>
              <c:strCache>
                <c:ptCount val="19"/>
                <c:pt idx="0">
                  <c:v>Andalucía</c:v>
                </c:pt>
                <c:pt idx="1">
                  <c:v>Aragón</c:v>
                </c:pt>
                <c:pt idx="2">
                  <c:v>Asturias</c:v>
                </c:pt>
                <c:pt idx="3">
                  <c:v>Baleares</c:v>
                </c:pt>
                <c:pt idx="4">
                  <c:v>Canarias</c:v>
                </c:pt>
                <c:pt idx="5">
                  <c:v>Cantabria</c:v>
                </c:pt>
                <c:pt idx="6">
                  <c:v>Castilla y León</c:v>
                </c:pt>
                <c:pt idx="7">
                  <c:v>Castilla La Mancha</c:v>
                </c:pt>
                <c:pt idx="8">
                  <c:v>Cataluña</c:v>
                </c:pt>
                <c:pt idx="9">
                  <c:v>C.Valenciana</c:v>
                </c:pt>
                <c:pt idx="10">
                  <c:v>Extremadura</c:v>
                </c:pt>
                <c:pt idx="11">
                  <c:v>Galicia</c:v>
                </c:pt>
                <c:pt idx="12">
                  <c:v>Madrid</c:v>
                </c:pt>
                <c:pt idx="13">
                  <c:v>Murcia</c:v>
                </c:pt>
                <c:pt idx="14">
                  <c:v>Navarra</c:v>
                </c:pt>
                <c:pt idx="15">
                  <c:v>País Vasco</c:v>
                </c:pt>
                <c:pt idx="16">
                  <c:v>La Rioja</c:v>
                </c:pt>
                <c:pt idx="17">
                  <c:v>Ceuta</c:v>
                </c:pt>
                <c:pt idx="18">
                  <c:v>Melilla</c:v>
                </c:pt>
              </c:strCache>
            </c:strRef>
          </c:cat>
          <c:val>
            <c:numRef>
              <c:f>Sheet1!$D$34:$D$52</c:f>
              <c:numCache>
                <c:formatCode>0.00</c:formatCode>
                <c:ptCount val="19"/>
                <c:pt idx="0">
                  <c:v>7.3236203016054757</c:v>
                </c:pt>
                <c:pt idx="1">
                  <c:v>4.8857535244222792</c:v>
                </c:pt>
                <c:pt idx="2">
                  <c:v>9.9220262304028068</c:v>
                </c:pt>
                <c:pt idx="3">
                  <c:v>2.7192706553532777</c:v>
                </c:pt>
                <c:pt idx="4">
                  <c:v>2.8222318491686407</c:v>
                </c:pt>
                <c:pt idx="5">
                  <c:v>3.289627458347292</c:v>
                </c:pt>
                <c:pt idx="6">
                  <c:v>8.6878045552513967</c:v>
                </c:pt>
                <c:pt idx="7">
                  <c:v>5.1946651768758745</c:v>
                </c:pt>
                <c:pt idx="8">
                  <c:v>2.9649254831483978</c:v>
                </c:pt>
                <c:pt idx="9">
                  <c:v>2.4933661500212536</c:v>
                </c:pt>
                <c:pt idx="10">
                  <c:v>10.820088743223568</c:v>
                </c:pt>
                <c:pt idx="11">
                  <c:v>4.1172792283630546</c:v>
                </c:pt>
                <c:pt idx="12">
                  <c:v>3.1848202723177859</c:v>
                </c:pt>
                <c:pt idx="13">
                  <c:v>2.9113914623106836</c:v>
                </c:pt>
                <c:pt idx="14">
                  <c:v>2.7315029050336777</c:v>
                </c:pt>
                <c:pt idx="15">
                  <c:v>4.4557132909661394</c:v>
                </c:pt>
                <c:pt idx="16">
                  <c:v>9.6835105953745106</c:v>
                </c:pt>
                <c:pt idx="17">
                  <c:v>5.1696952464651655</c:v>
                </c:pt>
                <c:pt idx="18">
                  <c:v>7.6578473791017245</c:v>
                </c:pt>
              </c:numCache>
            </c:numRef>
          </c:val>
        </c:ser>
        <c:gapWidth val="40"/>
        <c:axId val="214104320"/>
        <c:axId val="214147840"/>
      </c:barChart>
      <c:catAx>
        <c:axId val="214104320"/>
        <c:scaling>
          <c:orientation val="minMax"/>
        </c:scaling>
        <c:axPos val="b"/>
        <c:tickLblPos val="low"/>
        <c:spPr>
          <a:ln w="3175">
            <a:solidFill>
              <a:srgbClr val="000000"/>
            </a:solidFill>
            <a:prstDash val="solid"/>
          </a:ln>
        </c:spPr>
        <c:crossAx val="214147840"/>
        <c:crosses val="autoZero"/>
        <c:auto val="1"/>
        <c:lblAlgn val="ctr"/>
        <c:lblOffset val="100"/>
      </c:catAx>
      <c:valAx>
        <c:axId val="214147840"/>
        <c:scaling>
          <c:orientation val="minMax"/>
        </c:scaling>
        <c:axPos val="l"/>
        <c:title>
          <c:tx>
            <c:rich>
              <a:bodyPr rot="-5400000" vert="horz"/>
              <a:lstStyle/>
              <a:p>
                <a:pPr>
                  <a:defRPr/>
                </a:pPr>
                <a:r>
                  <a:rPr lang="en-US"/>
                  <a:t>Número de centros</a:t>
                </a:r>
                <a:r>
                  <a:rPr lang="en-US" baseline="0"/>
                  <a:t> especiales de empleo </a:t>
                </a:r>
                <a:r>
                  <a:rPr lang="en-US"/>
                  <a:t> por </a:t>
                </a:r>
              </a:p>
              <a:p>
                <a:pPr>
                  <a:defRPr/>
                </a:pPr>
                <a:r>
                  <a:rPr lang="en-US"/>
                  <a:t>cada 100.000 habitantes</a:t>
                </a:r>
              </a:p>
            </c:rich>
          </c:tx>
          <c:layout>
            <c:manualLayout>
              <c:xMode val="edge"/>
              <c:yMode val="edge"/>
              <c:x val="4.2375258648224515E-2"/>
              <c:y val="8.9546048885050078E-2"/>
            </c:manualLayout>
          </c:layout>
        </c:title>
        <c:numFmt formatCode="0.00" sourceLinked="1"/>
        <c:tickLblPos val="nextTo"/>
        <c:spPr>
          <a:ln w="3175">
            <a:solidFill>
              <a:srgbClr val="000000"/>
            </a:solidFill>
            <a:prstDash val="solid"/>
          </a:ln>
        </c:spPr>
        <c:crossAx val="214104320"/>
        <c:crosses val="autoZero"/>
        <c:crossBetween val="between"/>
      </c:valAx>
      <c:spPr>
        <a:noFill/>
        <a:ln w="25400">
          <a:noFill/>
        </a:ln>
      </c:spPr>
    </c:plotArea>
    <c:plotVisOnly val="1"/>
  </c:chart>
  <c:spPr>
    <a:noFill/>
    <a:ln w="9525">
      <a:noFill/>
    </a:ln>
  </c:spPr>
  <c:txPr>
    <a:bodyPr/>
    <a:lstStyle/>
    <a:p>
      <a:pPr>
        <a:defRPr sz="800" b="0" i="0">
          <a:solidFill>
            <a:srgbClr val="000000"/>
          </a:solidFill>
          <a:latin typeface="MinionPro-Regular"/>
          <a:ea typeface="Arial"/>
          <a:cs typeface="Arial"/>
        </a:defRPr>
      </a:pPr>
      <a:endParaRPr lang="es-ES"/>
    </a:p>
  </c:txPr>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s-ES"/>
  <c:chart>
    <c:autoTitleDeleted val="1"/>
    <c:plotArea>
      <c:layout>
        <c:manualLayout>
          <c:layoutTarget val="inner"/>
          <c:xMode val="edge"/>
          <c:yMode val="edge"/>
          <c:x val="0.19049054213050956"/>
          <c:y val="0.20672225055131419"/>
          <c:w val="0.72950945786949273"/>
          <c:h val="0.51310662702065457"/>
        </c:manualLayout>
      </c:layout>
      <c:barChart>
        <c:barDir val="col"/>
        <c:grouping val="clustered"/>
        <c:ser>
          <c:idx val="0"/>
          <c:order val="0"/>
          <c:spPr>
            <a:solidFill>
              <a:srgbClr val="409DAD"/>
            </a:solidFill>
            <a:ln w="3175">
              <a:solidFill>
                <a:srgbClr val="FFFFFF"/>
              </a:solidFill>
              <a:prstDash val="solid"/>
            </a:ln>
          </c:spPr>
          <c:cat>
            <c:strRef>
              <c:f>'GRAFICA DEFINITIVA'!$B$28:$B$44</c:f>
              <c:strCache>
                <c:ptCount val="17"/>
                <c:pt idx="0">
                  <c:v>Extremadura</c:v>
                </c:pt>
                <c:pt idx="1">
                  <c:v>Castilla y León</c:v>
                </c:pt>
                <c:pt idx="2">
                  <c:v>Andalucía + Ceuta y Melilla</c:v>
                </c:pt>
                <c:pt idx="3">
                  <c:v>La Rioja</c:v>
                </c:pt>
                <c:pt idx="4">
                  <c:v>Asturias</c:v>
                </c:pt>
                <c:pt idx="5">
                  <c:v>Canarias</c:v>
                </c:pt>
                <c:pt idx="6">
                  <c:v>Aragón</c:v>
                </c:pt>
                <c:pt idx="7">
                  <c:v>Castilla La Mancha</c:v>
                </c:pt>
                <c:pt idx="8">
                  <c:v>Madrid</c:v>
                </c:pt>
                <c:pt idx="9">
                  <c:v>C.Valenciana</c:v>
                </c:pt>
                <c:pt idx="10">
                  <c:v>Galicia</c:v>
                </c:pt>
                <c:pt idx="11">
                  <c:v>País Vasco</c:v>
                </c:pt>
                <c:pt idx="12">
                  <c:v>Cantabria</c:v>
                </c:pt>
                <c:pt idx="13">
                  <c:v>Baleares</c:v>
                </c:pt>
                <c:pt idx="14">
                  <c:v>Cataluña</c:v>
                </c:pt>
                <c:pt idx="15">
                  <c:v>Navarra</c:v>
                </c:pt>
                <c:pt idx="16">
                  <c:v>Murcia</c:v>
                </c:pt>
              </c:strCache>
            </c:strRef>
          </c:cat>
          <c:val>
            <c:numRef>
              <c:f>'GRAFICA DEFINITIVA'!$C$28:$C$44</c:f>
              <c:numCache>
                <c:formatCode>_-* #,##0.000\ _€_-;\-* #,##0.000\ _€_-;_-* "-"??\ _€_-;_-@_-</c:formatCode>
                <c:ptCount val="17"/>
                <c:pt idx="0">
                  <c:v>2.0242214532872001E-2</c:v>
                </c:pt>
                <c:pt idx="1">
                  <c:v>1.3968668407310715E-2</c:v>
                </c:pt>
                <c:pt idx="2">
                  <c:v>1.1651583710407233E-2</c:v>
                </c:pt>
                <c:pt idx="3">
                  <c:v>1.0714285714285714E-2</c:v>
                </c:pt>
                <c:pt idx="4">
                  <c:v>9.7744360902255814E-3</c:v>
                </c:pt>
                <c:pt idx="5">
                  <c:v>6.2827225130890202E-3</c:v>
                </c:pt>
                <c:pt idx="6">
                  <c:v>6.1068702290076361E-3</c:v>
                </c:pt>
                <c:pt idx="7">
                  <c:v>5.8434399117971401E-3</c:v>
                </c:pt>
                <c:pt idx="8">
                  <c:v>5.5135135135135124E-3</c:v>
                </c:pt>
                <c:pt idx="9">
                  <c:v>5.4752518615856392E-3</c:v>
                </c:pt>
                <c:pt idx="10">
                  <c:v>5.2880075542965114E-3</c:v>
                </c:pt>
                <c:pt idx="11">
                  <c:v>4.1482789055604713E-3</c:v>
                </c:pt>
                <c:pt idx="12">
                  <c:v>4.1036717062635092E-3</c:v>
                </c:pt>
                <c:pt idx="13">
                  <c:v>4.0540540540540499E-3</c:v>
                </c:pt>
                <c:pt idx="14">
                  <c:v>3.2142323217222366E-3</c:v>
                </c:pt>
                <c:pt idx="15">
                  <c:v>2.9360967184801417E-3</c:v>
                </c:pt>
                <c:pt idx="16">
                  <c:v>1.8574514038876906E-3</c:v>
                </c:pt>
              </c:numCache>
            </c:numRef>
          </c:val>
        </c:ser>
        <c:gapWidth val="40"/>
        <c:axId val="214163840"/>
        <c:axId val="214165376"/>
      </c:barChart>
      <c:catAx>
        <c:axId val="214163840"/>
        <c:scaling>
          <c:orientation val="minMax"/>
        </c:scaling>
        <c:axPos val="b"/>
        <c:numFmt formatCode="General" sourceLinked="1"/>
        <c:tickLblPos val="low"/>
        <c:spPr>
          <a:ln w="3175">
            <a:solidFill>
              <a:srgbClr val="000000"/>
            </a:solidFill>
            <a:prstDash val="solid"/>
          </a:ln>
        </c:spPr>
        <c:crossAx val="214165376"/>
        <c:crosses val="autoZero"/>
        <c:auto val="1"/>
        <c:lblAlgn val="ctr"/>
        <c:lblOffset val="100"/>
      </c:catAx>
      <c:valAx>
        <c:axId val="214165376"/>
        <c:scaling>
          <c:orientation val="minMax"/>
        </c:scaling>
        <c:axPos val="l"/>
        <c:title>
          <c:tx>
            <c:rich>
              <a:bodyPr rot="-5400000" vert="horz"/>
              <a:lstStyle/>
              <a:p>
                <a:pPr>
                  <a:defRPr/>
                </a:pPr>
                <a:r>
                  <a:rPr lang="en-US"/>
                  <a:t>Porcentaje</a:t>
                </a:r>
                <a:r>
                  <a:rPr lang="en-US" baseline="0"/>
                  <a:t> de CEE respecto del total de personas con discpacidad  ocupada</a:t>
                </a:r>
                <a:endParaRPr lang="en-US"/>
              </a:p>
            </c:rich>
          </c:tx>
          <c:layout>
            <c:manualLayout>
              <c:xMode val="edge"/>
              <c:yMode val="edge"/>
              <c:x val="4.5779889582767665E-2"/>
              <c:y val="0.12809070018476459"/>
            </c:manualLayout>
          </c:layout>
        </c:title>
        <c:numFmt formatCode="_-* #,##0.000\ _€_-;\-* #,##0.000\ _€_-;_-* &quot;-&quot;??\ _€_-;_-@_-" sourceLinked="1"/>
        <c:tickLblPos val="nextTo"/>
        <c:spPr>
          <a:ln w="3175">
            <a:solidFill>
              <a:srgbClr val="000000"/>
            </a:solidFill>
            <a:prstDash val="solid"/>
          </a:ln>
        </c:spPr>
        <c:crossAx val="214163840"/>
        <c:crosses val="autoZero"/>
        <c:crossBetween val="between"/>
      </c:valAx>
      <c:spPr>
        <a:noFill/>
        <a:ln w="25400">
          <a:noFill/>
        </a:ln>
      </c:spPr>
    </c:plotArea>
    <c:plotVisOnly val="1"/>
  </c:chart>
  <c:spPr>
    <a:noFill/>
    <a:ln w="9525">
      <a:noFill/>
    </a:ln>
  </c:spPr>
  <c:txPr>
    <a:bodyPr/>
    <a:lstStyle/>
    <a:p>
      <a:pPr>
        <a:defRPr sz="800" b="0" i="0">
          <a:solidFill>
            <a:srgbClr val="000000"/>
          </a:solidFill>
          <a:latin typeface="MinionPro-Regular"/>
          <a:ea typeface="Arial"/>
          <a:cs typeface="Arial"/>
        </a:defRPr>
      </a:pPr>
      <a:endParaRPr lang="es-ES"/>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s-ES"/>
  <c:chart>
    <c:autoTitleDeleted val="1"/>
    <c:plotArea>
      <c:layout>
        <c:manualLayout>
          <c:layoutTarget val="inner"/>
          <c:xMode val="edge"/>
          <c:yMode val="edge"/>
          <c:x val="0.18918138072997279"/>
          <c:y val="0.10851936297042671"/>
          <c:w val="0.73528320145892034"/>
          <c:h val="0.58713982980900958"/>
        </c:manualLayout>
      </c:layout>
      <c:lineChart>
        <c:grouping val="standard"/>
        <c:ser>
          <c:idx val="1"/>
          <c:order val="0"/>
          <c:tx>
            <c:strRef>
              <c:f>Sheet1!$D$8</c:f>
              <c:strCache>
                <c:ptCount val="1"/>
                <c:pt idx="0">
                  <c:v>Número de CEE</c:v>
                </c:pt>
              </c:strCache>
            </c:strRef>
          </c:tx>
          <c:spPr>
            <a:ln w="12700">
              <a:solidFill>
                <a:srgbClr val="007C92"/>
              </a:solidFill>
              <a:prstDash val="solid"/>
            </a:ln>
          </c:spPr>
          <c:marker>
            <c:symbol val="square"/>
            <c:size val="3"/>
            <c:spPr>
              <a:solidFill>
                <a:srgbClr val="007C92"/>
              </a:solidFill>
              <a:ln>
                <a:solidFill>
                  <a:srgbClr val="007C92"/>
                </a:solidFill>
                <a:prstDash val="solid"/>
              </a:ln>
            </c:spPr>
          </c:marker>
          <c:cat>
            <c:numRef>
              <c:f>Sheet1!$C$9:$C$24</c:f>
              <c:numCache>
                <c:formatCode>General</c:formatCode>
                <c:ptCount val="16"/>
                <c:pt idx="0">
                  <c:v>1991</c:v>
                </c:pt>
                <c:pt idx="1">
                  <c:v>1992</c:v>
                </c:pt>
                <c:pt idx="2">
                  <c:v>1993</c:v>
                </c:pt>
                <c:pt idx="3">
                  <c:v>1994</c:v>
                </c:pt>
                <c:pt idx="4">
                  <c:v>1995</c:v>
                </c:pt>
                <c:pt idx="5">
                  <c:v>1996</c:v>
                </c:pt>
                <c:pt idx="6">
                  <c:v>1997</c:v>
                </c:pt>
                <c:pt idx="7">
                  <c:v>1998</c:v>
                </c:pt>
                <c:pt idx="8">
                  <c:v>1999</c:v>
                </c:pt>
                <c:pt idx="9">
                  <c:v>2000</c:v>
                </c:pt>
                <c:pt idx="10">
                  <c:v>2001</c:v>
                </c:pt>
                <c:pt idx="11">
                  <c:v>2006</c:v>
                </c:pt>
                <c:pt idx="12">
                  <c:v>2008</c:v>
                </c:pt>
                <c:pt idx="13">
                  <c:v>2009</c:v>
                </c:pt>
                <c:pt idx="14">
                  <c:v>2010</c:v>
                </c:pt>
                <c:pt idx="15">
                  <c:v>2011</c:v>
                </c:pt>
              </c:numCache>
            </c:numRef>
          </c:cat>
          <c:val>
            <c:numRef>
              <c:f>Sheet1!$D$9:$D$24</c:f>
              <c:numCache>
                <c:formatCode>General</c:formatCode>
                <c:ptCount val="16"/>
                <c:pt idx="0">
                  <c:v>289</c:v>
                </c:pt>
                <c:pt idx="1">
                  <c:v>305</c:v>
                </c:pt>
                <c:pt idx="2">
                  <c:v>351</c:v>
                </c:pt>
                <c:pt idx="3">
                  <c:v>403</c:v>
                </c:pt>
                <c:pt idx="4">
                  <c:v>497</c:v>
                </c:pt>
                <c:pt idx="5">
                  <c:v>562</c:v>
                </c:pt>
                <c:pt idx="6">
                  <c:v>605</c:v>
                </c:pt>
                <c:pt idx="7">
                  <c:v>693</c:v>
                </c:pt>
                <c:pt idx="8">
                  <c:v>796</c:v>
                </c:pt>
                <c:pt idx="9">
                  <c:v>1007</c:v>
                </c:pt>
                <c:pt idx="10">
                  <c:v>1125</c:v>
                </c:pt>
                <c:pt idx="11">
                  <c:v>1589</c:v>
                </c:pt>
                <c:pt idx="12">
                  <c:v>1775</c:v>
                </c:pt>
                <c:pt idx="13">
                  <c:v>1900</c:v>
                </c:pt>
                <c:pt idx="14">
                  <c:v>1871</c:v>
                </c:pt>
                <c:pt idx="15">
                  <c:v>2215</c:v>
                </c:pt>
              </c:numCache>
            </c:numRef>
          </c:val>
        </c:ser>
        <c:marker val="1"/>
        <c:axId val="207041280"/>
        <c:axId val="207043200"/>
      </c:lineChart>
      <c:catAx>
        <c:axId val="207041280"/>
        <c:scaling>
          <c:orientation val="minMax"/>
        </c:scaling>
        <c:axPos val="b"/>
        <c:numFmt formatCode="General" sourceLinked="1"/>
        <c:tickLblPos val="low"/>
        <c:spPr>
          <a:ln w="3175">
            <a:solidFill>
              <a:srgbClr val="000000"/>
            </a:solidFill>
            <a:prstDash val="solid"/>
          </a:ln>
        </c:spPr>
        <c:crossAx val="207043200"/>
        <c:crosses val="autoZero"/>
        <c:auto val="1"/>
        <c:lblAlgn val="ctr"/>
        <c:lblOffset val="100"/>
      </c:catAx>
      <c:valAx>
        <c:axId val="207043200"/>
        <c:scaling>
          <c:orientation val="minMax"/>
        </c:scaling>
        <c:axPos val="l"/>
        <c:numFmt formatCode="General" sourceLinked="1"/>
        <c:tickLblPos val="nextTo"/>
        <c:spPr>
          <a:ln w="3175">
            <a:solidFill>
              <a:srgbClr val="000000"/>
            </a:solidFill>
            <a:prstDash val="solid"/>
          </a:ln>
        </c:spPr>
        <c:crossAx val="207041280"/>
        <c:crosses val="autoZero"/>
        <c:crossBetween val="between"/>
      </c:valAx>
      <c:spPr>
        <a:noFill/>
        <a:ln w="25400">
          <a:noFill/>
        </a:ln>
      </c:spPr>
    </c:plotArea>
    <c:legend>
      <c:legendPos val="b"/>
      <c:layout>
        <c:manualLayout>
          <c:xMode val="edge"/>
          <c:yMode val="edge"/>
          <c:x val="0.25344053532222832"/>
          <c:y val="0.90909090909090906"/>
          <c:w val="0.5156191556887546"/>
          <c:h val="6.7479957050823464E-2"/>
        </c:manualLayout>
      </c:layout>
      <c:spPr>
        <a:noFill/>
        <a:ln w="25400">
          <a:noFill/>
        </a:ln>
      </c:spPr>
    </c:legend>
    <c:plotVisOnly val="1"/>
    <c:dispBlanksAs val="gap"/>
  </c:chart>
  <c:spPr>
    <a:noFill/>
    <a:ln w="9525">
      <a:noFill/>
    </a:ln>
  </c:spPr>
  <c:txPr>
    <a:bodyPr/>
    <a:lstStyle/>
    <a:p>
      <a:pPr>
        <a:defRPr sz="700" b="0" i="0">
          <a:solidFill>
            <a:srgbClr val="000000"/>
          </a:solidFill>
          <a:latin typeface="MinionPro-Regular"/>
          <a:ea typeface="Arial"/>
          <a:cs typeface="Arial"/>
        </a:defRPr>
      </a:pPr>
      <a:endParaRPr lang="es-ES"/>
    </a:p>
  </c:txPr>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date1904 val="1"/>
  <c:lang val="es-ES"/>
  <c:chart>
    <c:autoTitleDeleted val="1"/>
    <c:plotArea>
      <c:layout>
        <c:manualLayout>
          <c:layoutTarget val="inner"/>
          <c:xMode val="edge"/>
          <c:yMode val="edge"/>
          <c:x val="0.2573451068616423"/>
          <c:y val="0.15726127415891294"/>
          <c:w val="0.51408346456692156"/>
          <c:h val="0.58127666428059999"/>
        </c:manualLayout>
      </c:layout>
      <c:lineChart>
        <c:grouping val="stacked"/>
        <c:ser>
          <c:idx val="0"/>
          <c:order val="0"/>
          <c:tx>
            <c:strRef>
              <c:f>Sheet1!$B$67</c:f>
              <c:strCache>
                <c:ptCount val="1"/>
                <c:pt idx="0">
                  <c:v>Porcentaje de personas con especiales dificultades</c:v>
                </c:pt>
              </c:strCache>
            </c:strRef>
          </c:tx>
          <c:spPr>
            <a:ln w="12700">
              <a:solidFill>
                <a:srgbClr val="007C92"/>
              </a:solidFill>
              <a:prstDash val="solid"/>
            </a:ln>
          </c:spPr>
          <c:marker>
            <c:symbol val="diamond"/>
            <c:size val="3"/>
            <c:spPr>
              <a:solidFill>
                <a:srgbClr val="007C92"/>
              </a:solidFill>
              <a:ln>
                <a:solidFill>
                  <a:srgbClr val="007C92"/>
                </a:solidFill>
                <a:prstDash val="solid"/>
              </a:ln>
            </c:spPr>
          </c:marker>
          <c:dLbls>
            <c:dLbl>
              <c:idx val="0"/>
              <c:layout>
                <c:manualLayout>
                  <c:x val="-4.0000000000000022E-2"/>
                  <c:y val="-5.4545454545454515E-2"/>
                </c:manualLayout>
              </c:layout>
              <c:showVal val="1"/>
            </c:dLbl>
            <c:txPr>
              <a:bodyPr/>
              <a:lstStyle/>
              <a:p>
                <a:pPr>
                  <a:defRPr sz="900"/>
                </a:pPr>
                <a:endParaRPr lang="es-ES"/>
              </a:p>
            </c:txPr>
            <c:showVal val="1"/>
          </c:dLbls>
          <c:cat>
            <c:numRef>
              <c:f>Sheet1!$C$64:$E$64</c:f>
              <c:numCache>
                <c:formatCode>General</c:formatCode>
                <c:ptCount val="3"/>
                <c:pt idx="0">
                  <c:v>2009</c:v>
                </c:pt>
                <c:pt idx="1">
                  <c:v>2010</c:v>
                </c:pt>
                <c:pt idx="2">
                  <c:v>2011</c:v>
                </c:pt>
              </c:numCache>
            </c:numRef>
          </c:cat>
          <c:val>
            <c:numRef>
              <c:f>Sheet1!$C$67:$E$67</c:f>
              <c:numCache>
                <c:formatCode>0.0%</c:formatCode>
                <c:ptCount val="3"/>
                <c:pt idx="0">
                  <c:v>0.43108712632252238</c:v>
                </c:pt>
                <c:pt idx="1">
                  <c:v>0.42911210610797462</c:v>
                </c:pt>
                <c:pt idx="2">
                  <c:v>0.43889674022768393</c:v>
                </c:pt>
              </c:numCache>
            </c:numRef>
          </c:val>
        </c:ser>
        <c:marker val="1"/>
        <c:axId val="214279296"/>
        <c:axId val="214280832"/>
      </c:lineChart>
      <c:catAx>
        <c:axId val="214279296"/>
        <c:scaling>
          <c:orientation val="minMax"/>
        </c:scaling>
        <c:axPos val="b"/>
        <c:numFmt formatCode="General" sourceLinked="1"/>
        <c:tickLblPos val="low"/>
        <c:spPr>
          <a:ln w="3175">
            <a:solidFill>
              <a:srgbClr val="000000"/>
            </a:solidFill>
            <a:prstDash val="solid"/>
          </a:ln>
        </c:spPr>
        <c:txPr>
          <a:bodyPr/>
          <a:lstStyle/>
          <a:p>
            <a:pPr>
              <a:defRPr sz="900"/>
            </a:pPr>
            <a:endParaRPr lang="es-ES"/>
          </a:p>
        </c:txPr>
        <c:crossAx val="214280832"/>
        <c:crosses val="autoZero"/>
        <c:auto val="1"/>
        <c:lblAlgn val="ctr"/>
        <c:lblOffset val="100"/>
      </c:catAx>
      <c:valAx>
        <c:axId val="214280832"/>
        <c:scaling>
          <c:orientation val="minMax"/>
        </c:scaling>
        <c:axPos val="l"/>
        <c:numFmt formatCode="0.0%" sourceLinked="1"/>
        <c:tickLblPos val="nextTo"/>
        <c:spPr>
          <a:ln w="3175">
            <a:solidFill>
              <a:srgbClr val="000000"/>
            </a:solidFill>
            <a:prstDash val="solid"/>
          </a:ln>
        </c:spPr>
        <c:txPr>
          <a:bodyPr/>
          <a:lstStyle/>
          <a:p>
            <a:pPr>
              <a:defRPr sz="900"/>
            </a:pPr>
            <a:endParaRPr lang="es-ES"/>
          </a:p>
        </c:txPr>
        <c:crossAx val="214279296"/>
        <c:crosses val="autoZero"/>
        <c:crossBetween val="between"/>
      </c:valAx>
      <c:spPr>
        <a:noFill/>
        <a:ln w="25400">
          <a:noFill/>
        </a:ln>
      </c:spPr>
    </c:plotArea>
    <c:legend>
      <c:legendPos val="b"/>
      <c:layout>
        <c:manualLayout>
          <c:xMode val="edge"/>
          <c:yMode val="edge"/>
          <c:x val="0.14537142857143318"/>
          <c:y val="0.84090909090910826"/>
          <c:w val="0.85462857142860271"/>
          <c:h val="7.7560128847532134E-2"/>
        </c:manualLayout>
      </c:layout>
      <c:spPr>
        <a:noFill/>
        <a:ln w="25400">
          <a:noFill/>
        </a:ln>
      </c:spPr>
    </c:legend>
    <c:plotVisOnly val="1"/>
  </c:chart>
  <c:spPr>
    <a:noFill/>
    <a:ln w="9525">
      <a:noFill/>
    </a:ln>
  </c:spPr>
  <c:txPr>
    <a:bodyPr/>
    <a:lstStyle/>
    <a:p>
      <a:pPr>
        <a:defRPr sz="1000" b="0" i="0">
          <a:solidFill>
            <a:srgbClr val="000000"/>
          </a:solidFill>
          <a:latin typeface="MinionPro-Regular"/>
          <a:ea typeface="Arial"/>
          <a:cs typeface="Arial"/>
        </a:defRPr>
      </a:pPr>
      <a:endParaRPr lang="es-ES"/>
    </a:p>
  </c:txPr>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date1904 val="1"/>
  <c:lang val="es-ES"/>
  <c:chart>
    <c:autoTitleDeleted val="1"/>
    <c:plotArea>
      <c:layout>
        <c:manualLayout>
          <c:layoutTarget val="inner"/>
          <c:xMode val="edge"/>
          <c:yMode val="edge"/>
          <c:x val="0.19503638799101042"/>
          <c:y val="9.5884076151648068E-2"/>
          <c:w val="0.77950575682060164"/>
          <c:h val="0.53872914275939265"/>
        </c:manualLayout>
      </c:layout>
      <c:barChart>
        <c:barDir val="col"/>
        <c:grouping val="clustered"/>
        <c:ser>
          <c:idx val="0"/>
          <c:order val="0"/>
          <c:spPr>
            <a:solidFill>
              <a:srgbClr val="409DAD"/>
            </a:solidFill>
            <a:ln w="3175">
              <a:solidFill>
                <a:srgbClr val="FFFFFF"/>
              </a:solidFill>
              <a:prstDash val="solid"/>
            </a:ln>
          </c:spPr>
          <c:dLbls>
            <c:dLbl>
              <c:idx val="0"/>
              <c:layout>
                <c:manualLayout>
                  <c:x val="9.6932875891573549E-3"/>
                  <c:y val="-3.620838352376054E-3"/>
                </c:manualLayout>
              </c:layout>
              <c:showVal val="1"/>
            </c:dLbl>
            <c:dLbl>
              <c:idx val="1"/>
              <c:layout>
                <c:manualLayout>
                  <c:x val="-2.4233218972893773E-3"/>
                  <c:y val="-1.8104191761879985E-2"/>
                </c:manualLayout>
              </c:layout>
              <c:showVal val="1"/>
            </c:dLbl>
            <c:txPr>
              <a:bodyPr/>
              <a:lstStyle/>
              <a:p>
                <a:pPr>
                  <a:defRPr sz="700"/>
                </a:pPr>
                <a:endParaRPr lang="es-ES"/>
              </a:p>
            </c:txPr>
            <c:showVal val="1"/>
          </c:dLbls>
          <c:cat>
            <c:strRef>
              <c:f>Sheet1!$C$52:$C$70</c:f>
              <c:strCache>
                <c:ptCount val="19"/>
                <c:pt idx="0">
                  <c:v>País Vasco</c:v>
                </c:pt>
                <c:pt idx="1">
                  <c:v>Cantabria</c:v>
                </c:pt>
                <c:pt idx="2">
                  <c:v>Cataluña</c:v>
                </c:pt>
                <c:pt idx="3">
                  <c:v>Navarra</c:v>
                </c:pt>
                <c:pt idx="4">
                  <c:v>Asturias</c:v>
                </c:pt>
                <c:pt idx="5">
                  <c:v>Castilla y León</c:v>
                </c:pt>
                <c:pt idx="6">
                  <c:v>Madrid</c:v>
                </c:pt>
                <c:pt idx="7">
                  <c:v>La Rioja</c:v>
                </c:pt>
                <c:pt idx="8">
                  <c:v>Aragón</c:v>
                </c:pt>
                <c:pt idx="9">
                  <c:v>Andalucía</c:v>
                </c:pt>
                <c:pt idx="10">
                  <c:v>Ceuta</c:v>
                </c:pt>
                <c:pt idx="11">
                  <c:v>Extremadura</c:v>
                </c:pt>
                <c:pt idx="12">
                  <c:v>Castilla La Mancha</c:v>
                </c:pt>
                <c:pt idx="13">
                  <c:v>C.Valenciana</c:v>
                </c:pt>
                <c:pt idx="14">
                  <c:v>Baleares</c:v>
                </c:pt>
                <c:pt idx="15">
                  <c:v>Canarias</c:v>
                </c:pt>
                <c:pt idx="16">
                  <c:v>Galicia</c:v>
                </c:pt>
                <c:pt idx="17">
                  <c:v>Murcia</c:v>
                </c:pt>
                <c:pt idx="18">
                  <c:v>Melilla</c:v>
                </c:pt>
              </c:strCache>
            </c:strRef>
          </c:cat>
          <c:val>
            <c:numRef>
              <c:f>Sheet1!$D$52:$D$70</c:f>
              <c:numCache>
                <c:formatCode>0.0</c:formatCode>
                <c:ptCount val="19"/>
                <c:pt idx="0">
                  <c:v>192.11708476899582</c:v>
                </c:pt>
                <c:pt idx="1">
                  <c:v>126.04467314088436</c:v>
                </c:pt>
                <c:pt idx="2">
                  <c:v>120.26565180714965</c:v>
                </c:pt>
                <c:pt idx="3">
                  <c:v>103.7971103912805</c:v>
                </c:pt>
                <c:pt idx="4">
                  <c:v>87.199345909501488</c:v>
                </c:pt>
                <c:pt idx="5">
                  <c:v>84.848184675119327</c:v>
                </c:pt>
                <c:pt idx="6">
                  <c:v>78.917972924344127</c:v>
                </c:pt>
                <c:pt idx="7">
                  <c:v>73.271896838333788</c:v>
                </c:pt>
                <c:pt idx="8">
                  <c:v>70.461726610027597</c:v>
                </c:pt>
                <c:pt idx="9">
                  <c:v>51.626704955067545</c:v>
                </c:pt>
                <c:pt idx="10">
                  <c:v>45.234833406570687</c:v>
                </c:pt>
                <c:pt idx="11">
                  <c:v>42.632999236120916</c:v>
                </c:pt>
                <c:pt idx="12">
                  <c:v>41.704340240767863</c:v>
                </c:pt>
                <c:pt idx="13">
                  <c:v>37.320704533518125</c:v>
                </c:pt>
                <c:pt idx="14">
                  <c:v>35.894372650663144</c:v>
                </c:pt>
                <c:pt idx="15">
                  <c:v>30.762327155937964</c:v>
                </c:pt>
                <c:pt idx="16">
                  <c:v>26.027086550723489</c:v>
                </c:pt>
                <c:pt idx="17">
                  <c:v>22.072409691006577</c:v>
                </c:pt>
                <c:pt idx="18">
                  <c:v>19.144618447754336</c:v>
                </c:pt>
              </c:numCache>
            </c:numRef>
          </c:val>
        </c:ser>
        <c:gapWidth val="40"/>
        <c:axId val="214772736"/>
        <c:axId val="214786816"/>
      </c:barChart>
      <c:catAx>
        <c:axId val="214772736"/>
        <c:scaling>
          <c:orientation val="minMax"/>
        </c:scaling>
        <c:axPos val="b"/>
        <c:tickLblPos val="low"/>
        <c:spPr>
          <a:ln w="3175">
            <a:solidFill>
              <a:srgbClr val="000000"/>
            </a:solidFill>
            <a:prstDash val="solid"/>
          </a:ln>
        </c:spPr>
        <c:crossAx val="214786816"/>
        <c:crosses val="autoZero"/>
        <c:auto val="1"/>
        <c:lblAlgn val="ctr"/>
        <c:lblOffset val="100"/>
      </c:catAx>
      <c:valAx>
        <c:axId val="214786816"/>
        <c:scaling>
          <c:orientation val="minMax"/>
          <c:max val="200"/>
          <c:min val="0"/>
        </c:scaling>
        <c:axPos val="l"/>
        <c:title>
          <c:tx>
            <c:rich>
              <a:bodyPr rot="-5400000" vert="horz"/>
              <a:lstStyle/>
              <a:p>
                <a:pPr>
                  <a:defRPr/>
                </a:pPr>
                <a:r>
                  <a:rPr lang="en-US"/>
                  <a:t>Número de personas con especiales dificultades de inserción en CEE por 100.000 habitantes</a:t>
                </a:r>
              </a:p>
            </c:rich>
          </c:tx>
          <c:layout>
            <c:manualLayout>
              <c:xMode val="edge"/>
              <c:yMode val="edge"/>
              <c:x val="5.6021064750839372E-2"/>
              <c:y val="9.2100758898350371E-2"/>
            </c:manualLayout>
          </c:layout>
        </c:title>
        <c:numFmt formatCode="0.0" sourceLinked="1"/>
        <c:tickLblPos val="nextTo"/>
        <c:spPr>
          <a:ln w="3175">
            <a:solidFill>
              <a:srgbClr val="000000"/>
            </a:solidFill>
            <a:prstDash val="solid"/>
          </a:ln>
        </c:spPr>
        <c:crossAx val="214772736"/>
        <c:crosses val="autoZero"/>
        <c:crossBetween val="between"/>
        <c:majorUnit val="100"/>
      </c:valAx>
      <c:spPr>
        <a:noFill/>
        <a:ln w="25400">
          <a:noFill/>
        </a:ln>
      </c:spPr>
    </c:plotArea>
    <c:plotVisOnly val="1"/>
  </c:chart>
  <c:spPr>
    <a:noFill/>
    <a:ln w="9525">
      <a:noFill/>
    </a:ln>
  </c:spPr>
  <c:txPr>
    <a:bodyPr/>
    <a:lstStyle/>
    <a:p>
      <a:pPr>
        <a:defRPr sz="800" b="0" i="0">
          <a:solidFill>
            <a:srgbClr val="000000"/>
          </a:solidFill>
          <a:latin typeface="MinionPro-Regular"/>
          <a:ea typeface="Arial"/>
          <a:cs typeface="Arial"/>
        </a:defRPr>
      </a:pPr>
      <a:endParaRPr lang="es-ES"/>
    </a:p>
  </c:txPr>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date1904 val="1"/>
  <c:lang val="es-ES"/>
  <c:chart>
    <c:autoTitleDeleted val="1"/>
    <c:plotArea>
      <c:layout>
        <c:manualLayout>
          <c:layoutTarget val="inner"/>
          <c:xMode val="edge"/>
          <c:yMode val="edge"/>
          <c:x val="0.22169286996261367"/>
          <c:y val="0.15381736558948336"/>
          <c:w val="0.73830919811194651"/>
          <c:h val="0.48079573787636509"/>
        </c:manualLayout>
      </c:layout>
      <c:barChart>
        <c:barDir val="col"/>
        <c:grouping val="clustered"/>
        <c:ser>
          <c:idx val="0"/>
          <c:order val="0"/>
          <c:spPr>
            <a:solidFill>
              <a:srgbClr val="409DAD"/>
            </a:solidFill>
            <a:ln w="3175">
              <a:solidFill>
                <a:srgbClr val="FFFFFF"/>
              </a:solidFill>
              <a:prstDash val="solid"/>
            </a:ln>
          </c:spPr>
          <c:dLbls>
            <c:txPr>
              <a:bodyPr/>
              <a:lstStyle/>
              <a:p>
                <a:pPr>
                  <a:defRPr sz="600"/>
                </a:pPr>
                <a:endParaRPr lang="es-ES"/>
              </a:p>
            </c:txPr>
            <c:showVal val="1"/>
          </c:dLbls>
          <c:cat>
            <c:strRef>
              <c:f>DEFINITIVA!$C$52:$C$68</c:f>
              <c:strCache>
                <c:ptCount val="17"/>
                <c:pt idx="0">
                  <c:v>Galicia</c:v>
                </c:pt>
                <c:pt idx="1">
                  <c:v>Navarra</c:v>
                </c:pt>
                <c:pt idx="2">
                  <c:v>Canarias</c:v>
                </c:pt>
                <c:pt idx="3">
                  <c:v>Aragón</c:v>
                </c:pt>
                <c:pt idx="4">
                  <c:v>C.Valenciana</c:v>
                </c:pt>
                <c:pt idx="5">
                  <c:v>Castilla La Mancha</c:v>
                </c:pt>
                <c:pt idx="6">
                  <c:v>Cantabria</c:v>
                </c:pt>
                <c:pt idx="7">
                  <c:v>Madrid</c:v>
                </c:pt>
                <c:pt idx="8">
                  <c:v>Andalucía</c:v>
                </c:pt>
                <c:pt idx="9">
                  <c:v>País Vasco</c:v>
                </c:pt>
                <c:pt idx="10">
                  <c:v>Murcia</c:v>
                </c:pt>
                <c:pt idx="11">
                  <c:v>La Rioja</c:v>
                </c:pt>
                <c:pt idx="12">
                  <c:v>Cataluña</c:v>
                </c:pt>
                <c:pt idx="13">
                  <c:v>Castilla y León</c:v>
                </c:pt>
                <c:pt idx="14">
                  <c:v>Asturias</c:v>
                </c:pt>
                <c:pt idx="15">
                  <c:v>Extremadura</c:v>
                </c:pt>
                <c:pt idx="16">
                  <c:v>Baleares</c:v>
                </c:pt>
              </c:strCache>
            </c:strRef>
          </c:cat>
          <c:val>
            <c:numRef>
              <c:f>DEFINITIVA!$D$52:$D$68</c:f>
              <c:numCache>
                <c:formatCode>0.000</c:formatCode>
                <c:ptCount val="17"/>
                <c:pt idx="0">
                  <c:v>0.17886142983230433</c:v>
                </c:pt>
                <c:pt idx="1">
                  <c:v>0.15723542116630745</c:v>
                </c:pt>
                <c:pt idx="2">
                  <c:v>0.13662162162162181</c:v>
                </c:pt>
                <c:pt idx="3">
                  <c:v>0.13642297650130522</c:v>
                </c:pt>
                <c:pt idx="4">
                  <c:v>0.13037823291971887</c:v>
                </c:pt>
                <c:pt idx="5">
                  <c:v>0.111571675302245</c:v>
                </c:pt>
                <c:pt idx="6">
                  <c:v>8.80725190839695E-2</c:v>
                </c:pt>
                <c:pt idx="7">
                  <c:v>8.5902255639097702E-2</c:v>
                </c:pt>
                <c:pt idx="8">
                  <c:v>8.1953569864213843E-2</c:v>
                </c:pt>
                <c:pt idx="9">
                  <c:v>8.174962292609364E-2</c:v>
                </c:pt>
                <c:pt idx="10">
                  <c:v>8.1071428571428725E-2</c:v>
                </c:pt>
                <c:pt idx="11">
                  <c:v>7.9757785467128098E-2</c:v>
                </c:pt>
                <c:pt idx="12">
                  <c:v>6.848167539267018E-2</c:v>
                </c:pt>
                <c:pt idx="13">
                  <c:v>5.3513513513513522E-2</c:v>
                </c:pt>
                <c:pt idx="14">
                  <c:v>4.6912899669239214E-2</c:v>
                </c:pt>
                <c:pt idx="15">
                  <c:v>3.3427762039660101E-2</c:v>
                </c:pt>
                <c:pt idx="16">
                  <c:v>1.4082073434125269E-2</c:v>
                </c:pt>
              </c:numCache>
            </c:numRef>
          </c:val>
        </c:ser>
        <c:gapWidth val="40"/>
        <c:axId val="214971136"/>
        <c:axId val="214972672"/>
      </c:barChart>
      <c:catAx>
        <c:axId val="214971136"/>
        <c:scaling>
          <c:orientation val="minMax"/>
        </c:scaling>
        <c:axPos val="b"/>
        <c:tickLblPos val="low"/>
        <c:spPr>
          <a:ln w="3175">
            <a:solidFill>
              <a:srgbClr val="000000"/>
            </a:solidFill>
            <a:prstDash val="solid"/>
          </a:ln>
        </c:spPr>
        <c:crossAx val="214972672"/>
        <c:crosses val="autoZero"/>
        <c:auto val="1"/>
        <c:lblAlgn val="ctr"/>
        <c:lblOffset val="100"/>
      </c:catAx>
      <c:valAx>
        <c:axId val="214972672"/>
        <c:scaling>
          <c:orientation val="minMax"/>
        </c:scaling>
        <c:axPos val="l"/>
        <c:title>
          <c:tx>
            <c:rich>
              <a:bodyPr rot="-5400000" vert="horz"/>
              <a:lstStyle/>
              <a:p>
                <a:pPr>
                  <a:defRPr/>
                </a:pPr>
                <a:r>
                  <a:rPr lang="en-US"/>
                  <a:t>Número de personas con especiales dificultades de inserción en CEE por persona con discapacidad ocupada</a:t>
                </a:r>
              </a:p>
            </c:rich>
          </c:tx>
          <c:layout>
            <c:manualLayout>
              <c:xMode val="edge"/>
              <c:yMode val="edge"/>
              <c:x val="5.6021064750839372E-2"/>
              <c:y val="9.2100758898350371E-2"/>
            </c:manualLayout>
          </c:layout>
        </c:title>
        <c:numFmt formatCode="0.000" sourceLinked="1"/>
        <c:tickLblPos val="nextTo"/>
        <c:spPr>
          <a:ln w="3175">
            <a:solidFill>
              <a:srgbClr val="000000"/>
            </a:solidFill>
            <a:prstDash val="solid"/>
          </a:ln>
        </c:spPr>
        <c:crossAx val="214971136"/>
        <c:crosses val="autoZero"/>
        <c:crossBetween val="between"/>
      </c:valAx>
      <c:spPr>
        <a:noFill/>
        <a:ln w="25400">
          <a:noFill/>
        </a:ln>
      </c:spPr>
    </c:plotArea>
    <c:plotVisOnly val="1"/>
  </c:chart>
  <c:spPr>
    <a:noFill/>
    <a:ln w="9525">
      <a:noFill/>
    </a:ln>
  </c:spPr>
  <c:txPr>
    <a:bodyPr/>
    <a:lstStyle/>
    <a:p>
      <a:pPr>
        <a:defRPr sz="800" b="0" i="0">
          <a:solidFill>
            <a:srgbClr val="000000"/>
          </a:solidFill>
          <a:latin typeface="MinionPro-Regular"/>
          <a:ea typeface="Arial"/>
          <a:cs typeface="Arial"/>
        </a:defRPr>
      </a:pPr>
      <a:endParaRPr lang="es-ES"/>
    </a:p>
  </c:txPr>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date1904 val="1"/>
  <c:lang val="es-ES"/>
  <c:chart>
    <c:autoTitleDeleted val="1"/>
    <c:plotArea>
      <c:layout>
        <c:manualLayout>
          <c:layoutTarget val="inner"/>
          <c:xMode val="edge"/>
          <c:yMode val="edge"/>
          <c:x val="0.10722567226266705"/>
          <c:y val="0.21513172778088932"/>
          <c:w val="0.43662100301979095"/>
          <c:h val="0.71741613570388507"/>
        </c:manualLayout>
      </c:layout>
      <c:doughnutChart>
        <c:varyColors val="1"/>
        <c:ser>
          <c:idx val="0"/>
          <c:order val="0"/>
          <c:dPt>
            <c:idx val="0"/>
            <c:spPr>
              <a:solidFill>
                <a:srgbClr val="409DAD"/>
              </a:solidFill>
              <a:ln w="3175">
                <a:solidFill>
                  <a:srgbClr val="FFFFFF"/>
                </a:solidFill>
                <a:prstDash val="solid"/>
              </a:ln>
            </c:spPr>
          </c:dPt>
          <c:dPt>
            <c:idx val="1"/>
            <c:spPr>
              <a:solidFill>
                <a:srgbClr val="BFDEE4"/>
              </a:solidFill>
              <a:ln w="3175">
                <a:solidFill>
                  <a:srgbClr val="FFFFFF"/>
                </a:solidFill>
                <a:prstDash val="solid"/>
              </a:ln>
            </c:spPr>
          </c:dPt>
          <c:dPt>
            <c:idx val="2"/>
            <c:spPr>
              <a:solidFill>
                <a:srgbClr val="AA5CAA"/>
              </a:solidFill>
              <a:ln w="3175">
                <a:solidFill>
                  <a:srgbClr val="FFFFFF"/>
                </a:solidFill>
                <a:prstDash val="solid"/>
              </a:ln>
            </c:spPr>
          </c:dPt>
          <c:dLbls>
            <c:dLbl>
              <c:idx val="0"/>
              <c:layout>
                <c:manualLayout>
                  <c:x val="0.11441152874758589"/>
                  <c:y val="-4.7109236868404014E-2"/>
                </c:manualLayout>
              </c:layout>
              <c:showPercent val="1"/>
            </c:dLbl>
            <c:dLbl>
              <c:idx val="1"/>
              <c:layout>
                <c:manualLayout>
                  <c:x val="-9.1428571428571415E-2"/>
                  <c:y val="6.3636363636363713E-2"/>
                </c:manualLayout>
              </c:layout>
              <c:showPercent val="1"/>
            </c:dLbl>
            <c:dLbl>
              <c:idx val="2"/>
              <c:layout>
                <c:manualLayout>
                  <c:x val="-5.7142857142857197E-2"/>
                  <c:y val="-9.5454545454545528E-2"/>
                </c:manualLayout>
              </c:layout>
              <c:showPercent val="1"/>
            </c:dLbl>
            <c:txPr>
              <a:bodyPr/>
              <a:lstStyle/>
              <a:p>
                <a:pPr>
                  <a:defRPr sz="800"/>
                </a:pPr>
                <a:endParaRPr lang="es-ES"/>
              </a:p>
            </c:txPr>
            <c:showPercent val="1"/>
            <c:showLeaderLines val="1"/>
          </c:dLbls>
          <c:cat>
            <c:strRef>
              <c:f>Sheet1!$C$79:$E$79</c:f>
              <c:strCache>
                <c:ptCount val="3"/>
                <c:pt idx="0">
                  <c:v>Psíquica</c:v>
                </c:pt>
                <c:pt idx="1">
                  <c:v>Física</c:v>
                </c:pt>
                <c:pt idx="2">
                  <c:v>Sensorial</c:v>
                </c:pt>
              </c:strCache>
            </c:strRef>
          </c:cat>
          <c:val>
            <c:numRef>
              <c:f>Sheet1!$C$100:$E$100</c:f>
              <c:numCache>
                <c:formatCode>0.0%</c:formatCode>
                <c:ptCount val="3"/>
                <c:pt idx="0">
                  <c:v>0.42349086052398632</c:v>
                </c:pt>
                <c:pt idx="1">
                  <c:v>0.47585842741998957</c:v>
                </c:pt>
                <c:pt idx="2">
                  <c:v>0.10065071205603272</c:v>
                </c:pt>
              </c:numCache>
            </c:numRef>
          </c:val>
        </c:ser>
        <c:firstSliceAng val="0"/>
        <c:holeSize val="50"/>
      </c:doughnutChart>
      <c:spPr>
        <a:noFill/>
        <a:ln w="25400">
          <a:noFill/>
        </a:ln>
      </c:spPr>
    </c:plotArea>
    <c:legend>
      <c:legendPos val="r"/>
      <c:layout>
        <c:manualLayout>
          <c:xMode val="edge"/>
          <c:yMode val="edge"/>
          <c:x val="0.64200425890160062"/>
          <c:y val="0.54564930429721392"/>
          <c:w val="0.29506302034826298"/>
          <c:h val="0.19390032211882621"/>
        </c:manualLayout>
      </c:layout>
      <c:spPr>
        <a:noFill/>
        <a:ln w="25400">
          <a:noFill/>
        </a:ln>
      </c:spPr>
      <c:txPr>
        <a:bodyPr/>
        <a:lstStyle/>
        <a:p>
          <a:pPr>
            <a:defRPr sz="800"/>
          </a:pPr>
          <a:endParaRPr lang="es-ES"/>
        </a:p>
      </c:txPr>
    </c:legend>
    <c:plotVisOnly val="1"/>
  </c:chart>
  <c:spPr>
    <a:noFill/>
    <a:ln w="9525">
      <a:noFill/>
    </a:ln>
  </c:spPr>
  <c:txPr>
    <a:bodyPr/>
    <a:lstStyle/>
    <a:p>
      <a:pPr>
        <a:defRPr sz="1000" b="0" i="0">
          <a:solidFill>
            <a:srgbClr val="000000"/>
          </a:solidFill>
          <a:latin typeface="MinionPro-Regular"/>
          <a:ea typeface="Arial"/>
          <a:cs typeface="Arial"/>
        </a:defRPr>
      </a:pPr>
      <a:endParaRPr lang="es-ES"/>
    </a:p>
  </c:txPr>
  <c:externalData r:id="rId1"/>
  <c:userShapes r:id="rId2"/>
</c:chartSpace>
</file>

<file path=word/charts/chart34.xml><?xml version="1.0" encoding="utf-8"?>
<c:chartSpace xmlns:c="http://schemas.openxmlformats.org/drawingml/2006/chart" xmlns:a="http://schemas.openxmlformats.org/drawingml/2006/main" xmlns:r="http://schemas.openxmlformats.org/officeDocument/2006/relationships">
  <c:date1904 val="1"/>
  <c:lang val="es-ES"/>
  <c:chart>
    <c:title>
      <c:tx>
        <c:rich>
          <a:bodyPr/>
          <a:lstStyle/>
          <a:p>
            <a:pPr algn="ctr">
              <a:defRPr sz="900" b="1">
                <a:solidFill>
                  <a:sysClr val="windowText" lastClr="000000"/>
                </a:solidFill>
                <a:latin typeface="MinionPro-Regular"/>
                <a:ea typeface="Arial"/>
                <a:cs typeface="Arial"/>
              </a:defRPr>
            </a:pPr>
            <a:r>
              <a:rPr lang="en-US" b="1">
                <a:solidFill>
                  <a:sysClr val="windowText" lastClr="000000"/>
                </a:solidFill>
                <a:latin typeface="MinionPro-Regular"/>
              </a:rPr>
              <a:t>Tipología de discapacidad de la población</a:t>
            </a:r>
            <a:r>
              <a:rPr lang="en-US" b="1" baseline="0">
                <a:solidFill>
                  <a:sysClr val="windowText" lastClr="000000"/>
                </a:solidFill>
                <a:latin typeface="MinionPro-Regular"/>
              </a:rPr>
              <a:t> española</a:t>
            </a:r>
            <a:endParaRPr lang="en-US" b="1">
              <a:solidFill>
                <a:sysClr val="windowText" lastClr="000000"/>
              </a:solidFill>
              <a:latin typeface="MinionPro-Regular"/>
            </a:endParaRPr>
          </a:p>
        </c:rich>
      </c:tx>
      <c:layout>
        <c:manualLayout>
          <c:xMode val="edge"/>
          <c:yMode val="edge"/>
          <c:x val="0.2128144475767704"/>
          <c:y val="4.2659164911387874E-3"/>
        </c:manualLayout>
      </c:layout>
    </c:title>
    <c:plotArea>
      <c:layout>
        <c:manualLayout>
          <c:layoutTarget val="inner"/>
          <c:xMode val="edge"/>
          <c:yMode val="edge"/>
          <c:x val="0.31366303527127631"/>
          <c:y val="0.29412948381452747"/>
          <c:w val="0.39939488728293393"/>
          <c:h val="0.51150573283602707"/>
        </c:manualLayout>
      </c:layout>
      <c:doughnutChart>
        <c:varyColors val="1"/>
        <c:ser>
          <c:idx val="0"/>
          <c:order val="0"/>
          <c:dPt>
            <c:idx val="0"/>
            <c:spPr>
              <a:solidFill>
                <a:srgbClr val="409DAD"/>
              </a:solidFill>
              <a:ln w="3175">
                <a:solidFill>
                  <a:srgbClr val="FFFFFF"/>
                </a:solidFill>
                <a:prstDash val="solid"/>
              </a:ln>
            </c:spPr>
          </c:dPt>
          <c:dPt>
            <c:idx val="1"/>
            <c:spPr>
              <a:solidFill>
                <a:srgbClr val="BFDEE4"/>
              </a:solidFill>
              <a:ln w="3175">
                <a:solidFill>
                  <a:srgbClr val="FFFFFF"/>
                </a:solidFill>
                <a:prstDash val="solid"/>
              </a:ln>
            </c:spPr>
          </c:dPt>
          <c:dPt>
            <c:idx val="2"/>
            <c:spPr>
              <a:solidFill>
                <a:srgbClr val="AA5CAA"/>
              </a:solidFill>
              <a:ln w="3175">
                <a:solidFill>
                  <a:srgbClr val="FFFFFF"/>
                </a:solidFill>
                <a:prstDash val="solid"/>
              </a:ln>
            </c:spPr>
          </c:dPt>
          <c:dPt>
            <c:idx val="3"/>
            <c:spPr>
              <a:solidFill>
                <a:srgbClr val="51ACD1"/>
              </a:solidFill>
            </c:spPr>
          </c:dPt>
          <c:dLbls>
            <c:dLbl>
              <c:idx val="0"/>
              <c:layout>
                <c:manualLayout>
                  <c:x val="0.19123505976095628"/>
                  <c:y val="-2.5641025641026011E-2"/>
                </c:manualLayout>
              </c:layout>
              <c:showVal val="1"/>
              <c:showCatName val="1"/>
              <c:separator> </c:separator>
            </c:dLbl>
            <c:dLbl>
              <c:idx val="1"/>
              <c:layout>
                <c:manualLayout>
                  <c:x val="-0.14342629482071867"/>
                  <c:y val="9.6153846153847811E-2"/>
                </c:manualLayout>
              </c:layout>
              <c:showVal val="1"/>
              <c:showCatName val="1"/>
              <c:separator> </c:separator>
            </c:dLbl>
            <c:dLbl>
              <c:idx val="2"/>
              <c:layout>
                <c:manualLayout>
                  <c:x val="-0.17529880478087817"/>
                  <c:y val="-5.128205128205128E-2"/>
                </c:manualLayout>
              </c:layout>
              <c:tx>
                <c:rich>
                  <a:bodyPr/>
                  <a:lstStyle/>
                  <a:p>
                    <a:r>
                      <a:rPr lang="en-US"/>
                      <a:t>Sensorial 13%</a:t>
                    </a:r>
                  </a:p>
                </c:rich>
              </c:tx>
              <c:showVal val="1"/>
              <c:showCatName val="1"/>
              <c:separator> </c:separator>
            </c:dLbl>
            <c:dLbl>
              <c:idx val="3"/>
              <c:layout>
                <c:manualLayout>
                  <c:x val="-3.1872505662820093E-2"/>
                  <c:y val="-0.11842105263158008"/>
                </c:manualLayout>
              </c:layout>
              <c:showVal val="1"/>
              <c:showCatName val="1"/>
              <c:separator> </c:separator>
            </c:dLbl>
            <c:showVal val="1"/>
            <c:showCatName val="1"/>
            <c:separator> </c:separator>
          </c:dLbls>
          <c:cat>
            <c:strRef>
              <c:f>pcaxis!$E$42:$E$45</c:f>
              <c:strCache>
                <c:ptCount val="4"/>
                <c:pt idx="0">
                  <c:v>Psíquica</c:v>
                </c:pt>
                <c:pt idx="1">
                  <c:v>Física</c:v>
                </c:pt>
                <c:pt idx="2">
                  <c:v>Sensorial</c:v>
                </c:pt>
                <c:pt idx="3">
                  <c:v>Otros</c:v>
                </c:pt>
              </c:strCache>
            </c:strRef>
          </c:cat>
          <c:val>
            <c:numRef>
              <c:f>pcaxis!$F$42:$F$45</c:f>
              <c:numCache>
                <c:formatCode>0%</c:formatCode>
                <c:ptCount val="4"/>
                <c:pt idx="0">
                  <c:v>0.32000000000000323</c:v>
                </c:pt>
                <c:pt idx="1">
                  <c:v>0.48000000000000032</c:v>
                </c:pt>
                <c:pt idx="2">
                  <c:v>0.13</c:v>
                </c:pt>
                <c:pt idx="3">
                  <c:v>7.0000000000000021E-2</c:v>
                </c:pt>
              </c:numCache>
            </c:numRef>
          </c:val>
        </c:ser>
        <c:firstSliceAng val="0"/>
        <c:holeSize val="50"/>
      </c:doughnutChart>
      <c:spPr>
        <a:noFill/>
        <a:ln w="25400">
          <a:noFill/>
        </a:ln>
      </c:spPr>
    </c:plotArea>
    <c:plotVisOnly val="1"/>
    <c:dispBlanksAs val="zero"/>
  </c:chart>
  <c:spPr>
    <a:noFill/>
    <a:ln w="9525">
      <a:noFill/>
    </a:ln>
  </c:spPr>
  <c:txPr>
    <a:bodyPr/>
    <a:lstStyle/>
    <a:p>
      <a:pPr>
        <a:defRPr sz="800" b="0" i="0">
          <a:solidFill>
            <a:srgbClr val="000000"/>
          </a:solidFill>
          <a:latin typeface="Arial"/>
          <a:ea typeface="Arial"/>
          <a:cs typeface="Arial"/>
        </a:defRPr>
      </a:pPr>
      <a:endParaRPr lang="es-ES"/>
    </a:p>
  </c:txPr>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date1904 val="1"/>
  <c:lang val="es-ES"/>
  <c:chart>
    <c:autoTitleDeleted val="1"/>
    <c:plotArea>
      <c:layout>
        <c:manualLayout>
          <c:layoutTarget val="inner"/>
          <c:xMode val="edge"/>
          <c:yMode val="edge"/>
          <c:x val="0.17939138596338344"/>
          <c:y val="0.11619095358438312"/>
          <c:w val="0.7625149038533372"/>
          <c:h val="0.52558808569881121"/>
        </c:manualLayout>
      </c:layout>
      <c:lineChart>
        <c:grouping val="standard"/>
        <c:ser>
          <c:idx val="0"/>
          <c:order val="0"/>
          <c:tx>
            <c:strRef>
              <c:f>Sheet1!$J$79</c:f>
              <c:strCache>
                <c:ptCount val="1"/>
                <c:pt idx="0">
                  <c:v>Psíquica</c:v>
                </c:pt>
              </c:strCache>
            </c:strRef>
          </c:tx>
          <c:spPr>
            <a:ln w="12700">
              <a:solidFill>
                <a:srgbClr val="007C92"/>
              </a:solidFill>
              <a:prstDash val="solid"/>
            </a:ln>
          </c:spPr>
          <c:marker>
            <c:symbol val="diamond"/>
            <c:size val="3"/>
            <c:spPr>
              <a:solidFill>
                <a:srgbClr val="007C92"/>
              </a:solidFill>
              <a:ln>
                <a:solidFill>
                  <a:srgbClr val="007C92"/>
                </a:solidFill>
                <a:prstDash val="solid"/>
              </a:ln>
            </c:spPr>
          </c:marker>
          <c:cat>
            <c:strRef>
              <c:f>Sheet1!$I$80:$I$98</c:f>
              <c:strCache>
                <c:ptCount val="19"/>
                <c:pt idx="0">
                  <c:v>Andalucía</c:v>
                </c:pt>
                <c:pt idx="1">
                  <c:v>Aragón</c:v>
                </c:pt>
                <c:pt idx="2">
                  <c:v>Asturias</c:v>
                </c:pt>
                <c:pt idx="3">
                  <c:v>Baleares</c:v>
                </c:pt>
                <c:pt idx="4">
                  <c:v>Canarias</c:v>
                </c:pt>
                <c:pt idx="5">
                  <c:v>Cantabria</c:v>
                </c:pt>
                <c:pt idx="6">
                  <c:v>Castilla y La Mancha</c:v>
                </c:pt>
                <c:pt idx="7">
                  <c:v>Castilla y León</c:v>
                </c:pt>
                <c:pt idx="8">
                  <c:v>Cataluña</c:v>
                </c:pt>
                <c:pt idx="9">
                  <c:v>C.Valenciana</c:v>
                </c:pt>
                <c:pt idx="10">
                  <c:v>Extremadura</c:v>
                </c:pt>
                <c:pt idx="11">
                  <c:v>Galicia</c:v>
                </c:pt>
                <c:pt idx="12">
                  <c:v>Madrid</c:v>
                </c:pt>
                <c:pt idx="13">
                  <c:v>Murcia</c:v>
                </c:pt>
                <c:pt idx="14">
                  <c:v>Navarra</c:v>
                </c:pt>
                <c:pt idx="15">
                  <c:v>La Rioja</c:v>
                </c:pt>
                <c:pt idx="16">
                  <c:v>País Vasco</c:v>
                </c:pt>
                <c:pt idx="17">
                  <c:v>Ceuta</c:v>
                </c:pt>
                <c:pt idx="18">
                  <c:v>Melilla</c:v>
                </c:pt>
              </c:strCache>
            </c:strRef>
          </c:cat>
          <c:val>
            <c:numRef>
              <c:f>Sheet1!$J$80:$J$98</c:f>
              <c:numCache>
                <c:formatCode>0.0%</c:formatCode>
                <c:ptCount val="19"/>
                <c:pt idx="0">
                  <c:v>0.25349909435205031</c:v>
                </c:pt>
                <c:pt idx="1">
                  <c:v>0.41220159151193625</c:v>
                </c:pt>
                <c:pt idx="2">
                  <c:v>0.35717738037699381</c:v>
                </c:pt>
                <c:pt idx="3">
                  <c:v>0.4855172413793184</c:v>
                </c:pt>
                <c:pt idx="4">
                  <c:v>0.36913895993179885</c:v>
                </c:pt>
                <c:pt idx="5">
                  <c:v>0.63747645951035781</c:v>
                </c:pt>
                <c:pt idx="6">
                  <c:v>0.24683267802533856</c:v>
                </c:pt>
                <c:pt idx="7">
                  <c:v>0.43277108433735711</c:v>
                </c:pt>
                <c:pt idx="8">
                  <c:v>0.65870279146141264</c:v>
                </c:pt>
                <c:pt idx="9">
                  <c:v>0.38438661710038741</c:v>
                </c:pt>
                <c:pt idx="10">
                  <c:v>0.22704266088214439</c:v>
                </c:pt>
                <c:pt idx="11">
                  <c:v>0.25508021390375207</c:v>
                </c:pt>
                <c:pt idx="12">
                  <c:v>0.41001280956448777</c:v>
                </c:pt>
                <c:pt idx="13">
                  <c:v>0.29860365198711081</c:v>
                </c:pt>
                <c:pt idx="14">
                  <c:v>0.42478565861262668</c:v>
                </c:pt>
                <c:pt idx="15">
                  <c:v>0.38582677165356399</c:v>
                </c:pt>
                <c:pt idx="16">
                  <c:v>0.49682408174538933</c:v>
                </c:pt>
                <c:pt idx="17">
                  <c:v>0.41071428571429575</c:v>
                </c:pt>
                <c:pt idx="18">
                  <c:v>0.1388888888888889</c:v>
                </c:pt>
              </c:numCache>
            </c:numRef>
          </c:val>
        </c:ser>
        <c:ser>
          <c:idx val="1"/>
          <c:order val="1"/>
          <c:tx>
            <c:strRef>
              <c:f>Sheet1!$K$79</c:f>
              <c:strCache>
                <c:ptCount val="1"/>
                <c:pt idx="0">
                  <c:v>Física</c:v>
                </c:pt>
              </c:strCache>
            </c:strRef>
          </c:tx>
          <c:spPr>
            <a:ln w="12700">
              <a:solidFill>
                <a:srgbClr val="8E258D"/>
              </a:solidFill>
              <a:prstDash val="solid"/>
            </a:ln>
          </c:spPr>
          <c:marker>
            <c:symbol val="square"/>
            <c:size val="3"/>
            <c:spPr>
              <a:solidFill>
                <a:srgbClr val="8E258D"/>
              </a:solidFill>
              <a:ln>
                <a:solidFill>
                  <a:srgbClr val="8E258D"/>
                </a:solidFill>
                <a:prstDash val="solid"/>
              </a:ln>
            </c:spPr>
          </c:marker>
          <c:cat>
            <c:strRef>
              <c:f>Sheet1!$I$80:$I$98</c:f>
              <c:strCache>
                <c:ptCount val="19"/>
                <c:pt idx="0">
                  <c:v>Andalucía</c:v>
                </c:pt>
                <c:pt idx="1">
                  <c:v>Aragón</c:v>
                </c:pt>
                <c:pt idx="2">
                  <c:v>Asturias</c:v>
                </c:pt>
                <c:pt idx="3">
                  <c:v>Baleares</c:v>
                </c:pt>
                <c:pt idx="4">
                  <c:v>Canarias</c:v>
                </c:pt>
                <c:pt idx="5">
                  <c:v>Cantabria</c:v>
                </c:pt>
                <c:pt idx="6">
                  <c:v>Castilla y La Mancha</c:v>
                </c:pt>
                <c:pt idx="7">
                  <c:v>Castilla y León</c:v>
                </c:pt>
                <c:pt idx="8">
                  <c:v>Cataluña</c:v>
                </c:pt>
                <c:pt idx="9">
                  <c:v>C.Valenciana</c:v>
                </c:pt>
                <c:pt idx="10">
                  <c:v>Extremadura</c:v>
                </c:pt>
                <c:pt idx="11">
                  <c:v>Galicia</c:v>
                </c:pt>
                <c:pt idx="12">
                  <c:v>Madrid</c:v>
                </c:pt>
                <c:pt idx="13">
                  <c:v>Murcia</c:v>
                </c:pt>
                <c:pt idx="14">
                  <c:v>Navarra</c:v>
                </c:pt>
                <c:pt idx="15">
                  <c:v>La Rioja</c:v>
                </c:pt>
                <c:pt idx="16">
                  <c:v>País Vasco</c:v>
                </c:pt>
                <c:pt idx="17">
                  <c:v>Ceuta</c:v>
                </c:pt>
                <c:pt idx="18">
                  <c:v>Melilla</c:v>
                </c:pt>
              </c:strCache>
            </c:strRef>
          </c:cat>
          <c:val>
            <c:numRef>
              <c:f>Sheet1!$K$80:$K$98</c:f>
              <c:numCache>
                <c:formatCode>0.0%</c:formatCode>
                <c:ptCount val="19"/>
                <c:pt idx="0">
                  <c:v>0.63280092211429695</c:v>
                </c:pt>
                <c:pt idx="1">
                  <c:v>0.5018567639257141</c:v>
                </c:pt>
                <c:pt idx="2">
                  <c:v>0.53939101014984836</c:v>
                </c:pt>
                <c:pt idx="3">
                  <c:v>0.45931034482758631</c:v>
                </c:pt>
                <c:pt idx="4">
                  <c:v>0.47570332480818373</c:v>
                </c:pt>
                <c:pt idx="5">
                  <c:v>0.28436911487758948</c:v>
                </c:pt>
                <c:pt idx="6">
                  <c:v>0.672346002621247</c:v>
                </c:pt>
                <c:pt idx="7">
                  <c:v>0.44409638554216868</c:v>
                </c:pt>
                <c:pt idx="8">
                  <c:v>0.27857142857142853</c:v>
                </c:pt>
                <c:pt idx="9">
                  <c:v>0.49144981412639405</c:v>
                </c:pt>
                <c:pt idx="10">
                  <c:v>0.65075921908895829</c:v>
                </c:pt>
                <c:pt idx="11">
                  <c:v>0.64652406417112362</c:v>
                </c:pt>
                <c:pt idx="12">
                  <c:v>0.46007685738686216</c:v>
                </c:pt>
                <c:pt idx="13">
                  <c:v>0.6401718582169944</c:v>
                </c:pt>
                <c:pt idx="14">
                  <c:v>0.48012470771629767</c:v>
                </c:pt>
                <c:pt idx="15">
                  <c:v>0.52559055118110232</c:v>
                </c:pt>
                <c:pt idx="16">
                  <c:v>0.41342170671086503</c:v>
                </c:pt>
                <c:pt idx="17">
                  <c:v>0.48214285714286825</c:v>
                </c:pt>
                <c:pt idx="18">
                  <c:v>0.63888888888890005</c:v>
                </c:pt>
              </c:numCache>
            </c:numRef>
          </c:val>
        </c:ser>
        <c:ser>
          <c:idx val="2"/>
          <c:order val="2"/>
          <c:tx>
            <c:strRef>
              <c:f>Sheet1!$L$79</c:f>
              <c:strCache>
                <c:ptCount val="1"/>
                <c:pt idx="0">
                  <c:v>Sensorial</c:v>
                </c:pt>
              </c:strCache>
            </c:strRef>
          </c:tx>
          <c:spPr>
            <a:ln w="12700">
              <a:solidFill>
                <a:srgbClr val="A79E70"/>
              </a:solidFill>
              <a:prstDash val="solid"/>
            </a:ln>
          </c:spPr>
          <c:marker>
            <c:symbol val="triangle"/>
            <c:size val="3"/>
            <c:spPr>
              <a:solidFill>
                <a:srgbClr val="A79E70"/>
              </a:solidFill>
              <a:ln>
                <a:solidFill>
                  <a:srgbClr val="A79E70"/>
                </a:solidFill>
                <a:prstDash val="solid"/>
              </a:ln>
            </c:spPr>
          </c:marker>
          <c:cat>
            <c:strRef>
              <c:f>Sheet1!$I$80:$I$98</c:f>
              <c:strCache>
                <c:ptCount val="19"/>
                <c:pt idx="0">
                  <c:v>Andalucía</c:v>
                </c:pt>
                <c:pt idx="1">
                  <c:v>Aragón</c:v>
                </c:pt>
                <c:pt idx="2">
                  <c:v>Asturias</c:v>
                </c:pt>
                <c:pt idx="3">
                  <c:v>Baleares</c:v>
                </c:pt>
                <c:pt idx="4">
                  <c:v>Canarias</c:v>
                </c:pt>
                <c:pt idx="5">
                  <c:v>Cantabria</c:v>
                </c:pt>
                <c:pt idx="6">
                  <c:v>Castilla y La Mancha</c:v>
                </c:pt>
                <c:pt idx="7">
                  <c:v>Castilla y León</c:v>
                </c:pt>
                <c:pt idx="8">
                  <c:v>Cataluña</c:v>
                </c:pt>
                <c:pt idx="9">
                  <c:v>C.Valenciana</c:v>
                </c:pt>
                <c:pt idx="10">
                  <c:v>Extremadura</c:v>
                </c:pt>
                <c:pt idx="11">
                  <c:v>Galicia</c:v>
                </c:pt>
                <c:pt idx="12">
                  <c:v>Madrid</c:v>
                </c:pt>
                <c:pt idx="13">
                  <c:v>Murcia</c:v>
                </c:pt>
                <c:pt idx="14">
                  <c:v>Navarra</c:v>
                </c:pt>
                <c:pt idx="15">
                  <c:v>La Rioja</c:v>
                </c:pt>
                <c:pt idx="16">
                  <c:v>País Vasco</c:v>
                </c:pt>
                <c:pt idx="17">
                  <c:v>Ceuta</c:v>
                </c:pt>
                <c:pt idx="18">
                  <c:v>Melilla</c:v>
                </c:pt>
              </c:strCache>
            </c:strRef>
          </c:cat>
          <c:val>
            <c:numRef>
              <c:f>Sheet1!$L$80:$L$98</c:f>
              <c:numCache>
                <c:formatCode>0.0%</c:formatCode>
                <c:ptCount val="19"/>
                <c:pt idx="0">
                  <c:v>0.11369998353367369</c:v>
                </c:pt>
                <c:pt idx="1">
                  <c:v>8.5941644562334191E-2</c:v>
                </c:pt>
                <c:pt idx="2">
                  <c:v>0.10343160947317774</c:v>
                </c:pt>
                <c:pt idx="3">
                  <c:v>5.5172413793103482E-2</c:v>
                </c:pt>
                <c:pt idx="4">
                  <c:v>0.15515771526001687</c:v>
                </c:pt>
                <c:pt idx="5">
                  <c:v>7.8154425612052728E-2</c:v>
                </c:pt>
                <c:pt idx="6">
                  <c:v>8.0821319353431245E-2</c:v>
                </c:pt>
                <c:pt idx="7">
                  <c:v>0.12313253012048229</c:v>
                </c:pt>
                <c:pt idx="8">
                  <c:v>6.2725779967159279E-2</c:v>
                </c:pt>
                <c:pt idx="9">
                  <c:v>0.1241635687732381</c:v>
                </c:pt>
                <c:pt idx="10">
                  <c:v>0.12219812002892538</c:v>
                </c:pt>
                <c:pt idx="11">
                  <c:v>9.8395721925133697E-2</c:v>
                </c:pt>
                <c:pt idx="12">
                  <c:v>0.12991033304867641</c:v>
                </c:pt>
                <c:pt idx="13">
                  <c:v>6.1224489795918373E-2</c:v>
                </c:pt>
                <c:pt idx="14">
                  <c:v>9.5089633671083404E-2</c:v>
                </c:pt>
                <c:pt idx="15">
                  <c:v>8.8582677165354326E-2</c:v>
                </c:pt>
                <c:pt idx="16">
                  <c:v>8.9754211543773263E-2</c:v>
                </c:pt>
                <c:pt idx="17">
                  <c:v>0.10714285714285714</c:v>
                </c:pt>
                <c:pt idx="18">
                  <c:v>0.22222222222222221</c:v>
                </c:pt>
              </c:numCache>
            </c:numRef>
          </c:val>
        </c:ser>
        <c:marker val="1"/>
        <c:axId val="224531584"/>
        <c:axId val="224533504"/>
      </c:lineChart>
      <c:catAx>
        <c:axId val="224531584"/>
        <c:scaling>
          <c:orientation val="minMax"/>
        </c:scaling>
        <c:axPos val="b"/>
        <c:tickLblPos val="low"/>
        <c:spPr>
          <a:ln w="3175">
            <a:solidFill>
              <a:srgbClr val="000000"/>
            </a:solidFill>
            <a:prstDash val="solid"/>
          </a:ln>
        </c:spPr>
        <c:crossAx val="224533504"/>
        <c:crosses val="autoZero"/>
        <c:auto val="1"/>
        <c:lblAlgn val="ctr"/>
        <c:lblOffset val="100"/>
      </c:catAx>
      <c:valAx>
        <c:axId val="224533504"/>
        <c:scaling>
          <c:orientation val="minMax"/>
        </c:scaling>
        <c:axPos val="l"/>
        <c:numFmt formatCode="0.0%" sourceLinked="1"/>
        <c:tickLblPos val="nextTo"/>
        <c:spPr>
          <a:ln w="3175">
            <a:solidFill>
              <a:srgbClr val="000000"/>
            </a:solidFill>
            <a:prstDash val="solid"/>
          </a:ln>
        </c:spPr>
        <c:crossAx val="224531584"/>
        <c:crosses val="autoZero"/>
        <c:crossBetween val="midCat"/>
      </c:valAx>
      <c:spPr>
        <a:noFill/>
        <a:ln w="25400">
          <a:noFill/>
        </a:ln>
      </c:spPr>
    </c:plotArea>
    <c:legend>
      <c:legendPos val="b"/>
      <c:layout>
        <c:manualLayout>
          <c:xMode val="edge"/>
          <c:yMode val="edge"/>
          <c:x val="0.26401011589729145"/>
          <c:y val="0.8921521740639925"/>
          <c:w val="0.56944563144029892"/>
          <c:h val="4.5776601868430571E-2"/>
        </c:manualLayout>
      </c:layout>
      <c:spPr>
        <a:noFill/>
        <a:ln w="25400">
          <a:noFill/>
        </a:ln>
      </c:spPr>
    </c:legend>
    <c:plotVisOnly val="1"/>
  </c:chart>
  <c:spPr>
    <a:noFill/>
    <a:ln w="9525">
      <a:noFill/>
    </a:ln>
  </c:spPr>
  <c:txPr>
    <a:bodyPr/>
    <a:lstStyle/>
    <a:p>
      <a:pPr>
        <a:defRPr sz="1000" b="0" i="0">
          <a:solidFill>
            <a:srgbClr val="000000"/>
          </a:solidFill>
          <a:latin typeface="MinionPro-Regular"/>
          <a:ea typeface="Arial"/>
          <a:cs typeface="Arial"/>
        </a:defRPr>
      </a:pPr>
      <a:endParaRPr lang="es-ES"/>
    </a:p>
  </c:txPr>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date1904 val="1"/>
  <c:lang val="es-ES"/>
  <c:chart>
    <c:autoTitleDeleted val="1"/>
    <c:plotArea>
      <c:layout>
        <c:manualLayout>
          <c:layoutTarget val="inner"/>
          <c:xMode val="edge"/>
          <c:yMode val="edge"/>
          <c:x val="0.17683603067531894"/>
          <c:y val="0.11007778957207805"/>
          <c:w val="0.74214966614517186"/>
          <c:h val="0.59914383941443961"/>
        </c:manualLayout>
      </c:layout>
      <c:barChart>
        <c:barDir val="col"/>
        <c:grouping val="clustered"/>
        <c:ser>
          <c:idx val="0"/>
          <c:order val="0"/>
          <c:spPr>
            <a:solidFill>
              <a:srgbClr val="409DAD"/>
            </a:solidFill>
            <a:ln w="3175">
              <a:solidFill>
                <a:srgbClr val="FFFFFF"/>
              </a:solidFill>
              <a:prstDash val="solid"/>
            </a:ln>
          </c:spPr>
          <c:dLbls>
            <c:txPr>
              <a:bodyPr/>
              <a:lstStyle/>
              <a:p>
                <a:pPr>
                  <a:defRPr sz="700"/>
                </a:pPr>
                <a:endParaRPr lang="es-ES"/>
              </a:p>
            </c:txPr>
            <c:showVal val="1"/>
          </c:dLbls>
          <c:cat>
            <c:strRef>
              <c:f>Sheet1!$C$34:$C$52</c:f>
              <c:strCache>
                <c:ptCount val="19"/>
                <c:pt idx="0">
                  <c:v>Andalucía</c:v>
                </c:pt>
                <c:pt idx="1">
                  <c:v>Aragón</c:v>
                </c:pt>
                <c:pt idx="2">
                  <c:v>Asturias</c:v>
                </c:pt>
                <c:pt idx="3">
                  <c:v>Baleares</c:v>
                </c:pt>
                <c:pt idx="4">
                  <c:v>Canarias</c:v>
                </c:pt>
                <c:pt idx="5">
                  <c:v>Cantabria</c:v>
                </c:pt>
                <c:pt idx="6">
                  <c:v>Castilla y León</c:v>
                </c:pt>
                <c:pt idx="7">
                  <c:v>Castilla La Mancha</c:v>
                </c:pt>
                <c:pt idx="8">
                  <c:v>Cataluña</c:v>
                </c:pt>
                <c:pt idx="9">
                  <c:v>C.Valenciana</c:v>
                </c:pt>
                <c:pt idx="10">
                  <c:v>Extremadura</c:v>
                </c:pt>
                <c:pt idx="11">
                  <c:v>Galicia</c:v>
                </c:pt>
                <c:pt idx="12">
                  <c:v>Madrid</c:v>
                </c:pt>
                <c:pt idx="13">
                  <c:v>Murcia</c:v>
                </c:pt>
                <c:pt idx="14">
                  <c:v>Navarra</c:v>
                </c:pt>
                <c:pt idx="15">
                  <c:v>País Vasco</c:v>
                </c:pt>
                <c:pt idx="16">
                  <c:v>La Rioja</c:v>
                </c:pt>
                <c:pt idx="17">
                  <c:v>Ceuta</c:v>
                </c:pt>
                <c:pt idx="18">
                  <c:v>Melilla</c:v>
                </c:pt>
              </c:strCache>
            </c:strRef>
          </c:cat>
          <c:val>
            <c:numRef>
              <c:f>Sheet1!$D$34:$D$52</c:f>
              <c:numCache>
                <c:formatCode>0.0</c:formatCode>
                <c:ptCount val="19"/>
                <c:pt idx="0">
                  <c:v>146.30377003832172</c:v>
                </c:pt>
                <c:pt idx="1">
                  <c:v>143.90070927400001</c:v>
                </c:pt>
                <c:pt idx="2">
                  <c:v>197.39107952599647</c:v>
                </c:pt>
                <c:pt idx="3">
                  <c:v>65.71570750437121</c:v>
                </c:pt>
                <c:pt idx="4">
                  <c:v>55.174632651245894</c:v>
                </c:pt>
                <c:pt idx="5">
                  <c:v>183.87286109288348</c:v>
                </c:pt>
                <c:pt idx="6">
                  <c:v>168.47845282380035</c:v>
                </c:pt>
                <c:pt idx="7">
                  <c:v>112.17536405536728</c:v>
                </c:pt>
                <c:pt idx="8">
                  <c:v>167.96647620812783</c:v>
                </c:pt>
                <c:pt idx="9">
                  <c:v>80.485859322685258</c:v>
                </c:pt>
                <c:pt idx="10">
                  <c:v>127.8989977083607</c:v>
                </c:pt>
                <c:pt idx="11">
                  <c:v>72.420000713171518</c:v>
                </c:pt>
                <c:pt idx="12">
                  <c:v>146.25194270133645</c:v>
                </c:pt>
                <c:pt idx="13">
                  <c:v>63.035010497936</c:v>
                </c:pt>
                <c:pt idx="14">
                  <c:v>206.14813100930638</c:v>
                </c:pt>
                <c:pt idx="15">
                  <c:v>343.27952822528363</c:v>
                </c:pt>
                <c:pt idx="16">
                  <c:v>163.97411274833999</c:v>
                </c:pt>
                <c:pt idx="17">
                  <c:v>72.375733450512158</c:v>
                </c:pt>
                <c:pt idx="18">
                  <c:v>45.947084274609388</c:v>
                </c:pt>
              </c:numCache>
            </c:numRef>
          </c:val>
        </c:ser>
        <c:gapWidth val="40"/>
        <c:axId val="224598656"/>
        <c:axId val="224567680"/>
      </c:barChart>
      <c:catAx>
        <c:axId val="224598656"/>
        <c:scaling>
          <c:orientation val="minMax"/>
        </c:scaling>
        <c:axPos val="b"/>
        <c:tickLblPos val="low"/>
        <c:spPr>
          <a:ln w="3175">
            <a:solidFill>
              <a:srgbClr val="000000"/>
            </a:solidFill>
            <a:prstDash val="solid"/>
          </a:ln>
        </c:spPr>
        <c:crossAx val="224567680"/>
        <c:crosses val="autoZero"/>
        <c:auto val="1"/>
        <c:lblAlgn val="ctr"/>
        <c:lblOffset val="100"/>
      </c:catAx>
      <c:valAx>
        <c:axId val="224567680"/>
        <c:scaling>
          <c:orientation val="minMax"/>
          <c:max val="400"/>
        </c:scaling>
        <c:axPos val="l"/>
        <c:title>
          <c:tx>
            <c:rich>
              <a:bodyPr rot="-5400000" vert="horz"/>
              <a:lstStyle/>
              <a:p>
                <a:pPr>
                  <a:defRPr/>
                </a:pPr>
                <a:r>
                  <a:rPr lang="en-US"/>
                  <a:t>Número de trabajadores con discapacidad en CEE por cada 100.000 habitantes</a:t>
                </a:r>
              </a:p>
            </c:rich>
          </c:tx>
          <c:layout>
            <c:manualLayout>
              <c:xMode val="edge"/>
              <c:yMode val="edge"/>
              <c:x val="3.5672022478672551E-2"/>
              <c:y val="9.2588258789505509E-2"/>
            </c:manualLayout>
          </c:layout>
        </c:title>
        <c:numFmt formatCode="0.0" sourceLinked="1"/>
        <c:tickLblPos val="nextTo"/>
        <c:spPr>
          <a:ln w="3175">
            <a:solidFill>
              <a:srgbClr val="000000"/>
            </a:solidFill>
            <a:prstDash val="solid"/>
          </a:ln>
        </c:spPr>
        <c:crossAx val="224598656"/>
        <c:crosses val="autoZero"/>
        <c:crossBetween val="between"/>
        <c:majorUnit val="200"/>
      </c:valAx>
      <c:spPr>
        <a:noFill/>
        <a:ln w="25400">
          <a:noFill/>
        </a:ln>
      </c:spPr>
    </c:plotArea>
    <c:plotVisOnly val="1"/>
  </c:chart>
  <c:spPr>
    <a:noFill/>
    <a:ln w="9525">
      <a:noFill/>
    </a:ln>
  </c:spPr>
  <c:txPr>
    <a:bodyPr/>
    <a:lstStyle/>
    <a:p>
      <a:pPr>
        <a:defRPr sz="800" b="0" i="0">
          <a:solidFill>
            <a:srgbClr val="000000"/>
          </a:solidFill>
          <a:latin typeface="MinionPro-Regular"/>
          <a:ea typeface="Arial"/>
          <a:cs typeface="Arial"/>
        </a:defRPr>
      </a:pPr>
      <a:endParaRPr lang="es-ES"/>
    </a:p>
  </c:txPr>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date1904 val="1"/>
  <c:lang val="es-ES"/>
  <c:chart>
    <c:autoTitleDeleted val="1"/>
    <c:plotArea>
      <c:layout>
        <c:manualLayout>
          <c:layoutTarget val="inner"/>
          <c:xMode val="edge"/>
          <c:yMode val="edge"/>
          <c:x val="0.19049054213050956"/>
          <c:y val="0.20672225055131407"/>
          <c:w val="0.72950945786949228"/>
          <c:h val="0.51310662702065457"/>
        </c:manualLayout>
      </c:layout>
      <c:barChart>
        <c:barDir val="col"/>
        <c:grouping val="clustered"/>
        <c:ser>
          <c:idx val="0"/>
          <c:order val="0"/>
          <c:spPr>
            <a:solidFill>
              <a:srgbClr val="409DAD"/>
            </a:solidFill>
            <a:ln w="3175">
              <a:solidFill>
                <a:srgbClr val="FFFFFF"/>
              </a:solidFill>
              <a:prstDash val="solid"/>
            </a:ln>
          </c:spPr>
          <c:cat>
            <c:strRef>
              <c:f>'GRAFICA DEFINITIVA'!$B$28:$B$44</c:f>
              <c:strCache>
                <c:ptCount val="17"/>
                <c:pt idx="0">
                  <c:v>País Vasco</c:v>
                </c:pt>
                <c:pt idx="1">
                  <c:v>Castilla y León</c:v>
                </c:pt>
                <c:pt idx="2">
                  <c:v>Madrid</c:v>
                </c:pt>
                <c:pt idx="3">
                  <c:v>Extremadura</c:v>
                </c:pt>
                <c:pt idx="4">
                  <c:v>Andalucía + Ceuta y Melilla</c:v>
                </c:pt>
                <c:pt idx="5">
                  <c:v>Cantabria</c:v>
                </c:pt>
                <c:pt idx="6">
                  <c:v>Navarra</c:v>
                </c:pt>
                <c:pt idx="7">
                  <c:v>Asturias</c:v>
                </c:pt>
                <c:pt idx="8">
                  <c:v>Aragón</c:v>
                </c:pt>
                <c:pt idx="9">
                  <c:v>Cataluña</c:v>
                </c:pt>
                <c:pt idx="10">
                  <c:v>C.Valenciana</c:v>
                </c:pt>
                <c:pt idx="11">
                  <c:v>La Rioja</c:v>
                </c:pt>
                <c:pt idx="12">
                  <c:v>Castilla La Mancha</c:v>
                </c:pt>
                <c:pt idx="13">
                  <c:v>Canarias</c:v>
                </c:pt>
                <c:pt idx="14">
                  <c:v>Baleares</c:v>
                </c:pt>
                <c:pt idx="15">
                  <c:v>Galicia</c:v>
                </c:pt>
                <c:pt idx="16">
                  <c:v>Murcia</c:v>
                </c:pt>
              </c:strCache>
            </c:strRef>
          </c:cat>
          <c:val>
            <c:numRef>
              <c:f>'GRAFICA DEFINITIVA'!$C$28:$C$44</c:f>
              <c:numCache>
                <c:formatCode>0%</c:formatCode>
                <c:ptCount val="17"/>
                <c:pt idx="0">
                  <c:v>0.32000000000000045</c:v>
                </c:pt>
                <c:pt idx="1">
                  <c:v>0.27</c:v>
                </c:pt>
                <c:pt idx="2">
                  <c:v>0.25</c:v>
                </c:pt>
                <c:pt idx="3">
                  <c:v>0.24000000000000019</c:v>
                </c:pt>
                <c:pt idx="4">
                  <c:v>0.23</c:v>
                </c:pt>
                <c:pt idx="5">
                  <c:v>0.23</c:v>
                </c:pt>
                <c:pt idx="6">
                  <c:v>0.22</c:v>
                </c:pt>
                <c:pt idx="7">
                  <c:v>0.19</c:v>
                </c:pt>
                <c:pt idx="8">
                  <c:v>0.18000000000000019</c:v>
                </c:pt>
                <c:pt idx="9">
                  <c:v>0.18000000000000019</c:v>
                </c:pt>
                <c:pt idx="10">
                  <c:v>0.18000000000000019</c:v>
                </c:pt>
                <c:pt idx="11">
                  <c:v>0.18000000000000019</c:v>
                </c:pt>
                <c:pt idx="12">
                  <c:v>0.13</c:v>
                </c:pt>
                <c:pt idx="13">
                  <c:v>0.12000000000000002</c:v>
                </c:pt>
                <c:pt idx="14">
                  <c:v>0.1</c:v>
                </c:pt>
                <c:pt idx="15">
                  <c:v>9.0000000000000024E-2</c:v>
                </c:pt>
                <c:pt idx="16">
                  <c:v>4.0000000000000022E-2</c:v>
                </c:pt>
              </c:numCache>
            </c:numRef>
          </c:val>
        </c:ser>
        <c:gapWidth val="40"/>
        <c:axId val="224632832"/>
        <c:axId val="224634368"/>
      </c:barChart>
      <c:catAx>
        <c:axId val="224632832"/>
        <c:scaling>
          <c:orientation val="minMax"/>
        </c:scaling>
        <c:axPos val="b"/>
        <c:tickLblPos val="low"/>
        <c:spPr>
          <a:ln w="3175">
            <a:solidFill>
              <a:srgbClr val="000000"/>
            </a:solidFill>
            <a:prstDash val="solid"/>
          </a:ln>
        </c:spPr>
        <c:crossAx val="224634368"/>
        <c:crosses val="autoZero"/>
        <c:auto val="1"/>
        <c:lblAlgn val="ctr"/>
        <c:lblOffset val="100"/>
      </c:catAx>
      <c:valAx>
        <c:axId val="224634368"/>
        <c:scaling>
          <c:orientation val="minMax"/>
        </c:scaling>
        <c:axPos val="l"/>
        <c:title>
          <c:tx>
            <c:rich>
              <a:bodyPr rot="-5400000" vert="horz"/>
              <a:lstStyle/>
              <a:p>
                <a:pPr>
                  <a:defRPr/>
                </a:pPr>
                <a:r>
                  <a:rPr lang="en-US"/>
                  <a:t>Porcentaje</a:t>
                </a:r>
                <a:r>
                  <a:rPr lang="en-US" baseline="0"/>
                  <a:t> de personas con discapacidad en CEE respecto del total de personas con discpacidad ocupadas</a:t>
                </a:r>
                <a:endParaRPr lang="en-US"/>
              </a:p>
            </c:rich>
          </c:tx>
          <c:layout>
            <c:manualLayout>
              <c:xMode val="edge"/>
              <c:yMode val="edge"/>
              <c:x val="4.5779889582767665E-2"/>
              <c:y val="0.12809070018476459"/>
            </c:manualLayout>
          </c:layout>
        </c:title>
        <c:numFmt formatCode="0%" sourceLinked="1"/>
        <c:tickLblPos val="nextTo"/>
        <c:spPr>
          <a:ln w="3175">
            <a:solidFill>
              <a:srgbClr val="000000"/>
            </a:solidFill>
            <a:prstDash val="solid"/>
          </a:ln>
        </c:spPr>
        <c:crossAx val="224632832"/>
        <c:crosses val="autoZero"/>
        <c:crossBetween val="between"/>
      </c:valAx>
      <c:spPr>
        <a:noFill/>
        <a:ln w="25400">
          <a:noFill/>
        </a:ln>
      </c:spPr>
    </c:plotArea>
    <c:plotVisOnly val="1"/>
  </c:chart>
  <c:spPr>
    <a:noFill/>
    <a:ln w="9525">
      <a:noFill/>
    </a:ln>
  </c:spPr>
  <c:txPr>
    <a:bodyPr/>
    <a:lstStyle/>
    <a:p>
      <a:pPr>
        <a:defRPr sz="800" b="0" i="0">
          <a:solidFill>
            <a:srgbClr val="000000"/>
          </a:solidFill>
          <a:latin typeface="MinionPro-Regular"/>
          <a:ea typeface="Arial"/>
          <a:cs typeface="Arial"/>
        </a:defRPr>
      </a:pPr>
      <a:endParaRPr lang="es-ES"/>
    </a:p>
  </c:txPr>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date1904 val="1"/>
  <c:lang val="es-ES"/>
  <c:chart>
    <c:autoTitleDeleted val="1"/>
    <c:plotArea>
      <c:layout>
        <c:manualLayout>
          <c:layoutTarget val="inner"/>
          <c:xMode val="edge"/>
          <c:yMode val="edge"/>
          <c:x val="0.18240202821282253"/>
          <c:y val="0.10767814341998475"/>
          <c:w val="0.74486898853092076"/>
          <c:h val="0.56706242999611856"/>
        </c:manualLayout>
      </c:layout>
      <c:barChart>
        <c:barDir val="col"/>
        <c:grouping val="clustered"/>
        <c:ser>
          <c:idx val="0"/>
          <c:order val="0"/>
          <c:spPr>
            <a:solidFill>
              <a:srgbClr val="409DAD"/>
            </a:solidFill>
            <a:ln w="3175">
              <a:solidFill>
                <a:srgbClr val="FFFFFF"/>
              </a:solidFill>
              <a:prstDash val="solid"/>
            </a:ln>
          </c:spPr>
          <c:dLbls>
            <c:txPr>
              <a:bodyPr/>
              <a:lstStyle/>
              <a:p>
                <a:pPr>
                  <a:defRPr sz="700"/>
                </a:pPr>
                <a:endParaRPr lang="es-ES"/>
              </a:p>
            </c:txPr>
            <c:showVal val="1"/>
          </c:dLbls>
          <c:cat>
            <c:strRef>
              <c:f>Sheet1!$C$56:$C$74</c:f>
              <c:strCache>
                <c:ptCount val="19"/>
                <c:pt idx="0">
                  <c:v>País Vasco</c:v>
                </c:pt>
                <c:pt idx="1">
                  <c:v>Navarra</c:v>
                </c:pt>
                <c:pt idx="2">
                  <c:v>Cataluña</c:v>
                </c:pt>
                <c:pt idx="3">
                  <c:v>Cantabria</c:v>
                </c:pt>
                <c:pt idx="4">
                  <c:v>Madrid</c:v>
                </c:pt>
                <c:pt idx="5">
                  <c:v>C.Valenciana</c:v>
                </c:pt>
                <c:pt idx="6">
                  <c:v>Aragón</c:v>
                </c:pt>
                <c:pt idx="7">
                  <c:v>Baleares</c:v>
                </c:pt>
                <c:pt idx="8">
                  <c:v>Murcia</c:v>
                </c:pt>
                <c:pt idx="9">
                  <c:v>Castilla La Mancha</c:v>
                </c:pt>
                <c:pt idx="10">
                  <c:v>Andalucía</c:v>
                </c:pt>
                <c:pt idx="11">
                  <c:v>Asturias</c:v>
                </c:pt>
                <c:pt idx="12">
                  <c:v>Canarias</c:v>
                </c:pt>
                <c:pt idx="13">
                  <c:v>Castilla y León</c:v>
                </c:pt>
                <c:pt idx="14">
                  <c:v>Galicia</c:v>
                </c:pt>
                <c:pt idx="15">
                  <c:v>La Rioja</c:v>
                </c:pt>
                <c:pt idx="16">
                  <c:v>Ceuta</c:v>
                </c:pt>
                <c:pt idx="17">
                  <c:v>Extremadura</c:v>
                </c:pt>
                <c:pt idx="18">
                  <c:v>Melilla</c:v>
                </c:pt>
              </c:strCache>
            </c:strRef>
          </c:cat>
          <c:val>
            <c:numRef>
              <c:f>Sheet1!$D$56:$D$74</c:f>
              <c:numCache>
                <c:formatCode>0</c:formatCode>
                <c:ptCount val="19"/>
                <c:pt idx="0">
                  <c:v>77.042553191489318</c:v>
                </c:pt>
                <c:pt idx="1">
                  <c:v>75.470588235294088</c:v>
                </c:pt>
                <c:pt idx="2">
                  <c:v>56.651162790697221</c:v>
                </c:pt>
                <c:pt idx="3">
                  <c:v>55.894736842105736</c:v>
                </c:pt>
                <c:pt idx="4">
                  <c:v>45.921568627450981</c:v>
                </c:pt>
                <c:pt idx="5">
                  <c:v>32.28</c:v>
                </c:pt>
                <c:pt idx="6">
                  <c:v>29.453125</c:v>
                </c:pt>
                <c:pt idx="7">
                  <c:v>24.166666666666668</c:v>
                </c:pt>
                <c:pt idx="8">
                  <c:v>21.651162790697835</c:v>
                </c:pt>
                <c:pt idx="9">
                  <c:v>21.59433962264151</c:v>
                </c:pt>
                <c:pt idx="10">
                  <c:v>19.976973684210531</c:v>
                </c:pt>
                <c:pt idx="11">
                  <c:v>19.894230769230791</c:v>
                </c:pt>
                <c:pt idx="12">
                  <c:v>19.55</c:v>
                </c:pt>
                <c:pt idx="13">
                  <c:v>19.392523364485982</c:v>
                </c:pt>
                <c:pt idx="14">
                  <c:v>17.589285714285715</c:v>
                </c:pt>
                <c:pt idx="15">
                  <c:v>16.933333333332943</c:v>
                </c:pt>
                <c:pt idx="16">
                  <c:v>14</c:v>
                </c:pt>
                <c:pt idx="17">
                  <c:v>11.820512820512821</c:v>
                </c:pt>
                <c:pt idx="18">
                  <c:v>6</c:v>
                </c:pt>
              </c:numCache>
            </c:numRef>
          </c:val>
        </c:ser>
        <c:gapWidth val="40"/>
        <c:axId val="224729344"/>
        <c:axId val="224735232"/>
      </c:barChart>
      <c:catAx>
        <c:axId val="224729344"/>
        <c:scaling>
          <c:orientation val="minMax"/>
        </c:scaling>
        <c:axPos val="b"/>
        <c:tickLblPos val="low"/>
        <c:spPr>
          <a:ln w="3175">
            <a:solidFill>
              <a:srgbClr val="000000"/>
            </a:solidFill>
            <a:prstDash val="solid"/>
          </a:ln>
        </c:spPr>
        <c:crossAx val="224735232"/>
        <c:crosses val="autoZero"/>
        <c:auto val="1"/>
        <c:lblAlgn val="ctr"/>
        <c:lblOffset val="100"/>
      </c:catAx>
      <c:valAx>
        <c:axId val="224735232"/>
        <c:scaling>
          <c:orientation val="minMax"/>
        </c:scaling>
        <c:axPos val="l"/>
        <c:title>
          <c:tx>
            <c:rich>
              <a:bodyPr rot="-5400000" vert="horz"/>
              <a:lstStyle/>
              <a:p>
                <a:pPr>
                  <a:defRPr/>
                </a:pPr>
                <a:r>
                  <a:rPr lang="en-US" baseline="0"/>
                  <a:t>Número medio de empleados con discapacidad por </a:t>
                </a:r>
              </a:p>
              <a:p>
                <a:pPr>
                  <a:defRPr/>
                </a:pPr>
                <a:r>
                  <a:rPr lang="en-US" baseline="0"/>
                  <a:t>centro especial de empleo</a:t>
                </a:r>
              </a:p>
            </c:rich>
          </c:tx>
          <c:layout>
            <c:manualLayout>
              <c:xMode val="edge"/>
              <c:yMode val="edge"/>
              <c:x val="5.1254423171393393E-2"/>
              <c:y val="7.1032418245017034E-2"/>
            </c:manualLayout>
          </c:layout>
        </c:title>
        <c:numFmt formatCode="0" sourceLinked="1"/>
        <c:tickLblPos val="nextTo"/>
        <c:spPr>
          <a:ln w="3175">
            <a:solidFill>
              <a:srgbClr val="000000"/>
            </a:solidFill>
            <a:prstDash val="solid"/>
          </a:ln>
        </c:spPr>
        <c:crossAx val="224729344"/>
        <c:crosses val="autoZero"/>
        <c:crossBetween val="between"/>
      </c:valAx>
      <c:spPr>
        <a:noFill/>
        <a:ln w="25400">
          <a:noFill/>
        </a:ln>
      </c:spPr>
    </c:plotArea>
    <c:plotVisOnly val="1"/>
  </c:chart>
  <c:spPr>
    <a:noFill/>
    <a:ln w="9525">
      <a:noFill/>
    </a:ln>
  </c:spPr>
  <c:txPr>
    <a:bodyPr/>
    <a:lstStyle/>
    <a:p>
      <a:pPr>
        <a:defRPr sz="800" b="0" i="0">
          <a:solidFill>
            <a:srgbClr val="000000"/>
          </a:solidFill>
          <a:latin typeface="MinionPro-Regular"/>
          <a:ea typeface="Arial"/>
          <a:cs typeface="Arial"/>
        </a:defRPr>
      </a:pPr>
      <a:endParaRPr lang="es-ES"/>
    </a:p>
  </c:txPr>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date1904 val="1"/>
  <c:lang val="es-ES"/>
  <c:chart>
    <c:autoTitleDeleted val="1"/>
    <c:plotArea>
      <c:layout>
        <c:manualLayout>
          <c:layoutTarget val="inner"/>
          <c:xMode val="edge"/>
          <c:yMode val="edge"/>
          <c:x val="0.21255950506186741"/>
          <c:y val="0.12998854688618491"/>
          <c:w val="0.77275793025872608"/>
          <c:h val="0.58392054402289961"/>
        </c:manualLayout>
      </c:layout>
      <c:barChart>
        <c:barDir val="col"/>
        <c:grouping val="clustered"/>
        <c:ser>
          <c:idx val="0"/>
          <c:order val="0"/>
          <c:spPr>
            <a:solidFill>
              <a:srgbClr val="409DAD"/>
            </a:solidFill>
            <a:ln w="3175">
              <a:solidFill>
                <a:srgbClr val="FFFFFF"/>
              </a:solidFill>
              <a:prstDash val="solid"/>
            </a:ln>
          </c:spPr>
          <c:dLbls>
            <c:dLbl>
              <c:idx val="0"/>
              <c:layout>
                <c:manualLayout>
                  <c:x val="1.6402148128277567E-2"/>
                  <c:y val="0"/>
                </c:manualLayout>
              </c:layout>
              <c:showVal val="1"/>
            </c:dLbl>
            <c:dLbl>
              <c:idx val="1"/>
              <c:layout>
                <c:manualLayout>
                  <c:x val="-2.8571428571428602E-3"/>
                  <c:y val="-2.2727272727273141E-2"/>
                </c:manualLayout>
              </c:layout>
              <c:showVal val="1"/>
            </c:dLbl>
            <c:dLbl>
              <c:idx val="3"/>
              <c:layout>
                <c:manualLayout>
                  <c:x val="0"/>
                  <c:y val="-1.8181818181818334E-2"/>
                </c:manualLayout>
              </c:layout>
              <c:showVal val="1"/>
            </c:dLbl>
            <c:dLbl>
              <c:idx val="6"/>
              <c:layout>
                <c:manualLayout>
                  <c:x val="5.5544159184510759E-4"/>
                  <c:y val="-4.0000000000000114E-3"/>
                </c:manualLayout>
              </c:layout>
              <c:showVal val="1"/>
            </c:dLbl>
            <c:dLbl>
              <c:idx val="7"/>
              <c:layout>
                <c:manualLayout>
                  <c:x val="0"/>
                  <c:y val="-8.0000000000000227E-3"/>
                </c:manualLayout>
              </c:layout>
              <c:showVal val="1"/>
            </c:dLbl>
            <c:dLbl>
              <c:idx val="9"/>
              <c:layout>
                <c:manualLayout>
                  <c:x val="5.3440213760855048E-3"/>
                  <c:y val="1.0363779527559083E-2"/>
                </c:manualLayout>
              </c:layout>
              <c:showVal val="1"/>
            </c:dLbl>
            <c:dLbl>
              <c:idx val="10"/>
              <c:layout>
                <c:manualLayout>
                  <c:x val="0"/>
                  <c:y val="1.8181818181818334E-2"/>
                </c:manualLayout>
              </c:layout>
              <c:showVal val="1"/>
            </c:dLbl>
            <c:dLbl>
              <c:idx val="11"/>
              <c:layout>
                <c:manualLayout>
                  <c:x val="5.3440213760855048E-3"/>
                  <c:y val="1.6000000000000021E-2"/>
                </c:manualLayout>
              </c:layout>
              <c:showVal val="1"/>
            </c:dLbl>
            <c:dLbl>
              <c:idx val="16"/>
              <c:layout>
                <c:manualLayout>
                  <c:x val="8.5714285714285736E-3"/>
                  <c:y val="4.1666185335339764E-17"/>
                </c:manualLayout>
              </c:layout>
              <c:showVal val="1"/>
            </c:dLbl>
            <c:dLbl>
              <c:idx val="17"/>
              <c:layout>
                <c:manualLayout>
                  <c:x val="5.3440213760855048E-3"/>
                  <c:y val="7.3332486190198226E-17"/>
                </c:manualLayout>
              </c:layout>
              <c:showVal val="1"/>
            </c:dLbl>
            <c:txPr>
              <a:bodyPr/>
              <a:lstStyle/>
              <a:p>
                <a:pPr>
                  <a:defRPr sz="700"/>
                </a:pPr>
                <a:endParaRPr lang="es-ES"/>
              </a:p>
            </c:txPr>
            <c:showVal val="1"/>
          </c:dLbls>
          <c:cat>
            <c:strRef>
              <c:f>Hoja1!$C$52:$C$69</c:f>
              <c:strCache>
                <c:ptCount val="18"/>
                <c:pt idx="0">
                  <c:v>País Vasco</c:v>
                </c:pt>
                <c:pt idx="1">
                  <c:v>Navarra</c:v>
                </c:pt>
                <c:pt idx="2">
                  <c:v>Madrid</c:v>
                </c:pt>
                <c:pt idx="3">
                  <c:v>Castilla y León</c:v>
                </c:pt>
                <c:pt idx="4">
                  <c:v>La Rioja</c:v>
                </c:pt>
                <c:pt idx="5">
                  <c:v>Cantabria</c:v>
                </c:pt>
                <c:pt idx="6">
                  <c:v>Cataluña</c:v>
                </c:pt>
                <c:pt idx="7">
                  <c:v>Aragón</c:v>
                </c:pt>
                <c:pt idx="8">
                  <c:v>Asturias</c:v>
                </c:pt>
                <c:pt idx="9">
                  <c:v>Andalucía</c:v>
                </c:pt>
                <c:pt idx="10">
                  <c:v>C.Valenciana</c:v>
                </c:pt>
                <c:pt idx="11">
                  <c:v>Extremadura</c:v>
                </c:pt>
                <c:pt idx="12">
                  <c:v>Castilla La Mancha</c:v>
                </c:pt>
                <c:pt idx="13">
                  <c:v>Baleares</c:v>
                </c:pt>
                <c:pt idx="14">
                  <c:v>Galicia</c:v>
                </c:pt>
                <c:pt idx="15">
                  <c:v>Canarias</c:v>
                </c:pt>
                <c:pt idx="16">
                  <c:v>Murcia</c:v>
                </c:pt>
                <c:pt idx="17">
                  <c:v>Ceuta y Melilla</c:v>
                </c:pt>
              </c:strCache>
            </c:strRef>
          </c:cat>
          <c:val>
            <c:numRef>
              <c:f>Hoja1!$D$52:$D$69</c:f>
              <c:numCache>
                <c:formatCode>0.0%</c:formatCode>
                <c:ptCount val="18"/>
                <c:pt idx="0">
                  <c:v>0.11056488549618322</c:v>
                </c:pt>
                <c:pt idx="1">
                  <c:v>8.6689189189189206E-2</c:v>
                </c:pt>
                <c:pt idx="2">
                  <c:v>8.1816593886463063E-2</c:v>
                </c:pt>
                <c:pt idx="3">
                  <c:v>6.4541213063763606E-2</c:v>
                </c:pt>
                <c:pt idx="4">
                  <c:v>6.1951219512195115E-2</c:v>
                </c:pt>
                <c:pt idx="5">
                  <c:v>5.9329608938548044E-2</c:v>
                </c:pt>
                <c:pt idx="6">
                  <c:v>5.7075913776944702E-2</c:v>
                </c:pt>
                <c:pt idx="7">
                  <c:v>5.2216066481994464E-2</c:v>
                </c:pt>
                <c:pt idx="8">
                  <c:v>4.9735576923077132E-2</c:v>
                </c:pt>
                <c:pt idx="9">
                  <c:v>4.9414157851912728E-2</c:v>
                </c:pt>
                <c:pt idx="10">
                  <c:v>4.2971246006389775E-2</c:v>
                </c:pt>
                <c:pt idx="11">
                  <c:v>4.2036474164134134E-2</c:v>
                </c:pt>
                <c:pt idx="12">
                  <c:v>3.3464912280701802E-2</c:v>
                </c:pt>
                <c:pt idx="13">
                  <c:v>2.6851851851851849E-2</c:v>
                </c:pt>
                <c:pt idx="14">
                  <c:v>2.3936816524908876E-2</c:v>
                </c:pt>
                <c:pt idx="15">
                  <c:v>2.2048872180451439E-2</c:v>
                </c:pt>
                <c:pt idx="16">
                  <c:v>1.2894736842105263E-2</c:v>
                </c:pt>
                <c:pt idx="17">
                  <c:v>9.2929292929293892E-3</c:v>
                </c:pt>
              </c:numCache>
            </c:numRef>
          </c:val>
        </c:ser>
        <c:gapWidth val="40"/>
        <c:axId val="225710080"/>
        <c:axId val="225711616"/>
      </c:barChart>
      <c:catAx>
        <c:axId val="225710080"/>
        <c:scaling>
          <c:orientation val="minMax"/>
        </c:scaling>
        <c:axPos val="b"/>
        <c:tickLblPos val="low"/>
        <c:spPr>
          <a:ln w="3175">
            <a:solidFill>
              <a:srgbClr val="000000"/>
            </a:solidFill>
            <a:prstDash val="solid"/>
          </a:ln>
        </c:spPr>
        <c:txPr>
          <a:bodyPr/>
          <a:lstStyle/>
          <a:p>
            <a:pPr>
              <a:defRPr>
                <a:solidFill>
                  <a:srgbClr val="000000"/>
                </a:solidFill>
              </a:defRPr>
            </a:pPr>
            <a:endParaRPr lang="es-ES"/>
          </a:p>
        </c:txPr>
        <c:crossAx val="225711616"/>
        <c:crosses val="autoZero"/>
        <c:auto val="1"/>
        <c:lblAlgn val="ctr"/>
        <c:lblOffset val="100"/>
      </c:catAx>
      <c:valAx>
        <c:axId val="225711616"/>
        <c:scaling>
          <c:orientation val="minMax"/>
        </c:scaling>
        <c:axPos val="l"/>
        <c:title>
          <c:tx>
            <c:rich>
              <a:bodyPr rot="-5400000" vert="horz"/>
              <a:lstStyle/>
              <a:p>
                <a:pPr>
                  <a:defRPr>
                    <a:solidFill>
                      <a:srgbClr val="000000"/>
                    </a:solidFill>
                  </a:defRPr>
                </a:pPr>
                <a:r>
                  <a:rPr lang="en-US"/>
                  <a:t>Personas</a:t>
                </a:r>
                <a:r>
                  <a:rPr lang="en-US" baseline="0"/>
                  <a:t> con discapacidad en el centro especial de empleo en relación a toda la población de personas con discapacidad</a:t>
                </a:r>
                <a:endParaRPr lang="en-US"/>
              </a:p>
            </c:rich>
          </c:tx>
          <c:layout>
            <c:manualLayout>
              <c:xMode val="edge"/>
              <c:yMode val="edge"/>
              <c:x val="2.0000000000000011E-2"/>
              <c:y val="7.4704724409449655E-2"/>
            </c:manualLayout>
          </c:layout>
        </c:title>
        <c:numFmt formatCode="0.0%" sourceLinked="1"/>
        <c:tickLblPos val="nextTo"/>
        <c:spPr>
          <a:ln w="3175">
            <a:solidFill>
              <a:srgbClr val="000000"/>
            </a:solidFill>
            <a:prstDash val="solid"/>
          </a:ln>
        </c:spPr>
        <c:txPr>
          <a:bodyPr/>
          <a:lstStyle/>
          <a:p>
            <a:pPr>
              <a:defRPr>
                <a:solidFill>
                  <a:srgbClr val="000000"/>
                </a:solidFill>
              </a:defRPr>
            </a:pPr>
            <a:endParaRPr lang="es-ES"/>
          </a:p>
        </c:txPr>
        <c:crossAx val="225710080"/>
        <c:crosses val="autoZero"/>
        <c:crossBetween val="between"/>
      </c:valAx>
      <c:spPr>
        <a:noFill/>
        <a:ln w="25400">
          <a:noFill/>
        </a:ln>
      </c:spPr>
    </c:plotArea>
    <c:plotVisOnly val="1"/>
  </c:chart>
  <c:spPr>
    <a:noFill/>
    <a:ln w="9525">
      <a:noFill/>
    </a:ln>
  </c:spPr>
  <c:txPr>
    <a:bodyPr/>
    <a:lstStyle/>
    <a:p>
      <a:pPr>
        <a:defRPr sz="800" b="0" i="0">
          <a:solidFill>
            <a:srgbClr val="000000"/>
          </a:solidFill>
          <a:latin typeface="Arial"/>
          <a:ea typeface="Arial"/>
          <a:cs typeface="Arial"/>
        </a:defRPr>
      </a:pPr>
      <a:endParaRPr lang="es-ES"/>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s-ES"/>
  <c:chart>
    <c:autoTitleDeleted val="1"/>
    <c:plotArea>
      <c:layout>
        <c:manualLayout>
          <c:layoutTarget val="inner"/>
          <c:xMode val="edge"/>
          <c:yMode val="edge"/>
          <c:x val="0.15977396482156514"/>
          <c:y val="9.0079658410045685E-2"/>
          <c:w val="0.32364533476702578"/>
          <c:h val="0.72448933679208471"/>
        </c:manualLayout>
      </c:layout>
      <c:barChart>
        <c:barDir val="col"/>
        <c:grouping val="clustered"/>
        <c:ser>
          <c:idx val="0"/>
          <c:order val="0"/>
          <c:tx>
            <c:strRef>
              <c:f>Data!$C$108</c:f>
              <c:strCache>
                <c:ptCount val="1"/>
                <c:pt idx="0">
                  <c:v>No reciben prestación pública por discapacidad</c:v>
                </c:pt>
              </c:strCache>
            </c:strRef>
          </c:tx>
          <c:spPr>
            <a:solidFill>
              <a:srgbClr val="007C92"/>
            </a:solidFill>
            <a:ln w="3175">
              <a:solidFill>
                <a:srgbClr val="FFFFFF"/>
              </a:solidFill>
              <a:prstDash val="solid"/>
            </a:ln>
          </c:spPr>
          <c:cat>
            <c:strRef>
              <c:f>Data!$B$109:$B$113</c:f>
              <c:strCache>
                <c:ptCount val="5"/>
                <c:pt idx="0">
                  <c:v>España</c:v>
                </c:pt>
                <c:pt idx="1">
                  <c:v>Italia</c:v>
                </c:pt>
                <c:pt idx="2">
                  <c:v>Alemania</c:v>
                </c:pt>
                <c:pt idx="3">
                  <c:v>Reino Unido</c:v>
                </c:pt>
                <c:pt idx="4">
                  <c:v>Suecia</c:v>
                </c:pt>
              </c:strCache>
            </c:strRef>
          </c:cat>
          <c:val>
            <c:numRef>
              <c:f>Data!$C$109:$C$113</c:f>
              <c:numCache>
                <c:formatCode>0.0</c:formatCode>
                <c:ptCount val="5"/>
                <c:pt idx="0">
                  <c:v>84.990884843805375</c:v>
                </c:pt>
                <c:pt idx="1">
                  <c:v>80.041125460879769</c:v>
                </c:pt>
                <c:pt idx="2">
                  <c:v>87.934754887711733</c:v>
                </c:pt>
                <c:pt idx="3">
                  <c:v>83.142584982498079</c:v>
                </c:pt>
                <c:pt idx="4">
                  <c:v>73.053101825731559</c:v>
                </c:pt>
              </c:numCache>
            </c:numRef>
          </c:val>
        </c:ser>
        <c:ser>
          <c:idx val="1"/>
          <c:order val="1"/>
          <c:tx>
            <c:strRef>
              <c:f>Data!$D$108</c:f>
              <c:strCache>
                <c:ptCount val="1"/>
                <c:pt idx="0">
                  <c:v>No reciben ninguna prestación pública</c:v>
                </c:pt>
              </c:strCache>
            </c:strRef>
          </c:tx>
          <c:spPr>
            <a:solidFill>
              <a:srgbClr val="409DAD"/>
            </a:solidFill>
            <a:ln w="3175">
              <a:solidFill>
                <a:srgbClr val="FFFFFF"/>
              </a:solidFill>
              <a:prstDash val="solid"/>
            </a:ln>
          </c:spPr>
          <c:cat>
            <c:strRef>
              <c:f>Data!$B$109:$B$113</c:f>
              <c:strCache>
                <c:ptCount val="5"/>
                <c:pt idx="0">
                  <c:v>España</c:v>
                </c:pt>
                <c:pt idx="1">
                  <c:v>Italia</c:v>
                </c:pt>
                <c:pt idx="2">
                  <c:v>Alemania</c:v>
                </c:pt>
                <c:pt idx="3">
                  <c:v>Reino Unido</c:v>
                </c:pt>
                <c:pt idx="4">
                  <c:v>Suecia</c:v>
                </c:pt>
              </c:strCache>
            </c:strRef>
          </c:cat>
          <c:val>
            <c:numRef>
              <c:f>Data!$D$109:$D$113</c:f>
              <c:numCache>
                <c:formatCode>0.0</c:formatCode>
                <c:ptCount val="5"/>
                <c:pt idx="0">
                  <c:v>56.249341947296855</c:v>
                </c:pt>
                <c:pt idx="1">
                  <c:v>35.110583975270174</c:v>
                </c:pt>
                <c:pt idx="2">
                  <c:v>27.452920505191589</c:v>
                </c:pt>
                <c:pt idx="3">
                  <c:v>25.046429085087489</c:v>
                </c:pt>
                <c:pt idx="4">
                  <c:v>16.398509733714189</c:v>
                </c:pt>
              </c:numCache>
            </c:numRef>
          </c:val>
        </c:ser>
        <c:ser>
          <c:idx val="2"/>
          <c:order val="2"/>
          <c:tx>
            <c:strRef>
              <c:f>Data!$E$108</c:f>
              <c:strCache>
                <c:ptCount val="1"/>
                <c:pt idx="0">
                  <c:v>No reciben prestaciones públicas y están desempleados </c:v>
                </c:pt>
              </c:strCache>
            </c:strRef>
          </c:tx>
          <c:spPr>
            <a:solidFill>
              <a:srgbClr val="80BEC9"/>
            </a:solidFill>
            <a:ln w="3175">
              <a:solidFill>
                <a:srgbClr val="FFFFFF"/>
              </a:solidFill>
              <a:prstDash val="solid"/>
            </a:ln>
          </c:spPr>
          <c:cat>
            <c:strRef>
              <c:f>Data!$B$109:$B$113</c:f>
              <c:strCache>
                <c:ptCount val="5"/>
                <c:pt idx="0">
                  <c:v>España</c:v>
                </c:pt>
                <c:pt idx="1">
                  <c:v>Italia</c:v>
                </c:pt>
                <c:pt idx="2">
                  <c:v>Alemania</c:v>
                </c:pt>
                <c:pt idx="3">
                  <c:v>Reino Unido</c:v>
                </c:pt>
                <c:pt idx="4">
                  <c:v>Suecia</c:v>
                </c:pt>
              </c:strCache>
            </c:strRef>
          </c:cat>
          <c:val>
            <c:numRef>
              <c:f>Data!$E$109:$E$113</c:f>
              <c:numCache>
                <c:formatCode>0.0</c:formatCode>
                <c:ptCount val="5"/>
                <c:pt idx="0">
                  <c:v>27.376773774873463</c:v>
                </c:pt>
                <c:pt idx="1">
                  <c:v>15.158030419315606</c:v>
                </c:pt>
                <c:pt idx="2">
                  <c:v>8.5300154731442941</c:v>
                </c:pt>
                <c:pt idx="3">
                  <c:v>3.5285254455216695</c:v>
                </c:pt>
                <c:pt idx="4">
                  <c:v>1.2957823270229378</c:v>
                </c:pt>
              </c:numCache>
            </c:numRef>
          </c:val>
        </c:ser>
        <c:gapWidth val="40"/>
        <c:axId val="207076736"/>
        <c:axId val="207078528"/>
      </c:barChart>
      <c:catAx>
        <c:axId val="207076736"/>
        <c:scaling>
          <c:orientation val="minMax"/>
        </c:scaling>
        <c:axPos val="b"/>
        <c:numFmt formatCode="General" sourceLinked="1"/>
        <c:tickLblPos val="low"/>
        <c:spPr>
          <a:ln w="3175">
            <a:solidFill>
              <a:srgbClr val="000000"/>
            </a:solidFill>
            <a:prstDash val="solid"/>
          </a:ln>
        </c:spPr>
        <c:txPr>
          <a:bodyPr/>
          <a:lstStyle/>
          <a:p>
            <a:pPr>
              <a:defRPr>
                <a:solidFill>
                  <a:srgbClr val="000000"/>
                </a:solidFill>
                <a:latin typeface="MinionPro-Regular"/>
              </a:defRPr>
            </a:pPr>
            <a:endParaRPr lang="es-ES"/>
          </a:p>
        </c:txPr>
        <c:crossAx val="207078528"/>
        <c:crosses val="autoZero"/>
        <c:auto val="1"/>
        <c:lblAlgn val="ctr"/>
        <c:lblOffset val="100"/>
      </c:catAx>
      <c:valAx>
        <c:axId val="207078528"/>
        <c:scaling>
          <c:orientation val="minMax"/>
          <c:max val="100"/>
        </c:scaling>
        <c:axPos val="l"/>
        <c:numFmt formatCode="#,##0" sourceLinked="0"/>
        <c:tickLblPos val="nextTo"/>
        <c:spPr>
          <a:ln w="3175">
            <a:solidFill>
              <a:srgbClr val="000000"/>
            </a:solidFill>
            <a:prstDash val="solid"/>
          </a:ln>
        </c:spPr>
        <c:txPr>
          <a:bodyPr/>
          <a:lstStyle/>
          <a:p>
            <a:pPr>
              <a:defRPr>
                <a:solidFill>
                  <a:srgbClr val="000000"/>
                </a:solidFill>
              </a:defRPr>
            </a:pPr>
            <a:endParaRPr lang="es-ES"/>
          </a:p>
        </c:txPr>
        <c:crossAx val="207076736"/>
        <c:crosses val="autoZero"/>
        <c:crossBetween val="between"/>
        <c:majorUnit val="10"/>
      </c:valAx>
      <c:spPr>
        <a:noFill/>
        <a:ln w="25400">
          <a:noFill/>
        </a:ln>
      </c:spPr>
    </c:plotArea>
    <c:legend>
      <c:legendPos val="r"/>
      <c:layout>
        <c:manualLayout>
          <c:xMode val="edge"/>
          <c:yMode val="edge"/>
          <c:x val="0.65407371498598565"/>
          <c:y val="0.25837355048999999"/>
          <c:w val="0.28445803429500932"/>
          <c:h val="0.5123266275201277"/>
        </c:manualLayout>
      </c:layout>
      <c:spPr>
        <a:noFill/>
        <a:ln w="25400">
          <a:noFill/>
        </a:ln>
      </c:spPr>
      <c:txPr>
        <a:bodyPr/>
        <a:lstStyle/>
        <a:p>
          <a:pPr>
            <a:defRPr sz="800">
              <a:solidFill>
                <a:srgbClr val="000000"/>
              </a:solidFill>
              <a:latin typeface="MinionPro-Regular"/>
            </a:defRPr>
          </a:pPr>
          <a:endParaRPr lang="es-ES"/>
        </a:p>
      </c:txPr>
    </c:legend>
    <c:plotVisOnly val="1"/>
    <c:dispBlanksAs val="gap"/>
  </c:chart>
  <c:spPr>
    <a:noFill/>
    <a:ln w="9525">
      <a:noFill/>
    </a:ln>
  </c:spPr>
  <c:txPr>
    <a:bodyPr/>
    <a:lstStyle/>
    <a:p>
      <a:pPr>
        <a:defRPr sz="800" b="0" i="0">
          <a:solidFill>
            <a:srgbClr val="000000"/>
          </a:solidFill>
          <a:latin typeface="Arial"/>
          <a:ea typeface="Arial"/>
          <a:cs typeface="Arial"/>
        </a:defRPr>
      </a:pPr>
      <a:endParaRPr lang="es-ES"/>
    </a:p>
  </c:txPr>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date1904 val="1"/>
  <c:lang val="es-ES"/>
  <c:chart>
    <c:autoTitleDeleted val="1"/>
    <c:plotArea>
      <c:layout>
        <c:manualLayout>
          <c:layoutTarget val="inner"/>
          <c:xMode val="edge"/>
          <c:yMode val="edge"/>
          <c:x val="0.24797691861383445"/>
          <c:y val="9.3051845501796682E-2"/>
          <c:w val="0.71102543190609202"/>
          <c:h val="0.40897764235932482"/>
        </c:manualLayout>
      </c:layout>
      <c:barChart>
        <c:barDir val="col"/>
        <c:grouping val="clustered"/>
        <c:ser>
          <c:idx val="0"/>
          <c:order val="0"/>
          <c:tx>
            <c:strRef>
              <c:f>Sheet1!$O$25</c:f>
              <c:strCache>
                <c:ptCount val="1"/>
                <c:pt idx="0">
                  <c:v>Porcentaje con respecto al total de ayudas</c:v>
                </c:pt>
              </c:strCache>
            </c:strRef>
          </c:tx>
          <c:spPr>
            <a:solidFill>
              <a:srgbClr val="409DAD"/>
            </a:solidFill>
            <a:ln w="3175">
              <a:solidFill>
                <a:srgbClr val="FFFFFF"/>
              </a:solidFill>
              <a:prstDash val="solid"/>
            </a:ln>
          </c:spPr>
          <c:dLbls>
            <c:showVal val="1"/>
          </c:dLbls>
          <c:cat>
            <c:strRef>
              <c:f>Sheet1!$N$26:$N$35</c:f>
              <c:strCache>
                <c:ptCount val="10"/>
                <c:pt idx="0">
                  <c:v>Servicios a edificios y actividades de jardinería</c:v>
                </c:pt>
                <c:pt idx="1">
                  <c:v>Otras industrias manufactureras</c:v>
                </c:pt>
                <c:pt idx="2">
                  <c:v>Otras actividades profesionales, científicas y técnicas</c:v>
                </c:pt>
                <c:pt idx="3">
                  <c:v>Otros servicios personales</c:v>
                </c:pt>
                <c:pt idx="4">
                  <c:v>Artes gráficas y reproducción de soportes grabados</c:v>
                </c:pt>
                <c:pt idx="5">
                  <c:v>Silvicultura y explotación forestal</c:v>
                </c:pt>
                <c:pt idx="6">
                  <c:v>Fabricación de productos de caucho y plástico</c:v>
                </c:pt>
                <c:pt idx="7">
                  <c:v>Industria de la alimentación</c:v>
                </c:pt>
                <c:pt idx="8">
                  <c:v>Recogida, tratamiento y eliminación de residuos</c:v>
                </c:pt>
                <c:pt idx="9">
                  <c:v>Comercio al por menor (excepto de vehículos de motor)</c:v>
                </c:pt>
              </c:strCache>
            </c:strRef>
          </c:cat>
          <c:val>
            <c:numRef>
              <c:f>Sheet1!$O$26:$O$35</c:f>
              <c:numCache>
                <c:formatCode>0.0%</c:formatCode>
                <c:ptCount val="10"/>
                <c:pt idx="0">
                  <c:v>0.15218617764888617</c:v>
                </c:pt>
                <c:pt idx="1">
                  <c:v>0.1251788461370193</c:v>
                </c:pt>
                <c:pt idx="2">
                  <c:v>0.11808755386519394</c:v>
                </c:pt>
                <c:pt idx="3">
                  <c:v>0.11048171352847615</c:v>
                </c:pt>
                <c:pt idx="4">
                  <c:v>4.7914375821747027E-2</c:v>
                </c:pt>
                <c:pt idx="5">
                  <c:v>3.3039126041224491E-2</c:v>
                </c:pt>
                <c:pt idx="6">
                  <c:v>3.1785841058061412E-2</c:v>
                </c:pt>
                <c:pt idx="7">
                  <c:v>2.3537524787393151E-2</c:v>
                </c:pt>
                <c:pt idx="8">
                  <c:v>1.9431937220835263E-2</c:v>
                </c:pt>
                <c:pt idx="9">
                  <c:v>1.9132265822486127E-2</c:v>
                </c:pt>
              </c:numCache>
            </c:numRef>
          </c:val>
        </c:ser>
        <c:gapWidth val="40"/>
        <c:axId val="225747328"/>
        <c:axId val="225748864"/>
      </c:barChart>
      <c:catAx>
        <c:axId val="225747328"/>
        <c:scaling>
          <c:orientation val="minMax"/>
        </c:scaling>
        <c:axPos val="b"/>
        <c:tickLblPos val="low"/>
        <c:spPr>
          <a:ln w="3175">
            <a:solidFill>
              <a:srgbClr val="000000"/>
            </a:solidFill>
            <a:prstDash val="solid"/>
          </a:ln>
        </c:spPr>
        <c:txPr>
          <a:bodyPr rot="-5400000" vert="horz"/>
          <a:lstStyle/>
          <a:p>
            <a:pPr>
              <a:defRPr/>
            </a:pPr>
            <a:endParaRPr lang="es-ES"/>
          </a:p>
        </c:txPr>
        <c:crossAx val="225748864"/>
        <c:crosses val="autoZero"/>
        <c:auto val="1"/>
        <c:lblAlgn val="ctr"/>
        <c:lblOffset val="100"/>
      </c:catAx>
      <c:valAx>
        <c:axId val="225748864"/>
        <c:scaling>
          <c:orientation val="minMax"/>
        </c:scaling>
        <c:axPos val="l"/>
        <c:title>
          <c:tx>
            <c:rich>
              <a:bodyPr rot="-5400000" vert="horz"/>
              <a:lstStyle/>
              <a:p>
                <a:pPr>
                  <a:defRPr/>
                </a:pPr>
                <a:r>
                  <a:rPr lang="en-US"/>
                  <a:t>Principales subsectores de actividad </a:t>
                </a:r>
              </a:p>
              <a:p>
                <a:pPr>
                  <a:defRPr/>
                </a:pPr>
                <a:r>
                  <a:rPr lang="en-US"/>
                  <a:t>de los CEE </a:t>
                </a:r>
              </a:p>
              <a:p>
                <a:pPr>
                  <a:defRPr/>
                </a:pPr>
                <a:r>
                  <a:rPr lang="en-US"/>
                  <a:t>(porcentaje de ayudas recibidas)</a:t>
                </a:r>
              </a:p>
            </c:rich>
          </c:tx>
          <c:layout>
            <c:manualLayout>
              <c:xMode val="edge"/>
              <c:yMode val="edge"/>
              <c:x val="7.7496164819985655E-2"/>
              <c:y val="8.2352972313458006E-2"/>
            </c:manualLayout>
          </c:layout>
        </c:title>
        <c:numFmt formatCode="0.0%" sourceLinked="1"/>
        <c:tickLblPos val="nextTo"/>
        <c:spPr>
          <a:ln w="3175">
            <a:solidFill>
              <a:srgbClr val="000000"/>
            </a:solidFill>
            <a:prstDash val="solid"/>
          </a:ln>
        </c:spPr>
        <c:crossAx val="225747328"/>
        <c:crosses val="autoZero"/>
        <c:crossBetween val="between"/>
      </c:valAx>
      <c:spPr>
        <a:noFill/>
        <a:ln w="25400">
          <a:noFill/>
        </a:ln>
      </c:spPr>
    </c:plotArea>
    <c:plotVisOnly val="1"/>
  </c:chart>
  <c:spPr>
    <a:noFill/>
    <a:ln w="9525">
      <a:noFill/>
    </a:ln>
  </c:spPr>
  <c:txPr>
    <a:bodyPr/>
    <a:lstStyle/>
    <a:p>
      <a:pPr>
        <a:defRPr sz="800" b="0" i="0">
          <a:solidFill>
            <a:srgbClr val="000000"/>
          </a:solidFill>
          <a:latin typeface="MinionPro-Regular"/>
          <a:ea typeface="Arial"/>
          <a:cs typeface="Arial"/>
        </a:defRPr>
      </a:pPr>
      <a:endParaRPr lang="es-ES"/>
    </a:p>
  </c:tx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date1904 val="1"/>
  <c:lang val="es-ES"/>
  <c:chart>
    <c:autoTitleDeleted val="1"/>
    <c:plotArea>
      <c:layout>
        <c:manualLayout>
          <c:layoutTarget val="inner"/>
          <c:xMode val="edge"/>
          <c:yMode val="edge"/>
          <c:x val="0.16126222357735451"/>
          <c:y val="7.0548850526876525E-2"/>
          <c:w val="0.76629584048918342"/>
          <c:h val="0.42555409432171931"/>
        </c:manualLayout>
      </c:layout>
      <c:barChart>
        <c:barDir val="col"/>
        <c:grouping val="clustered"/>
        <c:ser>
          <c:idx val="0"/>
          <c:order val="0"/>
          <c:cat>
            <c:strRef>
              <c:f>Hoja1!$B$26:$B$40</c:f>
              <c:strCache>
                <c:ptCount val="15"/>
                <c:pt idx="0">
                  <c:v>Actividades sanitarias y servicios sociales</c:v>
                </c:pt>
                <c:pt idx="1">
                  <c:v>Actividades administrativas y servicios auxliares</c:v>
                </c:pt>
                <c:pt idx="2">
                  <c:v>Administración Pública y defensa; Seguridad Social obligatoria</c:v>
                </c:pt>
                <c:pt idx="3">
                  <c:v>Industrias extractivas y manufacturera</c:v>
                </c:pt>
                <c:pt idx="4">
                  <c:v>Educación</c:v>
                </c:pt>
                <c:pt idx="5">
                  <c:v>Actividades artísticas, recreativas y de entrenimiento</c:v>
                </c:pt>
                <c:pt idx="6">
                  <c:v>Comercio al por menor, excepto de vehículos de motor y motocicletas</c:v>
                </c:pt>
                <c:pt idx="7">
                  <c:v>Resto de servicios</c:v>
                </c:pt>
                <c:pt idx="8">
                  <c:v>Información y comunicaciones, actividades financieras y de seguros, inmobiliarias, profesionales, científicas y técnicas</c:v>
                </c:pt>
                <c:pt idx="9">
                  <c:v>Transporte y almacenamiento</c:v>
                </c:pt>
                <c:pt idx="10">
                  <c:v>Venta y reparación de vehículos de motor y motocicletas, comercio al por mayor e intermediarios del comercio, excepto de vehículos de motor y motocicletas</c:v>
                </c:pt>
                <c:pt idx="11">
                  <c:v>Construcción</c:v>
                </c:pt>
                <c:pt idx="12">
                  <c:v>Hostelería</c:v>
                </c:pt>
                <c:pt idx="13">
                  <c:v>Agricultura, ganadería, silvicultura y pesca</c:v>
                </c:pt>
                <c:pt idx="14">
                  <c:v>Suministro de e.eléctrica, gas, vapor y aire acondicionado, agua, actividades de saneamiento, gestión de residuos y descontaminación</c:v>
                </c:pt>
              </c:strCache>
            </c:strRef>
          </c:cat>
          <c:val>
            <c:numRef>
              <c:f>Hoja1!$C$26:$C$40</c:f>
            </c:numRef>
          </c:val>
        </c:ser>
        <c:ser>
          <c:idx val="1"/>
          <c:order val="1"/>
          <c:spPr>
            <a:solidFill>
              <a:srgbClr val="409DAD"/>
            </a:solidFill>
            <a:ln w="3175">
              <a:solidFill>
                <a:srgbClr val="FFFFFF"/>
              </a:solidFill>
              <a:prstDash val="solid"/>
            </a:ln>
          </c:spPr>
          <c:dLbls>
            <c:dLbl>
              <c:idx val="0"/>
              <c:layout>
                <c:manualLayout>
                  <c:x val="-7.6628337078601984E-3"/>
                  <c:y val="-1.2684989429175481E-2"/>
                </c:manualLayout>
              </c:layout>
              <c:showVal val="1"/>
            </c:dLbl>
            <c:dLbl>
              <c:idx val="1"/>
              <c:layout>
                <c:manualLayout>
                  <c:x val="2.3413943627477356E-17"/>
                  <c:y val="-8.4566596194505118E-3"/>
                </c:manualLayout>
              </c:layout>
              <c:showVal val="1"/>
            </c:dLbl>
            <c:dLbl>
              <c:idx val="2"/>
              <c:layout>
                <c:manualLayout>
                  <c:x val="-2.5542779026200692E-3"/>
                  <c:y val="4.2283298097251804E-3"/>
                </c:manualLayout>
              </c:layout>
              <c:showVal val="1"/>
            </c:dLbl>
            <c:dLbl>
              <c:idx val="4"/>
              <c:layout>
                <c:manualLayout>
                  <c:x val="5.1085558052400854E-3"/>
                  <c:y val="0"/>
                </c:manualLayout>
              </c:layout>
              <c:showVal val="1"/>
            </c:dLbl>
            <c:dLbl>
              <c:idx val="8"/>
              <c:layout>
                <c:manualLayout>
                  <c:x val="7.6628337078601984E-3"/>
                  <c:y val="4.2283298097251804E-3"/>
                </c:manualLayout>
              </c:layout>
              <c:showVal val="1"/>
            </c:dLbl>
            <c:dLbl>
              <c:idx val="10"/>
              <c:layout>
                <c:manualLayout>
                  <c:x val="5.1085558052401314E-3"/>
                  <c:y val="3.8759242172409647E-17"/>
                </c:manualLayout>
              </c:layout>
              <c:showVal val="1"/>
            </c:dLbl>
            <c:dLbl>
              <c:idx val="11"/>
              <c:layout>
                <c:manualLayout>
                  <c:x val="5.1085558052400377E-3"/>
                  <c:y val="4.2283298097251804E-3"/>
                </c:manualLayout>
              </c:layout>
              <c:showVal val="1"/>
            </c:dLbl>
            <c:dLbl>
              <c:idx val="12"/>
              <c:layout>
                <c:manualLayout>
                  <c:x val="5.1085558052402294E-3"/>
                  <c:y val="0"/>
                </c:manualLayout>
              </c:layout>
              <c:showVal val="1"/>
            </c:dLbl>
            <c:txPr>
              <a:bodyPr/>
              <a:lstStyle/>
              <a:p>
                <a:pPr>
                  <a:defRPr sz="700"/>
                </a:pPr>
                <a:endParaRPr lang="es-ES"/>
              </a:p>
            </c:txPr>
            <c:showVal val="1"/>
          </c:dLbls>
          <c:cat>
            <c:strRef>
              <c:f>Hoja1!$B$26:$B$40</c:f>
              <c:strCache>
                <c:ptCount val="15"/>
                <c:pt idx="0">
                  <c:v>Actividades sanitarias y servicios sociales</c:v>
                </c:pt>
                <c:pt idx="1">
                  <c:v>Actividades administrativas y servicios auxliares</c:v>
                </c:pt>
                <c:pt idx="2">
                  <c:v>Administración Pública y defensa; Seguridad Social obligatoria</c:v>
                </c:pt>
                <c:pt idx="3">
                  <c:v>Industrias extractivas y manufacturera</c:v>
                </c:pt>
                <c:pt idx="4">
                  <c:v>Educación</c:v>
                </c:pt>
                <c:pt idx="5">
                  <c:v>Actividades artísticas, recreativas y de entrenimiento</c:v>
                </c:pt>
                <c:pt idx="6">
                  <c:v>Comercio al por menor, excepto de vehículos de motor y motocicletas</c:v>
                </c:pt>
                <c:pt idx="7">
                  <c:v>Resto de servicios</c:v>
                </c:pt>
                <c:pt idx="8">
                  <c:v>Información y comunicaciones, actividades financieras y de seguros, inmobiliarias, profesionales, científicas y técnicas</c:v>
                </c:pt>
                <c:pt idx="9">
                  <c:v>Transporte y almacenamiento</c:v>
                </c:pt>
                <c:pt idx="10">
                  <c:v>Venta y reparación de vehículos de motor y motocicletas, comercio al por mayor e intermediarios del comercio, excepto de vehículos de motor y motocicletas</c:v>
                </c:pt>
                <c:pt idx="11">
                  <c:v>Construcción</c:v>
                </c:pt>
                <c:pt idx="12">
                  <c:v>Hostelería</c:v>
                </c:pt>
                <c:pt idx="13">
                  <c:v>Agricultura, ganadería, silvicultura y pesca</c:v>
                </c:pt>
                <c:pt idx="14">
                  <c:v>Suministro de e.eléctrica, gas, vapor y aire acondicionado, agua, actividades de saneamiento, gestión de residuos y descontaminación</c:v>
                </c:pt>
              </c:strCache>
            </c:strRef>
          </c:cat>
          <c:val>
            <c:numRef>
              <c:f>Hoja1!$D$26:$D$40</c:f>
              <c:numCache>
                <c:formatCode>0.0%</c:formatCode>
                <c:ptCount val="15"/>
                <c:pt idx="0">
                  <c:v>0.11058404980729318</c:v>
                </c:pt>
                <c:pt idx="1">
                  <c:v>0.10850874592351199</c:v>
                </c:pt>
                <c:pt idx="2">
                  <c:v>0.10554402608953529</c:v>
                </c:pt>
                <c:pt idx="3">
                  <c:v>0.10198636228876368</c:v>
                </c:pt>
                <c:pt idx="4">
                  <c:v>9.6946338571005097E-2</c:v>
                </c:pt>
                <c:pt idx="5">
                  <c:v>8.8941595019270764E-2</c:v>
                </c:pt>
                <c:pt idx="6">
                  <c:v>7.0856804032019022E-2</c:v>
                </c:pt>
                <c:pt idx="7">
                  <c:v>6.5816780314260914E-2</c:v>
                </c:pt>
                <c:pt idx="8">
                  <c:v>5.8108508745923507E-2</c:v>
                </c:pt>
                <c:pt idx="9">
                  <c:v>4.4470797509635979E-2</c:v>
                </c:pt>
                <c:pt idx="10">
                  <c:v>4.0616661725467004E-2</c:v>
                </c:pt>
                <c:pt idx="11">
                  <c:v>3.9134301808479252E-2</c:v>
                </c:pt>
                <c:pt idx="12">
                  <c:v>3.7355469908093686E-2</c:v>
                </c:pt>
                <c:pt idx="13">
                  <c:v>1.8084790987251704E-2</c:v>
                </c:pt>
                <c:pt idx="14">
                  <c:v>1.3044767269493041E-2</c:v>
                </c:pt>
              </c:numCache>
            </c:numRef>
          </c:val>
        </c:ser>
        <c:gapWidth val="40"/>
        <c:axId val="267548928"/>
        <c:axId val="267558912"/>
      </c:barChart>
      <c:catAx>
        <c:axId val="267548928"/>
        <c:scaling>
          <c:orientation val="minMax"/>
        </c:scaling>
        <c:axPos val="b"/>
        <c:tickLblPos val="low"/>
        <c:spPr>
          <a:ln w="3175">
            <a:solidFill>
              <a:srgbClr val="000000"/>
            </a:solidFill>
            <a:prstDash val="solid"/>
          </a:ln>
        </c:spPr>
        <c:txPr>
          <a:bodyPr rot="-5400000" vert="horz"/>
          <a:lstStyle/>
          <a:p>
            <a:pPr>
              <a:defRPr sz="700">
                <a:solidFill>
                  <a:srgbClr val="000000"/>
                </a:solidFill>
              </a:defRPr>
            </a:pPr>
            <a:endParaRPr lang="es-ES"/>
          </a:p>
        </c:txPr>
        <c:crossAx val="267558912"/>
        <c:crosses val="autoZero"/>
        <c:auto val="1"/>
        <c:lblAlgn val="ctr"/>
        <c:lblOffset val="100"/>
      </c:catAx>
      <c:valAx>
        <c:axId val="267558912"/>
        <c:scaling>
          <c:orientation val="minMax"/>
        </c:scaling>
        <c:axPos val="l"/>
        <c:title>
          <c:tx>
            <c:rich>
              <a:bodyPr rot="-5400000" vert="horz"/>
              <a:lstStyle/>
              <a:p>
                <a:pPr>
                  <a:defRPr>
                    <a:solidFill>
                      <a:srgbClr val="000000"/>
                    </a:solidFill>
                  </a:defRPr>
                </a:pPr>
                <a:r>
                  <a:rPr lang="en-US"/>
                  <a:t>Actividades</a:t>
                </a:r>
                <a:r>
                  <a:rPr lang="en-US" baseline="0"/>
                  <a:t> de las personas con</a:t>
                </a:r>
              </a:p>
              <a:p>
                <a:pPr>
                  <a:defRPr>
                    <a:solidFill>
                      <a:srgbClr val="000000"/>
                    </a:solidFill>
                  </a:defRPr>
                </a:pPr>
                <a:r>
                  <a:rPr lang="en-US" baseline="0"/>
                  <a:t> discapacidad ocupadas (%)</a:t>
                </a:r>
                <a:endParaRPr lang="en-US"/>
              </a:p>
            </c:rich>
          </c:tx>
          <c:layout>
            <c:manualLayout>
              <c:xMode val="edge"/>
              <c:yMode val="edge"/>
              <c:x val="1.5497226396108971E-2"/>
              <c:y val="4.8853190391370212E-2"/>
            </c:manualLayout>
          </c:layout>
        </c:title>
        <c:numFmt formatCode="0.0%" sourceLinked="1"/>
        <c:tickLblPos val="nextTo"/>
        <c:spPr>
          <a:ln w="3175">
            <a:solidFill>
              <a:srgbClr val="000000"/>
            </a:solidFill>
            <a:prstDash val="solid"/>
          </a:ln>
        </c:spPr>
        <c:txPr>
          <a:bodyPr/>
          <a:lstStyle/>
          <a:p>
            <a:pPr>
              <a:defRPr>
                <a:solidFill>
                  <a:srgbClr val="000000"/>
                </a:solidFill>
              </a:defRPr>
            </a:pPr>
            <a:endParaRPr lang="es-ES"/>
          </a:p>
        </c:txPr>
        <c:crossAx val="267548928"/>
        <c:crosses val="autoZero"/>
        <c:crossBetween val="between"/>
      </c:valAx>
      <c:spPr>
        <a:noFill/>
        <a:ln w="25400">
          <a:noFill/>
        </a:ln>
      </c:spPr>
    </c:plotArea>
    <c:plotVisOnly val="1"/>
  </c:chart>
  <c:spPr>
    <a:noFill/>
    <a:ln w="9525">
      <a:noFill/>
    </a:ln>
  </c:spPr>
  <c:txPr>
    <a:bodyPr/>
    <a:lstStyle/>
    <a:p>
      <a:pPr>
        <a:defRPr sz="800" b="0" i="0">
          <a:solidFill>
            <a:srgbClr val="000000"/>
          </a:solidFill>
          <a:latin typeface="Arial"/>
          <a:ea typeface="Arial"/>
          <a:cs typeface="Arial"/>
        </a:defRPr>
      </a:pPr>
      <a:endParaRPr lang="es-ES"/>
    </a:p>
  </c:tx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date1904 val="1"/>
  <c:lang val="es-ES"/>
  <c:chart>
    <c:title>
      <c:tx>
        <c:rich>
          <a:bodyPr/>
          <a:lstStyle/>
          <a:p>
            <a:pPr algn="l">
              <a:defRPr sz="900"/>
            </a:pPr>
            <a:r>
              <a:rPr lang="en-US" sz="900"/>
              <a:t>Contratos a personas con discapacidad en centros especiales de empleo en 2009</a:t>
            </a:r>
          </a:p>
        </c:rich>
      </c:tx>
      <c:layout>
        <c:manualLayout>
          <c:xMode val="edge"/>
          <c:yMode val="edge"/>
          <c:x val="0.11831428571428572"/>
          <c:y val="5.5050465282748803E-2"/>
        </c:manualLayout>
      </c:layout>
    </c:title>
    <c:plotArea>
      <c:layout>
        <c:manualLayout>
          <c:layoutTarget val="inner"/>
          <c:xMode val="edge"/>
          <c:yMode val="edge"/>
          <c:x val="0.22742709244677844"/>
          <c:y val="0.37226198997852838"/>
          <c:w val="0.56202610090405358"/>
          <c:h val="0.52553089954664756"/>
        </c:manualLayout>
      </c:layout>
      <c:pieChart>
        <c:varyColors val="1"/>
        <c:ser>
          <c:idx val="0"/>
          <c:order val="0"/>
          <c:tx>
            <c:strRef>
              <c:f>Sheet1!$C$7:$C$8</c:f>
              <c:strCache>
                <c:ptCount val="1"/>
                <c:pt idx="0">
                  <c:v>Indefinidos Temporales</c:v>
                </c:pt>
              </c:strCache>
            </c:strRef>
          </c:tx>
          <c:spPr>
            <a:solidFill>
              <a:schemeClr val="accent1"/>
            </a:solidFill>
          </c:spPr>
          <c:dPt>
            <c:idx val="0"/>
            <c:spPr>
              <a:solidFill>
                <a:schemeClr val="accent5">
                  <a:lumMod val="75000"/>
                </a:schemeClr>
              </a:solidFill>
              <a:ln w="3175">
                <a:solidFill>
                  <a:srgbClr val="FFFFFF"/>
                </a:solidFill>
                <a:prstDash val="solid"/>
              </a:ln>
            </c:spPr>
          </c:dPt>
          <c:dPt>
            <c:idx val="1"/>
            <c:spPr>
              <a:solidFill>
                <a:srgbClr val="409DAD"/>
              </a:solidFill>
            </c:spPr>
          </c:dPt>
          <c:dLbls>
            <c:dLbl>
              <c:idx val="0"/>
              <c:tx>
                <c:rich>
                  <a:bodyPr/>
                  <a:lstStyle/>
                  <a:p>
                    <a:pPr algn="ctr" rtl="0">
                      <a:defRPr sz="600"/>
                    </a:pPr>
                    <a:r>
                      <a:rPr lang="en-US" sz="600"/>
                      <a:t>I</a:t>
                    </a:r>
                    <a:r>
                      <a:rPr lang="en-US"/>
                      <a:t>ndefinidos 63%</a:t>
                    </a:r>
                  </a:p>
                </c:rich>
              </c:tx>
              <c:spPr/>
              <c:dLblPos val="outEnd"/>
              <c:showSerName val="1"/>
              <c:showPercent val="1"/>
            </c:dLbl>
            <c:dLbl>
              <c:idx val="1"/>
              <c:tx>
                <c:rich>
                  <a:bodyPr/>
                  <a:lstStyle/>
                  <a:p>
                    <a:r>
                      <a:rPr lang="en-US" sz="600"/>
                      <a:t>T</a:t>
                    </a:r>
                    <a:r>
                      <a:rPr lang="en-US"/>
                      <a:t>emporales</a:t>
                    </a:r>
                  </a:p>
                  <a:p>
                    <a:r>
                      <a:rPr lang="en-US"/>
                      <a:t>37%</a:t>
                    </a:r>
                  </a:p>
                </c:rich>
              </c:tx>
              <c:dLblPos val="outEnd"/>
              <c:showSerName val="1"/>
              <c:showPercent val="1"/>
            </c:dLbl>
            <c:txPr>
              <a:bodyPr/>
              <a:lstStyle/>
              <a:p>
                <a:pPr>
                  <a:defRPr sz="600"/>
                </a:pPr>
                <a:endParaRPr lang="es-ES"/>
              </a:p>
            </c:txPr>
            <c:dLblPos val="outEnd"/>
            <c:showSerName val="1"/>
            <c:showPercent val="1"/>
            <c:showLeaderLines val="1"/>
          </c:dLbls>
          <c:val>
            <c:numRef>
              <c:f>Sheet1!$E$7:$E$8</c:f>
              <c:numCache>
                <c:formatCode>0%</c:formatCode>
                <c:ptCount val="2"/>
                <c:pt idx="0">
                  <c:v>0.6256488438782104</c:v>
                </c:pt>
                <c:pt idx="1">
                  <c:v>0.3743511561218193</c:v>
                </c:pt>
              </c:numCache>
            </c:numRef>
          </c:val>
        </c:ser>
        <c:ser>
          <c:idx val="1"/>
          <c:order val="1"/>
          <c:tx>
            <c:strRef>
              <c:f>Sheet1!$C$8</c:f>
              <c:strCache>
                <c:ptCount val="1"/>
                <c:pt idx="0">
                  <c:v>Temporales</c:v>
                </c:pt>
              </c:strCache>
            </c:strRef>
          </c:tx>
          <c:dPt>
            <c:idx val="0"/>
            <c:spPr>
              <a:solidFill>
                <a:srgbClr val="409DAD"/>
              </a:solidFill>
              <a:ln w="3175">
                <a:solidFill>
                  <a:srgbClr val="FFFFFF"/>
                </a:solidFill>
                <a:prstDash val="solid"/>
              </a:ln>
            </c:spPr>
          </c:dPt>
          <c:dLbls>
            <c:showCatName val="1"/>
            <c:showPercent val="1"/>
            <c:showLeaderLines val="1"/>
          </c:dLbls>
          <c:val>
            <c:numRef>
              <c:f>Sheet1!$E$8</c:f>
              <c:numCache>
                <c:formatCode>0%</c:formatCode>
                <c:ptCount val="1"/>
                <c:pt idx="0">
                  <c:v>0.3743511561218193</c:v>
                </c:pt>
              </c:numCache>
            </c:numRef>
          </c:val>
        </c:ser>
        <c:firstSliceAng val="0"/>
      </c:pieChart>
      <c:spPr>
        <a:noFill/>
        <a:ln w="25400">
          <a:noFill/>
        </a:ln>
      </c:spPr>
    </c:plotArea>
    <c:plotVisOnly val="1"/>
  </c:chart>
  <c:spPr>
    <a:noFill/>
    <a:ln w="9525">
      <a:noFill/>
    </a:ln>
  </c:spPr>
  <c:txPr>
    <a:bodyPr/>
    <a:lstStyle/>
    <a:p>
      <a:pPr>
        <a:defRPr sz="800" b="0" i="0">
          <a:solidFill>
            <a:srgbClr val="000000"/>
          </a:solidFill>
          <a:latin typeface="MinionPro-Regular"/>
          <a:ea typeface="Arial"/>
          <a:cs typeface="Arial"/>
        </a:defRPr>
      </a:pPr>
      <a:endParaRPr lang="es-ES"/>
    </a:p>
  </c:tx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date1904 val="1"/>
  <c:lang val="es-ES"/>
  <c:chart>
    <c:title>
      <c:tx>
        <c:rich>
          <a:bodyPr/>
          <a:lstStyle/>
          <a:p>
            <a:pPr algn="l">
              <a:defRPr sz="900"/>
            </a:pPr>
            <a:r>
              <a:rPr lang="en-US" sz="900"/>
              <a:t>Contratos a personas con discapacidad en centros especiales de empleo en 2011</a:t>
            </a:r>
          </a:p>
        </c:rich>
      </c:tx>
      <c:layout>
        <c:manualLayout>
          <c:xMode val="edge"/>
          <c:yMode val="edge"/>
          <c:x val="0.15411428571428976"/>
          <c:y val="4.5959556191839654E-2"/>
        </c:manualLayout>
      </c:layout>
    </c:title>
    <c:plotArea>
      <c:layout>
        <c:manualLayout>
          <c:layoutTarget val="inner"/>
          <c:xMode val="edge"/>
          <c:yMode val="edge"/>
          <c:x val="0.25454790977214808"/>
          <c:y val="0.32998602447422465"/>
          <c:w val="0.56056601620449664"/>
          <c:h val="0.60200863997060061"/>
        </c:manualLayout>
      </c:layout>
      <c:pieChart>
        <c:varyColors val="1"/>
        <c:ser>
          <c:idx val="0"/>
          <c:order val="0"/>
          <c:tx>
            <c:strRef>
              <c:f>Sheet1!$C$19:$C$20</c:f>
              <c:strCache>
                <c:ptCount val="1"/>
                <c:pt idx="0">
                  <c:v>Indefinidos Temporales</c:v>
                </c:pt>
              </c:strCache>
            </c:strRef>
          </c:tx>
          <c:spPr>
            <a:solidFill>
              <a:schemeClr val="accent5">
                <a:lumMod val="75000"/>
              </a:schemeClr>
            </a:solidFill>
          </c:spPr>
          <c:dPt>
            <c:idx val="0"/>
            <c:spPr>
              <a:solidFill>
                <a:schemeClr val="accent5">
                  <a:lumMod val="75000"/>
                </a:schemeClr>
              </a:solidFill>
              <a:ln w="3175">
                <a:solidFill>
                  <a:srgbClr val="FFFFFF"/>
                </a:solidFill>
                <a:prstDash val="solid"/>
              </a:ln>
            </c:spPr>
          </c:dPt>
          <c:dPt>
            <c:idx val="1"/>
            <c:spPr>
              <a:solidFill>
                <a:srgbClr val="409DAD"/>
              </a:solidFill>
            </c:spPr>
          </c:dPt>
          <c:dLbls>
            <c:dLbl>
              <c:idx val="0"/>
              <c:tx>
                <c:rich>
                  <a:bodyPr/>
                  <a:lstStyle/>
                  <a:p>
                    <a:pPr algn="ctr" rtl="0">
                      <a:defRPr sz="600"/>
                    </a:pPr>
                    <a:r>
                      <a:rPr lang="en-US" sz="600"/>
                      <a:t>Indefinidos 65%</a:t>
                    </a:r>
                  </a:p>
                </c:rich>
              </c:tx>
              <c:spPr/>
              <c:dLblPos val="outEnd"/>
              <c:showCatName val="1"/>
              <c:showSerName val="1"/>
              <c:showPercent val="1"/>
            </c:dLbl>
            <c:dLbl>
              <c:idx val="1"/>
              <c:tx>
                <c:rich>
                  <a:bodyPr/>
                  <a:lstStyle/>
                  <a:p>
                    <a:pPr>
                      <a:defRPr sz="600"/>
                    </a:pPr>
                    <a:r>
                      <a:rPr lang="en-US" sz="600"/>
                      <a:t>Temporales 35%</a:t>
                    </a:r>
                  </a:p>
                </c:rich>
              </c:tx>
              <c:spPr/>
              <c:dLblPos val="outEnd"/>
              <c:showCatName val="1"/>
              <c:showSerName val="1"/>
              <c:showPercent val="1"/>
            </c:dLbl>
            <c:txPr>
              <a:bodyPr/>
              <a:lstStyle/>
              <a:p>
                <a:pPr>
                  <a:defRPr sz="700"/>
                </a:pPr>
                <a:endParaRPr lang="es-ES"/>
              </a:p>
            </c:txPr>
            <c:dLblPos val="outEnd"/>
            <c:showCatName val="1"/>
            <c:showSerName val="1"/>
            <c:showPercent val="1"/>
            <c:showLeaderLines val="1"/>
            <c:leaderLines>
              <c:spPr>
                <a:ln>
                  <a:solidFill>
                    <a:srgbClr val="000000"/>
                  </a:solidFill>
                  <a:prstDash val="solid"/>
                </a:ln>
              </c:spPr>
            </c:leaderLines>
          </c:dLbls>
          <c:val>
            <c:numRef>
              <c:f>Sheet1!$E$19:$E$20</c:f>
              <c:numCache>
                <c:formatCode>0%</c:formatCode>
                <c:ptCount val="2"/>
                <c:pt idx="0">
                  <c:v>0.64679565166205177</c:v>
                </c:pt>
                <c:pt idx="1">
                  <c:v>0.35320434833797731</c:v>
                </c:pt>
              </c:numCache>
            </c:numRef>
          </c:val>
        </c:ser>
        <c:ser>
          <c:idx val="1"/>
          <c:order val="1"/>
          <c:tx>
            <c:strRef>
              <c:f>Sheet1!$C$20</c:f>
              <c:strCache>
                <c:ptCount val="1"/>
                <c:pt idx="0">
                  <c:v>Temporales</c:v>
                </c:pt>
              </c:strCache>
            </c:strRef>
          </c:tx>
          <c:dPt>
            <c:idx val="0"/>
            <c:spPr>
              <a:solidFill>
                <a:srgbClr val="409DAD"/>
              </a:solidFill>
              <a:ln w="3175">
                <a:solidFill>
                  <a:srgbClr val="FFFFFF"/>
                </a:solidFill>
                <a:prstDash val="solid"/>
              </a:ln>
            </c:spPr>
          </c:dPt>
          <c:dLbls>
            <c:showCatName val="1"/>
            <c:showPercent val="1"/>
            <c:showLeaderLines val="1"/>
            <c:leaderLines>
              <c:spPr>
                <a:ln>
                  <a:solidFill>
                    <a:srgbClr val="000000"/>
                  </a:solidFill>
                  <a:prstDash val="solid"/>
                </a:ln>
              </c:spPr>
            </c:leaderLines>
          </c:dLbls>
          <c:val>
            <c:numRef>
              <c:f>Sheet1!$E$20</c:f>
              <c:numCache>
                <c:formatCode>0%</c:formatCode>
                <c:ptCount val="1"/>
                <c:pt idx="0">
                  <c:v>0.35320434833797731</c:v>
                </c:pt>
              </c:numCache>
            </c:numRef>
          </c:val>
        </c:ser>
        <c:firstSliceAng val="0"/>
      </c:pieChart>
      <c:spPr>
        <a:noFill/>
        <a:ln w="25400">
          <a:noFill/>
        </a:ln>
      </c:spPr>
    </c:plotArea>
    <c:plotVisOnly val="1"/>
  </c:chart>
  <c:spPr>
    <a:noFill/>
    <a:ln w="9525">
      <a:noFill/>
    </a:ln>
  </c:spPr>
  <c:txPr>
    <a:bodyPr/>
    <a:lstStyle/>
    <a:p>
      <a:pPr>
        <a:defRPr sz="800" b="0" i="0">
          <a:solidFill>
            <a:srgbClr val="000000"/>
          </a:solidFill>
          <a:latin typeface="MinionPro-Regular"/>
          <a:ea typeface="Arial"/>
          <a:cs typeface="Arial"/>
        </a:defRPr>
      </a:pPr>
      <a:endParaRPr lang="es-ES"/>
    </a:p>
  </c:tx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date1904 val="1"/>
  <c:lang val="es-ES"/>
  <c:chart>
    <c:autoTitleDeleted val="1"/>
    <c:plotArea>
      <c:layout>
        <c:manualLayout>
          <c:layoutTarget val="inner"/>
          <c:xMode val="edge"/>
          <c:yMode val="edge"/>
          <c:x val="0.14337367829021208"/>
          <c:y val="0.11635218324982101"/>
          <c:w val="0.79820517435320582"/>
          <c:h val="0.55375411596277735"/>
        </c:manualLayout>
      </c:layout>
      <c:barChart>
        <c:barDir val="col"/>
        <c:grouping val="clustered"/>
        <c:ser>
          <c:idx val="0"/>
          <c:order val="0"/>
          <c:spPr>
            <a:solidFill>
              <a:srgbClr val="409DAD"/>
            </a:solidFill>
            <a:ln w="3175">
              <a:solidFill>
                <a:srgbClr val="FFFFFF"/>
              </a:solidFill>
              <a:prstDash val="solid"/>
            </a:ln>
          </c:spPr>
          <c:dLbls>
            <c:showVal val="1"/>
          </c:dLbls>
          <c:cat>
            <c:strRef>
              <c:f>Sheet1!$B$39:$B$57</c:f>
              <c:strCache>
                <c:ptCount val="19"/>
                <c:pt idx="0">
                  <c:v>Andalucía</c:v>
                </c:pt>
                <c:pt idx="1">
                  <c:v>Aragón</c:v>
                </c:pt>
                <c:pt idx="2">
                  <c:v>Asturias</c:v>
                </c:pt>
                <c:pt idx="3">
                  <c:v>Baleares</c:v>
                </c:pt>
                <c:pt idx="4">
                  <c:v>Canarias</c:v>
                </c:pt>
                <c:pt idx="5">
                  <c:v>Cantabria</c:v>
                </c:pt>
                <c:pt idx="6">
                  <c:v>Castilla La Mancha</c:v>
                </c:pt>
                <c:pt idx="7">
                  <c:v>Castilla León</c:v>
                </c:pt>
                <c:pt idx="8">
                  <c:v>Cataluña</c:v>
                </c:pt>
                <c:pt idx="9">
                  <c:v>Comunidad Valenciana</c:v>
                </c:pt>
                <c:pt idx="10">
                  <c:v>Extremadura</c:v>
                </c:pt>
                <c:pt idx="11">
                  <c:v>Galicia</c:v>
                </c:pt>
                <c:pt idx="12">
                  <c:v>La Rioja</c:v>
                </c:pt>
                <c:pt idx="13">
                  <c:v>Madrid</c:v>
                </c:pt>
                <c:pt idx="14">
                  <c:v>Murcia</c:v>
                </c:pt>
                <c:pt idx="15">
                  <c:v>Navarra</c:v>
                </c:pt>
                <c:pt idx="16">
                  <c:v>País Vasco</c:v>
                </c:pt>
                <c:pt idx="17">
                  <c:v>Ceuta</c:v>
                </c:pt>
                <c:pt idx="18">
                  <c:v>Melilla</c:v>
                </c:pt>
              </c:strCache>
            </c:strRef>
          </c:cat>
          <c:val>
            <c:numRef>
              <c:f>Sheet1!$C$39:$C$57</c:f>
              <c:numCache>
                <c:formatCode>General</c:formatCode>
                <c:ptCount val="19"/>
                <c:pt idx="0">
                  <c:v>189</c:v>
                </c:pt>
                <c:pt idx="1">
                  <c:v>42</c:v>
                </c:pt>
                <c:pt idx="2">
                  <c:v>11</c:v>
                </c:pt>
                <c:pt idx="3">
                  <c:v>10</c:v>
                </c:pt>
                <c:pt idx="4">
                  <c:v>19</c:v>
                </c:pt>
                <c:pt idx="5">
                  <c:v>8</c:v>
                </c:pt>
                <c:pt idx="6">
                  <c:v>29</c:v>
                </c:pt>
                <c:pt idx="7">
                  <c:v>37</c:v>
                </c:pt>
                <c:pt idx="8">
                  <c:v>58</c:v>
                </c:pt>
                <c:pt idx="9">
                  <c:v>17</c:v>
                </c:pt>
                <c:pt idx="10">
                  <c:v>14</c:v>
                </c:pt>
                <c:pt idx="11">
                  <c:v>36</c:v>
                </c:pt>
                <c:pt idx="12">
                  <c:v>7</c:v>
                </c:pt>
                <c:pt idx="13">
                  <c:v>60</c:v>
                </c:pt>
                <c:pt idx="14">
                  <c:v>18</c:v>
                </c:pt>
                <c:pt idx="15">
                  <c:v>10</c:v>
                </c:pt>
                <c:pt idx="16">
                  <c:v>27</c:v>
                </c:pt>
                <c:pt idx="17">
                  <c:v>1</c:v>
                </c:pt>
                <c:pt idx="18">
                  <c:v>1</c:v>
                </c:pt>
              </c:numCache>
            </c:numRef>
          </c:val>
        </c:ser>
        <c:gapWidth val="40"/>
        <c:axId val="269641984"/>
        <c:axId val="269651968"/>
      </c:barChart>
      <c:catAx>
        <c:axId val="269641984"/>
        <c:scaling>
          <c:orientation val="minMax"/>
        </c:scaling>
        <c:axPos val="b"/>
        <c:tickLblPos val="low"/>
        <c:spPr>
          <a:ln w="3175">
            <a:solidFill>
              <a:srgbClr val="000000"/>
            </a:solidFill>
            <a:prstDash val="solid"/>
          </a:ln>
        </c:spPr>
        <c:crossAx val="269651968"/>
        <c:crosses val="autoZero"/>
        <c:auto val="1"/>
        <c:lblAlgn val="ctr"/>
        <c:lblOffset val="100"/>
      </c:catAx>
      <c:valAx>
        <c:axId val="269651968"/>
        <c:scaling>
          <c:orientation val="minMax"/>
        </c:scaling>
        <c:axPos val="l"/>
        <c:title>
          <c:tx>
            <c:rich>
              <a:bodyPr rot="-5400000" vert="horz"/>
              <a:lstStyle/>
              <a:p>
                <a:pPr>
                  <a:defRPr/>
                </a:pPr>
                <a:r>
                  <a:rPr lang="en-US"/>
                  <a:t>Número</a:t>
                </a:r>
                <a:r>
                  <a:rPr lang="en-US" baseline="0"/>
                  <a:t> de centros especiales de empleo de iniciativa social</a:t>
                </a:r>
                <a:endParaRPr lang="en-US"/>
              </a:p>
            </c:rich>
          </c:tx>
          <c:layout>
            <c:manualLayout>
              <c:xMode val="edge"/>
              <c:yMode val="edge"/>
              <c:x val="1.281936469740122E-2"/>
              <c:y val="7.1442843359995026E-2"/>
            </c:manualLayout>
          </c:layout>
        </c:title>
        <c:numFmt formatCode="General" sourceLinked="1"/>
        <c:tickLblPos val="nextTo"/>
        <c:spPr>
          <a:ln w="3175">
            <a:solidFill>
              <a:srgbClr val="000000"/>
            </a:solidFill>
            <a:prstDash val="solid"/>
          </a:ln>
        </c:spPr>
        <c:crossAx val="269641984"/>
        <c:crosses val="autoZero"/>
        <c:crossBetween val="between"/>
      </c:valAx>
      <c:spPr>
        <a:noFill/>
        <a:ln w="25400">
          <a:noFill/>
        </a:ln>
      </c:spPr>
    </c:plotArea>
    <c:plotVisOnly val="1"/>
  </c:chart>
  <c:spPr>
    <a:noFill/>
    <a:ln w="9525">
      <a:noFill/>
    </a:ln>
  </c:spPr>
  <c:txPr>
    <a:bodyPr/>
    <a:lstStyle/>
    <a:p>
      <a:pPr>
        <a:defRPr sz="800" b="0" i="0">
          <a:solidFill>
            <a:srgbClr val="000000"/>
          </a:solidFill>
          <a:latin typeface="MinionPro-Regular"/>
          <a:ea typeface="Arial"/>
          <a:cs typeface="Arial"/>
        </a:defRPr>
      </a:pPr>
      <a:endParaRPr lang="es-ES"/>
    </a:p>
  </c:txPr>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date1904 val="1"/>
  <c:lang val="es-ES"/>
  <c:chart>
    <c:autoTitleDeleted val="1"/>
    <c:plotArea>
      <c:layout>
        <c:manualLayout>
          <c:layoutTarget val="inner"/>
          <c:xMode val="edge"/>
          <c:yMode val="edge"/>
          <c:x val="0.1776593925759308"/>
          <c:y val="0.10271581961345741"/>
          <c:w val="0.79820517435320582"/>
          <c:h val="0.55375411596277735"/>
        </c:manualLayout>
      </c:layout>
      <c:barChart>
        <c:barDir val="col"/>
        <c:grouping val="clustered"/>
        <c:ser>
          <c:idx val="0"/>
          <c:order val="0"/>
          <c:spPr>
            <a:solidFill>
              <a:srgbClr val="409DAD"/>
            </a:solidFill>
            <a:ln w="3175">
              <a:solidFill>
                <a:srgbClr val="FFFFFF"/>
              </a:solidFill>
              <a:prstDash val="solid"/>
            </a:ln>
          </c:spPr>
          <c:dLbls>
            <c:txPr>
              <a:bodyPr/>
              <a:lstStyle/>
              <a:p>
                <a:pPr>
                  <a:defRPr sz="700"/>
                </a:pPr>
                <a:endParaRPr lang="es-ES"/>
              </a:p>
            </c:txPr>
            <c:showVal val="1"/>
          </c:dLbls>
          <c:cat>
            <c:strRef>
              <c:f>Sheet1!$B$85:$B$103</c:f>
              <c:strCache>
                <c:ptCount val="19"/>
                <c:pt idx="0">
                  <c:v>País Vasco</c:v>
                </c:pt>
                <c:pt idx="1">
                  <c:v>Andalucía</c:v>
                </c:pt>
                <c:pt idx="2">
                  <c:v>Cataluña</c:v>
                </c:pt>
                <c:pt idx="3">
                  <c:v>Madrid</c:v>
                </c:pt>
                <c:pt idx="4">
                  <c:v>Castilla León</c:v>
                </c:pt>
                <c:pt idx="5">
                  <c:v>Aragón</c:v>
                </c:pt>
                <c:pt idx="6">
                  <c:v>Navarra</c:v>
                </c:pt>
                <c:pt idx="7">
                  <c:v>Castilla La Mancha</c:v>
                </c:pt>
                <c:pt idx="8">
                  <c:v>Comunidad Valenciana</c:v>
                </c:pt>
                <c:pt idx="9">
                  <c:v>Galicia</c:v>
                </c:pt>
                <c:pt idx="10">
                  <c:v>Asturias</c:v>
                </c:pt>
                <c:pt idx="11">
                  <c:v>Cantabria</c:v>
                </c:pt>
                <c:pt idx="12">
                  <c:v>Canarias</c:v>
                </c:pt>
                <c:pt idx="13">
                  <c:v>Murcia</c:v>
                </c:pt>
                <c:pt idx="14">
                  <c:v>Extremadura</c:v>
                </c:pt>
                <c:pt idx="15">
                  <c:v>La Rioja</c:v>
                </c:pt>
                <c:pt idx="16">
                  <c:v>Baleares</c:v>
                </c:pt>
                <c:pt idx="17">
                  <c:v>Ceuta</c:v>
                </c:pt>
                <c:pt idx="18">
                  <c:v>Melilla</c:v>
                </c:pt>
              </c:strCache>
            </c:strRef>
          </c:cat>
          <c:val>
            <c:numRef>
              <c:f>Sheet1!$C$85:$C$103</c:f>
              <c:numCache>
                <c:formatCode>General</c:formatCode>
                <c:ptCount val="19"/>
                <c:pt idx="0">
                  <c:v>6035</c:v>
                </c:pt>
                <c:pt idx="1">
                  <c:v>5674</c:v>
                </c:pt>
                <c:pt idx="2">
                  <c:v>5043</c:v>
                </c:pt>
                <c:pt idx="3">
                  <c:v>3175</c:v>
                </c:pt>
                <c:pt idx="4">
                  <c:v>1619</c:v>
                </c:pt>
                <c:pt idx="5">
                  <c:v>1380</c:v>
                </c:pt>
                <c:pt idx="6">
                  <c:v>1122</c:v>
                </c:pt>
                <c:pt idx="7">
                  <c:v>1054</c:v>
                </c:pt>
                <c:pt idx="8">
                  <c:v>903</c:v>
                </c:pt>
                <c:pt idx="9">
                  <c:v>811</c:v>
                </c:pt>
                <c:pt idx="10">
                  <c:v>542</c:v>
                </c:pt>
                <c:pt idx="11">
                  <c:v>511</c:v>
                </c:pt>
                <c:pt idx="12">
                  <c:v>455</c:v>
                </c:pt>
                <c:pt idx="13">
                  <c:v>431</c:v>
                </c:pt>
                <c:pt idx="14">
                  <c:v>399</c:v>
                </c:pt>
                <c:pt idx="15">
                  <c:v>292</c:v>
                </c:pt>
                <c:pt idx="16">
                  <c:v>256</c:v>
                </c:pt>
                <c:pt idx="17">
                  <c:v>27</c:v>
                </c:pt>
                <c:pt idx="18">
                  <c:v>2</c:v>
                </c:pt>
              </c:numCache>
            </c:numRef>
          </c:val>
        </c:ser>
        <c:gapWidth val="40"/>
        <c:axId val="269659520"/>
        <c:axId val="284365952"/>
      </c:barChart>
      <c:catAx>
        <c:axId val="269659520"/>
        <c:scaling>
          <c:orientation val="minMax"/>
        </c:scaling>
        <c:axPos val="b"/>
        <c:tickLblPos val="low"/>
        <c:spPr>
          <a:ln w="3175">
            <a:solidFill>
              <a:srgbClr val="000000"/>
            </a:solidFill>
            <a:prstDash val="solid"/>
          </a:ln>
        </c:spPr>
        <c:crossAx val="284365952"/>
        <c:crosses val="autoZero"/>
        <c:auto val="1"/>
        <c:lblAlgn val="ctr"/>
        <c:lblOffset val="100"/>
      </c:catAx>
      <c:valAx>
        <c:axId val="284365952"/>
        <c:scaling>
          <c:orientation val="minMax"/>
        </c:scaling>
        <c:axPos val="l"/>
        <c:title>
          <c:tx>
            <c:rich>
              <a:bodyPr rot="-5400000" vert="horz"/>
              <a:lstStyle/>
              <a:p>
                <a:pPr>
                  <a:defRPr/>
                </a:pPr>
                <a:r>
                  <a:rPr lang="en-US"/>
                  <a:t>Número</a:t>
                </a:r>
                <a:r>
                  <a:rPr lang="en-US" baseline="0"/>
                  <a:t> de trabajadores con discapacidad en centros de iniciativa social</a:t>
                </a:r>
                <a:endParaRPr lang="en-US"/>
              </a:p>
            </c:rich>
          </c:tx>
          <c:layout>
            <c:manualLayout>
              <c:xMode val="edge"/>
              <c:yMode val="edge"/>
              <c:x val="3.3746323878189932E-2"/>
              <c:y val="4.0789633077242517E-2"/>
            </c:manualLayout>
          </c:layout>
        </c:title>
        <c:numFmt formatCode="General" sourceLinked="1"/>
        <c:tickLblPos val="nextTo"/>
        <c:spPr>
          <a:ln w="3175">
            <a:solidFill>
              <a:srgbClr val="000000"/>
            </a:solidFill>
            <a:prstDash val="solid"/>
          </a:ln>
        </c:spPr>
        <c:crossAx val="269659520"/>
        <c:crosses val="autoZero"/>
        <c:crossBetween val="between"/>
      </c:valAx>
      <c:spPr>
        <a:noFill/>
        <a:ln w="25400">
          <a:noFill/>
        </a:ln>
      </c:spPr>
    </c:plotArea>
    <c:plotVisOnly val="1"/>
  </c:chart>
  <c:spPr>
    <a:noFill/>
    <a:ln w="9525">
      <a:noFill/>
    </a:ln>
  </c:spPr>
  <c:txPr>
    <a:bodyPr/>
    <a:lstStyle/>
    <a:p>
      <a:pPr>
        <a:defRPr sz="800" b="0" i="0">
          <a:solidFill>
            <a:srgbClr val="000000"/>
          </a:solidFill>
          <a:latin typeface="MinionPro-Regular"/>
          <a:ea typeface="Arial"/>
          <a:cs typeface="Arial"/>
        </a:defRPr>
      </a:pPr>
      <a:endParaRPr lang="es-ES"/>
    </a:p>
  </c:txPr>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date1904 val="1"/>
  <c:lang val="es-ES"/>
  <c:chart>
    <c:autoTitleDeleted val="1"/>
    <c:plotArea>
      <c:layout>
        <c:manualLayout>
          <c:layoutTarget val="inner"/>
          <c:xMode val="edge"/>
          <c:yMode val="edge"/>
          <c:x val="0.14401642294713413"/>
          <c:y val="0.12782927702219041"/>
          <c:w val="0.82613385826771668"/>
          <c:h val="0.54466356478166766"/>
        </c:manualLayout>
      </c:layout>
      <c:barChart>
        <c:barDir val="col"/>
        <c:grouping val="clustered"/>
        <c:ser>
          <c:idx val="0"/>
          <c:order val="0"/>
          <c:tx>
            <c:strRef>
              <c:f>Sheet1!$C$271</c:f>
              <c:strCache>
                <c:ptCount val="1"/>
                <c:pt idx="0">
                  <c:v>Ratio trabajadores en CEEIS (%)</c:v>
                </c:pt>
              </c:strCache>
            </c:strRef>
          </c:tx>
          <c:spPr>
            <a:solidFill>
              <a:srgbClr val="409DAD"/>
            </a:solidFill>
            <a:ln w="3175">
              <a:solidFill>
                <a:srgbClr val="FFFFFF"/>
              </a:solidFill>
              <a:prstDash val="solid"/>
            </a:ln>
          </c:spPr>
          <c:dLbls>
            <c:dLbl>
              <c:idx val="0"/>
              <c:layout>
                <c:manualLayout>
                  <c:x val="5.7142857142857143E-3"/>
                  <c:y val="0"/>
                </c:manualLayout>
              </c:layout>
              <c:showVal val="1"/>
            </c:dLbl>
            <c:dLbl>
              <c:idx val="2"/>
              <c:layout>
                <c:manualLayout>
                  <c:x val="0"/>
                  <c:y val="2.2727272727273311E-2"/>
                </c:manualLayout>
              </c:layout>
              <c:showVal val="1"/>
            </c:dLbl>
            <c:dLbl>
              <c:idx val="3"/>
              <c:layout>
                <c:manualLayout>
                  <c:x val="0"/>
                  <c:y val="1.3636363636363641E-2"/>
                </c:manualLayout>
              </c:layout>
              <c:showVal val="1"/>
            </c:dLbl>
            <c:dLbl>
              <c:idx val="4"/>
              <c:layout>
                <c:manualLayout>
                  <c:x val="0"/>
                  <c:y val="-1.3636363636363601E-2"/>
                </c:manualLayout>
              </c:layout>
              <c:showVal val="1"/>
            </c:dLbl>
            <c:dLbl>
              <c:idx val="5"/>
              <c:layout>
                <c:manualLayout>
                  <c:x val="0"/>
                  <c:y val="9.0909090909091547E-3"/>
                </c:manualLayout>
              </c:layout>
              <c:showVal val="1"/>
            </c:dLbl>
            <c:dLbl>
              <c:idx val="6"/>
              <c:layout>
                <c:manualLayout>
                  <c:x val="0"/>
                  <c:y val="9.0909090909091547E-3"/>
                </c:manualLayout>
              </c:layout>
              <c:showVal val="1"/>
            </c:dLbl>
            <c:dLbl>
              <c:idx val="7"/>
              <c:layout>
                <c:manualLayout>
                  <c:x val="0"/>
                  <c:y val="1.3636363636363641E-2"/>
                </c:manualLayout>
              </c:layout>
              <c:showVal val="1"/>
            </c:dLbl>
            <c:dLbl>
              <c:idx val="8"/>
              <c:layout>
                <c:manualLayout>
                  <c:x val="2.7100271002710383E-3"/>
                  <c:y val="1.8181818181818375E-2"/>
                </c:manualLayout>
              </c:layout>
              <c:showVal val="1"/>
            </c:dLbl>
            <c:dLbl>
              <c:idx val="9"/>
              <c:layout>
                <c:manualLayout>
                  <c:x val="0"/>
                  <c:y val="1.3636363636363641E-2"/>
                </c:manualLayout>
              </c:layout>
              <c:showVal val="1"/>
            </c:dLbl>
            <c:dLbl>
              <c:idx val="10"/>
              <c:layout>
                <c:manualLayout>
                  <c:x val="2.7100271002710383E-3"/>
                  <c:y val="1.3636363636363641E-2"/>
                </c:manualLayout>
              </c:layout>
              <c:showVal val="1"/>
            </c:dLbl>
            <c:dLbl>
              <c:idx val="11"/>
              <c:layout>
                <c:manualLayout>
                  <c:x val="5.4200542005420054E-3"/>
                  <c:y val="9.0909090909091547E-3"/>
                </c:manualLayout>
              </c:layout>
              <c:showVal val="1"/>
            </c:dLbl>
            <c:dLbl>
              <c:idx val="12"/>
              <c:layout>
                <c:manualLayout>
                  <c:x val="0"/>
                  <c:y val="1.8181818181818375E-2"/>
                </c:manualLayout>
              </c:layout>
              <c:showVal val="1"/>
            </c:dLbl>
            <c:dLbl>
              <c:idx val="13"/>
              <c:layout>
                <c:manualLayout>
                  <c:x val="9.9366512452844483E-17"/>
                  <c:y val="1.3636363636363641E-2"/>
                </c:manualLayout>
              </c:layout>
              <c:showVal val="1"/>
            </c:dLbl>
            <c:dLbl>
              <c:idx val="14"/>
              <c:layout>
                <c:manualLayout>
                  <c:x val="0"/>
                  <c:y val="2.2727272727273283E-2"/>
                </c:manualLayout>
              </c:layout>
              <c:showVal val="1"/>
            </c:dLbl>
            <c:dLbl>
              <c:idx val="15"/>
              <c:layout>
                <c:manualLayout>
                  <c:x val="0"/>
                  <c:y val="1.3636363636363641E-2"/>
                </c:manualLayout>
              </c:layout>
              <c:showVal val="1"/>
            </c:dLbl>
            <c:dLbl>
              <c:idx val="16"/>
              <c:layout>
                <c:manualLayout>
                  <c:x val="0"/>
                  <c:y val="1.3636363636363663E-2"/>
                </c:manualLayout>
              </c:layout>
              <c:showVal val="1"/>
            </c:dLbl>
            <c:dLbl>
              <c:idx val="17"/>
              <c:layout>
                <c:manualLayout>
                  <c:x val="5.7140607424072034E-3"/>
                  <c:y val="1.8181818181818375E-2"/>
                </c:manualLayout>
              </c:layout>
              <c:showVal val="1"/>
            </c:dLbl>
            <c:txPr>
              <a:bodyPr/>
              <a:lstStyle/>
              <a:p>
                <a:pPr>
                  <a:defRPr sz="700"/>
                </a:pPr>
                <a:endParaRPr lang="es-ES"/>
              </a:p>
            </c:txPr>
            <c:showVal val="1"/>
          </c:dLbls>
          <c:cat>
            <c:strRef>
              <c:f>Sheet1!$B$294:$B$312</c:f>
              <c:strCache>
                <c:ptCount val="19"/>
                <c:pt idx="0">
                  <c:v>Navarra</c:v>
                </c:pt>
                <c:pt idx="1">
                  <c:v>País Vasco</c:v>
                </c:pt>
                <c:pt idx="2">
                  <c:v>Aragón</c:v>
                </c:pt>
                <c:pt idx="3">
                  <c:v>La Rioja</c:v>
                </c:pt>
                <c:pt idx="4">
                  <c:v>Ceuta</c:v>
                </c:pt>
                <c:pt idx="5">
                  <c:v>Cantabria</c:v>
                </c:pt>
                <c:pt idx="6">
                  <c:v>Andalucía</c:v>
                </c:pt>
                <c:pt idx="7">
                  <c:v>Murcia</c:v>
                </c:pt>
                <c:pt idx="8">
                  <c:v>Castilla La Mancha</c:v>
                </c:pt>
                <c:pt idx="9">
                  <c:v>Galicia</c:v>
                </c:pt>
                <c:pt idx="10">
                  <c:v>Cataluña</c:v>
                </c:pt>
                <c:pt idx="11">
                  <c:v>Castilla León</c:v>
                </c:pt>
                <c:pt idx="12">
                  <c:v>Canarias</c:v>
                </c:pt>
                <c:pt idx="13">
                  <c:v>Baleares</c:v>
                </c:pt>
                <c:pt idx="14">
                  <c:v>Madrid</c:v>
                </c:pt>
                <c:pt idx="15">
                  <c:v>Extremadura</c:v>
                </c:pt>
                <c:pt idx="16">
                  <c:v>Asturias</c:v>
                </c:pt>
                <c:pt idx="17">
                  <c:v>Comunidad Valenciana</c:v>
                </c:pt>
                <c:pt idx="18">
                  <c:v>Melilla</c:v>
                </c:pt>
              </c:strCache>
            </c:strRef>
          </c:cat>
          <c:val>
            <c:numRef>
              <c:f>Sheet1!$C$294:$C$312</c:f>
              <c:numCache>
                <c:formatCode>0.0</c:formatCode>
                <c:ptCount val="19"/>
                <c:pt idx="0">
                  <c:v>87.451286048324235</c:v>
                </c:pt>
                <c:pt idx="1">
                  <c:v>83.333333333333258</c:v>
                </c:pt>
                <c:pt idx="2">
                  <c:v>73.209549071618127</c:v>
                </c:pt>
                <c:pt idx="3">
                  <c:v>57.480314960629919</c:v>
                </c:pt>
                <c:pt idx="4">
                  <c:v>48.214285714285715</c:v>
                </c:pt>
                <c:pt idx="5">
                  <c:v>48.116760828625239</c:v>
                </c:pt>
                <c:pt idx="6">
                  <c:v>46.714967890663004</c:v>
                </c:pt>
                <c:pt idx="7">
                  <c:v>46.294307196562833</c:v>
                </c:pt>
                <c:pt idx="8">
                  <c:v>46.046308431629534</c:v>
                </c:pt>
                <c:pt idx="9">
                  <c:v>43.368983957219044</c:v>
                </c:pt>
                <c:pt idx="10">
                  <c:v>41.403940886699495</c:v>
                </c:pt>
                <c:pt idx="11">
                  <c:v>39.012048192771083</c:v>
                </c:pt>
                <c:pt idx="12">
                  <c:v>38.789428815004264</c:v>
                </c:pt>
                <c:pt idx="13">
                  <c:v>35.310344827585993</c:v>
                </c:pt>
                <c:pt idx="14">
                  <c:v>33.891972672929263</c:v>
                </c:pt>
                <c:pt idx="15">
                  <c:v>28.850325379609544</c:v>
                </c:pt>
                <c:pt idx="16">
                  <c:v>26.196230062832292</c:v>
                </c:pt>
                <c:pt idx="17">
                  <c:v>22.379182156133826</c:v>
                </c:pt>
                <c:pt idx="18">
                  <c:v>5.5555555555554834</c:v>
                </c:pt>
              </c:numCache>
            </c:numRef>
          </c:val>
        </c:ser>
        <c:gapWidth val="40"/>
        <c:axId val="284406528"/>
        <c:axId val="284408064"/>
      </c:barChart>
      <c:catAx>
        <c:axId val="284406528"/>
        <c:scaling>
          <c:orientation val="minMax"/>
        </c:scaling>
        <c:axPos val="b"/>
        <c:tickLblPos val="low"/>
        <c:spPr>
          <a:ln w="3175">
            <a:solidFill>
              <a:srgbClr val="000000"/>
            </a:solidFill>
            <a:prstDash val="solid"/>
          </a:ln>
        </c:spPr>
        <c:crossAx val="284408064"/>
        <c:crosses val="autoZero"/>
        <c:auto val="1"/>
        <c:lblAlgn val="ctr"/>
        <c:lblOffset val="100"/>
      </c:catAx>
      <c:valAx>
        <c:axId val="284408064"/>
        <c:scaling>
          <c:orientation val="minMax"/>
        </c:scaling>
        <c:axPos val="l"/>
        <c:title>
          <c:tx>
            <c:rich>
              <a:bodyPr rot="-5400000" vert="horz"/>
              <a:lstStyle/>
              <a:p>
                <a:pPr>
                  <a:defRPr/>
                </a:pPr>
                <a:r>
                  <a:rPr lang="en-US"/>
                  <a:t>Porcentaje</a:t>
                </a:r>
                <a:r>
                  <a:rPr lang="en-US" baseline="0"/>
                  <a:t> de trabajadores en centros especiales de empleo de iniciativa social</a:t>
                </a:r>
                <a:endParaRPr lang="en-US"/>
              </a:p>
            </c:rich>
          </c:tx>
          <c:layout>
            <c:manualLayout>
              <c:xMode val="edge"/>
              <c:yMode val="edge"/>
              <c:x val="2.1019370818084759E-2"/>
              <c:y val="7.2077253141992093E-2"/>
            </c:manualLayout>
          </c:layout>
        </c:title>
        <c:numFmt formatCode="0.0" sourceLinked="1"/>
        <c:tickLblPos val="nextTo"/>
        <c:spPr>
          <a:ln w="3175">
            <a:solidFill>
              <a:srgbClr val="000000"/>
            </a:solidFill>
            <a:prstDash val="solid"/>
          </a:ln>
        </c:spPr>
        <c:crossAx val="284406528"/>
        <c:crosses val="autoZero"/>
        <c:crossBetween val="between"/>
      </c:valAx>
      <c:spPr>
        <a:noFill/>
        <a:ln w="25400">
          <a:noFill/>
        </a:ln>
      </c:spPr>
    </c:plotArea>
    <c:plotVisOnly val="1"/>
  </c:chart>
  <c:spPr>
    <a:noFill/>
    <a:ln w="9525">
      <a:noFill/>
    </a:ln>
  </c:spPr>
  <c:txPr>
    <a:bodyPr/>
    <a:lstStyle/>
    <a:p>
      <a:pPr>
        <a:defRPr sz="800" b="0" i="0">
          <a:solidFill>
            <a:srgbClr val="000000"/>
          </a:solidFill>
          <a:latin typeface="MinionPro-Regular"/>
          <a:ea typeface="Arial"/>
          <a:cs typeface="Arial"/>
        </a:defRPr>
      </a:pPr>
      <a:endParaRPr lang="es-ES"/>
    </a:p>
  </c:txPr>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date1904 val="1"/>
  <c:lang val="es-ES"/>
  <c:chart>
    <c:title>
      <c:tx>
        <c:rich>
          <a:bodyPr/>
          <a:lstStyle/>
          <a:p>
            <a:pPr algn="l">
              <a:defRPr sz="900"/>
            </a:pPr>
            <a:r>
              <a:rPr lang="en-US" sz="900"/>
              <a:t>Edad de los encuestados</a:t>
            </a:r>
          </a:p>
        </c:rich>
      </c:tx>
      <c:layout>
        <c:manualLayout>
          <c:xMode val="edge"/>
          <c:yMode val="edge"/>
          <c:x val="0.27944991251093615"/>
          <c:y val="0.1227777635681551"/>
        </c:manualLayout>
      </c:layout>
    </c:title>
    <c:plotArea>
      <c:layout>
        <c:manualLayout>
          <c:layoutTarget val="inner"/>
          <c:xMode val="edge"/>
          <c:yMode val="edge"/>
          <c:x val="0.26619058034412368"/>
          <c:y val="0.27872808085075917"/>
          <c:w val="0.46719834184595482"/>
          <c:h val="0.71991767404849238"/>
        </c:manualLayout>
      </c:layout>
      <c:pieChart>
        <c:varyColors val="1"/>
        <c:ser>
          <c:idx val="0"/>
          <c:order val="0"/>
          <c:tx>
            <c:strRef>
              <c:f>'1.3'!$B$5:$B$7</c:f>
              <c:strCache>
                <c:ptCount val="1"/>
                <c:pt idx="0">
                  <c:v>&lt;30años 31-45 años &gt;46 años</c:v>
                </c:pt>
              </c:strCache>
            </c:strRef>
          </c:tx>
          <c:dPt>
            <c:idx val="0"/>
            <c:spPr>
              <a:solidFill>
                <a:srgbClr val="409DAD"/>
              </a:solidFill>
              <a:ln w="3175">
                <a:solidFill>
                  <a:srgbClr val="FFFFFF"/>
                </a:solidFill>
                <a:prstDash val="solid"/>
              </a:ln>
            </c:spPr>
          </c:dPt>
          <c:dPt>
            <c:idx val="1"/>
            <c:spPr>
              <a:solidFill>
                <a:srgbClr val="00505C"/>
              </a:solidFill>
              <a:ln w="3175">
                <a:solidFill>
                  <a:srgbClr val="FFFFFF"/>
                </a:solidFill>
                <a:prstDash val="solid"/>
              </a:ln>
            </c:spPr>
          </c:dPt>
          <c:dPt>
            <c:idx val="2"/>
            <c:spPr>
              <a:solidFill>
                <a:srgbClr val="007C92"/>
              </a:solidFill>
              <a:ln w="3175">
                <a:solidFill>
                  <a:srgbClr val="FFFFFF"/>
                </a:solidFill>
                <a:prstDash val="solid"/>
              </a:ln>
            </c:spPr>
          </c:dPt>
          <c:dLbls>
            <c:dLbl>
              <c:idx val="0"/>
              <c:layout>
                <c:manualLayout>
                  <c:x val="3.7142857142857151E-2"/>
                  <c:y val="0"/>
                </c:manualLayout>
              </c:layout>
              <c:dLblPos val="bestFit"/>
              <c:showCatName val="1"/>
              <c:showPercent val="1"/>
            </c:dLbl>
            <c:txPr>
              <a:bodyPr/>
              <a:lstStyle/>
              <a:p>
                <a:pPr>
                  <a:defRPr sz="700"/>
                </a:pPr>
                <a:endParaRPr lang="es-ES"/>
              </a:p>
            </c:txPr>
            <c:dLblPos val="outEnd"/>
            <c:showCatName val="1"/>
            <c:showPercent val="1"/>
          </c:dLbls>
          <c:cat>
            <c:strRef>
              <c:f>'1.3'!$B$5:$B$7</c:f>
              <c:strCache>
                <c:ptCount val="3"/>
                <c:pt idx="0">
                  <c:v>&lt;30años</c:v>
                </c:pt>
                <c:pt idx="1">
                  <c:v>31-45 años</c:v>
                </c:pt>
                <c:pt idx="2">
                  <c:v>&gt;46 años</c:v>
                </c:pt>
              </c:strCache>
            </c:strRef>
          </c:cat>
          <c:val>
            <c:numRef>
              <c:f>'1.3'!$C$5:$C$7</c:f>
              <c:numCache>
                <c:formatCode>0%</c:formatCode>
                <c:ptCount val="3"/>
                <c:pt idx="0">
                  <c:v>0.13333333333333341</c:v>
                </c:pt>
                <c:pt idx="1">
                  <c:v>0.51111111111111107</c:v>
                </c:pt>
                <c:pt idx="2">
                  <c:v>0.35555555555555557</c:v>
                </c:pt>
              </c:numCache>
            </c:numRef>
          </c:val>
        </c:ser>
        <c:firstSliceAng val="0"/>
      </c:pieChart>
      <c:spPr>
        <a:noFill/>
        <a:ln w="25400">
          <a:noFill/>
        </a:ln>
      </c:spPr>
    </c:plotArea>
    <c:plotVisOnly val="1"/>
  </c:chart>
  <c:spPr>
    <a:noFill/>
    <a:ln w="9525">
      <a:noFill/>
    </a:ln>
  </c:spPr>
  <c:txPr>
    <a:bodyPr/>
    <a:lstStyle/>
    <a:p>
      <a:pPr>
        <a:defRPr sz="800" b="0" i="0">
          <a:solidFill>
            <a:srgbClr val="000000"/>
          </a:solidFill>
          <a:latin typeface="MinionPro-Regular"/>
          <a:ea typeface="Arial"/>
          <a:cs typeface="Arial"/>
        </a:defRPr>
      </a:pPr>
      <a:endParaRPr lang="es-ES"/>
    </a:p>
  </c:txPr>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date1904 val="1"/>
  <c:lang val="es-ES"/>
  <c:chart>
    <c:title>
      <c:tx>
        <c:rich>
          <a:bodyPr/>
          <a:lstStyle/>
          <a:p>
            <a:pPr algn="l">
              <a:defRPr sz="900"/>
            </a:pPr>
            <a:r>
              <a:rPr lang="en-US" sz="900"/>
              <a:t>Género de los encuestados</a:t>
            </a:r>
          </a:p>
        </c:rich>
      </c:tx>
      <c:layout>
        <c:manualLayout>
          <c:xMode val="edge"/>
          <c:yMode val="edge"/>
          <c:x val="0.30000000000000032"/>
          <c:y val="2.3232283464567002E-2"/>
        </c:manualLayout>
      </c:layout>
    </c:title>
    <c:plotArea>
      <c:layout>
        <c:manualLayout>
          <c:layoutTarget val="inner"/>
          <c:xMode val="edge"/>
          <c:yMode val="edge"/>
          <c:x val="0.27503955128886298"/>
          <c:y val="0.25243635209522325"/>
          <c:w val="0.45142857142857962"/>
          <c:h val="0.6832432432432437"/>
        </c:manualLayout>
      </c:layout>
      <c:pieChart>
        <c:varyColors val="1"/>
        <c:ser>
          <c:idx val="0"/>
          <c:order val="0"/>
          <c:tx>
            <c:strRef>
              <c:f>'1.4'!$B$5:$B$6</c:f>
              <c:strCache>
                <c:ptCount val="1"/>
                <c:pt idx="0">
                  <c:v>Masculino Femenino</c:v>
                </c:pt>
              </c:strCache>
            </c:strRef>
          </c:tx>
          <c:dPt>
            <c:idx val="0"/>
            <c:spPr>
              <a:solidFill>
                <a:srgbClr val="409DAD"/>
              </a:solidFill>
              <a:ln w="3175">
                <a:solidFill>
                  <a:srgbClr val="FFFFFF"/>
                </a:solidFill>
                <a:prstDash val="solid"/>
              </a:ln>
            </c:spPr>
          </c:dPt>
          <c:dPt>
            <c:idx val="1"/>
            <c:spPr>
              <a:solidFill>
                <a:srgbClr val="00505C"/>
              </a:solidFill>
              <a:ln w="3175">
                <a:solidFill>
                  <a:srgbClr val="FFFFFF"/>
                </a:solidFill>
                <a:prstDash val="solid"/>
              </a:ln>
            </c:spPr>
          </c:dPt>
          <c:dLbls>
            <c:dLbl>
              <c:idx val="0"/>
              <c:layout>
                <c:manualLayout>
                  <c:x val="3.7142857142857151E-2"/>
                  <c:y val="0"/>
                </c:manualLayout>
              </c:layout>
              <c:dLblPos val="bestFit"/>
              <c:showCatName val="1"/>
              <c:showPercent val="1"/>
            </c:dLbl>
            <c:txPr>
              <a:bodyPr/>
              <a:lstStyle/>
              <a:p>
                <a:pPr>
                  <a:defRPr sz="700"/>
                </a:pPr>
                <a:endParaRPr lang="es-ES"/>
              </a:p>
            </c:txPr>
            <c:dLblPos val="outEnd"/>
            <c:showCatName val="1"/>
            <c:showPercent val="1"/>
          </c:dLbls>
          <c:cat>
            <c:strRef>
              <c:f>'1.4'!$B$5:$B$7</c:f>
              <c:strCache>
                <c:ptCount val="3"/>
                <c:pt idx="0">
                  <c:v>Masculino</c:v>
                </c:pt>
                <c:pt idx="1">
                  <c:v>Femenino</c:v>
                </c:pt>
                <c:pt idx="2">
                  <c:v>control</c:v>
                </c:pt>
              </c:strCache>
            </c:strRef>
          </c:cat>
          <c:val>
            <c:numRef>
              <c:f>'1.4'!$C$5:$C$6</c:f>
              <c:numCache>
                <c:formatCode>0%</c:formatCode>
                <c:ptCount val="2"/>
                <c:pt idx="0">
                  <c:v>0.70329670329670335</c:v>
                </c:pt>
                <c:pt idx="1">
                  <c:v>0.2967032967032967</c:v>
                </c:pt>
              </c:numCache>
            </c:numRef>
          </c:val>
        </c:ser>
        <c:firstSliceAng val="0"/>
      </c:pieChart>
      <c:spPr>
        <a:noFill/>
        <a:ln w="25400">
          <a:noFill/>
        </a:ln>
      </c:spPr>
    </c:plotArea>
    <c:plotVisOnly val="1"/>
  </c:chart>
  <c:spPr>
    <a:noFill/>
    <a:ln w="9525">
      <a:noFill/>
    </a:ln>
  </c:spPr>
  <c:txPr>
    <a:bodyPr/>
    <a:lstStyle/>
    <a:p>
      <a:pPr>
        <a:defRPr sz="800" b="0" i="0">
          <a:solidFill>
            <a:srgbClr val="000000"/>
          </a:solidFill>
          <a:latin typeface="MinionPro-Regular"/>
          <a:ea typeface="Arial"/>
          <a:cs typeface="Arial"/>
        </a:defRPr>
      </a:pPr>
      <a:endParaRPr lang="es-ES"/>
    </a:p>
  </c:txPr>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date1904 val="1"/>
  <c:lang val="es-ES"/>
  <c:chart>
    <c:title>
      <c:tx>
        <c:rich>
          <a:bodyPr/>
          <a:lstStyle/>
          <a:p>
            <a:pPr algn="l">
              <a:defRPr sz="900"/>
            </a:pPr>
            <a:r>
              <a:rPr lang="en-US" sz="900"/>
              <a:t>Tipo de discapacidad de los encuestados</a:t>
            </a:r>
          </a:p>
        </c:rich>
      </c:tx>
      <c:layout>
        <c:manualLayout>
          <c:xMode val="edge"/>
          <c:yMode val="edge"/>
          <c:x val="0.17714285714285721"/>
          <c:y val="2.3232177058948752E-2"/>
        </c:manualLayout>
      </c:layout>
    </c:title>
    <c:plotArea>
      <c:layout>
        <c:manualLayout>
          <c:layoutTarget val="inner"/>
          <c:xMode val="edge"/>
          <c:yMode val="edge"/>
          <c:x val="0.30857142857142855"/>
          <c:y val="0.28085640045353621"/>
          <c:w val="0.48162798702376713"/>
          <c:h val="0.54131101910023649"/>
        </c:manualLayout>
      </c:layout>
      <c:pieChart>
        <c:varyColors val="1"/>
        <c:ser>
          <c:idx val="0"/>
          <c:order val="0"/>
          <c:tx>
            <c:strRef>
              <c:f>'1.5'!$B$5:$B$9</c:f>
              <c:strCache>
                <c:ptCount val="1"/>
                <c:pt idx="0">
                  <c:v>Discapacidad psíquica* (1) Discapacidad física (2) Discapacidad visual (3) Discapacidad sensorial auditiva (4) Otros (5)</c:v>
                </c:pt>
              </c:strCache>
            </c:strRef>
          </c:tx>
          <c:dPt>
            <c:idx val="0"/>
            <c:spPr>
              <a:solidFill>
                <a:srgbClr val="409DAD"/>
              </a:solidFill>
              <a:ln w="3175">
                <a:solidFill>
                  <a:srgbClr val="FFFFFF"/>
                </a:solidFill>
                <a:prstDash val="solid"/>
              </a:ln>
            </c:spPr>
          </c:dPt>
          <c:dPt>
            <c:idx val="1"/>
            <c:spPr>
              <a:solidFill>
                <a:srgbClr val="00505C"/>
              </a:solidFill>
              <a:ln w="3175">
                <a:solidFill>
                  <a:srgbClr val="FFFFFF"/>
                </a:solidFill>
                <a:prstDash val="solid"/>
              </a:ln>
            </c:spPr>
          </c:dPt>
          <c:dPt>
            <c:idx val="2"/>
            <c:spPr>
              <a:solidFill>
                <a:srgbClr val="007C92"/>
              </a:solidFill>
              <a:ln w="3175">
                <a:solidFill>
                  <a:srgbClr val="FFFFFF"/>
                </a:solidFill>
                <a:prstDash val="solid"/>
              </a:ln>
            </c:spPr>
          </c:dPt>
          <c:dPt>
            <c:idx val="3"/>
            <c:spPr>
              <a:solidFill>
                <a:srgbClr val="407C85"/>
              </a:solidFill>
              <a:ln w="3175">
                <a:solidFill>
                  <a:srgbClr val="FFFFFF"/>
                </a:solidFill>
                <a:prstDash val="solid"/>
              </a:ln>
            </c:spPr>
          </c:dPt>
          <c:dPt>
            <c:idx val="4"/>
            <c:spPr>
              <a:solidFill>
                <a:srgbClr val="80A8AE"/>
              </a:solidFill>
              <a:ln w="3175">
                <a:solidFill>
                  <a:srgbClr val="FFFFFF"/>
                </a:solidFill>
                <a:prstDash val="solid"/>
              </a:ln>
            </c:spPr>
          </c:dPt>
          <c:dLbls>
            <c:dLbl>
              <c:idx val="0"/>
              <c:layout>
                <c:manualLayout>
                  <c:x val="3.7142857142857151E-2"/>
                  <c:y val="0"/>
                </c:manualLayout>
              </c:layout>
              <c:tx>
                <c:rich>
                  <a:bodyPr/>
                  <a:lstStyle/>
                  <a:p>
                    <a:r>
                      <a:rPr lang="en-US" sz="700"/>
                      <a:t>D</a:t>
                    </a:r>
                    <a:r>
                      <a:rPr lang="en-US"/>
                      <a:t>iscapacidad psíquica*
34%</a:t>
                    </a:r>
                  </a:p>
                </c:rich>
              </c:tx>
              <c:dLblPos val="bestFit"/>
              <c:showCatName val="1"/>
              <c:showPercent val="1"/>
            </c:dLbl>
            <c:dLbl>
              <c:idx val="1"/>
              <c:tx>
                <c:rich>
                  <a:bodyPr/>
                  <a:lstStyle/>
                  <a:p>
                    <a:r>
                      <a:rPr lang="en-US" sz="700"/>
                      <a:t>D</a:t>
                    </a:r>
                    <a:r>
                      <a:rPr lang="en-US"/>
                      <a:t>iscapacidad física 
47%</a:t>
                    </a:r>
                  </a:p>
                </c:rich>
              </c:tx>
              <c:dLblPos val="outEnd"/>
              <c:showCatName val="1"/>
              <c:showPercent val="1"/>
            </c:dLbl>
            <c:dLbl>
              <c:idx val="2"/>
              <c:layout>
                <c:manualLayout>
                  <c:x val="0"/>
                  <c:y val="4.1765170396551254E-2"/>
                </c:manualLayout>
              </c:layout>
              <c:tx>
                <c:rich>
                  <a:bodyPr/>
                  <a:lstStyle/>
                  <a:p>
                    <a:r>
                      <a:rPr lang="en-US" sz="700"/>
                      <a:t>D</a:t>
                    </a:r>
                    <a:r>
                      <a:rPr lang="en-US"/>
                      <a:t>iscapacidad visual 
6%</a:t>
                    </a:r>
                  </a:p>
                </c:rich>
              </c:tx>
              <c:dLblPos val="bestFit"/>
              <c:showCatName val="1"/>
              <c:showPercent val="1"/>
            </c:dLbl>
            <c:dLbl>
              <c:idx val="3"/>
              <c:layout>
                <c:manualLayout>
                  <c:x val="3.0199429183230247E-2"/>
                  <c:y val="5.2206462995689094E-3"/>
                </c:manualLayout>
              </c:layout>
              <c:tx>
                <c:rich>
                  <a:bodyPr/>
                  <a:lstStyle/>
                  <a:p>
                    <a:r>
                      <a:rPr lang="en-US" sz="700"/>
                      <a:t>D</a:t>
                    </a:r>
                    <a:r>
                      <a:rPr lang="en-US"/>
                      <a:t>iscapacidad sensorial auditiva 
10%</a:t>
                    </a:r>
                  </a:p>
                </c:rich>
              </c:tx>
              <c:dLblPos val="bestFit"/>
              <c:showCatName val="1"/>
              <c:showPercent val="1"/>
            </c:dLbl>
            <c:dLbl>
              <c:idx val="4"/>
              <c:tx>
                <c:rich>
                  <a:bodyPr/>
                  <a:lstStyle/>
                  <a:p>
                    <a:r>
                      <a:rPr lang="en-US" sz="700"/>
                      <a:t>O</a:t>
                    </a:r>
                    <a:r>
                      <a:rPr lang="en-US"/>
                      <a:t>tros 
3%</a:t>
                    </a:r>
                  </a:p>
                </c:rich>
              </c:tx>
              <c:dLblPos val="outEnd"/>
              <c:showCatName val="1"/>
              <c:showPercent val="1"/>
            </c:dLbl>
            <c:txPr>
              <a:bodyPr/>
              <a:lstStyle/>
              <a:p>
                <a:pPr>
                  <a:defRPr sz="700"/>
                </a:pPr>
                <a:endParaRPr lang="es-ES"/>
              </a:p>
            </c:txPr>
            <c:dLblPos val="outEnd"/>
            <c:showCatName val="1"/>
            <c:showPercent val="1"/>
          </c:dLbls>
          <c:cat>
            <c:strRef>
              <c:f>'1.5'!$B$5:$B$9</c:f>
              <c:strCache>
                <c:ptCount val="5"/>
                <c:pt idx="0">
                  <c:v>Discapacidad psíquica* (1)</c:v>
                </c:pt>
                <c:pt idx="1">
                  <c:v>Discapacidad física (2)</c:v>
                </c:pt>
                <c:pt idx="2">
                  <c:v>Discapacidad visual (3)</c:v>
                </c:pt>
                <c:pt idx="3">
                  <c:v>Discapacidad sensorial auditiva (4)</c:v>
                </c:pt>
                <c:pt idx="4">
                  <c:v>Otros (5)</c:v>
                </c:pt>
              </c:strCache>
            </c:strRef>
          </c:cat>
          <c:val>
            <c:numRef>
              <c:f>'1.5'!$C$5:$C$9</c:f>
              <c:numCache>
                <c:formatCode>0%</c:formatCode>
                <c:ptCount val="5"/>
                <c:pt idx="0">
                  <c:v>0.33734939759037175</c:v>
                </c:pt>
                <c:pt idx="1">
                  <c:v>0.46987951807229617</c:v>
                </c:pt>
                <c:pt idx="2">
                  <c:v>6.0240963855422033E-2</c:v>
                </c:pt>
                <c:pt idx="3">
                  <c:v>9.6385542168675245E-2</c:v>
                </c:pt>
                <c:pt idx="4">
                  <c:v>3.614457831325301E-2</c:v>
                </c:pt>
              </c:numCache>
            </c:numRef>
          </c:val>
        </c:ser>
        <c:firstSliceAng val="0"/>
      </c:pieChart>
      <c:spPr>
        <a:noFill/>
        <a:ln w="25400">
          <a:noFill/>
        </a:ln>
      </c:spPr>
    </c:plotArea>
    <c:plotVisOnly val="1"/>
  </c:chart>
  <c:spPr>
    <a:noFill/>
    <a:ln w="9525">
      <a:noFill/>
    </a:ln>
  </c:spPr>
  <c:txPr>
    <a:bodyPr/>
    <a:lstStyle/>
    <a:p>
      <a:pPr>
        <a:defRPr sz="800" b="0" i="0">
          <a:solidFill>
            <a:srgbClr val="000000"/>
          </a:solidFill>
          <a:latin typeface="MinionPro-Regular"/>
          <a:ea typeface="Arial"/>
          <a:cs typeface="Arial"/>
        </a:defRPr>
      </a:pPr>
      <a:endParaRPr lang="es-ES"/>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s-ES"/>
  <c:chart>
    <c:autoTitleDeleted val="1"/>
    <c:plotArea>
      <c:layout>
        <c:manualLayout>
          <c:layoutTarget val="inner"/>
          <c:xMode val="edge"/>
          <c:yMode val="edge"/>
          <c:x val="0.10060662095684067"/>
          <c:y val="6.7002864369144197E-2"/>
          <c:w val="0.75997386012312296"/>
          <c:h val="0.85635218667635216"/>
        </c:manualLayout>
      </c:layout>
      <c:barChart>
        <c:barDir val="col"/>
        <c:grouping val="clustered"/>
        <c:ser>
          <c:idx val="0"/>
          <c:order val="0"/>
          <c:tx>
            <c:strRef>
              <c:f>Data!$D$39</c:f>
              <c:strCache>
                <c:ptCount val="1"/>
                <c:pt idx="0">
                  <c:v>20-29</c:v>
                </c:pt>
              </c:strCache>
            </c:strRef>
          </c:tx>
          <c:spPr>
            <a:solidFill>
              <a:srgbClr val="007C92"/>
            </a:solidFill>
            <a:ln w="3175">
              <a:solidFill>
                <a:srgbClr val="FFFFFF"/>
              </a:solidFill>
              <a:prstDash val="solid"/>
            </a:ln>
          </c:spPr>
          <c:cat>
            <c:strRef>
              <c:f>Data!$C$40:$C$44</c:f>
              <c:strCache>
                <c:ptCount val="5"/>
                <c:pt idx="0">
                  <c:v>Alemania</c:v>
                </c:pt>
                <c:pt idx="1">
                  <c:v>Italia</c:v>
                </c:pt>
                <c:pt idx="2">
                  <c:v>España</c:v>
                </c:pt>
                <c:pt idx="3">
                  <c:v>Suecia</c:v>
                </c:pt>
                <c:pt idx="4">
                  <c:v>Reino Unido</c:v>
                </c:pt>
              </c:strCache>
            </c:strRef>
          </c:cat>
          <c:val>
            <c:numRef>
              <c:f>Data!$D$40:$D$44</c:f>
              <c:numCache>
                <c:formatCode>0.0</c:formatCode>
                <c:ptCount val="5"/>
                <c:pt idx="0">
                  <c:v>1.740765171503958</c:v>
                </c:pt>
                <c:pt idx="1">
                  <c:v>1.5208655332302941</c:v>
                </c:pt>
                <c:pt idx="2">
                  <c:v>1.5131938125568698</c:v>
                </c:pt>
                <c:pt idx="3">
                  <c:v>1.1646273637374862</c:v>
                </c:pt>
                <c:pt idx="4">
                  <c:v>2.1070063694267516</c:v>
                </c:pt>
              </c:numCache>
            </c:numRef>
          </c:val>
        </c:ser>
        <c:ser>
          <c:idx val="1"/>
          <c:order val="1"/>
          <c:tx>
            <c:strRef>
              <c:f>Data!$E$39</c:f>
              <c:strCache>
                <c:ptCount val="1"/>
                <c:pt idx="0">
                  <c:v>30-39</c:v>
                </c:pt>
              </c:strCache>
            </c:strRef>
          </c:tx>
          <c:spPr>
            <a:solidFill>
              <a:srgbClr val="409DAD"/>
            </a:solidFill>
            <a:ln w="3175">
              <a:solidFill>
                <a:srgbClr val="FFFFFF"/>
              </a:solidFill>
              <a:prstDash val="solid"/>
            </a:ln>
          </c:spPr>
          <c:cat>
            <c:strRef>
              <c:f>Data!$C$40:$C$44</c:f>
              <c:strCache>
                <c:ptCount val="5"/>
                <c:pt idx="0">
                  <c:v>Alemania</c:v>
                </c:pt>
                <c:pt idx="1">
                  <c:v>Italia</c:v>
                </c:pt>
                <c:pt idx="2">
                  <c:v>España</c:v>
                </c:pt>
                <c:pt idx="3">
                  <c:v>Suecia</c:v>
                </c:pt>
                <c:pt idx="4">
                  <c:v>Reino Unido</c:v>
                </c:pt>
              </c:strCache>
            </c:strRef>
          </c:cat>
          <c:val>
            <c:numRef>
              <c:f>Data!$E$40:$E$44</c:f>
              <c:numCache>
                <c:formatCode>0.0</c:formatCode>
                <c:ptCount val="5"/>
                <c:pt idx="0">
                  <c:v>1.5188101487314085</c:v>
                </c:pt>
                <c:pt idx="1">
                  <c:v>1.2025113545284518</c:v>
                </c:pt>
                <c:pt idx="2">
                  <c:v>1.5403003371130859</c:v>
                </c:pt>
                <c:pt idx="3">
                  <c:v>1.3323262839879138</c:v>
                </c:pt>
                <c:pt idx="4">
                  <c:v>2.2294022617125093</c:v>
                </c:pt>
              </c:numCache>
            </c:numRef>
          </c:val>
        </c:ser>
        <c:ser>
          <c:idx val="2"/>
          <c:order val="2"/>
          <c:tx>
            <c:strRef>
              <c:f>Data!$F$39</c:f>
              <c:strCache>
                <c:ptCount val="1"/>
                <c:pt idx="0">
                  <c:v>40-49</c:v>
                </c:pt>
              </c:strCache>
            </c:strRef>
          </c:tx>
          <c:spPr>
            <a:solidFill>
              <a:srgbClr val="80BEC9"/>
            </a:solidFill>
            <a:ln w="3175">
              <a:solidFill>
                <a:srgbClr val="FFFFFF"/>
              </a:solidFill>
              <a:prstDash val="solid"/>
            </a:ln>
          </c:spPr>
          <c:cat>
            <c:strRef>
              <c:f>Data!$C$40:$C$44</c:f>
              <c:strCache>
                <c:ptCount val="5"/>
                <c:pt idx="0">
                  <c:v>Alemania</c:v>
                </c:pt>
                <c:pt idx="1">
                  <c:v>Italia</c:v>
                </c:pt>
                <c:pt idx="2">
                  <c:v>España</c:v>
                </c:pt>
                <c:pt idx="3">
                  <c:v>Suecia</c:v>
                </c:pt>
                <c:pt idx="4">
                  <c:v>Reino Unido</c:v>
                </c:pt>
              </c:strCache>
            </c:strRef>
          </c:cat>
          <c:val>
            <c:numRef>
              <c:f>Data!$F$40:$F$44</c:f>
              <c:numCache>
                <c:formatCode>0.0</c:formatCode>
                <c:ptCount val="5"/>
                <c:pt idx="0">
                  <c:v>1.488372093023256</c:v>
                </c:pt>
                <c:pt idx="1">
                  <c:v>1.2173350582147398</c:v>
                </c:pt>
                <c:pt idx="2">
                  <c:v>1.431982942430704</c:v>
                </c:pt>
                <c:pt idx="3">
                  <c:v>2.0508474576271185</c:v>
                </c:pt>
                <c:pt idx="4">
                  <c:v>2.0188003581020602</c:v>
                </c:pt>
              </c:numCache>
            </c:numRef>
          </c:val>
        </c:ser>
        <c:ser>
          <c:idx val="3"/>
          <c:order val="3"/>
          <c:tx>
            <c:strRef>
              <c:f>Data!$G$39</c:f>
              <c:strCache>
                <c:ptCount val="1"/>
                <c:pt idx="0">
                  <c:v>50-59</c:v>
                </c:pt>
              </c:strCache>
            </c:strRef>
          </c:tx>
          <c:spPr>
            <a:solidFill>
              <a:srgbClr val="BFDEE4"/>
            </a:solidFill>
            <a:ln w="3175">
              <a:solidFill>
                <a:srgbClr val="FFFFFF"/>
              </a:solidFill>
              <a:prstDash val="solid"/>
            </a:ln>
          </c:spPr>
          <c:cat>
            <c:strRef>
              <c:f>Data!$C$40:$C$44</c:f>
              <c:strCache>
                <c:ptCount val="5"/>
                <c:pt idx="0">
                  <c:v>Alemania</c:v>
                </c:pt>
                <c:pt idx="1">
                  <c:v>Italia</c:v>
                </c:pt>
                <c:pt idx="2">
                  <c:v>España</c:v>
                </c:pt>
                <c:pt idx="3">
                  <c:v>Suecia</c:v>
                </c:pt>
                <c:pt idx="4">
                  <c:v>Reino Unido</c:v>
                </c:pt>
              </c:strCache>
            </c:strRef>
          </c:cat>
          <c:val>
            <c:numRef>
              <c:f>Data!$G$40:$G$44</c:f>
              <c:numCache>
                <c:formatCode>0.0</c:formatCode>
                <c:ptCount val="5"/>
                <c:pt idx="0">
                  <c:v>1.1280160857908845</c:v>
                </c:pt>
                <c:pt idx="1">
                  <c:v>1.1346356916578668</c:v>
                </c:pt>
                <c:pt idx="2">
                  <c:v>1.2666666666666668</c:v>
                </c:pt>
                <c:pt idx="3">
                  <c:v>1.2483927527761538</c:v>
                </c:pt>
                <c:pt idx="4">
                  <c:v>1.8368611254517564</c:v>
                </c:pt>
              </c:numCache>
            </c:numRef>
          </c:val>
        </c:ser>
        <c:ser>
          <c:idx val="4"/>
          <c:order val="4"/>
          <c:tx>
            <c:strRef>
              <c:f>Data!$H$39</c:f>
              <c:strCache>
                <c:ptCount val="1"/>
                <c:pt idx="0">
                  <c:v>60-64</c:v>
                </c:pt>
              </c:strCache>
            </c:strRef>
          </c:tx>
          <c:spPr>
            <a:solidFill>
              <a:srgbClr val="E5F2F4"/>
            </a:solidFill>
            <a:ln w="3175">
              <a:solidFill>
                <a:srgbClr val="FFFFFF"/>
              </a:solidFill>
              <a:prstDash val="solid"/>
            </a:ln>
          </c:spPr>
          <c:cat>
            <c:strRef>
              <c:f>Data!$C$40:$C$44</c:f>
              <c:strCache>
                <c:ptCount val="5"/>
                <c:pt idx="0">
                  <c:v>Alemania</c:v>
                </c:pt>
                <c:pt idx="1">
                  <c:v>Italia</c:v>
                </c:pt>
                <c:pt idx="2">
                  <c:v>España</c:v>
                </c:pt>
                <c:pt idx="3">
                  <c:v>Suecia</c:v>
                </c:pt>
                <c:pt idx="4">
                  <c:v>Reino Unido</c:v>
                </c:pt>
              </c:strCache>
            </c:strRef>
          </c:cat>
          <c:val>
            <c:numRef>
              <c:f>Data!$H$40:$H$44</c:f>
              <c:numCache>
                <c:formatCode>0.0</c:formatCode>
                <c:ptCount val="5"/>
                <c:pt idx="0">
                  <c:v>1.097385031559964</c:v>
                </c:pt>
                <c:pt idx="1">
                  <c:v>1.2067399267399268</c:v>
                </c:pt>
                <c:pt idx="2">
                  <c:v>1.1327812678469447</c:v>
                </c:pt>
                <c:pt idx="3">
                  <c:v>1.4073327961321094</c:v>
                </c:pt>
                <c:pt idx="4">
                  <c:v>1.3062558356676273</c:v>
                </c:pt>
              </c:numCache>
            </c:numRef>
          </c:val>
        </c:ser>
        <c:gapWidth val="75"/>
        <c:overlap val="40"/>
        <c:axId val="207256960"/>
        <c:axId val="207266944"/>
      </c:barChart>
      <c:catAx>
        <c:axId val="207256960"/>
        <c:scaling>
          <c:orientation val="minMax"/>
        </c:scaling>
        <c:axPos val="b"/>
        <c:numFmt formatCode="General" sourceLinked="1"/>
        <c:majorTickMark val="none"/>
        <c:tickLblPos val="low"/>
        <c:spPr>
          <a:ln w="3175">
            <a:solidFill>
              <a:srgbClr val="000000"/>
            </a:solidFill>
            <a:prstDash val="solid"/>
          </a:ln>
        </c:spPr>
        <c:txPr>
          <a:bodyPr rot="0" vert="horz"/>
          <a:lstStyle/>
          <a:p>
            <a:pPr>
              <a:defRPr sz="800" b="0" i="0" u="none" strike="noStrike" baseline="0">
                <a:solidFill>
                  <a:srgbClr val="000000"/>
                </a:solidFill>
                <a:latin typeface="MinionPro-Regular"/>
                <a:ea typeface="Arial"/>
                <a:cs typeface="Arial"/>
              </a:defRPr>
            </a:pPr>
            <a:endParaRPr lang="es-ES"/>
          </a:p>
        </c:txPr>
        <c:crossAx val="207266944"/>
        <c:crosses val="autoZero"/>
        <c:auto val="1"/>
        <c:lblAlgn val="ctr"/>
        <c:lblOffset val="100"/>
      </c:catAx>
      <c:valAx>
        <c:axId val="207266944"/>
        <c:scaling>
          <c:orientation val="minMax"/>
        </c:scaling>
        <c:axPos val="l"/>
        <c:majorGridlines>
          <c:spPr>
            <a:ln>
              <a:solidFill>
                <a:schemeClr val="bg1"/>
              </a:solidFill>
            </a:ln>
          </c:spPr>
        </c:majorGridlines>
        <c:numFmt formatCode="0.0" sourceLinked="1"/>
        <c:maj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MinionPro-Regular"/>
                <a:ea typeface="Arial"/>
                <a:cs typeface="Arial"/>
              </a:defRPr>
            </a:pPr>
            <a:endParaRPr lang="es-ES"/>
          </a:p>
        </c:txPr>
        <c:crossAx val="207256960"/>
        <c:crosses val="autoZero"/>
        <c:crossBetween val="between"/>
      </c:valAx>
      <c:spPr>
        <a:noFill/>
        <a:ln w="25400">
          <a:noFill/>
        </a:ln>
      </c:spPr>
    </c:plotArea>
    <c:legend>
      <c:legendPos val="r"/>
      <c:spPr>
        <a:noFill/>
        <a:ln w="25400">
          <a:noFill/>
        </a:ln>
      </c:spPr>
      <c:txPr>
        <a:bodyPr/>
        <a:lstStyle/>
        <a:p>
          <a:pPr>
            <a:defRPr sz="735" b="0" i="0" u="none" strike="noStrike" baseline="0">
              <a:solidFill>
                <a:srgbClr val="000000"/>
              </a:solidFill>
              <a:latin typeface="MinionPro-Regular"/>
              <a:ea typeface="Arial"/>
              <a:cs typeface="Arial"/>
            </a:defRPr>
          </a:pPr>
          <a:endParaRPr lang="es-ES"/>
        </a:p>
      </c:txPr>
    </c:legend>
    <c:plotVisOnly val="1"/>
    <c:dispBlanksAs val="gap"/>
  </c:chart>
  <c:spPr>
    <a:noFill/>
    <a:ln w="9525">
      <a:noFill/>
    </a:ln>
  </c:spPr>
  <c:txPr>
    <a:bodyPr/>
    <a:lstStyle/>
    <a:p>
      <a:pPr>
        <a:defRPr sz="800" b="0" i="0" u="none" strike="noStrike" baseline="0">
          <a:solidFill>
            <a:srgbClr val="000000"/>
          </a:solidFill>
          <a:latin typeface="Arial"/>
          <a:ea typeface="Arial"/>
          <a:cs typeface="Arial"/>
        </a:defRPr>
      </a:pPr>
      <a:endParaRPr lang="es-ES"/>
    </a:p>
  </c:txPr>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date1904 val="1"/>
  <c:lang val="es-ES"/>
  <c:chart>
    <c:autoTitleDeleted val="1"/>
    <c:plotArea>
      <c:layout>
        <c:manualLayout>
          <c:layoutTarget val="inner"/>
          <c:xMode val="edge"/>
          <c:yMode val="edge"/>
          <c:x val="0.28571428571429591"/>
          <c:y val="0.14396529005303432"/>
          <c:w val="0.48523130383349961"/>
          <c:h val="0.7030902565751016"/>
        </c:manualLayout>
      </c:layout>
      <c:pieChart>
        <c:varyColors val="1"/>
        <c:ser>
          <c:idx val="0"/>
          <c:order val="0"/>
          <c:tx>
            <c:strRef>
              <c:f>'2.1'!$B$5:$B$10</c:f>
              <c:strCache>
                <c:ptCount val="1"/>
                <c:pt idx="0">
                  <c:v>Asociación a la que perteneces  Amigos o familiares Servicio Público de Empleo  Anuncio en internet  Anuncio en otras vías: periódico, carteles  Otros </c:v>
                </c:pt>
              </c:strCache>
            </c:strRef>
          </c:tx>
          <c:dPt>
            <c:idx val="0"/>
            <c:spPr>
              <a:solidFill>
                <a:srgbClr val="409DAD"/>
              </a:solidFill>
              <a:ln w="3175">
                <a:solidFill>
                  <a:srgbClr val="FFFFFF"/>
                </a:solidFill>
                <a:prstDash val="solid"/>
              </a:ln>
            </c:spPr>
          </c:dPt>
          <c:dPt>
            <c:idx val="1"/>
            <c:spPr>
              <a:solidFill>
                <a:srgbClr val="00505C"/>
              </a:solidFill>
              <a:ln w="3175">
                <a:solidFill>
                  <a:srgbClr val="FFFFFF"/>
                </a:solidFill>
                <a:prstDash val="solid"/>
              </a:ln>
            </c:spPr>
          </c:dPt>
          <c:dPt>
            <c:idx val="2"/>
            <c:spPr>
              <a:solidFill>
                <a:srgbClr val="007C92"/>
              </a:solidFill>
              <a:ln w="3175">
                <a:solidFill>
                  <a:srgbClr val="FFFFFF"/>
                </a:solidFill>
                <a:prstDash val="solid"/>
              </a:ln>
            </c:spPr>
          </c:dPt>
          <c:dPt>
            <c:idx val="3"/>
            <c:spPr>
              <a:solidFill>
                <a:srgbClr val="407C85"/>
              </a:solidFill>
              <a:ln w="3175">
                <a:solidFill>
                  <a:srgbClr val="FFFFFF"/>
                </a:solidFill>
                <a:prstDash val="solid"/>
              </a:ln>
            </c:spPr>
          </c:dPt>
          <c:dPt>
            <c:idx val="4"/>
            <c:spPr>
              <a:solidFill>
                <a:srgbClr val="80A8AE"/>
              </a:solidFill>
              <a:ln w="3175">
                <a:solidFill>
                  <a:srgbClr val="FFFFFF"/>
                </a:solidFill>
                <a:prstDash val="solid"/>
              </a:ln>
            </c:spPr>
          </c:dPt>
          <c:dPt>
            <c:idx val="5"/>
            <c:spPr>
              <a:solidFill>
                <a:srgbClr val="BFDEE4"/>
              </a:solidFill>
            </c:spPr>
          </c:dPt>
          <c:dLbls>
            <c:dLbl>
              <c:idx val="0"/>
              <c:layout>
                <c:manualLayout>
                  <c:x val="3.7142857142857151E-2"/>
                  <c:y val="0"/>
                </c:manualLayout>
              </c:layout>
              <c:dLblPos val="bestFit"/>
              <c:showCatName val="1"/>
              <c:showPercent val="1"/>
            </c:dLbl>
            <c:dLbl>
              <c:idx val="4"/>
              <c:layout>
                <c:manualLayout>
                  <c:x val="-8.0563947633434246E-3"/>
                  <c:y val="-6.8669527896995722E-2"/>
                </c:manualLayout>
              </c:layout>
              <c:dLblPos val="bestFit"/>
              <c:showCatName val="1"/>
              <c:showPercent val="1"/>
            </c:dLbl>
            <c:dLblPos val="outEnd"/>
            <c:showCatName val="1"/>
            <c:showPercent val="1"/>
          </c:dLbls>
          <c:cat>
            <c:strRef>
              <c:f>'2.1'!$B$5:$B$10</c:f>
              <c:strCache>
                <c:ptCount val="6"/>
                <c:pt idx="0">
                  <c:v>Asociación a la que perteneces </c:v>
                </c:pt>
                <c:pt idx="1">
                  <c:v>Amigos o familiares</c:v>
                </c:pt>
                <c:pt idx="2">
                  <c:v>Servicio Público de Empleo </c:v>
                </c:pt>
                <c:pt idx="3">
                  <c:v>Anuncio en internet </c:v>
                </c:pt>
                <c:pt idx="4">
                  <c:v>Anuncio en otras vías: periódico, carteles </c:v>
                </c:pt>
                <c:pt idx="5">
                  <c:v>Otros </c:v>
                </c:pt>
              </c:strCache>
            </c:strRef>
          </c:cat>
          <c:val>
            <c:numRef>
              <c:f>'2.1'!$C$5:$C$10</c:f>
              <c:numCache>
                <c:formatCode>0%</c:formatCode>
                <c:ptCount val="6"/>
                <c:pt idx="0">
                  <c:v>0.34065934065934067</c:v>
                </c:pt>
                <c:pt idx="1">
                  <c:v>0.20879120879121443</c:v>
                </c:pt>
                <c:pt idx="2">
                  <c:v>0.10989010989011012</c:v>
                </c:pt>
                <c:pt idx="3">
                  <c:v>7.6923076923076927E-2</c:v>
                </c:pt>
                <c:pt idx="4">
                  <c:v>2.197802197802199E-2</c:v>
                </c:pt>
                <c:pt idx="5">
                  <c:v>0.24175824175824592</c:v>
                </c:pt>
              </c:numCache>
            </c:numRef>
          </c:val>
        </c:ser>
        <c:firstSliceAng val="0"/>
      </c:pieChart>
      <c:spPr>
        <a:noFill/>
        <a:ln w="25400">
          <a:noFill/>
        </a:ln>
      </c:spPr>
    </c:plotArea>
    <c:plotVisOnly val="1"/>
  </c:chart>
  <c:spPr>
    <a:noFill/>
    <a:ln w="9525">
      <a:noFill/>
    </a:ln>
  </c:spPr>
  <c:txPr>
    <a:bodyPr/>
    <a:lstStyle/>
    <a:p>
      <a:pPr>
        <a:defRPr sz="700" b="0" i="0">
          <a:solidFill>
            <a:srgbClr val="000000"/>
          </a:solidFill>
          <a:latin typeface="MinionPro-Regular"/>
          <a:ea typeface="Arial"/>
          <a:cs typeface="Arial"/>
        </a:defRPr>
      </a:pPr>
      <a:endParaRPr lang="es-ES"/>
    </a:p>
  </c:txPr>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date1904 val="1"/>
  <c:lang val="es-ES"/>
  <c:chart>
    <c:autoTitleDeleted val="1"/>
    <c:plotArea>
      <c:layout>
        <c:manualLayout>
          <c:layoutTarget val="inner"/>
          <c:xMode val="edge"/>
          <c:yMode val="edge"/>
          <c:x val="0.15800132867209532"/>
          <c:y val="0.13653543307087126"/>
          <c:w val="0.68973459230460465"/>
          <c:h val="0.75557289429730379"/>
        </c:manualLayout>
      </c:layout>
      <c:pieChart>
        <c:varyColors val="1"/>
        <c:ser>
          <c:idx val="0"/>
          <c:order val="0"/>
          <c:tx>
            <c:strRef>
              <c:f>'1.9'!$B$5:$B$10</c:f>
              <c:strCache>
                <c:ptCount val="1"/>
                <c:pt idx="0">
                  <c:v>Con los padres En un centro/residencia  Solo Con amigos/pareja  Con hijos Otros </c:v>
                </c:pt>
              </c:strCache>
            </c:strRef>
          </c:tx>
          <c:dPt>
            <c:idx val="0"/>
            <c:spPr>
              <a:solidFill>
                <a:srgbClr val="409DAD"/>
              </a:solidFill>
              <a:ln w="3175">
                <a:solidFill>
                  <a:srgbClr val="FFFFFF"/>
                </a:solidFill>
                <a:prstDash val="solid"/>
              </a:ln>
            </c:spPr>
          </c:dPt>
          <c:dPt>
            <c:idx val="1"/>
            <c:spPr>
              <a:solidFill>
                <a:srgbClr val="00505C"/>
              </a:solidFill>
              <a:ln w="3175">
                <a:solidFill>
                  <a:srgbClr val="FFFFFF"/>
                </a:solidFill>
                <a:prstDash val="solid"/>
              </a:ln>
            </c:spPr>
          </c:dPt>
          <c:dPt>
            <c:idx val="2"/>
            <c:spPr>
              <a:solidFill>
                <a:srgbClr val="007C92"/>
              </a:solidFill>
              <a:ln w="3175">
                <a:solidFill>
                  <a:srgbClr val="FFFFFF"/>
                </a:solidFill>
                <a:prstDash val="solid"/>
              </a:ln>
            </c:spPr>
          </c:dPt>
          <c:dPt>
            <c:idx val="3"/>
            <c:spPr>
              <a:solidFill>
                <a:srgbClr val="407C85"/>
              </a:solidFill>
              <a:ln w="3175">
                <a:solidFill>
                  <a:srgbClr val="FFFFFF"/>
                </a:solidFill>
                <a:prstDash val="solid"/>
              </a:ln>
            </c:spPr>
          </c:dPt>
          <c:dPt>
            <c:idx val="4"/>
            <c:spPr>
              <a:solidFill>
                <a:srgbClr val="80A8AE"/>
              </a:solidFill>
              <a:ln w="3175">
                <a:solidFill>
                  <a:srgbClr val="FFFFFF"/>
                </a:solidFill>
                <a:prstDash val="solid"/>
              </a:ln>
            </c:spPr>
          </c:dPt>
          <c:dLbls>
            <c:dLbl>
              <c:idx val="0"/>
              <c:layout>
                <c:manualLayout>
                  <c:x val="3.7142857142857151E-2"/>
                  <c:y val="0"/>
                </c:manualLayout>
              </c:layout>
              <c:dLblPos val="bestFit"/>
              <c:showCatName val="1"/>
              <c:showPercent val="1"/>
            </c:dLbl>
            <c:dLbl>
              <c:idx val="1"/>
              <c:delete val="1"/>
            </c:dLbl>
            <c:dLbl>
              <c:idx val="5"/>
              <c:delete val="1"/>
            </c:dLbl>
            <c:dLblPos val="outEnd"/>
            <c:showCatName val="1"/>
            <c:showPercent val="1"/>
          </c:dLbls>
          <c:cat>
            <c:strRef>
              <c:f>'1.9'!$B$5:$B$10</c:f>
              <c:strCache>
                <c:ptCount val="6"/>
                <c:pt idx="0">
                  <c:v>Con los padres</c:v>
                </c:pt>
                <c:pt idx="1">
                  <c:v>En un centro/residencia </c:v>
                </c:pt>
                <c:pt idx="2">
                  <c:v>Solo</c:v>
                </c:pt>
                <c:pt idx="3">
                  <c:v>Con amigos/pareja </c:v>
                </c:pt>
                <c:pt idx="4">
                  <c:v>Con hijos</c:v>
                </c:pt>
                <c:pt idx="5">
                  <c:v>Otros </c:v>
                </c:pt>
              </c:strCache>
            </c:strRef>
          </c:cat>
          <c:val>
            <c:numRef>
              <c:f>'1.9'!$C$5:$C$10</c:f>
              <c:numCache>
                <c:formatCode>0%</c:formatCode>
                <c:ptCount val="6"/>
                <c:pt idx="0">
                  <c:v>0.32222222222223085</c:v>
                </c:pt>
                <c:pt idx="1">
                  <c:v>0</c:v>
                </c:pt>
                <c:pt idx="2">
                  <c:v>0.1111111111111111</c:v>
                </c:pt>
                <c:pt idx="3">
                  <c:v>0.3888888888889091</c:v>
                </c:pt>
                <c:pt idx="4">
                  <c:v>0.17777777777777778</c:v>
                </c:pt>
                <c:pt idx="5" formatCode="General">
                  <c:v>0</c:v>
                </c:pt>
              </c:numCache>
            </c:numRef>
          </c:val>
        </c:ser>
        <c:firstSliceAng val="0"/>
      </c:pieChart>
      <c:spPr>
        <a:noFill/>
        <a:ln w="25400">
          <a:noFill/>
        </a:ln>
      </c:spPr>
    </c:plotArea>
    <c:plotVisOnly val="1"/>
  </c:chart>
  <c:spPr>
    <a:noFill/>
    <a:ln w="9525">
      <a:noFill/>
    </a:ln>
  </c:spPr>
  <c:txPr>
    <a:bodyPr/>
    <a:lstStyle/>
    <a:p>
      <a:pPr>
        <a:defRPr sz="700" b="0" i="0">
          <a:solidFill>
            <a:srgbClr val="000000"/>
          </a:solidFill>
          <a:latin typeface="MinionPro-Regular"/>
          <a:ea typeface="Arial"/>
          <a:cs typeface="Arial"/>
        </a:defRPr>
      </a:pPr>
      <a:endParaRPr lang="es-ES"/>
    </a:p>
  </c:txPr>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date1904 val="1"/>
  <c:lang val="es-ES"/>
  <c:chart>
    <c:autoTitleDeleted val="1"/>
    <c:plotArea>
      <c:layout>
        <c:manualLayout>
          <c:layoutTarget val="inner"/>
          <c:xMode val="edge"/>
          <c:yMode val="edge"/>
          <c:x val="0.18684521934758191"/>
          <c:y val="6.6352183249821534E-2"/>
          <c:w val="0.76414548322034737"/>
          <c:h val="0.65710103985093471"/>
        </c:manualLayout>
      </c:layout>
      <c:barChart>
        <c:barDir val="col"/>
        <c:grouping val="clustered"/>
        <c:ser>
          <c:idx val="0"/>
          <c:order val="0"/>
          <c:tx>
            <c:strRef>
              <c:f>'1.1'!$C$5</c:f>
              <c:strCache>
                <c:ptCount val="1"/>
                <c:pt idx="0">
                  <c:v>Respuestas a la encuesta online (%)</c:v>
                </c:pt>
              </c:strCache>
            </c:strRef>
          </c:tx>
          <c:spPr>
            <a:solidFill>
              <a:srgbClr val="409DAD"/>
            </a:solidFill>
            <a:ln w="3175">
              <a:solidFill>
                <a:srgbClr val="FFFFFF"/>
              </a:solidFill>
              <a:prstDash val="solid"/>
            </a:ln>
          </c:spPr>
          <c:dLbls>
            <c:dLbl>
              <c:idx val="0"/>
              <c:layout>
                <c:manualLayout>
                  <c:x val="2.4507869285960212E-3"/>
                  <c:y val="0"/>
                </c:manualLayout>
              </c:layout>
              <c:showVal val="1"/>
            </c:dLbl>
            <c:dLbl>
              <c:idx val="3"/>
              <c:layout>
                <c:manualLayout>
                  <c:x val="-2.4509799191408197E-3"/>
                  <c:y val="7.6335877862595434E-3"/>
                </c:manualLayout>
              </c:layout>
              <c:showVal val="1"/>
            </c:dLbl>
            <c:dLbl>
              <c:idx val="4"/>
              <c:layout>
                <c:manualLayout>
                  <c:x val="-2.4509799191408197E-3"/>
                  <c:y val="7.6335877862596735E-3"/>
                </c:manualLayout>
              </c:layout>
              <c:showVal val="1"/>
            </c:dLbl>
            <c:dLbl>
              <c:idx val="5"/>
              <c:layout>
                <c:manualLayout>
                  <c:x val="0"/>
                  <c:y val="7.6335877862595434E-3"/>
                </c:manualLayout>
              </c:layout>
              <c:showVal val="1"/>
            </c:dLbl>
            <c:dLbl>
              <c:idx val="6"/>
              <c:layout>
                <c:manualLayout>
                  <c:x val="-2.4509799191408197E-3"/>
                  <c:y val="7.6335877862595434E-3"/>
                </c:manualLayout>
              </c:layout>
              <c:showVal val="1"/>
            </c:dLbl>
            <c:dLbl>
              <c:idx val="7"/>
              <c:layout>
                <c:manualLayout>
                  <c:x val="0"/>
                  <c:y val="7.6332872513073984E-3"/>
                </c:manualLayout>
              </c:layout>
              <c:showVal val="1"/>
            </c:dLbl>
            <c:dLbl>
              <c:idx val="8"/>
              <c:layout>
                <c:manualLayout>
                  <c:x val="0"/>
                  <c:y val="1.1450081144437338E-2"/>
                </c:manualLayout>
              </c:layout>
              <c:showVal val="1"/>
            </c:dLbl>
            <c:dLbl>
              <c:idx val="9"/>
              <c:layout>
                <c:manualLayout>
                  <c:x val="0"/>
                  <c:y val="1.1450381679389401E-2"/>
                </c:manualLayout>
              </c:layout>
              <c:showVal val="1"/>
            </c:dLbl>
            <c:dLbl>
              <c:idx val="10"/>
              <c:layout>
                <c:manualLayout>
                  <c:x val="0"/>
                  <c:y val="1.1450381679389401E-2"/>
                </c:manualLayout>
              </c:layout>
              <c:showVal val="1"/>
            </c:dLbl>
            <c:dLbl>
              <c:idx val="11"/>
              <c:layout>
                <c:manualLayout>
                  <c:x val="0"/>
                  <c:y val="1.1450381679389401E-2"/>
                </c:manualLayout>
              </c:layout>
              <c:showVal val="1"/>
            </c:dLbl>
            <c:dLbl>
              <c:idx val="12"/>
              <c:layout>
                <c:manualLayout>
                  <c:x val="8.9868225536424829E-17"/>
                  <c:y val="1.1450381679389401E-2"/>
                </c:manualLayout>
              </c:layout>
              <c:showVal val="1"/>
            </c:dLbl>
            <c:dLbl>
              <c:idx val="13"/>
              <c:layout>
                <c:manualLayout>
                  <c:x val="-4.9019598382816524E-3"/>
                  <c:y val="1.1450381679389401E-2"/>
                </c:manualLayout>
              </c:layout>
              <c:showVal val="1"/>
            </c:dLbl>
            <c:dLbl>
              <c:idx val="14"/>
              <c:layout>
                <c:manualLayout>
                  <c:x val="-2.4509799191408197E-3"/>
                  <c:y val="1.1450381679389401E-2"/>
                </c:manualLayout>
              </c:layout>
              <c:showVal val="1"/>
            </c:dLbl>
            <c:dLbl>
              <c:idx val="15"/>
              <c:layout>
                <c:manualLayout>
                  <c:x val="-4.9019598382816524E-3"/>
                  <c:y val="1.1450381679389401E-2"/>
                </c:manualLayout>
              </c:layout>
              <c:showVal val="1"/>
            </c:dLbl>
            <c:txPr>
              <a:bodyPr/>
              <a:lstStyle/>
              <a:p>
                <a:pPr>
                  <a:defRPr sz="600"/>
                </a:pPr>
                <a:endParaRPr lang="es-ES"/>
              </a:p>
            </c:txPr>
            <c:showVal val="1"/>
          </c:dLbls>
          <c:cat>
            <c:strRef>
              <c:f>'1.1'!$B$30:$B$48</c:f>
              <c:strCache>
                <c:ptCount val="19"/>
                <c:pt idx="0">
                  <c:v>Andalucía </c:v>
                </c:pt>
                <c:pt idx="1">
                  <c:v>Madrid</c:v>
                </c:pt>
                <c:pt idx="2">
                  <c:v>Cataluña</c:v>
                </c:pt>
                <c:pt idx="3">
                  <c:v>C.La Mancha</c:v>
                </c:pt>
                <c:pt idx="4">
                  <c:v>País Vasco</c:v>
                </c:pt>
                <c:pt idx="5">
                  <c:v>C.León</c:v>
                </c:pt>
                <c:pt idx="6">
                  <c:v>C.Valenciana</c:v>
                </c:pt>
                <c:pt idx="7">
                  <c:v>Aragón</c:v>
                </c:pt>
                <c:pt idx="8">
                  <c:v>Extremadura</c:v>
                </c:pt>
                <c:pt idx="9">
                  <c:v>Canarias</c:v>
                </c:pt>
                <c:pt idx="10">
                  <c:v>Navarra</c:v>
                </c:pt>
                <c:pt idx="11">
                  <c:v>Galicia</c:v>
                </c:pt>
                <c:pt idx="12">
                  <c:v>La Rioja</c:v>
                </c:pt>
                <c:pt idx="13">
                  <c:v>Murcia</c:v>
                </c:pt>
                <c:pt idx="14">
                  <c:v>Asturias</c:v>
                </c:pt>
                <c:pt idx="15">
                  <c:v>Cantabria</c:v>
                </c:pt>
                <c:pt idx="16">
                  <c:v>Baleares</c:v>
                </c:pt>
                <c:pt idx="17">
                  <c:v>Ceuta</c:v>
                </c:pt>
                <c:pt idx="18">
                  <c:v>Melilla</c:v>
                </c:pt>
              </c:strCache>
            </c:strRef>
          </c:cat>
          <c:val>
            <c:numRef>
              <c:f>'1.1'!$C$30:$C$48</c:f>
              <c:numCache>
                <c:formatCode>0.0%</c:formatCode>
                <c:ptCount val="19"/>
                <c:pt idx="0">
                  <c:v>0.21256038647343301</c:v>
                </c:pt>
                <c:pt idx="1">
                  <c:v>0.17391304347826358</c:v>
                </c:pt>
                <c:pt idx="2">
                  <c:v>0.1545893719806764</c:v>
                </c:pt>
                <c:pt idx="3">
                  <c:v>5.3140096618357446E-2</c:v>
                </c:pt>
                <c:pt idx="4">
                  <c:v>5.3140096618357446E-2</c:v>
                </c:pt>
                <c:pt idx="5">
                  <c:v>4.8309178743961352E-2</c:v>
                </c:pt>
                <c:pt idx="6">
                  <c:v>4.8309178743961352E-2</c:v>
                </c:pt>
                <c:pt idx="7">
                  <c:v>4.3478260869565223E-2</c:v>
                </c:pt>
                <c:pt idx="8">
                  <c:v>3.8647342995169594E-2</c:v>
                </c:pt>
                <c:pt idx="9">
                  <c:v>2.8985507246376812E-2</c:v>
                </c:pt>
                <c:pt idx="10">
                  <c:v>2.8985507246376812E-2</c:v>
                </c:pt>
                <c:pt idx="11">
                  <c:v>2.4154589371980312E-2</c:v>
                </c:pt>
                <c:pt idx="12">
                  <c:v>2.4154589371980312E-2</c:v>
                </c:pt>
                <c:pt idx="13">
                  <c:v>2.4154589371980312E-2</c:v>
                </c:pt>
                <c:pt idx="14">
                  <c:v>1.9323671497584783E-2</c:v>
                </c:pt>
                <c:pt idx="15">
                  <c:v>1.9323671497584783E-2</c:v>
                </c:pt>
                <c:pt idx="16">
                  <c:v>4.830917874396135E-3</c:v>
                </c:pt>
                <c:pt idx="17">
                  <c:v>0</c:v>
                </c:pt>
                <c:pt idx="18">
                  <c:v>0</c:v>
                </c:pt>
              </c:numCache>
            </c:numRef>
          </c:val>
        </c:ser>
        <c:gapWidth val="40"/>
        <c:axId val="165467648"/>
        <c:axId val="165469184"/>
      </c:barChart>
      <c:catAx>
        <c:axId val="165467648"/>
        <c:scaling>
          <c:orientation val="minMax"/>
        </c:scaling>
        <c:axPos val="b"/>
        <c:tickLblPos val="low"/>
        <c:spPr>
          <a:ln w="3175">
            <a:solidFill>
              <a:srgbClr val="000000"/>
            </a:solidFill>
            <a:prstDash val="solid"/>
          </a:ln>
        </c:spPr>
        <c:crossAx val="165469184"/>
        <c:crosses val="autoZero"/>
        <c:auto val="1"/>
        <c:lblAlgn val="ctr"/>
        <c:lblOffset val="100"/>
      </c:catAx>
      <c:valAx>
        <c:axId val="165469184"/>
        <c:scaling>
          <c:orientation val="minMax"/>
        </c:scaling>
        <c:axPos val="l"/>
        <c:title>
          <c:tx>
            <c:rich>
              <a:bodyPr rot="-5400000" vert="horz"/>
              <a:lstStyle/>
              <a:p>
                <a:pPr>
                  <a:defRPr/>
                </a:pPr>
                <a:r>
                  <a:rPr lang="en-US"/>
                  <a:t>Respuestas</a:t>
                </a:r>
                <a:r>
                  <a:rPr lang="en-US" baseline="0"/>
                  <a:t> a la encuesta online (%)</a:t>
                </a:r>
                <a:endParaRPr lang="en-US"/>
              </a:p>
            </c:rich>
          </c:tx>
          <c:layout>
            <c:manualLayout>
              <c:xMode val="edge"/>
              <c:yMode val="edge"/>
              <c:x val="5.5126012211283784E-2"/>
              <c:y val="0.18157059566027528"/>
            </c:manualLayout>
          </c:layout>
        </c:title>
        <c:numFmt formatCode="0.0%" sourceLinked="1"/>
        <c:tickLblPos val="nextTo"/>
        <c:spPr>
          <a:ln w="3175">
            <a:solidFill>
              <a:srgbClr val="000000"/>
            </a:solidFill>
            <a:prstDash val="solid"/>
          </a:ln>
        </c:spPr>
        <c:crossAx val="165467648"/>
        <c:crosses val="autoZero"/>
        <c:crossBetween val="between"/>
      </c:valAx>
      <c:spPr>
        <a:noFill/>
        <a:ln w="25400">
          <a:noFill/>
        </a:ln>
      </c:spPr>
    </c:plotArea>
    <c:plotVisOnly val="1"/>
  </c:chart>
  <c:spPr>
    <a:noFill/>
    <a:ln w="9525">
      <a:noFill/>
    </a:ln>
  </c:spPr>
  <c:txPr>
    <a:bodyPr/>
    <a:lstStyle/>
    <a:p>
      <a:pPr>
        <a:defRPr sz="800" b="0" i="0">
          <a:solidFill>
            <a:srgbClr val="000000"/>
          </a:solidFill>
          <a:latin typeface="MinionPro-Regular"/>
          <a:ea typeface="Arial"/>
          <a:cs typeface="Arial"/>
        </a:defRPr>
      </a:pPr>
      <a:endParaRPr lang="es-ES"/>
    </a:p>
  </c:txPr>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date1904 val="1"/>
  <c:lang val="es-ES"/>
  <c:chart>
    <c:autoTitleDeleted val="1"/>
    <c:plotArea>
      <c:layout>
        <c:manualLayout>
          <c:layoutTarget val="inner"/>
          <c:xMode val="edge"/>
          <c:yMode val="edge"/>
          <c:x val="0.13494580936945724"/>
          <c:y val="8.5388151984357633E-2"/>
          <c:w val="0.81687739032620921"/>
          <c:h val="0.66678618612270779"/>
        </c:manualLayout>
      </c:layout>
      <c:barChart>
        <c:barDir val="col"/>
        <c:grouping val="clustered"/>
        <c:ser>
          <c:idx val="1"/>
          <c:order val="0"/>
          <c:tx>
            <c:strRef>
              <c:f>'1.2'!$D$2</c:f>
              <c:strCache>
                <c:ptCount val="1"/>
                <c:pt idx="0">
                  <c:v>Aperturas CEE</c:v>
                </c:pt>
              </c:strCache>
            </c:strRef>
          </c:tx>
          <c:spPr>
            <a:solidFill>
              <a:srgbClr val="007C92"/>
            </a:solidFill>
            <a:ln w="3175">
              <a:solidFill>
                <a:srgbClr val="FFFFFF"/>
              </a:solidFill>
              <a:prstDash val="solid"/>
            </a:ln>
          </c:spPr>
          <c:dLbls>
            <c:dLbl>
              <c:idx val="0"/>
              <c:layout>
                <c:manualLayout>
                  <c:x val="9.5068312571137768E-3"/>
                  <c:y val="3.3057851239669442E-3"/>
                </c:manualLayout>
              </c:layout>
              <c:showVal val="1"/>
            </c:dLbl>
            <c:dLbl>
              <c:idx val="1"/>
              <c:layout>
                <c:manualLayout>
                  <c:x val="1.9013662514227501E-2"/>
                  <c:y val="0"/>
                </c:manualLayout>
              </c:layout>
              <c:showVal val="1"/>
            </c:dLbl>
            <c:dLbl>
              <c:idx val="2"/>
              <c:delete val="1"/>
            </c:dLbl>
            <c:dLbl>
              <c:idx val="5"/>
              <c:layout>
                <c:manualLayout>
                  <c:x val="1.4260246885670616E-2"/>
                  <c:y val="0"/>
                </c:manualLayout>
              </c:layout>
              <c:showVal val="1"/>
            </c:dLbl>
            <c:dLbl>
              <c:idx val="6"/>
              <c:delete val="1"/>
            </c:dLbl>
            <c:dLbl>
              <c:idx val="8"/>
              <c:layout>
                <c:manualLayout>
                  <c:x val="1.1883539071392349E-2"/>
                  <c:y val="-6.0605360487766562E-17"/>
                </c:manualLayout>
              </c:layout>
              <c:showVal val="1"/>
            </c:dLbl>
            <c:dLbl>
              <c:idx val="9"/>
              <c:delete val="1"/>
            </c:dLbl>
            <c:dLbl>
              <c:idx val="11"/>
              <c:delete val="1"/>
            </c:dLbl>
            <c:dLbl>
              <c:idx val="12"/>
              <c:layout>
                <c:manualLayout>
                  <c:x val="-7.1301234428353772E-3"/>
                  <c:y val="3.3057851239669442E-3"/>
                </c:manualLayout>
              </c:layout>
              <c:showVal val="1"/>
            </c:dLbl>
            <c:dLbl>
              <c:idx val="14"/>
              <c:layout>
                <c:manualLayout>
                  <c:x val="2.3767078142784381E-3"/>
                  <c:y val="-3.3060454220082331E-3"/>
                </c:manualLayout>
              </c:layout>
              <c:showVal val="1"/>
            </c:dLbl>
            <c:dLbl>
              <c:idx val="16"/>
              <c:layout>
                <c:manualLayout>
                  <c:x val="4.7534156285568754E-3"/>
                  <c:y val="0"/>
                </c:manualLayout>
              </c:layout>
              <c:showVal val="1"/>
            </c:dLbl>
            <c:dLbl>
              <c:idx val="19"/>
              <c:layout>
                <c:manualLayout>
                  <c:x val="1.9013475371879921E-2"/>
                  <c:y val="-2.6029804131784812E-7"/>
                </c:manualLayout>
              </c:layout>
              <c:showVal val="1"/>
            </c:dLbl>
            <c:dLbl>
              <c:idx val="20"/>
              <c:delete val="1"/>
            </c:dLbl>
            <c:dLbl>
              <c:idx val="21"/>
              <c:layout>
                <c:manualLayout>
                  <c:x val="7.1301234428353772E-3"/>
                  <c:y val="6.0605360487766562E-17"/>
                </c:manualLayout>
              </c:layout>
              <c:showVal val="1"/>
            </c:dLbl>
            <c:dLbl>
              <c:idx val="22"/>
              <c:layout>
                <c:manualLayout>
                  <c:x val="4.7534156285568754E-3"/>
                  <c:y val="1.6528925619834926E-2"/>
                </c:manualLayout>
              </c:layout>
              <c:showVal val="1"/>
            </c:dLbl>
            <c:dLbl>
              <c:idx val="24"/>
              <c:delete val="1"/>
            </c:dLbl>
            <c:dLbl>
              <c:idx val="25"/>
              <c:layout>
                <c:manualLayout>
                  <c:x val="7.1301234428353772E-3"/>
                  <c:y val="6.6115702479338893E-3"/>
                </c:manualLayout>
              </c:layout>
              <c:showVal val="1"/>
            </c:dLbl>
            <c:dLbl>
              <c:idx val="26"/>
              <c:delete val="1"/>
            </c:dLbl>
            <c:dLbl>
              <c:idx val="27"/>
              <c:layout>
                <c:manualLayout>
                  <c:x val="7.1301234428353772E-3"/>
                  <c:y val="1.6528925619834926E-2"/>
                </c:manualLayout>
              </c:layout>
              <c:showVal val="1"/>
            </c:dLbl>
            <c:dLbl>
              <c:idx val="28"/>
              <c:layout>
                <c:manualLayout>
                  <c:x val="2.3767078142784381E-3"/>
                  <c:y val="3.3057851239669442E-3"/>
                </c:manualLayout>
              </c:layout>
              <c:showVal val="1"/>
            </c:dLbl>
            <c:txPr>
              <a:bodyPr/>
              <a:lstStyle/>
              <a:p>
                <a:pPr>
                  <a:defRPr sz="700"/>
                </a:pPr>
                <a:endParaRPr lang="es-ES"/>
              </a:p>
            </c:txPr>
            <c:showVal val="1"/>
          </c:dLbls>
          <c:cat>
            <c:numRef>
              <c:f>'1.2'!$C$3:$C$31</c:f>
              <c:numCache>
                <c:formatCode>General</c:formatCode>
                <c:ptCount val="29"/>
                <c:pt idx="0">
                  <c:v>1982</c:v>
                </c:pt>
                <c:pt idx="1">
                  <c:v>1983</c:v>
                </c:pt>
                <c:pt idx="2">
                  <c:v>1984</c:v>
                </c:pt>
                <c:pt idx="3">
                  <c:v>1986</c:v>
                </c:pt>
                <c:pt idx="4">
                  <c:v>1987</c:v>
                </c:pt>
                <c:pt idx="5">
                  <c:v>1988</c:v>
                </c:pt>
                <c:pt idx="6">
                  <c:v>1989</c:v>
                </c:pt>
                <c:pt idx="7">
                  <c:v>1990</c:v>
                </c:pt>
                <c:pt idx="8">
                  <c:v>1991</c:v>
                </c:pt>
                <c:pt idx="9">
                  <c:v>1992</c:v>
                </c:pt>
                <c:pt idx="10">
                  <c:v>1993</c:v>
                </c:pt>
                <c:pt idx="11">
                  <c:v>1994</c:v>
                </c:pt>
                <c:pt idx="12">
                  <c:v>1995</c:v>
                </c:pt>
                <c:pt idx="13">
                  <c:v>1996</c:v>
                </c:pt>
                <c:pt idx="14">
                  <c:v>1997</c:v>
                </c:pt>
                <c:pt idx="15">
                  <c:v>1998</c:v>
                </c:pt>
                <c:pt idx="16">
                  <c:v>1999</c:v>
                </c:pt>
                <c:pt idx="17">
                  <c:v>2000</c:v>
                </c:pt>
                <c:pt idx="18">
                  <c:v>2001</c:v>
                </c:pt>
                <c:pt idx="19">
                  <c:v>2002</c:v>
                </c:pt>
                <c:pt idx="20">
                  <c:v>2003</c:v>
                </c:pt>
                <c:pt idx="21">
                  <c:v>2004</c:v>
                </c:pt>
                <c:pt idx="22">
                  <c:v>2005</c:v>
                </c:pt>
                <c:pt idx="23">
                  <c:v>2006</c:v>
                </c:pt>
                <c:pt idx="24">
                  <c:v>2007</c:v>
                </c:pt>
                <c:pt idx="25">
                  <c:v>2008</c:v>
                </c:pt>
                <c:pt idx="26">
                  <c:v>2009</c:v>
                </c:pt>
                <c:pt idx="27">
                  <c:v>2010</c:v>
                </c:pt>
                <c:pt idx="28">
                  <c:v>2011</c:v>
                </c:pt>
              </c:numCache>
            </c:numRef>
          </c:cat>
          <c:val>
            <c:numRef>
              <c:f>'1.2'!$E$3:$E$31</c:f>
              <c:numCache>
                <c:formatCode>0.0%</c:formatCode>
                <c:ptCount val="29"/>
                <c:pt idx="0">
                  <c:v>7.8947368421052475E-2</c:v>
                </c:pt>
                <c:pt idx="1">
                  <c:v>5.2631578947368524E-3</c:v>
                </c:pt>
                <c:pt idx="2">
                  <c:v>5.2631578947368524E-3</c:v>
                </c:pt>
                <c:pt idx="3">
                  <c:v>1.0526315789473684E-2</c:v>
                </c:pt>
                <c:pt idx="4">
                  <c:v>2.6315789473684216E-2</c:v>
                </c:pt>
                <c:pt idx="5">
                  <c:v>1.5789473684210728E-2</c:v>
                </c:pt>
                <c:pt idx="6">
                  <c:v>1.5789473684210728E-2</c:v>
                </c:pt>
                <c:pt idx="7">
                  <c:v>3.1578947368421477E-2</c:v>
                </c:pt>
                <c:pt idx="8">
                  <c:v>4.2105263157894736E-2</c:v>
                </c:pt>
                <c:pt idx="9">
                  <c:v>4.2105263157894736E-2</c:v>
                </c:pt>
                <c:pt idx="10">
                  <c:v>1.5789473684210728E-2</c:v>
                </c:pt>
                <c:pt idx="11">
                  <c:v>2.6315789473684216E-2</c:v>
                </c:pt>
                <c:pt idx="12">
                  <c:v>2.6315789473684216E-2</c:v>
                </c:pt>
                <c:pt idx="13">
                  <c:v>4.2105263157894736E-2</c:v>
                </c:pt>
                <c:pt idx="14">
                  <c:v>3.6842105263157891E-2</c:v>
                </c:pt>
                <c:pt idx="15">
                  <c:v>0.1</c:v>
                </c:pt>
                <c:pt idx="16">
                  <c:v>6.3157894736842107E-2</c:v>
                </c:pt>
                <c:pt idx="17">
                  <c:v>9.4736842105265576E-2</c:v>
                </c:pt>
                <c:pt idx="18">
                  <c:v>2.6315789473684216E-2</c:v>
                </c:pt>
                <c:pt idx="19">
                  <c:v>4.2105263157894736E-2</c:v>
                </c:pt>
                <c:pt idx="20">
                  <c:v>4.2105263157894736E-2</c:v>
                </c:pt>
                <c:pt idx="21">
                  <c:v>3.1578947368421477E-2</c:v>
                </c:pt>
                <c:pt idx="22">
                  <c:v>2.1052631578947382E-2</c:v>
                </c:pt>
                <c:pt idx="23">
                  <c:v>3.1578947368421477E-2</c:v>
                </c:pt>
                <c:pt idx="24">
                  <c:v>2.6315789473684216E-2</c:v>
                </c:pt>
                <c:pt idx="25">
                  <c:v>2.6315789473684216E-2</c:v>
                </c:pt>
                <c:pt idx="26">
                  <c:v>2.6315789473684216E-2</c:v>
                </c:pt>
                <c:pt idx="27">
                  <c:v>2.1052631578947382E-2</c:v>
                </c:pt>
                <c:pt idx="28">
                  <c:v>2.6315789473684216E-2</c:v>
                </c:pt>
              </c:numCache>
            </c:numRef>
          </c:val>
        </c:ser>
        <c:gapWidth val="40"/>
        <c:axId val="165501952"/>
        <c:axId val="165507840"/>
      </c:barChart>
      <c:catAx>
        <c:axId val="165501952"/>
        <c:scaling>
          <c:orientation val="minMax"/>
        </c:scaling>
        <c:axPos val="b"/>
        <c:numFmt formatCode="General" sourceLinked="1"/>
        <c:tickLblPos val="low"/>
        <c:spPr>
          <a:ln w="3175">
            <a:solidFill>
              <a:srgbClr val="000000"/>
            </a:solidFill>
            <a:prstDash val="solid"/>
          </a:ln>
        </c:spPr>
        <c:crossAx val="165507840"/>
        <c:crosses val="autoZero"/>
        <c:auto val="1"/>
        <c:lblAlgn val="ctr"/>
        <c:lblOffset val="100"/>
      </c:catAx>
      <c:valAx>
        <c:axId val="165507840"/>
        <c:scaling>
          <c:orientation val="minMax"/>
        </c:scaling>
        <c:axPos val="l"/>
        <c:title>
          <c:tx>
            <c:rich>
              <a:bodyPr rot="-5400000" vert="horz"/>
              <a:lstStyle/>
              <a:p>
                <a:pPr>
                  <a:defRPr/>
                </a:pPr>
                <a:r>
                  <a:rPr lang="en-US"/>
                  <a:t>Apertura de centros especiales de empleo (%)</a:t>
                </a:r>
              </a:p>
            </c:rich>
          </c:tx>
          <c:layout>
            <c:manualLayout>
              <c:xMode val="edge"/>
              <c:yMode val="edge"/>
              <c:x val="1.8740060402064121E-2"/>
              <c:y val="0.11892314700332013"/>
            </c:manualLayout>
          </c:layout>
        </c:title>
        <c:numFmt formatCode="0.0%" sourceLinked="1"/>
        <c:tickLblPos val="nextTo"/>
        <c:spPr>
          <a:ln w="3175">
            <a:solidFill>
              <a:srgbClr val="000000"/>
            </a:solidFill>
            <a:prstDash val="solid"/>
          </a:ln>
        </c:spPr>
        <c:crossAx val="165501952"/>
        <c:crosses val="autoZero"/>
        <c:crossBetween val="between"/>
      </c:valAx>
      <c:spPr>
        <a:noFill/>
        <a:ln w="25400">
          <a:noFill/>
        </a:ln>
      </c:spPr>
    </c:plotArea>
    <c:legend>
      <c:legendPos val="b"/>
      <c:layout>
        <c:manualLayout>
          <c:xMode val="edge"/>
          <c:yMode val="edge"/>
          <c:x val="0.42798065241845135"/>
          <c:y val="0.86363636363636354"/>
          <c:w val="0.17894774082201798"/>
          <c:h val="4.9817417956984938E-2"/>
        </c:manualLayout>
      </c:layout>
      <c:spPr>
        <a:noFill/>
        <a:ln w="25400">
          <a:noFill/>
        </a:ln>
      </c:spPr>
    </c:legend>
    <c:plotVisOnly val="1"/>
  </c:chart>
  <c:spPr>
    <a:noFill/>
    <a:ln w="9525">
      <a:noFill/>
    </a:ln>
  </c:spPr>
  <c:txPr>
    <a:bodyPr/>
    <a:lstStyle/>
    <a:p>
      <a:pPr>
        <a:defRPr sz="800" b="0" i="0">
          <a:solidFill>
            <a:srgbClr val="000000"/>
          </a:solidFill>
          <a:latin typeface="MinionPro-Regular"/>
          <a:ea typeface="Arial"/>
          <a:cs typeface="Arial"/>
        </a:defRPr>
      </a:pPr>
      <a:endParaRPr lang="es-ES"/>
    </a:p>
  </c:txPr>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date1904 val="1"/>
  <c:lang val="es-ES"/>
  <c:chart>
    <c:autoTitleDeleted val="1"/>
    <c:plotArea>
      <c:layout/>
      <c:scatterChart>
        <c:scatterStyle val="lineMarker"/>
        <c:ser>
          <c:idx val="0"/>
          <c:order val="0"/>
          <c:tx>
            <c:strRef>
              <c:f>'\\Esmadfsr20\med_amb\Clientes_y_Targets\Fundación_ONCE\Centros_Esp_Empleo_2012\Modelos_Europeos\[061112Políticas.xlsx]Hoja1'!$C$8</c:f>
              <c:strCache>
                <c:ptCount val="1"/>
                <c:pt idx="0">
                  <c:v>España</c:v>
                </c:pt>
              </c:strCache>
            </c:strRef>
          </c:tx>
          <c:spPr>
            <a:ln w="28575">
              <a:noFill/>
            </a:ln>
          </c:spPr>
          <c:marker>
            <c:symbol val="diamond"/>
            <c:size val="7"/>
            <c:spPr>
              <a:solidFill>
                <a:schemeClr val="accent3">
                  <a:lumMod val="75000"/>
                </a:schemeClr>
              </a:solidFill>
              <a:ln>
                <a:solidFill>
                  <a:schemeClr val="accent3">
                    <a:lumMod val="75000"/>
                  </a:schemeClr>
                </a:solidFill>
              </a:ln>
            </c:spPr>
          </c:marker>
          <c:trendline>
            <c:trendlineType val="linear"/>
          </c:trendline>
          <c:xVal>
            <c:numRef>
              <c:f>'\\Esmadfsr20\med_amb\Clientes_y_Targets\Fundación_ONCE\Centros_Esp_Empleo_2012\Modelos_Europeos\[061112Políticas.xlsx]Hoja1'!$D$8</c:f>
              <c:numCache>
                <c:formatCode>General</c:formatCode>
                <c:ptCount val="1"/>
                <c:pt idx="0">
                  <c:v>28</c:v>
                </c:pt>
              </c:numCache>
            </c:numRef>
          </c:xVal>
          <c:yVal>
            <c:numRef>
              <c:f>'\\Esmadfsr20\med_amb\Clientes_y_Targets\Fundación_ONCE\Centros_Esp_Empleo_2012\Modelos_Europeos\[061112Políticas.xlsx]Hoja1'!$E$8</c:f>
              <c:numCache>
                <c:formatCode>General</c:formatCode>
                <c:ptCount val="1"/>
                <c:pt idx="0">
                  <c:v>22</c:v>
                </c:pt>
              </c:numCache>
            </c:numRef>
          </c:yVal>
        </c:ser>
        <c:ser>
          <c:idx val="1"/>
          <c:order val="1"/>
          <c:tx>
            <c:strRef>
              <c:f>'\\Esmadfsr20\med_amb\Clientes_y_Targets\Fundación_ONCE\Centros_Esp_Empleo_2012\Modelos_Europeos\[061112Políticas.xlsx]Hoja1'!$C$9</c:f>
              <c:strCache>
                <c:ptCount val="1"/>
                <c:pt idx="0">
                  <c:v>Alemania</c:v>
                </c:pt>
              </c:strCache>
            </c:strRef>
          </c:tx>
          <c:spPr>
            <a:ln w="28575">
              <a:noFill/>
            </a:ln>
          </c:spPr>
          <c:marker>
            <c:symbol val="diamond"/>
            <c:size val="7"/>
            <c:spPr>
              <a:solidFill>
                <a:schemeClr val="tx1"/>
              </a:solidFill>
              <a:ln>
                <a:solidFill>
                  <a:schemeClr val="tx1"/>
                </a:solidFill>
              </a:ln>
            </c:spPr>
          </c:marker>
          <c:trendline>
            <c:trendlineType val="linear"/>
          </c:trendline>
          <c:xVal>
            <c:numRef>
              <c:f>'\\Esmadfsr20\med_amb\Clientes_y_Targets\Fundación_ONCE\Centros_Esp_Empleo_2012\Modelos_Europeos\[061112Políticas.xlsx]Hoja1'!$D$9</c:f>
              <c:numCache>
                <c:formatCode>General</c:formatCode>
                <c:ptCount val="1"/>
                <c:pt idx="0">
                  <c:v>32</c:v>
                </c:pt>
              </c:numCache>
            </c:numRef>
          </c:xVal>
          <c:yVal>
            <c:numRef>
              <c:f>'\\Esmadfsr20\med_amb\Clientes_y_Targets\Fundación_ONCE\Centros_Esp_Empleo_2012\Modelos_Europeos\[061112Políticas.xlsx]Hoja1'!$E$9</c:f>
              <c:numCache>
                <c:formatCode>General</c:formatCode>
                <c:ptCount val="1"/>
                <c:pt idx="0">
                  <c:v>34</c:v>
                </c:pt>
              </c:numCache>
            </c:numRef>
          </c:yVal>
        </c:ser>
        <c:ser>
          <c:idx val="2"/>
          <c:order val="2"/>
          <c:tx>
            <c:strRef>
              <c:f>'\\Esmadfsr20\med_amb\Clientes_y_Targets\Fundación_ONCE\Centros_Esp_Empleo_2012\Modelos_Europeos\[061112Políticas.xlsx]Hoja1'!$C$10</c:f>
              <c:strCache>
                <c:ptCount val="1"/>
                <c:pt idx="0">
                  <c:v>Italia</c:v>
                </c:pt>
              </c:strCache>
            </c:strRef>
          </c:tx>
          <c:spPr>
            <a:ln w="28575">
              <a:noFill/>
            </a:ln>
          </c:spPr>
          <c:marker>
            <c:symbol val="diamond"/>
            <c:size val="7"/>
            <c:spPr>
              <a:solidFill>
                <a:srgbClr val="6F3505"/>
              </a:solidFill>
              <a:ln>
                <a:solidFill>
                  <a:srgbClr val="6F3505"/>
                </a:solidFill>
              </a:ln>
            </c:spPr>
          </c:marker>
          <c:trendline>
            <c:trendlineType val="linear"/>
          </c:trendline>
          <c:xVal>
            <c:numRef>
              <c:f>'\\Esmadfsr20\med_amb\Clientes_y_Targets\Fundación_ONCE\Centros_Esp_Empleo_2012\Modelos_Europeos\[061112Políticas.xlsx]Hoja1'!$D$10</c:f>
              <c:numCache>
                <c:formatCode>General</c:formatCode>
                <c:ptCount val="1"/>
                <c:pt idx="0">
                  <c:v>26</c:v>
                </c:pt>
              </c:numCache>
            </c:numRef>
          </c:xVal>
          <c:yVal>
            <c:numRef>
              <c:f>'\\Esmadfsr20\med_amb\Clientes_y_Targets\Fundación_ONCE\Centros_Esp_Empleo_2012\Modelos_Europeos\[061112Políticas.xlsx]Hoja1'!$E$10</c:f>
              <c:numCache>
                <c:formatCode>General</c:formatCode>
                <c:ptCount val="1"/>
                <c:pt idx="0">
                  <c:v>18</c:v>
                </c:pt>
              </c:numCache>
            </c:numRef>
          </c:yVal>
        </c:ser>
        <c:ser>
          <c:idx val="3"/>
          <c:order val="3"/>
          <c:tx>
            <c:strRef>
              <c:f>'\\Esmadfsr20\med_amb\Clientes_y_Targets\Fundación_ONCE\Centros_Esp_Empleo_2012\Modelos_Europeos\[061112Políticas.xlsx]Hoja1'!$C$11</c:f>
              <c:strCache>
                <c:ptCount val="1"/>
                <c:pt idx="0">
                  <c:v>Suecia</c:v>
                </c:pt>
              </c:strCache>
            </c:strRef>
          </c:tx>
          <c:spPr>
            <a:ln w="28575">
              <a:noFill/>
            </a:ln>
          </c:spPr>
          <c:marker>
            <c:symbol val="diamond"/>
            <c:size val="7"/>
            <c:spPr>
              <a:solidFill>
                <a:schemeClr val="accent6">
                  <a:lumMod val="75000"/>
                </a:schemeClr>
              </a:solidFill>
              <a:ln>
                <a:solidFill>
                  <a:schemeClr val="accent6">
                    <a:lumMod val="75000"/>
                  </a:schemeClr>
                </a:solidFill>
              </a:ln>
            </c:spPr>
          </c:marker>
          <c:trendline>
            <c:trendlineType val="linear"/>
          </c:trendline>
          <c:xVal>
            <c:numRef>
              <c:f>'\\Esmadfsr20\med_amb\Clientes_y_Targets\Fundación_ONCE\Centros_Esp_Empleo_2012\Modelos_Europeos\[061112Políticas.xlsx]Hoja1'!$D$11</c:f>
              <c:numCache>
                <c:formatCode>General</c:formatCode>
                <c:ptCount val="1"/>
                <c:pt idx="0">
                  <c:v>36</c:v>
                </c:pt>
              </c:numCache>
            </c:numRef>
          </c:xVal>
          <c:yVal>
            <c:numRef>
              <c:f>'\\Esmadfsr20\med_amb\Clientes_y_Targets\Fundación_ONCE\Centros_Esp_Empleo_2012\Modelos_Europeos\[061112Políticas.xlsx]Hoja1'!$E$11</c:f>
              <c:numCache>
                <c:formatCode>General</c:formatCode>
                <c:ptCount val="1"/>
                <c:pt idx="0">
                  <c:v>32</c:v>
                </c:pt>
              </c:numCache>
            </c:numRef>
          </c:yVal>
        </c:ser>
        <c:ser>
          <c:idx val="4"/>
          <c:order val="4"/>
          <c:tx>
            <c:strRef>
              <c:f>'\\Esmadfsr20\med_amb\Clientes_y_Targets\Fundación_ONCE\Centros_Esp_Empleo_2012\Modelos_Europeos\[061112Políticas.xlsx]Hoja1'!$C$12</c:f>
              <c:strCache>
                <c:ptCount val="1"/>
                <c:pt idx="0">
                  <c:v>Reino Unido</c:v>
                </c:pt>
              </c:strCache>
            </c:strRef>
          </c:tx>
          <c:spPr>
            <a:ln w="28575">
              <a:noFill/>
            </a:ln>
          </c:spPr>
          <c:marker>
            <c:symbol val="diamond"/>
            <c:size val="7"/>
            <c:spPr>
              <a:solidFill>
                <a:schemeClr val="accent1">
                  <a:lumMod val="75000"/>
                </a:schemeClr>
              </a:solidFill>
              <a:ln>
                <a:solidFill>
                  <a:schemeClr val="accent1">
                    <a:lumMod val="75000"/>
                  </a:schemeClr>
                </a:solidFill>
              </a:ln>
            </c:spPr>
          </c:marker>
          <c:trendline>
            <c:trendlineType val="linear"/>
          </c:trendline>
          <c:xVal>
            <c:numRef>
              <c:f>'\\Esmadfsr20\med_amb\Clientes_y_Targets\Fundación_ONCE\Centros_Esp_Empleo_2012\Modelos_Europeos\[061112Políticas.xlsx]Hoja1'!$D$12</c:f>
              <c:numCache>
                <c:formatCode>General</c:formatCode>
                <c:ptCount val="1"/>
                <c:pt idx="0">
                  <c:v>21</c:v>
                </c:pt>
              </c:numCache>
            </c:numRef>
          </c:xVal>
          <c:yVal>
            <c:numRef>
              <c:f>'\\Esmadfsr20\med_amb\Clientes_y_Targets\Fundación_ONCE\Centros_Esp_Empleo_2012\Modelos_Europeos\[061112Políticas.xlsx]Hoja1'!$E$12</c:f>
              <c:numCache>
                <c:formatCode>General</c:formatCode>
                <c:ptCount val="1"/>
                <c:pt idx="0">
                  <c:v>32</c:v>
                </c:pt>
              </c:numCache>
            </c:numRef>
          </c:yVal>
        </c:ser>
        <c:axId val="165608448"/>
        <c:axId val="165622912"/>
      </c:scatterChart>
      <c:valAx>
        <c:axId val="165608448"/>
        <c:scaling>
          <c:orientation val="minMax"/>
          <c:max val="50"/>
        </c:scaling>
        <c:axPos val="b"/>
        <c:majorGridlines/>
        <c:minorGridlines/>
        <c:title>
          <c:tx>
            <c:rich>
              <a:bodyPr/>
              <a:lstStyle/>
              <a:p>
                <a:pPr algn="ctr" rtl="0">
                  <a:defRPr b="0"/>
                </a:pPr>
                <a:r>
                  <a:rPr lang="es-ES" b="0"/>
                  <a:t>Políticas de compensación</a:t>
                </a:r>
              </a:p>
            </c:rich>
          </c:tx>
        </c:title>
        <c:numFmt formatCode="General" sourceLinked="1"/>
        <c:tickLblPos val="nextTo"/>
        <c:crossAx val="165622912"/>
        <c:crosses val="autoZero"/>
        <c:crossBetween val="midCat"/>
        <c:majorUnit val="5"/>
      </c:valAx>
      <c:valAx>
        <c:axId val="165622912"/>
        <c:scaling>
          <c:orientation val="minMax"/>
          <c:max val="50"/>
        </c:scaling>
        <c:axPos val="l"/>
        <c:majorGridlines/>
        <c:minorGridlines/>
        <c:title>
          <c:tx>
            <c:rich>
              <a:bodyPr/>
              <a:lstStyle/>
              <a:p>
                <a:pPr algn="ctr" rtl="0">
                  <a:defRPr b="0"/>
                </a:pPr>
                <a:r>
                  <a:rPr lang="en-US" b="0"/>
                  <a:t>Políticas de integración</a:t>
                </a:r>
              </a:p>
            </c:rich>
          </c:tx>
        </c:title>
        <c:numFmt formatCode="General" sourceLinked="1"/>
        <c:tickLblPos val="nextTo"/>
        <c:crossAx val="165608448"/>
        <c:crosses val="autoZero"/>
        <c:crossBetween val="midCat"/>
        <c:majorUnit val="5"/>
      </c:valAx>
    </c:plotArea>
    <c:legend>
      <c:legendPos val="r"/>
      <c:legendEntry>
        <c:idx val="5"/>
        <c:delete val="1"/>
      </c:legendEntry>
      <c:legendEntry>
        <c:idx val="6"/>
        <c:delete val="1"/>
      </c:legendEntry>
      <c:legendEntry>
        <c:idx val="7"/>
        <c:delete val="1"/>
      </c:legendEntry>
      <c:legendEntry>
        <c:idx val="8"/>
        <c:delete val="1"/>
      </c:legendEntry>
      <c:legendEntry>
        <c:idx val="9"/>
        <c:delete val="1"/>
      </c:legendEntry>
      <c:layout>
        <c:manualLayout>
          <c:xMode val="edge"/>
          <c:yMode val="edge"/>
          <c:x val="0.79452909011373574"/>
          <c:y val="0.32994313210848641"/>
          <c:w val="0.18602646544181994"/>
          <c:h val="0.31150582921321768"/>
        </c:manualLayout>
      </c:layout>
    </c:legend>
    <c:plotVisOnly val="1"/>
  </c:chart>
  <c:spPr>
    <a:ln>
      <a:noFill/>
    </a:ln>
  </c:spPr>
  <c:txPr>
    <a:bodyPr/>
    <a:lstStyle/>
    <a:p>
      <a:pPr>
        <a:defRPr>
          <a:latin typeface="MinionPro-Regular"/>
        </a:defRPr>
      </a:pPr>
      <a:endParaRPr lang="es-ES"/>
    </a:p>
  </c:txPr>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date1904 val="1"/>
  <c:lang val="es-ES"/>
  <c:chart>
    <c:autoTitleDeleted val="1"/>
    <c:plotArea>
      <c:layout>
        <c:manualLayout>
          <c:layoutTarget val="inner"/>
          <c:xMode val="edge"/>
          <c:yMode val="edge"/>
          <c:x val="0.19734510686164244"/>
          <c:y val="0.13453400143163921"/>
          <c:w val="0.65694060742411486"/>
          <c:h val="0.69491302791695031"/>
        </c:manualLayout>
      </c:layout>
      <c:lineChart>
        <c:grouping val="standard"/>
        <c:ser>
          <c:idx val="0"/>
          <c:order val="0"/>
          <c:tx>
            <c:strRef>
              <c:f>'% edad de trabajar'!$C$8</c:f>
              <c:strCache>
                <c:ptCount val="1"/>
                <c:pt idx="0">
                  <c:v>ESPAÑA</c:v>
                </c:pt>
              </c:strCache>
            </c:strRef>
          </c:tx>
          <c:spPr>
            <a:ln w="12700">
              <a:solidFill>
                <a:srgbClr val="007C92"/>
              </a:solidFill>
              <a:prstDash val="solid"/>
            </a:ln>
          </c:spPr>
          <c:marker>
            <c:symbol val="diamond"/>
            <c:size val="3"/>
            <c:spPr>
              <a:solidFill>
                <a:srgbClr val="007C92"/>
              </a:solidFill>
              <a:ln>
                <a:solidFill>
                  <a:srgbClr val="007C92"/>
                </a:solidFill>
                <a:prstDash val="solid"/>
              </a:ln>
            </c:spPr>
          </c:marker>
          <c:dLbls>
            <c:dLbl>
              <c:idx val="0"/>
              <c:layout>
                <c:manualLayout>
                  <c:x val="-9.7142857142857128E-2"/>
                  <c:y val="4.5454545454545504E-3"/>
                </c:manualLayout>
              </c:layout>
              <c:showVal val="1"/>
            </c:dLbl>
            <c:showVal val="1"/>
          </c:dLbls>
          <c:cat>
            <c:numRef>
              <c:f>'% edad de trabajar'!$D$7:$E$7</c:f>
              <c:numCache>
                <c:formatCode>General</c:formatCode>
                <c:ptCount val="2"/>
                <c:pt idx="0">
                  <c:v>2008</c:v>
                </c:pt>
                <c:pt idx="1">
                  <c:v>2009</c:v>
                </c:pt>
              </c:numCache>
            </c:numRef>
          </c:cat>
          <c:val>
            <c:numRef>
              <c:f>'% edad de trabajar'!$D$8:$E$8</c:f>
              <c:numCache>
                <c:formatCode>0.0%</c:formatCode>
                <c:ptCount val="2"/>
                <c:pt idx="0">
                  <c:v>0.15400000000000041</c:v>
                </c:pt>
                <c:pt idx="1">
                  <c:v>0.17</c:v>
                </c:pt>
              </c:numCache>
            </c:numRef>
          </c:val>
        </c:ser>
        <c:ser>
          <c:idx val="1"/>
          <c:order val="1"/>
          <c:tx>
            <c:strRef>
              <c:f>'% edad de trabajar'!$C$9</c:f>
              <c:strCache>
                <c:ptCount val="1"/>
                <c:pt idx="0">
                  <c:v>ALEMANIA</c:v>
                </c:pt>
              </c:strCache>
            </c:strRef>
          </c:tx>
          <c:spPr>
            <a:ln w="12700">
              <a:solidFill>
                <a:srgbClr val="8E258D"/>
              </a:solidFill>
              <a:prstDash val="solid"/>
            </a:ln>
          </c:spPr>
          <c:marker>
            <c:symbol val="square"/>
            <c:size val="3"/>
            <c:spPr>
              <a:solidFill>
                <a:srgbClr val="8E258D"/>
              </a:solidFill>
              <a:ln>
                <a:solidFill>
                  <a:srgbClr val="8E258D"/>
                </a:solidFill>
                <a:prstDash val="solid"/>
              </a:ln>
            </c:spPr>
          </c:marker>
          <c:dLbls>
            <c:dLbl>
              <c:idx val="0"/>
              <c:layout>
                <c:manualLayout>
                  <c:x val="-8.5714285714285701E-2"/>
                  <c:y val="-3.5790980672872303E-7"/>
                </c:manualLayout>
              </c:layout>
              <c:showVal val="1"/>
            </c:dLbl>
            <c:showVal val="1"/>
          </c:dLbls>
          <c:cat>
            <c:numRef>
              <c:f>'% edad de trabajar'!$D$7:$E$7</c:f>
              <c:numCache>
                <c:formatCode>General</c:formatCode>
                <c:ptCount val="2"/>
                <c:pt idx="0">
                  <c:v>2008</c:v>
                </c:pt>
                <c:pt idx="1">
                  <c:v>2009</c:v>
                </c:pt>
              </c:numCache>
            </c:numRef>
          </c:cat>
          <c:val>
            <c:numRef>
              <c:f>'% edad de trabajar'!$D$9:$E$9</c:f>
              <c:numCache>
                <c:formatCode>0.0%</c:formatCode>
                <c:ptCount val="2"/>
                <c:pt idx="0">
                  <c:v>0.24700000000000041</c:v>
                </c:pt>
                <c:pt idx="1">
                  <c:v>0.23900000000000021</c:v>
                </c:pt>
              </c:numCache>
            </c:numRef>
          </c:val>
        </c:ser>
        <c:ser>
          <c:idx val="2"/>
          <c:order val="2"/>
          <c:tx>
            <c:strRef>
              <c:f>'% edad de trabajar'!$C$10</c:f>
              <c:strCache>
                <c:ptCount val="1"/>
                <c:pt idx="0">
                  <c:v>SUECIA</c:v>
                </c:pt>
              </c:strCache>
            </c:strRef>
          </c:tx>
          <c:spPr>
            <a:ln w="12700">
              <a:solidFill>
                <a:srgbClr val="A79E70"/>
              </a:solidFill>
              <a:prstDash val="solid"/>
            </a:ln>
          </c:spPr>
          <c:marker>
            <c:symbol val="triangle"/>
            <c:size val="3"/>
            <c:spPr>
              <a:solidFill>
                <a:srgbClr val="A79E70"/>
              </a:solidFill>
              <a:ln>
                <a:solidFill>
                  <a:srgbClr val="A79E70"/>
                </a:solidFill>
                <a:prstDash val="solid"/>
              </a:ln>
            </c:spPr>
          </c:marker>
          <c:dLbls>
            <c:dLbl>
              <c:idx val="0"/>
              <c:layout>
                <c:manualLayout>
                  <c:x val="-9.7142857142857142E-2"/>
                  <c:y val="2.7272727272728281E-2"/>
                </c:manualLayout>
              </c:layout>
              <c:showVal val="1"/>
            </c:dLbl>
            <c:dLbl>
              <c:idx val="1"/>
              <c:tx>
                <c:rich>
                  <a:bodyPr/>
                  <a:lstStyle/>
                  <a:p>
                    <a:r>
                      <a:rPr lang="en-US"/>
                      <a:t>12,0%</a:t>
                    </a:r>
                  </a:p>
                </c:rich>
              </c:tx>
              <c:showVal val="1"/>
            </c:dLbl>
            <c:showVal val="1"/>
          </c:dLbls>
          <c:cat>
            <c:numRef>
              <c:f>'% edad de trabajar'!$D$7:$E$7</c:f>
              <c:numCache>
                <c:formatCode>General</c:formatCode>
                <c:ptCount val="2"/>
                <c:pt idx="0">
                  <c:v>2008</c:v>
                </c:pt>
                <c:pt idx="1">
                  <c:v>2009</c:v>
                </c:pt>
              </c:numCache>
            </c:numRef>
          </c:cat>
          <c:val>
            <c:numRef>
              <c:f>'% edad de trabajar'!$D$10:$E$10</c:f>
              <c:numCache>
                <c:formatCode>0.0%</c:formatCode>
                <c:ptCount val="2"/>
                <c:pt idx="0">
                  <c:v>0.128</c:v>
                </c:pt>
                <c:pt idx="1">
                  <c:v>0.12000000000000002</c:v>
                </c:pt>
              </c:numCache>
            </c:numRef>
          </c:val>
        </c:ser>
        <c:ser>
          <c:idx val="3"/>
          <c:order val="3"/>
          <c:tx>
            <c:strRef>
              <c:f>'% edad de trabajar'!$C$11</c:f>
              <c:strCache>
                <c:ptCount val="1"/>
                <c:pt idx="0">
                  <c:v>REINO UNIDO</c:v>
                </c:pt>
              </c:strCache>
            </c:strRef>
          </c:tx>
          <c:spPr>
            <a:ln w="12700">
              <a:solidFill>
                <a:srgbClr val="7AB800"/>
              </a:solidFill>
              <a:prstDash val="solid"/>
            </a:ln>
          </c:spPr>
          <c:marker>
            <c:symbol val="circle"/>
            <c:size val="3"/>
            <c:spPr>
              <a:solidFill>
                <a:srgbClr val="7AB800"/>
              </a:solidFill>
              <a:ln>
                <a:solidFill>
                  <a:srgbClr val="7AB800"/>
                </a:solidFill>
                <a:prstDash val="solid"/>
              </a:ln>
            </c:spPr>
          </c:marker>
          <c:dLbls>
            <c:dLbl>
              <c:idx val="0"/>
              <c:layout>
                <c:manualLayout>
                  <c:x val="-9.4285714285714181E-2"/>
                  <c:y val="2.7272727272728305E-2"/>
                </c:manualLayout>
              </c:layout>
              <c:showVal val="1"/>
            </c:dLbl>
            <c:dLbl>
              <c:idx val="1"/>
              <c:layout>
                <c:manualLayout>
                  <c:x val="-2.8571428571428602E-3"/>
                  <c:y val="2.7272727272728305E-2"/>
                </c:manualLayout>
              </c:layout>
              <c:showVal val="1"/>
            </c:dLbl>
            <c:showVal val="1"/>
          </c:dLbls>
          <c:cat>
            <c:numRef>
              <c:f>'% edad de trabajar'!$D$7:$E$7</c:f>
              <c:numCache>
                <c:formatCode>General</c:formatCode>
                <c:ptCount val="2"/>
                <c:pt idx="0">
                  <c:v>2008</c:v>
                </c:pt>
                <c:pt idx="1">
                  <c:v>2009</c:v>
                </c:pt>
              </c:numCache>
            </c:numRef>
          </c:cat>
          <c:val>
            <c:numRef>
              <c:f>'% edad de trabajar'!$D$11:$E$11</c:f>
              <c:numCache>
                <c:formatCode>0.0%</c:formatCode>
                <c:ptCount val="2"/>
                <c:pt idx="0">
                  <c:v>0.14600000000000021</c:v>
                </c:pt>
                <c:pt idx="1">
                  <c:v>0.15200000000000041</c:v>
                </c:pt>
              </c:numCache>
            </c:numRef>
          </c:val>
        </c:ser>
        <c:ser>
          <c:idx val="4"/>
          <c:order val="4"/>
          <c:tx>
            <c:strRef>
              <c:f>'% edad de trabajar'!$C$12</c:f>
              <c:strCache>
                <c:ptCount val="1"/>
                <c:pt idx="0">
                  <c:v>ITALIA</c:v>
                </c:pt>
              </c:strCache>
            </c:strRef>
          </c:tx>
          <c:spPr>
            <a:ln w="12700">
              <a:solidFill>
                <a:srgbClr val="00338D"/>
              </a:solidFill>
              <a:prstDash val="solid"/>
            </a:ln>
          </c:spPr>
          <c:marker>
            <c:symbol val="diamond"/>
            <c:size val="3"/>
            <c:spPr>
              <a:solidFill>
                <a:srgbClr val="00338D"/>
              </a:solidFill>
              <a:ln>
                <a:solidFill>
                  <a:srgbClr val="00338D"/>
                </a:solidFill>
                <a:prstDash val="solid"/>
              </a:ln>
            </c:spPr>
          </c:marker>
          <c:dLbls>
            <c:dLbl>
              <c:idx val="0"/>
              <c:layout>
                <c:manualLayout>
                  <c:x val="-9.7142857142857128E-2"/>
                  <c:y val="-1.3636363636363641E-2"/>
                </c:manualLayout>
              </c:layout>
              <c:showVal val="1"/>
            </c:dLbl>
            <c:showVal val="1"/>
          </c:dLbls>
          <c:cat>
            <c:numRef>
              <c:f>'% edad de trabajar'!$D$7:$E$7</c:f>
              <c:numCache>
                <c:formatCode>General</c:formatCode>
                <c:ptCount val="2"/>
                <c:pt idx="0">
                  <c:v>2008</c:v>
                </c:pt>
                <c:pt idx="1">
                  <c:v>2009</c:v>
                </c:pt>
              </c:numCache>
            </c:numRef>
          </c:cat>
          <c:val>
            <c:numRef>
              <c:f>'% edad de trabajar'!$D$12:$E$12</c:f>
              <c:numCache>
                <c:formatCode>0.0%</c:formatCode>
                <c:ptCount val="2"/>
                <c:pt idx="0">
                  <c:v>0.16200000000000001</c:v>
                </c:pt>
                <c:pt idx="1">
                  <c:v>0.15300000000000041</c:v>
                </c:pt>
              </c:numCache>
            </c:numRef>
          </c:val>
        </c:ser>
        <c:marker val="1"/>
        <c:axId val="165691392"/>
        <c:axId val="165692928"/>
      </c:lineChart>
      <c:catAx>
        <c:axId val="165691392"/>
        <c:scaling>
          <c:orientation val="minMax"/>
        </c:scaling>
        <c:axPos val="b"/>
        <c:numFmt formatCode="General" sourceLinked="1"/>
        <c:tickLblPos val="low"/>
        <c:spPr>
          <a:ln w="3175">
            <a:solidFill>
              <a:srgbClr val="000000"/>
            </a:solidFill>
            <a:prstDash val="solid"/>
          </a:ln>
        </c:spPr>
        <c:crossAx val="165692928"/>
        <c:crosses val="autoZero"/>
        <c:auto val="1"/>
        <c:lblAlgn val="ctr"/>
        <c:lblOffset val="100"/>
      </c:catAx>
      <c:valAx>
        <c:axId val="165692928"/>
        <c:scaling>
          <c:orientation val="minMax"/>
          <c:min val="0.1"/>
        </c:scaling>
        <c:axPos val="l"/>
        <c:numFmt formatCode="0.0%" sourceLinked="1"/>
        <c:tickLblPos val="nextTo"/>
        <c:spPr>
          <a:ln w="3175">
            <a:solidFill>
              <a:srgbClr val="000000"/>
            </a:solidFill>
            <a:prstDash val="solid"/>
          </a:ln>
        </c:spPr>
        <c:crossAx val="165691392"/>
        <c:crosses val="autoZero"/>
        <c:crossBetween val="between"/>
      </c:valAx>
      <c:spPr>
        <a:noFill/>
        <a:ln w="25400">
          <a:noFill/>
        </a:ln>
      </c:spPr>
    </c:plotArea>
    <c:legend>
      <c:legendPos val="b"/>
      <c:layout>
        <c:manualLayout>
          <c:xMode val="edge"/>
          <c:yMode val="edge"/>
          <c:x val="2.2857142857144089E-2"/>
          <c:y val="0.8954545454545455"/>
          <c:w val="0.9"/>
          <c:h val="6.7479957050823533E-2"/>
        </c:manualLayout>
      </c:layout>
      <c:spPr>
        <a:noFill/>
        <a:ln w="25400">
          <a:noFill/>
        </a:ln>
      </c:spPr>
    </c:legend>
    <c:plotVisOnly val="1"/>
  </c:chart>
  <c:spPr>
    <a:noFill/>
    <a:ln w="9525">
      <a:noFill/>
    </a:ln>
  </c:spPr>
  <c:txPr>
    <a:bodyPr/>
    <a:lstStyle/>
    <a:p>
      <a:pPr>
        <a:defRPr sz="800" b="0" i="0">
          <a:solidFill>
            <a:srgbClr val="000000"/>
          </a:solidFill>
          <a:latin typeface="MinionPro-Regular"/>
          <a:ea typeface="Arial"/>
          <a:cs typeface="Arial"/>
        </a:defRPr>
      </a:pPr>
      <a:endParaRPr lang="es-ES"/>
    </a:p>
  </c:txPr>
  <c:externalData r:id="rId1"/>
</c:chartSpace>
</file>

<file path=word/charts/chart56.xml><?xml version="1.0" encoding="utf-8"?>
<c:chartSpace xmlns:c="http://schemas.openxmlformats.org/drawingml/2006/chart" xmlns:a="http://schemas.openxmlformats.org/drawingml/2006/main" xmlns:r="http://schemas.openxmlformats.org/officeDocument/2006/relationships">
  <c:date1904 val="1"/>
  <c:lang val="es-ES"/>
  <c:chart>
    <c:autoTitleDeleted val="1"/>
    <c:plotArea>
      <c:layout>
        <c:manualLayout>
          <c:layoutTarget val="inner"/>
          <c:xMode val="edge"/>
          <c:yMode val="edge"/>
          <c:x val="0.11993421946376062"/>
          <c:y val="0.12459488506764151"/>
          <c:w val="0.80183306558118972"/>
          <c:h val="0.58667006606475092"/>
        </c:manualLayout>
      </c:layout>
      <c:lineChart>
        <c:grouping val="standard"/>
        <c:ser>
          <c:idx val="0"/>
          <c:order val="0"/>
          <c:tx>
            <c:strRef>
              <c:f>Activos!$C$24</c:f>
              <c:strCache>
                <c:ptCount val="1"/>
                <c:pt idx="0">
                  <c:v>ESPAÑA</c:v>
                </c:pt>
              </c:strCache>
            </c:strRef>
          </c:tx>
          <c:spPr>
            <a:ln w="12700">
              <a:solidFill>
                <a:srgbClr val="007C92"/>
              </a:solidFill>
              <a:prstDash val="solid"/>
            </a:ln>
          </c:spPr>
          <c:marker>
            <c:symbol val="diamond"/>
            <c:size val="3"/>
            <c:spPr>
              <a:solidFill>
                <a:srgbClr val="007C92"/>
              </a:solidFill>
              <a:ln>
                <a:solidFill>
                  <a:srgbClr val="007C92"/>
                </a:solidFill>
                <a:prstDash val="solid"/>
              </a:ln>
            </c:spPr>
          </c:marker>
          <c:dLbls>
            <c:dLbl>
              <c:idx val="0"/>
              <c:layout>
                <c:manualLayout>
                  <c:x val="-9.0954034865564165E-2"/>
                  <c:y val="-4.5454545454545504E-3"/>
                </c:manualLayout>
              </c:layout>
              <c:tx>
                <c:rich>
                  <a:bodyPr/>
                  <a:lstStyle/>
                  <a:p>
                    <a:r>
                      <a:rPr lang="en-US" sz="600"/>
                      <a:t>53,7</a:t>
                    </a:r>
                    <a:r>
                      <a:rPr lang="en-US"/>
                      <a:t>%</a:t>
                    </a:r>
                  </a:p>
                </c:rich>
              </c:tx>
              <c:showVal val="1"/>
            </c:dLbl>
            <c:dLbl>
              <c:idx val="1"/>
              <c:layout>
                <c:manualLayout>
                  <c:x val="0"/>
                  <c:y val="3.1818181818181773E-2"/>
                </c:manualLayout>
              </c:layout>
              <c:tx>
                <c:rich>
                  <a:bodyPr/>
                  <a:lstStyle/>
                  <a:p>
                    <a:r>
                      <a:rPr lang="en-US"/>
                      <a:t>57,0%</a:t>
                    </a:r>
                  </a:p>
                </c:rich>
              </c:tx>
              <c:showVal val="1"/>
            </c:dLbl>
            <c:showVal val="1"/>
          </c:dLbls>
          <c:cat>
            <c:numRef>
              <c:f>Activos!$D$23:$E$23</c:f>
              <c:numCache>
                <c:formatCode>General</c:formatCode>
                <c:ptCount val="2"/>
                <c:pt idx="0">
                  <c:v>2008</c:v>
                </c:pt>
                <c:pt idx="1">
                  <c:v>2009</c:v>
                </c:pt>
              </c:numCache>
            </c:numRef>
          </c:cat>
          <c:val>
            <c:numRef>
              <c:f>Activos!$D$24:$E$24</c:f>
              <c:numCache>
                <c:formatCode>0%</c:formatCode>
                <c:ptCount val="2"/>
                <c:pt idx="0" formatCode="0.0%">
                  <c:v>0.53700000000000003</c:v>
                </c:pt>
                <c:pt idx="1">
                  <c:v>0.56999999999999995</c:v>
                </c:pt>
              </c:numCache>
            </c:numRef>
          </c:val>
        </c:ser>
        <c:ser>
          <c:idx val="1"/>
          <c:order val="1"/>
          <c:tx>
            <c:strRef>
              <c:f>Activos!$C$25</c:f>
              <c:strCache>
                <c:ptCount val="1"/>
                <c:pt idx="0">
                  <c:v>ALEMANIA</c:v>
                </c:pt>
              </c:strCache>
            </c:strRef>
          </c:tx>
          <c:spPr>
            <a:ln w="12700">
              <a:solidFill>
                <a:srgbClr val="8E258D"/>
              </a:solidFill>
              <a:prstDash val="solid"/>
            </a:ln>
          </c:spPr>
          <c:marker>
            <c:symbol val="square"/>
            <c:size val="3"/>
            <c:spPr>
              <a:solidFill>
                <a:srgbClr val="8E258D"/>
              </a:solidFill>
              <a:ln>
                <a:solidFill>
                  <a:srgbClr val="8E258D"/>
                </a:solidFill>
                <a:prstDash val="solid"/>
              </a:ln>
            </c:spPr>
          </c:marker>
          <c:dLbls>
            <c:dLbl>
              <c:idx val="0"/>
              <c:layout>
                <c:manualLayout>
                  <c:x val="-7.9584780507368724E-2"/>
                  <c:y val="-4.5454545454545504E-3"/>
                </c:manualLayout>
              </c:layout>
              <c:showVal val="1"/>
            </c:dLbl>
            <c:showVal val="1"/>
          </c:dLbls>
          <c:cat>
            <c:numRef>
              <c:f>Activos!$D$23:$E$23</c:f>
              <c:numCache>
                <c:formatCode>General</c:formatCode>
                <c:ptCount val="2"/>
                <c:pt idx="0">
                  <c:v>2008</c:v>
                </c:pt>
                <c:pt idx="1">
                  <c:v>2009</c:v>
                </c:pt>
              </c:numCache>
            </c:numRef>
          </c:cat>
          <c:val>
            <c:numRef>
              <c:f>Activos!$D$25:$E$25</c:f>
              <c:numCache>
                <c:formatCode>0.0%</c:formatCode>
                <c:ptCount val="2"/>
                <c:pt idx="0">
                  <c:v>0.67700000000001803</c:v>
                </c:pt>
                <c:pt idx="1">
                  <c:v>0.67400000000001803</c:v>
                </c:pt>
              </c:numCache>
            </c:numRef>
          </c:val>
        </c:ser>
        <c:ser>
          <c:idx val="2"/>
          <c:order val="2"/>
          <c:tx>
            <c:strRef>
              <c:f>Activos!$C$26</c:f>
              <c:strCache>
                <c:ptCount val="1"/>
                <c:pt idx="0">
                  <c:v>SUECIA</c:v>
                </c:pt>
              </c:strCache>
            </c:strRef>
          </c:tx>
          <c:spPr>
            <a:ln w="12700">
              <a:solidFill>
                <a:srgbClr val="A79E70"/>
              </a:solidFill>
              <a:prstDash val="solid"/>
            </a:ln>
          </c:spPr>
          <c:marker>
            <c:symbol val="triangle"/>
            <c:size val="3"/>
            <c:spPr>
              <a:solidFill>
                <a:srgbClr val="A79E70"/>
              </a:solidFill>
              <a:ln>
                <a:solidFill>
                  <a:srgbClr val="A79E70"/>
                </a:solidFill>
                <a:prstDash val="solid"/>
              </a:ln>
            </c:spPr>
          </c:marker>
          <c:dLbls>
            <c:dLbl>
              <c:idx val="0"/>
              <c:layout>
                <c:manualLayout>
                  <c:x val="-7.9584780507368724E-2"/>
                  <c:y val="4.5454545454545504E-3"/>
                </c:manualLayout>
              </c:layout>
              <c:showVal val="1"/>
            </c:dLbl>
            <c:showVal val="1"/>
          </c:dLbls>
          <c:cat>
            <c:numRef>
              <c:f>Activos!$D$23:$E$23</c:f>
              <c:numCache>
                <c:formatCode>General</c:formatCode>
                <c:ptCount val="2"/>
                <c:pt idx="0">
                  <c:v>2008</c:v>
                </c:pt>
                <c:pt idx="1">
                  <c:v>2009</c:v>
                </c:pt>
              </c:numCache>
            </c:numRef>
          </c:cat>
          <c:val>
            <c:numRef>
              <c:f>Activos!$D$26:$E$26</c:f>
              <c:numCache>
                <c:formatCode>0.0%</c:formatCode>
                <c:ptCount val="2"/>
                <c:pt idx="0">
                  <c:v>0.62700000000001432</c:v>
                </c:pt>
                <c:pt idx="1">
                  <c:v>0.57900000000000063</c:v>
                </c:pt>
              </c:numCache>
            </c:numRef>
          </c:val>
        </c:ser>
        <c:ser>
          <c:idx val="3"/>
          <c:order val="3"/>
          <c:tx>
            <c:strRef>
              <c:f>Activos!$C$27</c:f>
              <c:strCache>
                <c:ptCount val="1"/>
                <c:pt idx="0">
                  <c:v>REINO UNIDO</c:v>
                </c:pt>
              </c:strCache>
            </c:strRef>
          </c:tx>
          <c:spPr>
            <a:ln w="12700">
              <a:solidFill>
                <a:srgbClr val="7AB800"/>
              </a:solidFill>
              <a:prstDash val="solid"/>
            </a:ln>
          </c:spPr>
          <c:marker>
            <c:symbol val="circle"/>
            <c:size val="3"/>
            <c:spPr>
              <a:solidFill>
                <a:srgbClr val="7AB800"/>
              </a:solidFill>
              <a:ln>
                <a:solidFill>
                  <a:srgbClr val="7AB800"/>
                </a:solidFill>
                <a:prstDash val="solid"/>
              </a:ln>
            </c:spPr>
          </c:marker>
          <c:dLbls>
            <c:dLbl>
              <c:idx val="0"/>
              <c:layout>
                <c:manualLayout>
                  <c:x val="-8.8111721276015229E-2"/>
                  <c:y val="3.1818181818181808E-2"/>
                </c:manualLayout>
              </c:layout>
              <c:showVal val="1"/>
            </c:dLbl>
            <c:showVal val="1"/>
          </c:dLbls>
          <c:cat>
            <c:numRef>
              <c:f>Activos!$D$23:$E$23</c:f>
              <c:numCache>
                <c:formatCode>General</c:formatCode>
                <c:ptCount val="2"/>
                <c:pt idx="0">
                  <c:v>2008</c:v>
                </c:pt>
                <c:pt idx="1">
                  <c:v>2009</c:v>
                </c:pt>
              </c:numCache>
            </c:numRef>
          </c:cat>
          <c:val>
            <c:numRef>
              <c:f>Activos!$D$27:$E$27</c:f>
              <c:numCache>
                <c:formatCode>0.0%</c:formatCode>
                <c:ptCount val="2"/>
                <c:pt idx="0">
                  <c:v>0.504</c:v>
                </c:pt>
                <c:pt idx="1">
                  <c:v>0.48100000000000032</c:v>
                </c:pt>
              </c:numCache>
            </c:numRef>
          </c:val>
        </c:ser>
        <c:ser>
          <c:idx val="4"/>
          <c:order val="4"/>
          <c:tx>
            <c:strRef>
              <c:f>Activos!$C$28</c:f>
              <c:strCache>
                <c:ptCount val="1"/>
                <c:pt idx="0">
                  <c:v>ITALIA</c:v>
                </c:pt>
              </c:strCache>
            </c:strRef>
          </c:tx>
          <c:spPr>
            <a:ln w="12700">
              <a:solidFill>
                <a:srgbClr val="00338D"/>
              </a:solidFill>
              <a:prstDash val="solid"/>
            </a:ln>
          </c:spPr>
          <c:marker>
            <c:symbol val="diamond"/>
            <c:size val="3"/>
            <c:spPr>
              <a:solidFill>
                <a:srgbClr val="00338D"/>
              </a:solidFill>
              <a:ln>
                <a:solidFill>
                  <a:srgbClr val="00338D"/>
                </a:solidFill>
                <a:prstDash val="solid"/>
              </a:ln>
            </c:spPr>
          </c:marker>
          <c:dLbls>
            <c:dLbl>
              <c:idx val="0"/>
              <c:layout>
                <c:manualLayout>
                  <c:x val="-9.0954034865564165E-2"/>
                  <c:y val="0"/>
                </c:manualLayout>
              </c:layout>
              <c:showVal val="1"/>
            </c:dLbl>
            <c:showVal val="1"/>
          </c:dLbls>
          <c:cat>
            <c:numRef>
              <c:f>Activos!$D$23:$E$23</c:f>
              <c:numCache>
                <c:formatCode>General</c:formatCode>
                <c:ptCount val="2"/>
                <c:pt idx="0">
                  <c:v>2008</c:v>
                </c:pt>
                <c:pt idx="1">
                  <c:v>2009</c:v>
                </c:pt>
              </c:numCache>
            </c:numRef>
          </c:cat>
          <c:val>
            <c:numRef>
              <c:f>Activos!$D$28:$E$28</c:f>
              <c:numCache>
                <c:formatCode>0.0%</c:formatCode>
                <c:ptCount val="2"/>
                <c:pt idx="0">
                  <c:v>0.51</c:v>
                </c:pt>
                <c:pt idx="1">
                  <c:v>0.51300000000000001</c:v>
                </c:pt>
              </c:numCache>
            </c:numRef>
          </c:val>
        </c:ser>
        <c:marker val="1"/>
        <c:axId val="165750656"/>
        <c:axId val="165752192"/>
      </c:lineChart>
      <c:catAx>
        <c:axId val="165750656"/>
        <c:scaling>
          <c:orientation val="minMax"/>
        </c:scaling>
        <c:axPos val="b"/>
        <c:numFmt formatCode="General" sourceLinked="1"/>
        <c:tickLblPos val="low"/>
        <c:spPr>
          <a:ln w="3175">
            <a:solidFill>
              <a:srgbClr val="000000"/>
            </a:solidFill>
            <a:prstDash val="solid"/>
          </a:ln>
        </c:spPr>
        <c:crossAx val="165752192"/>
        <c:crosses val="autoZero"/>
        <c:auto val="1"/>
        <c:lblAlgn val="ctr"/>
        <c:lblOffset val="100"/>
      </c:catAx>
      <c:valAx>
        <c:axId val="165752192"/>
        <c:scaling>
          <c:orientation val="minMax"/>
          <c:min val="0.4"/>
        </c:scaling>
        <c:axPos val="l"/>
        <c:numFmt formatCode="0.0%" sourceLinked="1"/>
        <c:tickLblPos val="nextTo"/>
        <c:spPr>
          <a:ln w="3175">
            <a:solidFill>
              <a:srgbClr val="000000"/>
            </a:solidFill>
            <a:prstDash val="solid"/>
          </a:ln>
        </c:spPr>
        <c:crossAx val="165750656"/>
        <c:crosses val="autoZero"/>
        <c:crossBetween val="between"/>
      </c:valAx>
      <c:spPr>
        <a:noFill/>
        <a:ln w="25400">
          <a:noFill/>
        </a:ln>
      </c:spPr>
    </c:plotArea>
    <c:legend>
      <c:legendPos val="b"/>
      <c:layout>
        <c:manualLayout>
          <c:xMode val="edge"/>
          <c:yMode val="edge"/>
          <c:x val="0"/>
          <c:y val="0.83636363636363664"/>
          <c:w val="0.8999997985762026"/>
          <c:h val="6.7479957050823533E-2"/>
        </c:manualLayout>
      </c:layout>
      <c:spPr>
        <a:noFill/>
        <a:ln w="25400">
          <a:noFill/>
        </a:ln>
      </c:spPr>
    </c:legend>
    <c:plotVisOnly val="1"/>
  </c:chart>
  <c:spPr>
    <a:noFill/>
    <a:ln w="9525">
      <a:noFill/>
    </a:ln>
  </c:spPr>
  <c:txPr>
    <a:bodyPr/>
    <a:lstStyle/>
    <a:p>
      <a:pPr>
        <a:defRPr sz="700" b="0" i="0">
          <a:solidFill>
            <a:srgbClr val="000000"/>
          </a:solidFill>
          <a:latin typeface="MinionPro-Regular"/>
          <a:ea typeface="Arial"/>
          <a:cs typeface="Arial"/>
        </a:defRPr>
      </a:pPr>
      <a:endParaRPr lang="es-ES"/>
    </a:p>
  </c:txPr>
  <c:externalData r:id="rId1"/>
</c:chartSpace>
</file>

<file path=word/charts/chart57.xml><?xml version="1.0" encoding="utf-8"?>
<c:chartSpace xmlns:c="http://schemas.openxmlformats.org/drawingml/2006/chart" xmlns:a="http://schemas.openxmlformats.org/drawingml/2006/main" xmlns:r="http://schemas.openxmlformats.org/officeDocument/2006/relationships">
  <c:date1904 val="1"/>
  <c:lang val="es-ES"/>
  <c:chart>
    <c:autoTitleDeleted val="1"/>
    <c:plotArea>
      <c:layout>
        <c:manualLayout>
          <c:layoutTarget val="inner"/>
          <c:xMode val="edge"/>
          <c:yMode val="edge"/>
          <c:x val="0.12278552987299091"/>
          <c:y val="0.11318063570512066"/>
          <c:w val="0.78814863111205291"/>
          <c:h val="0.61026191402528263"/>
        </c:manualLayout>
      </c:layout>
      <c:lineChart>
        <c:grouping val="standard"/>
        <c:ser>
          <c:idx val="0"/>
          <c:order val="0"/>
          <c:tx>
            <c:strRef>
              <c:f>Activos!$C$32</c:f>
              <c:strCache>
                <c:ptCount val="1"/>
                <c:pt idx="0">
                  <c:v>ESPAÑA</c:v>
                </c:pt>
              </c:strCache>
            </c:strRef>
          </c:tx>
          <c:spPr>
            <a:ln w="12700">
              <a:solidFill>
                <a:srgbClr val="007C92"/>
              </a:solidFill>
              <a:prstDash val="solid"/>
            </a:ln>
          </c:spPr>
          <c:marker>
            <c:symbol val="diamond"/>
            <c:size val="3"/>
            <c:spPr>
              <a:solidFill>
                <a:srgbClr val="007C92"/>
              </a:solidFill>
              <a:ln>
                <a:solidFill>
                  <a:srgbClr val="007C92"/>
                </a:solidFill>
                <a:prstDash val="solid"/>
              </a:ln>
            </c:spPr>
          </c:marker>
          <c:dLbls>
            <c:dLbl>
              <c:idx val="0"/>
              <c:layout>
                <c:manualLayout>
                  <c:x val="-9.0954014509673747E-2"/>
                  <c:y val="1.8181818181818642E-2"/>
                </c:manualLayout>
              </c:layout>
              <c:showVal val="1"/>
            </c:dLbl>
            <c:dLbl>
              <c:idx val="1"/>
              <c:layout>
                <c:manualLayout>
                  <c:x val="-2.8423129534272474E-3"/>
                  <c:y val="0"/>
                </c:manualLayout>
              </c:layout>
              <c:showVal val="1"/>
            </c:dLbl>
            <c:showVal val="1"/>
          </c:dLbls>
          <c:cat>
            <c:numRef>
              <c:f>Activos!$D$31:$E$31</c:f>
              <c:numCache>
                <c:formatCode>General</c:formatCode>
                <c:ptCount val="2"/>
                <c:pt idx="0">
                  <c:v>2008</c:v>
                </c:pt>
                <c:pt idx="1">
                  <c:v>2009</c:v>
                </c:pt>
              </c:numCache>
            </c:numRef>
          </c:cat>
          <c:val>
            <c:numRef>
              <c:f>Activos!$D$32:$E$32</c:f>
              <c:numCache>
                <c:formatCode>0.0%</c:formatCode>
                <c:ptCount val="2"/>
                <c:pt idx="0">
                  <c:v>0.73900000000000265</c:v>
                </c:pt>
                <c:pt idx="1">
                  <c:v>0.74700000000001165</c:v>
                </c:pt>
              </c:numCache>
            </c:numRef>
          </c:val>
        </c:ser>
        <c:ser>
          <c:idx val="1"/>
          <c:order val="1"/>
          <c:tx>
            <c:strRef>
              <c:f>Activos!$C$33</c:f>
              <c:strCache>
                <c:ptCount val="1"/>
                <c:pt idx="0">
                  <c:v>ALEMANIA</c:v>
                </c:pt>
              </c:strCache>
            </c:strRef>
          </c:tx>
          <c:spPr>
            <a:ln w="12700">
              <a:solidFill>
                <a:srgbClr val="8E258D"/>
              </a:solidFill>
              <a:prstDash val="solid"/>
            </a:ln>
          </c:spPr>
          <c:marker>
            <c:symbol val="square"/>
            <c:size val="3"/>
            <c:spPr>
              <a:solidFill>
                <a:srgbClr val="8E258D"/>
              </a:solidFill>
              <a:ln>
                <a:solidFill>
                  <a:srgbClr val="8E258D"/>
                </a:solidFill>
                <a:prstDash val="solid"/>
              </a:ln>
            </c:spPr>
          </c:marker>
          <c:dLbls>
            <c:dLbl>
              <c:idx val="0"/>
              <c:layout>
                <c:manualLayout>
                  <c:x val="-9.0954014509673747E-2"/>
                  <c:y val="-4.5454545454545036E-3"/>
                </c:manualLayout>
              </c:layout>
              <c:showVal val="1"/>
            </c:dLbl>
            <c:dLbl>
              <c:idx val="1"/>
              <c:layout>
                <c:manualLayout>
                  <c:x val="-5.6846259068544947E-3"/>
                  <c:y val="-2.272727272727422E-2"/>
                </c:manualLayout>
              </c:layout>
              <c:showVal val="1"/>
            </c:dLbl>
            <c:showVal val="1"/>
          </c:dLbls>
          <c:cat>
            <c:numRef>
              <c:f>Activos!$D$31:$E$31</c:f>
              <c:numCache>
                <c:formatCode>General</c:formatCode>
                <c:ptCount val="2"/>
                <c:pt idx="0">
                  <c:v>2008</c:v>
                </c:pt>
                <c:pt idx="1">
                  <c:v>2009</c:v>
                </c:pt>
              </c:numCache>
            </c:numRef>
          </c:cat>
          <c:val>
            <c:numRef>
              <c:f>Activos!$D$33:$E$33</c:f>
              <c:numCache>
                <c:formatCode>0.0%</c:formatCode>
                <c:ptCount val="2"/>
                <c:pt idx="0">
                  <c:v>0.74600000000001065</c:v>
                </c:pt>
                <c:pt idx="1">
                  <c:v>0.75400000000001455</c:v>
                </c:pt>
              </c:numCache>
            </c:numRef>
          </c:val>
        </c:ser>
        <c:ser>
          <c:idx val="2"/>
          <c:order val="2"/>
          <c:tx>
            <c:strRef>
              <c:f>Activos!$C$34</c:f>
              <c:strCache>
                <c:ptCount val="1"/>
                <c:pt idx="0">
                  <c:v>SUECIA</c:v>
                </c:pt>
              </c:strCache>
            </c:strRef>
          </c:tx>
          <c:spPr>
            <a:ln w="12700">
              <a:solidFill>
                <a:srgbClr val="A79E70"/>
              </a:solidFill>
              <a:prstDash val="solid"/>
            </a:ln>
          </c:spPr>
          <c:marker>
            <c:symbol val="triangle"/>
            <c:size val="3"/>
            <c:spPr>
              <a:solidFill>
                <a:srgbClr val="A79E70"/>
              </a:solidFill>
              <a:ln>
                <a:solidFill>
                  <a:srgbClr val="A79E70"/>
                </a:solidFill>
                <a:prstDash val="solid"/>
              </a:ln>
            </c:spPr>
          </c:marker>
          <c:dLbls>
            <c:dLbl>
              <c:idx val="0"/>
              <c:layout>
                <c:manualLayout>
                  <c:x val="-9.1428571428571401E-2"/>
                  <c:y val="0"/>
                </c:manualLayout>
              </c:layout>
              <c:showVal val="1"/>
            </c:dLbl>
            <c:showVal val="1"/>
          </c:dLbls>
          <c:cat>
            <c:numRef>
              <c:f>Activos!$D$31:$E$31</c:f>
              <c:numCache>
                <c:formatCode>General</c:formatCode>
                <c:ptCount val="2"/>
                <c:pt idx="0">
                  <c:v>2008</c:v>
                </c:pt>
                <c:pt idx="1">
                  <c:v>2009</c:v>
                </c:pt>
              </c:numCache>
            </c:numRef>
          </c:cat>
          <c:val>
            <c:numRef>
              <c:f>Activos!$D$34:$E$34</c:f>
              <c:numCache>
                <c:formatCode>0.0%</c:formatCode>
                <c:ptCount val="2"/>
                <c:pt idx="0">
                  <c:v>0.79700000000000004</c:v>
                </c:pt>
                <c:pt idx="1">
                  <c:v>0.80500000000000005</c:v>
                </c:pt>
              </c:numCache>
            </c:numRef>
          </c:val>
        </c:ser>
        <c:ser>
          <c:idx val="3"/>
          <c:order val="3"/>
          <c:tx>
            <c:strRef>
              <c:f>Activos!$C$35</c:f>
              <c:strCache>
                <c:ptCount val="1"/>
                <c:pt idx="0">
                  <c:v>REINO UNIDO</c:v>
                </c:pt>
              </c:strCache>
            </c:strRef>
          </c:tx>
          <c:spPr>
            <a:ln w="12700">
              <a:solidFill>
                <a:srgbClr val="7AB800"/>
              </a:solidFill>
              <a:prstDash val="solid"/>
            </a:ln>
          </c:spPr>
          <c:marker>
            <c:symbol val="circle"/>
            <c:size val="3"/>
            <c:spPr>
              <a:solidFill>
                <a:srgbClr val="7AB800"/>
              </a:solidFill>
              <a:ln>
                <a:solidFill>
                  <a:srgbClr val="7AB800"/>
                </a:solidFill>
                <a:prstDash val="solid"/>
              </a:ln>
            </c:spPr>
          </c:marker>
          <c:dLbls>
            <c:dLbl>
              <c:idx val="0"/>
              <c:layout>
                <c:manualLayout>
                  <c:x val="-8.8111701556244648E-2"/>
                  <c:y val="-2.2727272727274154E-2"/>
                </c:manualLayout>
              </c:layout>
              <c:showVal val="1"/>
            </c:dLbl>
            <c:dLbl>
              <c:idx val="1"/>
              <c:layout>
                <c:manualLayout>
                  <c:x val="-8.5269388602817447E-3"/>
                  <c:y val="2.7272727272728305E-2"/>
                </c:manualLayout>
              </c:layout>
              <c:showVal val="1"/>
            </c:dLbl>
            <c:showVal val="1"/>
          </c:dLbls>
          <c:cat>
            <c:numRef>
              <c:f>Activos!$D$31:$E$31</c:f>
              <c:numCache>
                <c:formatCode>General</c:formatCode>
                <c:ptCount val="2"/>
                <c:pt idx="0">
                  <c:v>2008</c:v>
                </c:pt>
                <c:pt idx="1">
                  <c:v>2009</c:v>
                </c:pt>
              </c:numCache>
            </c:numRef>
          </c:cat>
          <c:val>
            <c:numRef>
              <c:f>Activos!$D$35:$E$35</c:f>
              <c:numCache>
                <c:formatCode>0.0%</c:formatCode>
                <c:ptCount val="2"/>
                <c:pt idx="0">
                  <c:v>0.75400000000001455</c:v>
                </c:pt>
                <c:pt idx="1">
                  <c:v>0.74400000000000865</c:v>
                </c:pt>
              </c:numCache>
            </c:numRef>
          </c:val>
        </c:ser>
        <c:ser>
          <c:idx val="4"/>
          <c:order val="4"/>
          <c:tx>
            <c:strRef>
              <c:f>Activos!$C$36</c:f>
              <c:strCache>
                <c:ptCount val="1"/>
                <c:pt idx="0">
                  <c:v>ITALIA</c:v>
                </c:pt>
              </c:strCache>
            </c:strRef>
          </c:tx>
          <c:spPr>
            <a:ln w="12700">
              <a:solidFill>
                <a:srgbClr val="00338D"/>
              </a:solidFill>
              <a:prstDash val="solid"/>
            </a:ln>
          </c:spPr>
          <c:marker>
            <c:symbol val="diamond"/>
            <c:size val="3"/>
            <c:spPr>
              <a:solidFill>
                <a:srgbClr val="00338D"/>
              </a:solidFill>
              <a:ln>
                <a:solidFill>
                  <a:srgbClr val="00338D"/>
                </a:solidFill>
                <a:prstDash val="solid"/>
              </a:ln>
            </c:spPr>
          </c:marker>
          <c:dLbls>
            <c:dLbl>
              <c:idx val="0"/>
              <c:layout>
                <c:manualLayout>
                  <c:x val="-8.5714285714285701E-2"/>
                  <c:y val="0"/>
                </c:manualLayout>
              </c:layout>
              <c:showVal val="1"/>
            </c:dLbl>
            <c:showVal val="1"/>
          </c:dLbls>
          <c:cat>
            <c:numRef>
              <c:f>Activos!$D$31:$E$31</c:f>
              <c:numCache>
                <c:formatCode>General</c:formatCode>
                <c:ptCount val="2"/>
                <c:pt idx="0">
                  <c:v>2008</c:v>
                </c:pt>
                <c:pt idx="1">
                  <c:v>2009</c:v>
                </c:pt>
              </c:numCache>
            </c:numRef>
          </c:cat>
          <c:val>
            <c:numRef>
              <c:f>Activos!$D$36:$E$36</c:f>
              <c:numCache>
                <c:formatCode>0.0%</c:formatCode>
                <c:ptCount val="2"/>
                <c:pt idx="0">
                  <c:v>0.66300000000001769</c:v>
                </c:pt>
                <c:pt idx="1">
                  <c:v>0.65800000000001702</c:v>
                </c:pt>
              </c:numCache>
            </c:numRef>
          </c:val>
        </c:ser>
        <c:marker val="1"/>
        <c:axId val="165826560"/>
        <c:axId val="165828096"/>
      </c:lineChart>
      <c:catAx>
        <c:axId val="165826560"/>
        <c:scaling>
          <c:orientation val="minMax"/>
        </c:scaling>
        <c:axPos val="b"/>
        <c:numFmt formatCode="General" sourceLinked="1"/>
        <c:tickLblPos val="low"/>
        <c:spPr>
          <a:ln w="3175">
            <a:solidFill>
              <a:srgbClr val="000000"/>
            </a:solidFill>
            <a:prstDash val="solid"/>
          </a:ln>
        </c:spPr>
        <c:crossAx val="165828096"/>
        <c:crosses val="autoZero"/>
        <c:auto val="1"/>
        <c:lblAlgn val="ctr"/>
        <c:lblOffset val="100"/>
      </c:catAx>
      <c:valAx>
        <c:axId val="165828096"/>
        <c:scaling>
          <c:orientation val="minMax"/>
          <c:min val="0.60000000000000064"/>
        </c:scaling>
        <c:axPos val="l"/>
        <c:numFmt formatCode="0.0%" sourceLinked="1"/>
        <c:tickLblPos val="nextTo"/>
        <c:spPr>
          <a:ln w="3175">
            <a:solidFill>
              <a:srgbClr val="000000"/>
            </a:solidFill>
            <a:prstDash val="solid"/>
          </a:ln>
        </c:spPr>
        <c:crossAx val="165826560"/>
        <c:crosses val="autoZero"/>
        <c:crossBetween val="between"/>
      </c:valAx>
      <c:spPr>
        <a:noFill/>
        <a:ln w="25400">
          <a:noFill/>
        </a:ln>
      </c:spPr>
    </c:plotArea>
    <c:legend>
      <c:legendPos val="b"/>
      <c:layout>
        <c:manualLayout>
          <c:xMode val="edge"/>
          <c:yMode val="edge"/>
          <c:x val="0"/>
          <c:y val="0.83636363636363664"/>
          <c:w val="0.89999982095666431"/>
          <c:h val="6.7479957050823533E-2"/>
        </c:manualLayout>
      </c:layout>
      <c:spPr>
        <a:noFill/>
        <a:ln w="25400">
          <a:noFill/>
        </a:ln>
      </c:spPr>
    </c:legend>
    <c:plotVisOnly val="1"/>
  </c:chart>
  <c:spPr>
    <a:noFill/>
    <a:ln w="9525">
      <a:noFill/>
    </a:ln>
  </c:spPr>
  <c:txPr>
    <a:bodyPr/>
    <a:lstStyle/>
    <a:p>
      <a:pPr>
        <a:defRPr sz="700" b="0" i="0">
          <a:solidFill>
            <a:srgbClr val="000000"/>
          </a:solidFill>
          <a:latin typeface="MinionPro-Regular"/>
          <a:ea typeface="Arial"/>
          <a:cs typeface="Arial"/>
        </a:defRPr>
      </a:pPr>
      <a:endParaRPr lang="es-ES"/>
    </a:p>
  </c:txPr>
  <c:externalData r:id="rId1"/>
</c:chartSpace>
</file>

<file path=word/charts/chart58.xml><?xml version="1.0" encoding="utf-8"?>
<c:chartSpace xmlns:c="http://schemas.openxmlformats.org/drawingml/2006/chart" xmlns:a="http://schemas.openxmlformats.org/drawingml/2006/main" xmlns:r="http://schemas.openxmlformats.org/officeDocument/2006/relationships">
  <c:date1904 val="1"/>
  <c:lang val="es-ES"/>
  <c:chart>
    <c:autoTitleDeleted val="1"/>
    <c:plotArea>
      <c:layout>
        <c:manualLayout>
          <c:layoutTarget val="inner"/>
          <c:xMode val="edge"/>
          <c:yMode val="edge"/>
          <c:x val="0.15681878919961387"/>
          <c:y val="0.13499930169228447"/>
          <c:w val="0.77147277233803646"/>
          <c:h val="0.58990227252675431"/>
        </c:manualLayout>
      </c:layout>
      <c:lineChart>
        <c:grouping val="standard"/>
        <c:ser>
          <c:idx val="0"/>
          <c:order val="0"/>
          <c:tx>
            <c:strRef>
              <c:f>Activos!$C$16</c:f>
              <c:strCache>
                <c:ptCount val="1"/>
                <c:pt idx="0">
                  <c:v>ESPAÑA</c:v>
                </c:pt>
              </c:strCache>
            </c:strRef>
          </c:tx>
          <c:spPr>
            <a:ln w="12700">
              <a:solidFill>
                <a:srgbClr val="007C92"/>
              </a:solidFill>
              <a:prstDash val="solid"/>
            </a:ln>
          </c:spPr>
          <c:marker>
            <c:symbol val="diamond"/>
            <c:size val="3"/>
            <c:spPr>
              <a:solidFill>
                <a:srgbClr val="007C92"/>
              </a:solidFill>
              <a:ln>
                <a:solidFill>
                  <a:srgbClr val="007C92"/>
                </a:solidFill>
                <a:prstDash val="solid"/>
              </a:ln>
            </c:spPr>
          </c:marker>
          <c:dLbls>
            <c:dLbl>
              <c:idx val="0"/>
              <c:layout>
                <c:manualLayout>
                  <c:x val="-8.5714285714285701E-2"/>
                  <c:y val="-9.0909090909091547E-3"/>
                </c:manualLayout>
              </c:layout>
              <c:showVal val="1"/>
            </c:dLbl>
            <c:showVal val="1"/>
          </c:dLbls>
          <c:cat>
            <c:numRef>
              <c:f>Activos!$D$15:$E$15</c:f>
              <c:numCache>
                <c:formatCode>General</c:formatCode>
                <c:ptCount val="2"/>
                <c:pt idx="0">
                  <c:v>2008</c:v>
                </c:pt>
                <c:pt idx="1">
                  <c:v>2009</c:v>
                </c:pt>
              </c:numCache>
            </c:numRef>
          </c:cat>
          <c:val>
            <c:numRef>
              <c:f>Activos!$D$16:$E$16</c:f>
              <c:numCache>
                <c:formatCode>0.0%</c:formatCode>
                <c:ptCount val="2"/>
                <c:pt idx="0">
                  <c:v>0.20200000000000001</c:v>
                </c:pt>
                <c:pt idx="1">
                  <c:v>0.17700000000000021</c:v>
                </c:pt>
              </c:numCache>
            </c:numRef>
          </c:val>
        </c:ser>
        <c:ser>
          <c:idx val="1"/>
          <c:order val="1"/>
          <c:tx>
            <c:strRef>
              <c:f>Activos!$C$17</c:f>
              <c:strCache>
                <c:ptCount val="1"/>
                <c:pt idx="0">
                  <c:v>ALEMANIA</c:v>
                </c:pt>
              </c:strCache>
            </c:strRef>
          </c:tx>
          <c:spPr>
            <a:ln w="12700">
              <a:solidFill>
                <a:srgbClr val="8E258D"/>
              </a:solidFill>
              <a:prstDash val="solid"/>
            </a:ln>
          </c:spPr>
          <c:marker>
            <c:symbol val="square"/>
            <c:size val="3"/>
            <c:spPr>
              <a:solidFill>
                <a:srgbClr val="8E258D"/>
              </a:solidFill>
              <a:ln>
                <a:solidFill>
                  <a:srgbClr val="8E258D"/>
                </a:solidFill>
                <a:prstDash val="solid"/>
              </a:ln>
            </c:spPr>
          </c:marker>
          <c:dLbls>
            <c:dLbl>
              <c:idx val="0"/>
              <c:layout>
                <c:manualLayout>
                  <c:x val="-7.714285714285711E-2"/>
                  <c:y val="-4.5454545454545504E-3"/>
                </c:manualLayout>
              </c:layout>
              <c:showVal val="1"/>
            </c:dLbl>
            <c:showVal val="1"/>
          </c:dLbls>
          <c:cat>
            <c:numRef>
              <c:f>Activos!$D$15:$E$15</c:f>
              <c:numCache>
                <c:formatCode>General</c:formatCode>
                <c:ptCount val="2"/>
                <c:pt idx="0">
                  <c:v>2008</c:v>
                </c:pt>
                <c:pt idx="1">
                  <c:v>2009</c:v>
                </c:pt>
              </c:numCache>
            </c:numRef>
          </c:cat>
          <c:val>
            <c:numRef>
              <c:f>Activos!$D$17:$E$17</c:f>
              <c:numCache>
                <c:formatCode>0.0%</c:formatCode>
                <c:ptCount val="2"/>
                <c:pt idx="0">
                  <c:v>6.8999999999999964E-2</c:v>
                </c:pt>
                <c:pt idx="1">
                  <c:v>8.0000000000000043E-2</c:v>
                </c:pt>
              </c:numCache>
            </c:numRef>
          </c:val>
        </c:ser>
        <c:ser>
          <c:idx val="2"/>
          <c:order val="2"/>
          <c:tx>
            <c:strRef>
              <c:f>Activos!$C$18</c:f>
              <c:strCache>
                <c:ptCount val="1"/>
                <c:pt idx="0">
                  <c:v>SUECIA</c:v>
                </c:pt>
              </c:strCache>
            </c:strRef>
          </c:tx>
          <c:spPr>
            <a:ln w="12700">
              <a:solidFill>
                <a:srgbClr val="A79E70"/>
              </a:solidFill>
              <a:prstDash val="solid"/>
            </a:ln>
          </c:spPr>
          <c:marker>
            <c:symbol val="triangle"/>
            <c:size val="3"/>
            <c:spPr>
              <a:solidFill>
                <a:srgbClr val="A79E70"/>
              </a:solidFill>
              <a:ln>
                <a:solidFill>
                  <a:srgbClr val="A79E70"/>
                </a:solidFill>
                <a:prstDash val="solid"/>
              </a:ln>
            </c:spPr>
          </c:marker>
          <c:dLbls>
            <c:dLbl>
              <c:idx val="0"/>
              <c:layout>
                <c:manualLayout>
                  <c:x val="-8.5714285714285701E-2"/>
                  <c:y val="0"/>
                </c:manualLayout>
              </c:layout>
              <c:showVal val="1"/>
            </c:dLbl>
            <c:showVal val="1"/>
          </c:dLbls>
          <c:cat>
            <c:numRef>
              <c:f>Activos!$D$15:$E$15</c:f>
              <c:numCache>
                <c:formatCode>General</c:formatCode>
                <c:ptCount val="2"/>
                <c:pt idx="0">
                  <c:v>2008</c:v>
                </c:pt>
                <c:pt idx="1">
                  <c:v>2009</c:v>
                </c:pt>
              </c:numCache>
            </c:numRef>
          </c:cat>
          <c:val>
            <c:numRef>
              <c:f>Activos!$D$18:$E$18</c:f>
              <c:numCache>
                <c:formatCode>0.0%</c:formatCode>
                <c:ptCount val="2"/>
                <c:pt idx="0">
                  <c:v>0.17000000000000004</c:v>
                </c:pt>
                <c:pt idx="1">
                  <c:v>0.22600000000000009</c:v>
                </c:pt>
              </c:numCache>
            </c:numRef>
          </c:val>
        </c:ser>
        <c:ser>
          <c:idx val="3"/>
          <c:order val="3"/>
          <c:tx>
            <c:strRef>
              <c:f>Activos!$C$19</c:f>
              <c:strCache>
                <c:ptCount val="1"/>
                <c:pt idx="0">
                  <c:v>REINO UNIDO</c:v>
                </c:pt>
              </c:strCache>
            </c:strRef>
          </c:tx>
          <c:spPr>
            <a:ln w="12700">
              <a:solidFill>
                <a:srgbClr val="7AB800"/>
              </a:solidFill>
              <a:prstDash val="solid"/>
            </a:ln>
          </c:spPr>
          <c:marker>
            <c:symbol val="circle"/>
            <c:size val="3"/>
            <c:spPr>
              <a:solidFill>
                <a:srgbClr val="7AB800"/>
              </a:solidFill>
              <a:ln>
                <a:solidFill>
                  <a:srgbClr val="7AB800"/>
                </a:solidFill>
                <a:prstDash val="solid"/>
              </a:ln>
            </c:spPr>
          </c:marker>
          <c:dLbls>
            <c:dLbl>
              <c:idx val="0"/>
              <c:layout>
                <c:manualLayout>
                  <c:x val="-8.5714285714285701E-2"/>
                  <c:y val="0"/>
                </c:manualLayout>
              </c:layout>
              <c:showVal val="1"/>
            </c:dLbl>
            <c:showVal val="1"/>
          </c:dLbls>
          <c:cat>
            <c:numRef>
              <c:f>Activos!$D$15:$E$15</c:f>
              <c:numCache>
                <c:formatCode>General</c:formatCode>
                <c:ptCount val="2"/>
                <c:pt idx="0">
                  <c:v>2008</c:v>
                </c:pt>
                <c:pt idx="1">
                  <c:v>2009</c:v>
                </c:pt>
              </c:numCache>
            </c:numRef>
          </c:cat>
          <c:val>
            <c:numRef>
              <c:f>Activos!$D$19:$E$19</c:f>
              <c:numCache>
                <c:formatCode>0.0%</c:formatCode>
                <c:ptCount val="2"/>
                <c:pt idx="0">
                  <c:v>0.25</c:v>
                </c:pt>
                <c:pt idx="1">
                  <c:v>0.26300000000000001</c:v>
                </c:pt>
              </c:numCache>
            </c:numRef>
          </c:val>
        </c:ser>
        <c:ser>
          <c:idx val="4"/>
          <c:order val="4"/>
          <c:tx>
            <c:strRef>
              <c:f>Activos!$C$20</c:f>
              <c:strCache>
                <c:ptCount val="1"/>
                <c:pt idx="0">
                  <c:v>ITALIA</c:v>
                </c:pt>
              </c:strCache>
            </c:strRef>
          </c:tx>
          <c:spPr>
            <a:ln w="12700">
              <a:solidFill>
                <a:srgbClr val="00338D"/>
              </a:solidFill>
              <a:prstDash val="solid"/>
            </a:ln>
          </c:spPr>
          <c:marker>
            <c:symbol val="diamond"/>
            <c:size val="3"/>
            <c:spPr>
              <a:solidFill>
                <a:srgbClr val="00338D"/>
              </a:solidFill>
              <a:ln>
                <a:solidFill>
                  <a:srgbClr val="00338D"/>
                </a:solidFill>
                <a:prstDash val="solid"/>
              </a:ln>
            </c:spPr>
          </c:marker>
          <c:dLbls>
            <c:dLbl>
              <c:idx val="0"/>
              <c:layout>
                <c:manualLayout>
                  <c:x val="-8.5714285714285701E-2"/>
                  <c:y val="4.5454545454545504E-3"/>
                </c:manualLayout>
              </c:layout>
              <c:showVal val="1"/>
            </c:dLbl>
            <c:dLbl>
              <c:idx val="1"/>
              <c:layout>
                <c:manualLayout>
                  <c:x val="-8.5714285714285736E-3"/>
                  <c:y val="-4.1666185335343055E-17"/>
                </c:manualLayout>
              </c:layout>
              <c:showVal val="1"/>
            </c:dLbl>
            <c:showVal val="1"/>
          </c:dLbls>
          <c:cat>
            <c:numRef>
              <c:f>Activos!$D$15:$E$15</c:f>
              <c:numCache>
                <c:formatCode>General</c:formatCode>
                <c:ptCount val="2"/>
                <c:pt idx="0">
                  <c:v>2008</c:v>
                </c:pt>
                <c:pt idx="1">
                  <c:v>2009</c:v>
                </c:pt>
              </c:numCache>
            </c:numRef>
          </c:cat>
          <c:val>
            <c:numRef>
              <c:f>Activos!$D$20:$E$20</c:f>
              <c:numCache>
                <c:formatCode>0.0%</c:formatCode>
                <c:ptCount val="2"/>
                <c:pt idx="0">
                  <c:v>0.15300000000000041</c:v>
                </c:pt>
                <c:pt idx="1">
                  <c:v>0.14500000000000021</c:v>
                </c:pt>
              </c:numCache>
            </c:numRef>
          </c:val>
        </c:ser>
        <c:marker val="1"/>
        <c:axId val="165894016"/>
        <c:axId val="165895552"/>
      </c:lineChart>
      <c:catAx>
        <c:axId val="165894016"/>
        <c:scaling>
          <c:orientation val="minMax"/>
        </c:scaling>
        <c:axPos val="b"/>
        <c:numFmt formatCode="General" sourceLinked="1"/>
        <c:tickLblPos val="low"/>
        <c:spPr>
          <a:ln w="3175">
            <a:solidFill>
              <a:srgbClr val="000000"/>
            </a:solidFill>
            <a:prstDash val="solid"/>
          </a:ln>
        </c:spPr>
        <c:crossAx val="165895552"/>
        <c:crosses val="autoZero"/>
        <c:auto val="1"/>
        <c:lblAlgn val="ctr"/>
        <c:lblOffset val="100"/>
      </c:catAx>
      <c:valAx>
        <c:axId val="165895552"/>
        <c:scaling>
          <c:orientation val="minMax"/>
        </c:scaling>
        <c:axPos val="l"/>
        <c:numFmt formatCode="0.0%" sourceLinked="1"/>
        <c:tickLblPos val="nextTo"/>
        <c:spPr>
          <a:ln w="3175">
            <a:solidFill>
              <a:srgbClr val="000000"/>
            </a:solidFill>
            <a:prstDash val="solid"/>
          </a:ln>
        </c:spPr>
        <c:crossAx val="165894016"/>
        <c:crosses val="autoZero"/>
        <c:crossBetween val="between"/>
      </c:valAx>
      <c:spPr>
        <a:noFill/>
        <a:ln w="25400">
          <a:noFill/>
        </a:ln>
      </c:spPr>
    </c:plotArea>
    <c:legend>
      <c:legendPos val="b"/>
      <c:layout>
        <c:manualLayout>
          <c:xMode val="edge"/>
          <c:yMode val="edge"/>
          <c:x val="0"/>
          <c:y val="0.83636363636363664"/>
          <c:w val="0.89999988818082965"/>
          <c:h val="6.7479957050823533E-2"/>
        </c:manualLayout>
      </c:layout>
      <c:spPr>
        <a:noFill/>
        <a:ln w="25400">
          <a:noFill/>
        </a:ln>
      </c:spPr>
    </c:legend>
    <c:plotVisOnly val="1"/>
  </c:chart>
  <c:spPr>
    <a:noFill/>
    <a:ln w="9525">
      <a:noFill/>
    </a:ln>
  </c:spPr>
  <c:txPr>
    <a:bodyPr/>
    <a:lstStyle/>
    <a:p>
      <a:pPr>
        <a:defRPr sz="700" b="0" i="0">
          <a:solidFill>
            <a:srgbClr val="000000"/>
          </a:solidFill>
          <a:latin typeface="MinionPro-Regular"/>
          <a:ea typeface="Arial"/>
          <a:cs typeface="Arial"/>
        </a:defRPr>
      </a:pPr>
      <a:endParaRPr lang="es-ES"/>
    </a:p>
  </c:txPr>
  <c:externalData r:id="rId1"/>
</c:chartSpace>
</file>

<file path=word/charts/chart59.xml><?xml version="1.0" encoding="utf-8"?>
<c:chartSpace xmlns:c="http://schemas.openxmlformats.org/drawingml/2006/chart" xmlns:a="http://schemas.openxmlformats.org/drawingml/2006/main" xmlns:r="http://schemas.openxmlformats.org/officeDocument/2006/relationships">
  <c:date1904 val="1"/>
  <c:lang val="es-ES"/>
  <c:chart>
    <c:autoTitleDeleted val="1"/>
    <c:plotArea>
      <c:layout>
        <c:manualLayout>
          <c:layoutTarget val="inner"/>
          <c:xMode val="edge"/>
          <c:yMode val="edge"/>
          <c:x val="0.15734510686164796"/>
          <c:y val="9.3645056562568746E-2"/>
          <c:w val="0.79642256873493422"/>
          <c:h val="0.60852900115135899"/>
        </c:manualLayout>
      </c:layout>
      <c:lineChart>
        <c:grouping val="standard"/>
        <c:ser>
          <c:idx val="0"/>
          <c:order val="0"/>
          <c:tx>
            <c:strRef>
              <c:f>Ocupados!$C$24</c:f>
              <c:strCache>
                <c:ptCount val="1"/>
                <c:pt idx="0">
                  <c:v>ESPAÑA</c:v>
                </c:pt>
              </c:strCache>
            </c:strRef>
          </c:tx>
          <c:spPr>
            <a:ln w="12700">
              <a:solidFill>
                <a:srgbClr val="007C92"/>
              </a:solidFill>
              <a:prstDash val="solid"/>
            </a:ln>
          </c:spPr>
          <c:marker>
            <c:symbol val="diamond"/>
            <c:size val="3"/>
            <c:spPr>
              <a:solidFill>
                <a:srgbClr val="007C92"/>
              </a:solidFill>
              <a:ln>
                <a:solidFill>
                  <a:srgbClr val="007C92"/>
                </a:solidFill>
                <a:prstDash val="solid"/>
              </a:ln>
            </c:spPr>
          </c:marker>
          <c:dLbls>
            <c:dLbl>
              <c:idx val="0"/>
              <c:layout>
                <c:manualLayout>
                  <c:x val="-8.0000000000000043E-2"/>
                  <c:y val="0"/>
                </c:manualLayout>
              </c:layout>
              <c:showVal val="1"/>
            </c:dLbl>
            <c:dLbl>
              <c:idx val="1"/>
              <c:layout>
                <c:manualLayout>
                  <c:x val="-2.8571428571428602E-3"/>
                  <c:y val="1.3636363636363641E-2"/>
                </c:manualLayout>
              </c:layout>
              <c:showVal val="1"/>
            </c:dLbl>
            <c:showVal val="1"/>
          </c:dLbls>
          <c:cat>
            <c:numRef>
              <c:f>Ocupados!$D$23:$E$23</c:f>
              <c:numCache>
                <c:formatCode>General</c:formatCode>
                <c:ptCount val="2"/>
                <c:pt idx="0">
                  <c:v>2008</c:v>
                </c:pt>
                <c:pt idx="1">
                  <c:v>2009</c:v>
                </c:pt>
              </c:numCache>
            </c:numRef>
          </c:cat>
          <c:val>
            <c:numRef>
              <c:f>Ocupados!$D$24:$E$24</c:f>
              <c:numCache>
                <c:formatCode>0.0%</c:formatCode>
                <c:ptCount val="2"/>
                <c:pt idx="0">
                  <c:v>0.43700000000000438</c:v>
                </c:pt>
                <c:pt idx="1">
                  <c:v>0.42900000000000038</c:v>
                </c:pt>
              </c:numCache>
            </c:numRef>
          </c:val>
        </c:ser>
        <c:ser>
          <c:idx val="1"/>
          <c:order val="1"/>
          <c:tx>
            <c:strRef>
              <c:f>Ocupados!$C$25</c:f>
              <c:strCache>
                <c:ptCount val="1"/>
                <c:pt idx="0">
                  <c:v>ALEMANIA</c:v>
                </c:pt>
              </c:strCache>
            </c:strRef>
          </c:tx>
          <c:spPr>
            <a:ln w="12700">
              <a:solidFill>
                <a:srgbClr val="8E258D"/>
              </a:solidFill>
              <a:prstDash val="solid"/>
            </a:ln>
          </c:spPr>
          <c:marker>
            <c:symbol val="square"/>
            <c:size val="3"/>
            <c:spPr>
              <a:solidFill>
                <a:srgbClr val="8E258D"/>
              </a:solidFill>
              <a:ln>
                <a:solidFill>
                  <a:srgbClr val="8E258D"/>
                </a:solidFill>
                <a:prstDash val="solid"/>
              </a:ln>
            </c:spPr>
          </c:marker>
          <c:dLbls>
            <c:dLbl>
              <c:idx val="0"/>
              <c:layout>
                <c:manualLayout>
                  <c:x val="-7.714285714285711E-2"/>
                  <c:y val="0"/>
                </c:manualLayout>
              </c:layout>
              <c:showVal val="1"/>
            </c:dLbl>
            <c:showVal val="1"/>
          </c:dLbls>
          <c:cat>
            <c:numRef>
              <c:f>Ocupados!$D$23:$E$23</c:f>
              <c:numCache>
                <c:formatCode>General</c:formatCode>
                <c:ptCount val="2"/>
                <c:pt idx="0">
                  <c:v>2008</c:v>
                </c:pt>
                <c:pt idx="1">
                  <c:v>2009</c:v>
                </c:pt>
              </c:numCache>
            </c:numRef>
          </c:cat>
          <c:val>
            <c:numRef>
              <c:f>Ocupados!$D$25:$E$25</c:f>
              <c:numCache>
                <c:formatCode>0.0%</c:formatCode>
                <c:ptCount val="2"/>
                <c:pt idx="0">
                  <c:v>0.54200000000000004</c:v>
                </c:pt>
                <c:pt idx="1">
                  <c:v>0.53900000000000003</c:v>
                </c:pt>
              </c:numCache>
            </c:numRef>
          </c:val>
        </c:ser>
        <c:ser>
          <c:idx val="2"/>
          <c:order val="2"/>
          <c:tx>
            <c:strRef>
              <c:f>Ocupados!$C$26</c:f>
              <c:strCache>
                <c:ptCount val="1"/>
                <c:pt idx="0">
                  <c:v>SUECIA</c:v>
                </c:pt>
              </c:strCache>
            </c:strRef>
          </c:tx>
          <c:spPr>
            <a:ln w="12700">
              <a:solidFill>
                <a:srgbClr val="A79E70"/>
              </a:solidFill>
              <a:prstDash val="solid"/>
            </a:ln>
          </c:spPr>
          <c:marker>
            <c:symbol val="triangle"/>
            <c:size val="3"/>
            <c:spPr>
              <a:solidFill>
                <a:srgbClr val="A79E70"/>
              </a:solidFill>
              <a:ln>
                <a:solidFill>
                  <a:srgbClr val="A79E70"/>
                </a:solidFill>
                <a:prstDash val="solid"/>
              </a:ln>
            </c:spPr>
          </c:marker>
          <c:dLbls>
            <c:dLbl>
              <c:idx val="0"/>
              <c:layout>
                <c:manualLayout>
                  <c:x val="-7.4285714285714274E-2"/>
                  <c:y val="-1.8181818181818622E-2"/>
                </c:manualLayout>
              </c:layout>
              <c:showVal val="1"/>
            </c:dLbl>
            <c:dLbl>
              <c:idx val="1"/>
              <c:layout>
                <c:manualLayout>
                  <c:x val="0"/>
                  <c:y val="3.1818181818181808E-2"/>
                </c:manualLayout>
              </c:layout>
              <c:showVal val="1"/>
            </c:dLbl>
            <c:showVal val="1"/>
          </c:dLbls>
          <c:cat>
            <c:numRef>
              <c:f>Ocupados!$D$23:$E$23</c:f>
              <c:numCache>
                <c:formatCode>General</c:formatCode>
                <c:ptCount val="2"/>
                <c:pt idx="0">
                  <c:v>2008</c:v>
                </c:pt>
                <c:pt idx="1">
                  <c:v>2009</c:v>
                </c:pt>
              </c:numCache>
            </c:numRef>
          </c:cat>
          <c:val>
            <c:numRef>
              <c:f>Ocupados!$D$26:$E$26</c:f>
              <c:numCache>
                <c:formatCode>0.0%</c:formatCode>
                <c:ptCount val="2"/>
                <c:pt idx="0">
                  <c:v>0.57500000000000062</c:v>
                </c:pt>
                <c:pt idx="1">
                  <c:v>0.52800000000000002</c:v>
                </c:pt>
              </c:numCache>
            </c:numRef>
          </c:val>
        </c:ser>
        <c:ser>
          <c:idx val="3"/>
          <c:order val="3"/>
          <c:tx>
            <c:strRef>
              <c:f>Ocupados!$C$27</c:f>
              <c:strCache>
                <c:ptCount val="1"/>
                <c:pt idx="0">
                  <c:v>REINO UNIDO</c:v>
                </c:pt>
              </c:strCache>
            </c:strRef>
          </c:tx>
          <c:spPr>
            <a:ln w="12700">
              <a:solidFill>
                <a:srgbClr val="7AB800"/>
              </a:solidFill>
              <a:prstDash val="solid"/>
            </a:ln>
          </c:spPr>
          <c:marker>
            <c:symbol val="circle"/>
            <c:size val="3"/>
            <c:spPr>
              <a:solidFill>
                <a:srgbClr val="7AB800"/>
              </a:solidFill>
              <a:ln>
                <a:solidFill>
                  <a:srgbClr val="7AB800"/>
                </a:solidFill>
                <a:prstDash val="solid"/>
              </a:ln>
            </c:spPr>
          </c:marker>
          <c:dLbls>
            <c:dLbl>
              <c:idx val="0"/>
              <c:layout>
                <c:manualLayout>
                  <c:x val="-7.4285714285714274E-2"/>
                  <c:y val="-2.7272727272728305E-2"/>
                </c:manualLayout>
              </c:layout>
              <c:showVal val="1"/>
            </c:dLbl>
            <c:dLbl>
              <c:idx val="1"/>
              <c:layout>
                <c:manualLayout>
                  <c:x val="-2.8571428571428602E-3"/>
                  <c:y val="4.5454545454545504E-3"/>
                </c:manualLayout>
              </c:layout>
              <c:showVal val="1"/>
            </c:dLbl>
            <c:showVal val="1"/>
          </c:dLbls>
          <c:cat>
            <c:numRef>
              <c:f>Ocupados!$D$23:$E$23</c:f>
              <c:numCache>
                <c:formatCode>General</c:formatCode>
                <c:ptCount val="2"/>
                <c:pt idx="0">
                  <c:v>2008</c:v>
                </c:pt>
                <c:pt idx="1">
                  <c:v>2009</c:v>
                </c:pt>
              </c:numCache>
            </c:numRef>
          </c:cat>
          <c:val>
            <c:numRef>
              <c:f>Ocupados!$D$27:$E$27</c:f>
              <c:numCache>
                <c:formatCode>0.0%</c:formatCode>
                <c:ptCount val="2"/>
                <c:pt idx="0">
                  <c:v>0.47300000000000031</c:v>
                </c:pt>
                <c:pt idx="1">
                  <c:v>0.443</c:v>
                </c:pt>
              </c:numCache>
            </c:numRef>
          </c:val>
        </c:ser>
        <c:ser>
          <c:idx val="4"/>
          <c:order val="4"/>
          <c:tx>
            <c:strRef>
              <c:f>Ocupados!$C$28</c:f>
              <c:strCache>
                <c:ptCount val="1"/>
                <c:pt idx="0">
                  <c:v>ITALIA</c:v>
                </c:pt>
              </c:strCache>
            </c:strRef>
          </c:tx>
          <c:spPr>
            <a:ln w="12700">
              <a:solidFill>
                <a:srgbClr val="00338D"/>
              </a:solidFill>
              <a:prstDash val="solid"/>
            </a:ln>
          </c:spPr>
          <c:marker>
            <c:symbol val="diamond"/>
            <c:size val="3"/>
            <c:spPr>
              <a:solidFill>
                <a:srgbClr val="00338D"/>
              </a:solidFill>
              <a:ln>
                <a:solidFill>
                  <a:srgbClr val="00338D"/>
                </a:solidFill>
                <a:prstDash val="solid"/>
              </a:ln>
            </c:spPr>
          </c:marker>
          <c:dLbls>
            <c:dLbl>
              <c:idx val="0"/>
              <c:layout>
                <c:manualLayout>
                  <c:x val="-8.0000000000000043E-2"/>
                  <c:y val="-4.5454545454545504E-3"/>
                </c:manualLayout>
              </c:layout>
              <c:showVal val="1"/>
            </c:dLbl>
            <c:dLbl>
              <c:idx val="1"/>
              <c:layout>
                <c:manualLayout>
                  <c:x val="-2.8571428571428602E-3"/>
                  <c:y val="-2.272727272727422E-2"/>
                </c:manualLayout>
              </c:layout>
              <c:showVal val="1"/>
            </c:dLbl>
            <c:showVal val="1"/>
          </c:dLbls>
          <c:cat>
            <c:numRef>
              <c:f>Ocupados!$D$23:$E$23</c:f>
              <c:numCache>
                <c:formatCode>General</c:formatCode>
                <c:ptCount val="2"/>
                <c:pt idx="0">
                  <c:v>2008</c:v>
                </c:pt>
                <c:pt idx="1">
                  <c:v>2009</c:v>
                </c:pt>
              </c:numCache>
            </c:numRef>
          </c:cat>
          <c:val>
            <c:numRef>
              <c:f>Ocupados!$D$28:$E$28</c:f>
              <c:numCache>
                <c:formatCode>0.0%</c:formatCode>
                <c:ptCount val="2"/>
                <c:pt idx="0">
                  <c:v>0.45700000000000002</c:v>
                </c:pt>
                <c:pt idx="1">
                  <c:v>0.44700000000000001</c:v>
                </c:pt>
              </c:numCache>
            </c:numRef>
          </c:val>
        </c:ser>
        <c:marker val="1"/>
        <c:axId val="165956992"/>
        <c:axId val="165979264"/>
      </c:lineChart>
      <c:catAx>
        <c:axId val="165956992"/>
        <c:scaling>
          <c:orientation val="minMax"/>
        </c:scaling>
        <c:axPos val="b"/>
        <c:numFmt formatCode="General" sourceLinked="1"/>
        <c:tickLblPos val="low"/>
        <c:spPr>
          <a:ln w="3175">
            <a:solidFill>
              <a:srgbClr val="000000"/>
            </a:solidFill>
            <a:prstDash val="solid"/>
          </a:ln>
        </c:spPr>
        <c:crossAx val="165979264"/>
        <c:crosses val="autoZero"/>
        <c:auto val="1"/>
        <c:lblAlgn val="ctr"/>
        <c:lblOffset val="100"/>
      </c:catAx>
      <c:valAx>
        <c:axId val="165979264"/>
        <c:scaling>
          <c:orientation val="minMax"/>
          <c:min val="0.4"/>
        </c:scaling>
        <c:axPos val="l"/>
        <c:numFmt formatCode="0.0%" sourceLinked="1"/>
        <c:tickLblPos val="nextTo"/>
        <c:spPr>
          <a:ln w="3175">
            <a:solidFill>
              <a:srgbClr val="000000"/>
            </a:solidFill>
            <a:prstDash val="solid"/>
          </a:ln>
        </c:spPr>
        <c:crossAx val="165956992"/>
        <c:crosses val="autoZero"/>
        <c:crossBetween val="between"/>
      </c:valAx>
      <c:spPr>
        <a:noFill/>
        <a:ln w="25400">
          <a:noFill/>
        </a:ln>
      </c:spPr>
    </c:plotArea>
    <c:legend>
      <c:legendPos val="b"/>
      <c:layout>
        <c:manualLayout>
          <c:xMode val="edge"/>
          <c:yMode val="edge"/>
          <c:x val="0"/>
          <c:y val="0.83636363636363664"/>
          <c:w val="0.9"/>
          <c:h val="6.7479957050823533E-2"/>
        </c:manualLayout>
      </c:layout>
      <c:spPr>
        <a:noFill/>
        <a:ln w="25400">
          <a:noFill/>
        </a:ln>
      </c:spPr>
    </c:legend>
    <c:plotVisOnly val="1"/>
  </c:chart>
  <c:spPr>
    <a:noFill/>
    <a:ln w="9525">
      <a:noFill/>
    </a:ln>
  </c:spPr>
  <c:txPr>
    <a:bodyPr/>
    <a:lstStyle/>
    <a:p>
      <a:pPr>
        <a:defRPr sz="700" b="0" i="0">
          <a:solidFill>
            <a:srgbClr val="000000"/>
          </a:solidFill>
          <a:latin typeface="MinionPro-Regular"/>
          <a:ea typeface="Arial"/>
          <a:cs typeface="Arial"/>
        </a:defRPr>
      </a:pPr>
      <a:endParaRPr lang="es-ES"/>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s-ES"/>
  <c:chart>
    <c:autoTitleDeleted val="1"/>
    <c:plotArea>
      <c:layout>
        <c:manualLayout>
          <c:layoutTarget val="inner"/>
          <c:xMode val="edge"/>
          <c:yMode val="edge"/>
          <c:x val="0.19387032209569519"/>
          <c:y val="0.10606771234966418"/>
          <c:w val="0.77538696551819963"/>
          <c:h val="0.55486827200088629"/>
        </c:manualLayout>
      </c:layout>
      <c:barChart>
        <c:barDir val="col"/>
        <c:grouping val="clustered"/>
        <c:ser>
          <c:idx val="0"/>
          <c:order val="0"/>
          <c:spPr>
            <a:solidFill>
              <a:srgbClr val="409DAD"/>
            </a:solidFill>
            <a:ln w="3175">
              <a:solidFill>
                <a:srgbClr val="FFFFFF"/>
              </a:solidFill>
              <a:prstDash val="solid"/>
            </a:ln>
          </c:spPr>
          <c:dLbls>
            <c:dLbl>
              <c:idx val="2"/>
              <c:layout>
                <c:manualLayout>
                  <c:x val="-2.3515579071134631E-3"/>
                  <c:y val="2.0151609923224002E-2"/>
                </c:manualLayout>
              </c:layout>
              <c:showVal val="1"/>
            </c:dLbl>
            <c:dLbl>
              <c:idx val="7"/>
              <c:layout>
                <c:manualLayout>
                  <c:x val="-2.3515579071134631E-3"/>
                  <c:y val="2.0151609923224002E-2"/>
                </c:manualLayout>
              </c:layout>
              <c:showVal val="1"/>
            </c:dLbl>
            <c:dLbl>
              <c:idx val="8"/>
              <c:layout>
                <c:manualLayout>
                  <c:x val="-2.3515579071134631E-3"/>
                  <c:y val="1.2090965953934356E-2"/>
                </c:manualLayout>
              </c:layout>
              <c:showVal val="1"/>
            </c:dLbl>
            <c:dLbl>
              <c:idx val="9"/>
              <c:layout>
                <c:manualLayout>
                  <c:x val="-2.3515579071134631E-3"/>
                  <c:y val="1.6121287938579164E-2"/>
                </c:manualLayout>
              </c:layout>
              <c:showVal val="1"/>
            </c:dLbl>
            <c:dLbl>
              <c:idx val="10"/>
              <c:layout>
                <c:manualLayout>
                  <c:x val="0"/>
                  <c:y val="8.0606439692897311E-3"/>
                </c:manualLayout>
              </c:layout>
              <c:showVal val="1"/>
            </c:dLbl>
            <c:dLbl>
              <c:idx val="11"/>
              <c:layout>
                <c:manualLayout>
                  <c:x val="8.6222793874424899E-17"/>
                  <c:y val="1.6121287938579164E-2"/>
                </c:manualLayout>
              </c:layout>
              <c:showVal val="1"/>
            </c:dLbl>
            <c:dLbl>
              <c:idx val="12"/>
              <c:layout>
                <c:manualLayout>
                  <c:x val="8.6222793874424727E-17"/>
                  <c:y val="2.0151609923224002E-2"/>
                </c:manualLayout>
              </c:layout>
              <c:showVal val="1"/>
            </c:dLbl>
            <c:dLbl>
              <c:idx val="14"/>
              <c:layout>
                <c:manualLayout>
                  <c:x val="-7.0546737213404535E-3"/>
                  <c:y val="8.060643969289738E-3"/>
                </c:manualLayout>
              </c:layout>
              <c:showVal val="1"/>
            </c:dLbl>
            <c:dLbl>
              <c:idx val="17"/>
              <c:tx>
                <c:rich>
                  <a:bodyPr/>
                  <a:lstStyle/>
                  <a:p>
                    <a:r>
                      <a:rPr lang="en-US" sz="700"/>
                      <a:t>N</a:t>
                    </a:r>
                    <a:r>
                      <a:rPr lang="en-US"/>
                      <a:t>D</a:t>
                    </a:r>
                  </a:p>
                </c:rich>
              </c:tx>
              <c:showVal val="1"/>
            </c:dLbl>
            <c:dLbl>
              <c:idx val="18"/>
              <c:tx>
                <c:rich>
                  <a:bodyPr/>
                  <a:lstStyle/>
                  <a:p>
                    <a:r>
                      <a:rPr lang="en-US" sz="700"/>
                      <a:t>ND</a:t>
                    </a:r>
                  </a:p>
                </c:rich>
              </c:tx>
              <c:showVal val="1"/>
            </c:dLbl>
            <c:txPr>
              <a:bodyPr/>
              <a:lstStyle/>
              <a:p>
                <a:pPr>
                  <a:defRPr sz="700"/>
                </a:pPr>
                <a:endParaRPr lang="es-ES"/>
              </a:p>
            </c:txPr>
            <c:showVal val="1"/>
          </c:dLbls>
          <c:cat>
            <c:strRef>
              <c:f>'Transporte accesible'!$C$53:$C$71</c:f>
              <c:strCache>
                <c:ptCount val="19"/>
                <c:pt idx="0">
                  <c:v>Cataluña</c:v>
                </c:pt>
                <c:pt idx="1">
                  <c:v>Navarra</c:v>
                </c:pt>
                <c:pt idx="2">
                  <c:v>Madrid</c:v>
                </c:pt>
                <c:pt idx="3">
                  <c:v>Asturias</c:v>
                </c:pt>
                <c:pt idx="4">
                  <c:v>La Rioja</c:v>
                </c:pt>
                <c:pt idx="5">
                  <c:v>Aragón</c:v>
                </c:pt>
                <c:pt idx="6">
                  <c:v>País Vasco</c:v>
                </c:pt>
                <c:pt idx="7">
                  <c:v>Castilla y León</c:v>
                </c:pt>
                <c:pt idx="8">
                  <c:v>  Murcia</c:v>
                </c:pt>
                <c:pt idx="9">
                  <c:v>Canarias</c:v>
                </c:pt>
                <c:pt idx="10">
                  <c:v>C.Valenciana</c:v>
                </c:pt>
                <c:pt idx="11">
                  <c:v>Andalucía</c:v>
                </c:pt>
                <c:pt idx="12">
                  <c:v>Melilla</c:v>
                </c:pt>
                <c:pt idx="13">
                  <c:v>Extremadura</c:v>
                </c:pt>
                <c:pt idx="14">
                  <c:v>Galicia</c:v>
                </c:pt>
                <c:pt idx="15">
                  <c:v>Castilla La Mancha</c:v>
                </c:pt>
                <c:pt idx="16">
                  <c:v>Cantabria</c:v>
                </c:pt>
                <c:pt idx="17">
                  <c:v>Baleares</c:v>
                </c:pt>
                <c:pt idx="18">
                  <c:v>Ceuta</c:v>
                </c:pt>
              </c:strCache>
            </c:strRef>
          </c:cat>
          <c:val>
            <c:numRef>
              <c:f>'Transporte accesible'!$D$53:$D$71</c:f>
              <c:numCache>
                <c:formatCode>0.00</c:formatCode>
                <c:ptCount val="19"/>
                <c:pt idx="0">
                  <c:v>12.342364220548006</c:v>
                </c:pt>
                <c:pt idx="1">
                  <c:v>11.568718186024988</c:v>
                </c:pt>
                <c:pt idx="2">
                  <c:v>11.084423496792148</c:v>
                </c:pt>
                <c:pt idx="3">
                  <c:v>8.586368853233191</c:v>
                </c:pt>
                <c:pt idx="4">
                  <c:v>8.392375849324571</c:v>
                </c:pt>
                <c:pt idx="5">
                  <c:v>6.9469307925379304</c:v>
                </c:pt>
                <c:pt idx="6">
                  <c:v>6.5413663207800834</c:v>
                </c:pt>
                <c:pt idx="7">
                  <c:v>6.2925687199250735</c:v>
                </c:pt>
                <c:pt idx="8">
                  <c:v>6.1613168155877256</c:v>
                </c:pt>
                <c:pt idx="9">
                  <c:v>5.6444636983372805</c:v>
                </c:pt>
                <c:pt idx="10">
                  <c:v>5.2859362380449832</c:v>
                </c:pt>
                <c:pt idx="11">
                  <c:v>5.1795340948854465</c:v>
                </c:pt>
                <c:pt idx="12">
                  <c:v>5.1052315860678226</c:v>
                </c:pt>
                <c:pt idx="13">
                  <c:v>4.4390107664506964</c:v>
                </c:pt>
                <c:pt idx="14">
                  <c:v>4.0805178066811854</c:v>
                </c:pt>
                <c:pt idx="15">
                  <c:v>3.5774580935088252</c:v>
                </c:pt>
                <c:pt idx="16">
                  <c:v>2.9433508837843871</c:v>
                </c:pt>
                <c:pt idx="17">
                  <c:v>0</c:v>
                </c:pt>
                <c:pt idx="18">
                  <c:v>0</c:v>
                </c:pt>
              </c:numCache>
            </c:numRef>
          </c:val>
        </c:ser>
        <c:gapWidth val="40"/>
        <c:axId val="207295616"/>
        <c:axId val="207297152"/>
      </c:barChart>
      <c:catAx>
        <c:axId val="207295616"/>
        <c:scaling>
          <c:orientation val="minMax"/>
        </c:scaling>
        <c:axPos val="b"/>
        <c:tickLblPos val="low"/>
        <c:spPr>
          <a:ln w="3175">
            <a:solidFill>
              <a:srgbClr val="000000"/>
            </a:solidFill>
            <a:prstDash val="solid"/>
          </a:ln>
        </c:spPr>
        <c:crossAx val="207297152"/>
        <c:crosses val="autoZero"/>
        <c:auto val="1"/>
        <c:lblAlgn val="ctr"/>
        <c:lblOffset val="100"/>
      </c:catAx>
      <c:valAx>
        <c:axId val="207297152"/>
        <c:scaling>
          <c:orientation val="minMax"/>
        </c:scaling>
        <c:axPos val="l"/>
        <c:title>
          <c:tx>
            <c:rich>
              <a:bodyPr rot="-5400000" vert="horz"/>
              <a:lstStyle/>
              <a:p>
                <a:pPr>
                  <a:defRPr/>
                </a:pPr>
                <a:r>
                  <a:rPr lang="en-US"/>
                  <a:t>Número de autobuses accesibles</a:t>
                </a:r>
              </a:p>
              <a:p>
                <a:pPr>
                  <a:defRPr/>
                </a:pPr>
                <a:r>
                  <a:rPr lang="en-US"/>
                  <a:t> por cada 100.000 habitamtes</a:t>
                </a:r>
              </a:p>
            </c:rich>
          </c:tx>
          <c:layout>
            <c:manualLayout>
              <c:xMode val="edge"/>
              <c:yMode val="edge"/>
              <c:x val="5.3864313151015433E-2"/>
              <c:y val="0.13729125899671321"/>
            </c:manualLayout>
          </c:layout>
        </c:title>
        <c:numFmt formatCode="0.00" sourceLinked="1"/>
        <c:tickLblPos val="nextTo"/>
        <c:spPr>
          <a:ln w="3175">
            <a:solidFill>
              <a:srgbClr val="000000"/>
            </a:solidFill>
            <a:prstDash val="solid"/>
          </a:ln>
        </c:spPr>
        <c:crossAx val="207295616"/>
        <c:crosses val="autoZero"/>
        <c:crossBetween val="between"/>
      </c:valAx>
      <c:spPr>
        <a:noFill/>
        <a:ln w="25400">
          <a:noFill/>
        </a:ln>
      </c:spPr>
    </c:plotArea>
    <c:plotVisOnly val="1"/>
  </c:chart>
  <c:spPr>
    <a:noFill/>
    <a:ln w="9525">
      <a:noFill/>
    </a:ln>
  </c:spPr>
  <c:txPr>
    <a:bodyPr/>
    <a:lstStyle/>
    <a:p>
      <a:pPr>
        <a:defRPr sz="800" b="0" i="0">
          <a:solidFill>
            <a:srgbClr val="000000"/>
          </a:solidFill>
          <a:latin typeface="MinionPro-Regular"/>
          <a:ea typeface="Arial"/>
          <a:cs typeface="Arial"/>
        </a:defRPr>
      </a:pPr>
      <a:endParaRPr lang="es-ES"/>
    </a:p>
  </c:txPr>
  <c:externalData r:id="rId1"/>
</c:chartSpace>
</file>

<file path=word/charts/chart60.xml><?xml version="1.0" encoding="utf-8"?>
<c:chartSpace xmlns:c="http://schemas.openxmlformats.org/drawingml/2006/chart" xmlns:a="http://schemas.openxmlformats.org/drawingml/2006/main" xmlns:r="http://schemas.openxmlformats.org/officeDocument/2006/relationships">
  <c:date1904 val="1"/>
  <c:lang val="es-ES"/>
  <c:chart>
    <c:autoTitleDeleted val="1"/>
    <c:plotArea>
      <c:layout>
        <c:manualLayout>
          <c:layoutTarget val="inner"/>
          <c:xMode val="edge"/>
          <c:yMode val="edge"/>
          <c:x val="0.15734510686164807"/>
          <c:y val="0.12404180660213171"/>
          <c:w val="0.7055120359955005"/>
          <c:h val="0.65085955653395589"/>
        </c:manualLayout>
      </c:layout>
      <c:lineChart>
        <c:grouping val="standard"/>
        <c:ser>
          <c:idx val="0"/>
          <c:order val="0"/>
          <c:tx>
            <c:strRef>
              <c:f>Ocupados!$C$32</c:f>
              <c:strCache>
                <c:ptCount val="1"/>
                <c:pt idx="0">
                  <c:v>ESPAÑA</c:v>
                </c:pt>
              </c:strCache>
            </c:strRef>
          </c:tx>
          <c:spPr>
            <a:ln w="12700">
              <a:solidFill>
                <a:srgbClr val="007C92"/>
              </a:solidFill>
              <a:prstDash val="solid"/>
            </a:ln>
          </c:spPr>
          <c:marker>
            <c:symbol val="diamond"/>
            <c:size val="3"/>
            <c:spPr>
              <a:solidFill>
                <a:srgbClr val="007C92"/>
              </a:solidFill>
              <a:ln>
                <a:solidFill>
                  <a:srgbClr val="007C92"/>
                </a:solidFill>
                <a:prstDash val="solid"/>
              </a:ln>
            </c:spPr>
          </c:marker>
          <c:dLbls>
            <c:dLbl>
              <c:idx val="0"/>
              <c:layout>
                <c:manualLayout>
                  <c:x val="-9.7686727889867153E-2"/>
                  <c:y val="0"/>
                </c:manualLayout>
              </c:layout>
              <c:showVal val="1"/>
            </c:dLbl>
            <c:showVal val="1"/>
          </c:dLbls>
          <c:cat>
            <c:numRef>
              <c:f>Ocupados!$D$31:$E$31</c:f>
              <c:numCache>
                <c:formatCode>General</c:formatCode>
                <c:ptCount val="2"/>
                <c:pt idx="0">
                  <c:v>2008</c:v>
                </c:pt>
                <c:pt idx="1">
                  <c:v>2009</c:v>
                </c:pt>
              </c:numCache>
            </c:numRef>
          </c:cat>
          <c:val>
            <c:numRef>
              <c:f>Ocupados!$D$32:$E$32</c:f>
              <c:numCache>
                <c:formatCode>0.0%</c:formatCode>
                <c:ptCount val="2"/>
                <c:pt idx="0">
                  <c:v>0.72900000000000065</c:v>
                </c:pt>
                <c:pt idx="1">
                  <c:v>0.67900000000001792</c:v>
                </c:pt>
              </c:numCache>
            </c:numRef>
          </c:val>
        </c:ser>
        <c:ser>
          <c:idx val="1"/>
          <c:order val="1"/>
          <c:tx>
            <c:strRef>
              <c:f>Ocupados!$C$33</c:f>
              <c:strCache>
                <c:ptCount val="1"/>
                <c:pt idx="0">
                  <c:v>ALEMANIA</c:v>
                </c:pt>
              </c:strCache>
            </c:strRef>
          </c:tx>
          <c:spPr>
            <a:ln w="12700">
              <a:solidFill>
                <a:srgbClr val="8E258D"/>
              </a:solidFill>
              <a:prstDash val="solid"/>
            </a:ln>
          </c:spPr>
          <c:marker>
            <c:symbol val="square"/>
            <c:size val="3"/>
            <c:spPr>
              <a:solidFill>
                <a:srgbClr val="8E258D"/>
              </a:solidFill>
              <a:ln>
                <a:solidFill>
                  <a:srgbClr val="8E258D"/>
                </a:solidFill>
                <a:prstDash val="solid"/>
              </a:ln>
            </c:spPr>
          </c:marker>
          <c:dLbls>
            <c:dLbl>
              <c:idx val="0"/>
              <c:layout>
                <c:manualLayout>
                  <c:x val="-9.7626308746421753E-2"/>
                  <c:y val="-1.0709504685408681E-2"/>
                </c:manualLayout>
              </c:layout>
              <c:showVal val="1"/>
            </c:dLbl>
            <c:showVal val="1"/>
          </c:dLbls>
          <c:cat>
            <c:numRef>
              <c:f>Ocupados!$D$31:$E$31</c:f>
              <c:numCache>
                <c:formatCode>General</c:formatCode>
                <c:ptCount val="2"/>
                <c:pt idx="0">
                  <c:v>2008</c:v>
                </c:pt>
                <c:pt idx="1">
                  <c:v>2009</c:v>
                </c:pt>
              </c:numCache>
            </c:numRef>
          </c:cat>
          <c:val>
            <c:numRef>
              <c:f>Ocupados!$D$33:$E$33</c:f>
              <c:numCache>
                <c:formatCode>0.0%</c:formatCode>
                <c:ptCount val="2"/>
                <c:pt idx="0">
                  <c:v>0.76800000000001556</c:v>
                </c:pt>
                <c:pt idx="1">
                  <c:v>0.76400000000001556</c:v>
                </c:pt>
              </c:numCache>
            </c:numRef>
          </c:val>
        </c:ser>
        <c:ser>
          <c:idx val="2"/>
          <c:order val="2"/>
          <c:tx>
            <c:strRef>
              <c:f>Ocupados!$C$34</c:f>
              <c:strCache>
                <c:ptCount val="1"/>
                <c:pt idx="0">
                  <c:v>SUECIA</c:v>
                </c:pt>
              </c:strCache>
            </c:strRef>
          </c:tx>
          <c:spPr>
            <a:ln w="12700">
              <a:solidFill>
                <a:srgbClr val="A79E70"/>
              </a:solidFill>
              <a:prstDash val="solid"/>
            </a:ln>
          </c:spPr>
          <c:marker>
            <c:symbol val="triangle"/>
            <c:size val="3"/>
            <c:spPr>
              <a:solidFill>
                <a:srgbClr val="A79E70"/>
              </a:solidFill>
              <a:ln>
                <a:solidFill>
                  <a:srgbClr val="A79E70"/>
                </a:solidFill>
                <a:prstDash val="solid"/>
              </a:ln>
            </c:spPr>
          </c:marker>
          <c:dLbls>
            <c:dLbl>
              <c:idx val="0"/>
              <c:layout>
                <c:manualLayout>
                  <c:x val="-0.10625820568927789"/>
                  <c:y val="-1.3636488210058488E-2"/>
                </c:manualLayout>
              </c:layout>
              <c:showVal val="1"/>
            </c:dLbl>
            <c:showVal val="1"/>
          </c:dLbls>
          <c:cat>
            <c:numRef>
              <c:f>Ocupados!$D$31:$E$31</c:f>
              <c:numCache>
                <c:formatCode>General</c:formatCode>
                <c:ptCount val="2"/>
                <c:pt idx="0">
                  <c:v>2008</c:v>
                </c:pt>
                <c:pt idx="1">
                  <c:v>2009</c:v>
                </c:pt>
              </c:numCache>
            </c:numRef>
          </c:cat>
          <c:val>
            <c:numRef>
              <c:f>Ocupados!$D$34:$E$34</c:f>
              <c:numCache>
                <c:formatCode>0.0%</c:formatCode>
                <c:ptCount val="2"/>
                <c:pt idx="0">
                  <c:v>0.84500000000000064</c:v>
                </c:pt>
                <c:pt idx="1">
                  <c:v>0.82600000000000062</c:v>
                </c:pt>
              </c:numCache>
            </c:numRef>
          </c:val>
        </c:ser>
        <c:ser>
          <c:idx val="3"/>
          <c:order val="3"/>
          <c:tx>
            <c:strRef>
              <c:f>Ocupados!$C$35</c:f>
              <c:strCache>
                <c:ptCount val="1"/>
                <c:pt idx="0">
                  <c:v>REINO UNIDO</c:v>
                </c:pt>
              </c:strCache>
            </c:strRef>
          </c:tx>
          <c:spPr>
            <a:ln w="12700">
              <a:solidFill>
                <a:srgbClr val="7AB800"/>
              </a:solidFill>
              <a:prstDash val="solid"/>
            </a:ln>
          </c:spPr>
          <c:marker>
            <c:symbol val="circle"/>
            <c:size val="3"/>
            <c:spPr>
              <a:solidFill>
                <a:srgbClr val="7AB800"/>
              </a:solidFill>
              <a:ln>
                <a:solidFill>
                  <a:srgbClr val="7AB800"/>
                </a:solidFill>
                <a:prstDash val="solid"/>
              </a:ln>
            </c:spPr>
          </c:marker>
          <c:dLbls>
            <c:dLbl>
              <c:idx val="0"/>
              <c:layout>
                <c:manualLayout>
                  <c:x val="-0.10340104642280766"/>
                  <c:y val="-1.0709504685408681E-2"/>
                </c:manualLayout>
              </c:layout>
              <c:showVal val="1"/>
            </c:dLbl>
            <c:showVal val="1"/>
          </c:dLbls>
          <c:cat>
            <c:numRef>
              <c:f>Ocupados!$D$31:$E$31</c:f>
              <c:numCache>
                <c:formatCode>General</c:formatCode>
                <c:ptCount val="2"/>
                <c:pt idx="0">
                  <c:v>2008</c:v>
                </c:pt>
                <c:pt idx="1">
                  <c:v>2009</c:v>
                </c:pt>
              </c:numCache>
            </c:numRef>
          </c:cat>
          <c:val>
            <c:numRef>
              <c:f>Ocupados!$D$35:$E$35</c:f>
              <c:numCache>
                <c:formatCode>0.0%</c:formatCode>
                <c:ptCount val="2"/>
                <c:pt idx="0">
                  <c:v>0.81299999999999994</c:v>
                </c:pt>
                <c:pt idx="1">
                  <c:v>0.79500000000000004</c:v>
                </c:pt>
              </c:numCache>
            </c:numRef>
          </c:val>
        </c:ser>
        <c:ser>
          <c:idx val="4"/>
          <c:order val="4"/>
          <c:tx>
            <c:strRef>
              <c:f>Ocupados!$C$36</c:f>
              <c:strCache>
                <c:ptCount val="1"/>
                <c:pt idx="0">
                  <c:v>ITALIA</c:v>
                </c:pt>
              </c:strCache>
            </c:strRef>
          </c:tx>
          <c:spPr>
            <a:ln w="12700">
              <a:solidFill>
                <a:srgbClr val="00338D"/>
              </a:solidFill>
              <a:prstDash val="solid"/>
            </a:ln>
          </c:spPr>
          <c:marker>
            <c:symbol val="diamond"/>
            <c:size val="3"/>
            <c:spPr>
              <a:solidFill>
                <a:srgbClr val="00338D"/>
              </a:solidFill>
              <a:ln>
                <a:solidFill>
                  <a:srgbClr val="00338D"/>
                </a:solidFill>
                <a:prstDash val="solid"/>
              </a:ln>
            </c:spPr>
          </c:marker>
          <c:dLbls>
            <c:dLbl>
              <c:idx val="0"/>
              <c:layout>
                <c:manualLayout>
                  <c:x val="-9.4769149479947398E-2"/>
                  <c:y val="-1.3636488210058488E-2"/>
                </c:manualLayout>
              </c:layout>
              <c:showVal val="1"/>
            </c:dLbl>
            <c:showVal val="1"/>
          </c:dLbls>
          <c:cat>
            <c:numRef>
              <c:f>Ocupados!$D$31:$E$31</c:f>
              <c:numCache>
                <c:formatCode>General</c:formatCode>
                <c:ptCount val="2"/>
                <c:pt idx="0">
                  <c:v>2008</c:v>
                </c:pt>
                <c:pt idx="1">
                  <c:v>2009</c:v>
                </c:pt>
              </c:numCache>
            </c:numRef>
          </c:cat>
          <c:val>
            <c:numRef>
              <c:f>Ocupados!$D$36:$E$36</c:f>
              <c:numCache>
                <c:formatCode>0.0%</c:formatCode>
                <c:ptCount val="2"/>
                <c:pt idx="0">
                  <c:v>0.65900000000001702</c:v>
                </c:pt>
                <c:pt idx="1">
                  <c:v>0.64000000000001556</c:v>
                </c:pt>
              </c:numCache>
            </c:numRef>
          </c:val>
        </c:ser>
        <c:marker val="1"/>
        <c:axId val="166041088"/>
        <c:axId val="166042624"/>
      </c:lineChart>
      <c:catAx>
        <c:axId val="166041088"/>
        <c:scaling>
          <c:orientation val="minMax"/>
        </c:scaling>
        <c:axPos val="b"/>
        <c:numFmt formatCode="General" sourceLinked="1"/>
        <c:tickLblPos val="low"/>
        <c:spPr>
          <a:ln w="3175">
            <a:solidFill>
              <a:srgbClr val="000000"/>
            </a:solidFill>
            <a:prstDash val="solid"/>
          </a:ln>
        </c:spPr>
        <c:crossAx val="166042624"/>
        <c:crosses val="autoZero"/>
        <c:auto val="1"/>
        <c:lblAlgn val="ctr"/>
        <c:lblOffset val="100"/>
      </c:catAx>
      <c:valAx>
        <c:axId val="166042624"/>
        <c:scaling>
          <c:orientation val="minMax"/>
          <c:min val="0.5"/>
        </c:scaling>
        <c:axPos val="l"/>
        <c:numFmt formatCode="0.0%" sourceLinked="1"/>
        <c:tickLblPos val="nextTo"/>
        <c:spPr>
          <a:ln w="3175">
            <a:solidFill>
              <a:srgbClr val="000000"/>
            </a:solidFill>
            <a:prstDash val="solid"/>
          </a:ln>
        </c:spPr>
        <c:crossAx val="166041088"/>
        <c:crosses val="autoZero"/>
        <c:crossBetween val="between"/>
      </c:valAx>
      <c:spPr>
        <a:noFill/>
        <a:ln w="25400">
          <a:noFill/>
        </a:ln>
      </c:spPr>
    </c:plotArea>
    <c:legend>
      <c:legendPos val="b"/>
      <c:layout>
        <c:manualLayout>
          <c:xMode val="edge"/>
          <c:yMode val="edge"/>
          <c:x val="1.7142857142857609E-2"/>
          <c:y val="0.8818181818181815"/>
          <c:w val="0.9"/>
          <c:h val="6.7479957050823533E-2"/>
        </c:manualLayout>
      </c:layout>
      <c:spPr>
        <a:noFill/>
        <a:ln w="25400">
          <a:noFill/>
        </a:ln>
      </c:spPr>
    </c:legend>
    <c:plotVisOnly val="1"/>
  </c:chart>
  <c:spPr>
    <a:noFill/>
    <a:ln w="9525">
      <a:noFill/>
    </a:ln>
  </c:spPr>
  <c:txPr>
    <a:bodyPr/>
    <a:lstStyle/>
    <a:p>
      <a:pPr>
        <a:defRPr sz="700" b="0" i="0">
          <a:solidFill>
            <a:srgbClr val="000000"/>
          </a:solidFill>
          <a:latin typeface="MinionPro-Regular"/>
          <a:ea typeface="Arial"/>
          <a:cs typeface="Arial"/>
        </a:defRPr>
      </a:pPr>
      <a:endParaRPr lang="es-ES"/>
    </a:p>
  </c:txPr>
  <c:externalData r:id="rId1"/>
</c:chartSpace>
</file>

<file path=word/charts/chart61.xml><?xml version="1.0" encoding="utf-8"?>
<c:chartSpace xmlns:c="http://schemas.openxmlformats.org/drawingml/2006/chart" xmlns:a="http://schemas.openxmlformats.org/drawingml/2006/main" xmlns:r="http://schemas.openxmlformats.org/officeDocument/2006/relationships">
  <c:date1904 val="1"/>
  <c:lang val="es-ES"/>
  <c:chart>
    <c:autoTitleDeleted val="1"/>
    <c:plotArea>
      <c:layout>
        <c:manualLayout>
          <c:layoutTarget val="inner"/>
          <c:xMode val="edge"/>
          <c:yMode val="edge"/>
          <c:x val="0.20877367829021368"/>
          <c:y val="9.3500032925995152E-2"/>
          <c:w val="0.73408346456692919"/>
          <c:h val="0.66321978569884332"/>
        </c:manualLayout>
      </c:layout>
      <c:lineChart>
        <c:grouping val="standard"/>
        <c:ser>
          <c:idx val="0"/>
          <c:order val="0"/>
          <c:tx>
            <c:strRef>
              <c:f>Ocupados!$C$17</c:f>
              <c:strCache>
                <c:ptCount val="1"/>
                <c:pt idx="0">
                  <c:v>ESPAÑA</c:v>
                </c:pt>
              </c:strCache>
            </c:strRef>
          </c:tx>
          <c:spPr>
            <a:ln w="12700">
              <a:solidFill>
                <a:srgbClr val="007C92"/>
              </a:solidFill>
              <a:prstDash val="solid"/>
            </a:ln>
          </c:spPr>
          <c:marker>
            <c:symbol val="diamond"/>
            <c:size val="3"/>
            <c:spPr>
              <a:solidFill>
                <a:srgbClr val="007C92"/>
              </a:solidFill>
              <a:ln>
                <a:solidFill>
                  <a:srgbClr val="007C92"/>
                </a:solidFill>
                <a:prstDash val="solid"/>
              </a:ln>
            </c:spPr>
          </c:marker>
          <c:dLbls>
            <c:dLbl>
              <c:idx val="0"/>
              <c:layout>
                <c:manualLayout>
                  <c:x val="-8.5714285714285701E-2"/>
                  <c:y val="-4.5454545454545504E-3"/>
                </c:manualLayout>
              </c:layout>
              <c:showVal val="1"/>
            </c:dLbl>
            <c:showVal val="1"/>
          </c:dLbls>
          <c:cat>
            <c:numRef>
              <c:f>Ocupados!$D$16:$E$16</c:f>
              <c:numCache>
                <c:formatCode>General</c:formatCode>
                <c:ptCount val="2"/>
                <c:pt idx="0">
                  <c:v>2008</c:v>
                </c:pt>
                <c:pt idx="1">
                  <c:v>2009</c:v>
                </c:pt>
              </c:numCache>
            </c:numRef>
          </c:cat>
          <c:val>
            <c:numRef>
              <c:f>Ocupados!$D$17:$E$17</c:f>
              <c:numCache>
                <c:formatCode>0.0%</c:formatCode>
                <c:ptCount val="2"/>
                <c:pt idx="0">
                  <c:v>0.29200000000000031</c:v>
                </c:pt>
                <c:pt idx="1">
                  <c:v>0.25000000000000006</c:v>
                </c:pt>
              </c:numCache>
            </c:numRef>
          </c:val>
        </c:ser>
        <c:ser>
          <c:idx val="1"/>
          <c:order val="1"/>
          <c:tx>
            <c:strRef>
              <c:f>Ocupados!$C$18</c:f>
              <c:strCache>
                <c:ptCount val="1"/>
                <c:pt idx="0">
                  <c:v>ALEMANIA</c:v>
                </c:pt>
              </c:strCache>
            </c:strRef>
          </c:tx>
          <c:spPr>
            <a:ln w="12700">
              <a:solidFill>
                <a:srgbClr val="8E258D"/>
              </a:solidFill>
              <a:prstDash val="solid"/>
            </a:ln>
          </c:spPr>
          <c:marker>
            <c:symbol val="square"/>
            <c:size val="3"/>
            <c:spPr>
              <a:solidFill>
                <a:srgbClr val="8E258D"/>
              </a:solidFill>
              <a:ln>
                <a:solidFill>
                  <a:srgbClr val="8E258D"/>
                </a:solidFill>
                <a:prstDash val="solid"/>
              </a:ln>
            </c:spPr>
          </c:marker>
          <c:dLbls>
            <c:dLbl>
              <c:idx val="0"/>
              <c:layout>
                <c:manualLayout>
                  <c:x val="-8.0000000000000043E-2"/>
                  <c:y val="0"/>
                </c:manualLayout>
              </c:layout>
              <c:showVal val="1"/>
            </c:dLbl>
            <c:showVal val="1"/>
          </c:dLbls>
          <c:cat>
            <c:numRef>
              <c:f>Ocupados!$D$16:$E$16</c:f>
              <c:numCache>
                <c:formatCode>General</c:formatCode>
                <c:ptCount val="2"/>
                <c:pt idx="0">
                  <c:v>2008</c:v>
                </c:pt>
                <c:pt idx="1">
                  <c:v>2009</c:v>
                </c:pt>
              </c:numCache>
            </c:numRef>
          </c:cat>
          <c:val>
            <c:numRef>
              <c:f>Ocupados!$D$18:$E$18</c:f>
              <c:numCache>
                <c:formatCode>0.0%</c:formatCode>
                <c:ptCount val="2"/>
                <c:pt idx="0">
                  <c:v>0.22600000000000001</c:v>
                </c:pt>
                <c:pt idx="1">
                  <c:v>0.22500000000000001</c:v>
                </c:pt>
              </c:numCache>
            </c:numRef>
          </c:val>
        </c:ser>
        <c:ser>
          <c:idx val="2"/>
          <c:order val="2"/>
          <c:tx>
            <c:strRef>
              <c:f>Ocupados!$C$19</c:f>
              <c:strCache>
                <c:ptCount val="1"/>
                <c:pt idx="0">
                  <c:v>SUECIA</c:v>
                </c:pt>
              </c:strCache>
            </c:strRef>
          </c:tx>
          <c:spPr>
            <a:ln w="12700">
              <a:solidFill>
                <a:srgbClr val="A79E70"/>
              </a:solidFill>
              <a:prstDash val="solid"/>
            </a:ln>
          </c:spPr>
          <c:marker>
            <c:symbol val="triangle"/>
            <c:size val="3"/>
            <c:spPr>
              <a:solidFill>
                <a:srgbClr val="A79E70"/>
              </a:solidFill>
              <a:ln>
                <a:solidFill>
                  <a:srgbClr val="A79E70"/>
                </a:solidFill>
                <a:prstDash val="solid"/>
              </a:ln>
            </c:spPr>
          </c:marker>
          <c:dLbls>
            <c:dLbl>
              <c:idx val="0"/>
              <c:layout>
                <c:manualLayout>
                  <c:x val="-8.5714285714285701E-2"/>
                  <c:y val="0"/>
                </c:manualLayout>
              </c:layout>
              <c:showVal val="1"/>
            </c:dLbl>
            <c:showVal val="1"/>
          </c:dLbls>
          <c:cat>
            <c:numRef>
              <c:f>Ocupados!$D$16:$E$16</c:f>
              <c:numCache>
                <c:formatCode>General</c:formatCode>
                <c:ptCount val="2"/>
                <c:pt idx="0">
                  <c:v>2008</c:v>
                </c:pt>
                <c:pt idx="1">
                  <c:v>2009</c:v>
                </c:pt>
              </c:numCache>
            </c:numRef>
          </c:cat>
          <c:val>
            <c:numRef>
              <c:f>Ocupados!$D$19:$E$19</c:f>
              <c:numCache>
                <c:formatCode>0.0%</c:formatCode>
                <c:ptCount val="2"/>
                <c:pt idx="0">
                  <c:v>0.27</c:v>
                </c:pt>
                <c:pt idx="1">
                  <c:v>0.29800000000000032</c:v>
                </c:pt>
              </c:numCache>
            </c:numRef>
          </c:val>
        </c:ser>
        <c:ser>
          <c:idx val="3"/>
          <c:order val="3"/>
          <c:tx>
            <c:strRef>
              <c:f>Ocupados!$C$20</c:f>
              <c:strCache>
                <c:ptCount val="1"/>
                <c:pt idx="0">
                  <c:v>REINO UNIDO</c:v>
                </c:pt>
              </c:strCache>
            </c:strRef>
          </c:tx>
          <c:spPr>
            <a:ln w="12700">
              <a:solidFill>
                <a:srgbClr val="7AB800"/>
              </a:solidFill>
              <a:prstDash val="solid"/>
            </a:ln>
          </c:spPr>
          <c:marker>
            <c:symbol val="circle"/>
            <c:size val="3"/>
            <c:spPr>
              <a:solidFill>
                <a:srgbClr val="7AB800"/>
              </a:solidFill>
              <a:ln>
                <a:solidFill>
                  <a:srgbClr val="7AB800"/>
                </a:solidFill>
                <a:prstDash val="solid"/>
              </a:ln>
            </c:spPr>
          </c:marker>
          <c:dLbls>
            <c:dLbl>
              <c:idx val="0"/>
              <c:layout>
                <c:manualLayout>
                  <c:x val="-8.2857142857143046E-2"/>
                  <c:y val="0"/>
                </c:manualLayout>
              </c:layout>
              <c:showVal val="1"/>
            </c:dLbl>
            <c:showVal val="1"/>
          </c:dLbls>
          <c:cat>
            <c:numRef>
              <c:f>Ocupados!$D$16:$E$16</c:f>
              <c:numCache>
                <c:formatCode>General</c:formatCode>
                <c:ptCount val="2"/>
                <c:pt idx="0">
                  <c:v>2008</c:v>
                </c:pt>
                <c:pt idx="1">
                  <c:v>2009</c:v>
                </c:pt>
              </c:numCache>
            </c:numRef>
          </c:cat>
          <c:val>
            <c:numRef>
              <c:f>Ocupados!$D$20:$E$20</c:f>
              <c:numCache>
                <c:formatCode>0.0%</c:formatCode>
                <c:ptCount val="2"/>
                <c:pt idx="0">
                  <c:v>0.34000000000000008</c:v>
                </c:pt>
                <c:pt idx="1">
                  <c:v>0.35200000000000031</c:v>
                </c:pt>
              </c:numCache>
            </c:numRef>
          </c:val>
        </c:ser>
        <c:ser>
          <c:idx val="4"/>
          <c:order val="4"/>
          <c:tx>
            <c:strRef>
              <c:f>Ocupados!$C$21</c:f>
              <c:strCache>
                <c:ptCount val="1"/>
                <c:pt idx="0">
                  <c:v>ITALIA</c:v>
                </c:pt>
              </c:strCache>
            </c:strRef>
          </c:tx>
          <c:spPr>
            <a:ln w="12700">
              <a:solidFill>
                <a:srgbClr val="00338D"/>
              </a:solidFill>
              <a:prstDash val="solid"/>
            </a:ln>
          </c:spPr>
          <c:marker>
            <c:symbol val="diamond"/>
            <c:size val="3"/>
            <c:spPr>
              <a:solidFill>
                <a:srgbClr val="00338D"/>
              </a:solidFill>
              <a:ln>
                <a:solidFill>
                  <a:srgbClr val="00338D"/>
                </a:solidFill>
                <a:prstDash val="solid"/>
              </a:ln>
            </c:spPr>
          </c:marker>
          <c:dLbls>
            <c:dLbl>
              <c:idx val="0"/>
              <c:layout>
                <c:manualLayout>
                  <c:x val="-7.714285714285711E-2"/>
                  <c:y val="0"/>
                </c:manualLayout>
              </c:layout>
              <c:showVal val="1"/>
            </c:dLbl>
            <c:showVal val="1"/>
          </c:dLbls>
          <c:cat>
            <c:numRef>
              <c:f>Ocupados!$D$16:$E$16</c:f>
              <c:numCache>
                <c:formatCode>General</c:formatCode>
                <c:ptCount val="2"/>
                <c:pt idx="0">
                  <c:v>2008</c:v>
                </c:pt>
                <c:pt idx="1">
                  <c:v>2009</c:v>
                </c:pt>
              </c:numCache>
            </c:numRef>
          </c:cat>
          <c:val>
            <c:numRef>
              <c:f>Ocupados!$D$21:$E$21</c:f>
              <c:numCache>
                <c:formatCode>0.0%</c:formatCode>
                <c:ptCount val="2"/>
                <c:pt idx="0">
                  <c:v>0.20200000000000001</c:v>
                </c:pt>
                <c:pt idx="1">
                  <c:v>0.193</c:v>
                </c:pt>
              </c:numCache>
            </c:numRef>
          </c:val>
        </c:ser>
        <c:marker val="1"/>
        <c:axId val="166092160"/>
        <c:axId val="166130816"/>
      </c:lineChart>
      <c:catAx>
        <c:axId val="166092160"/>
        <c:scaling>
          <c:orientation val="minMax"/>
        </c:scaling>
        <c:axPos val="b"/>
        <c:numFmt formatCode="General" sourceLinked="1"/>
        <c:tickLblPos val="low"/>
        <c:spPr>
          <a:ln w="3175">
            <a:solidFill>
              <a:srgbClr val="000000"/>
            </a:solidFill>
            <a:prstDash val="solid"/>
          </a:ln>
        </c:spPr>
        <c:crossAx val="166130816"/>
        <c:crosses val="autoZero"/>
        <c:auto val="1"/>
        <c:lblAlgn val="ctr"/>
        <c:lblOffset val="100"/>
      </c:catAx>
      <c:valAx>
        <c:axId val="166130816"/>
        <c:scaling>
          <c:orientation val="minMax"/>
          <c:min val="0.15000000000000024"/>
        </c:scaling>
        <c:axPos val="l"/>
        <c:numFmt formatCode="0.0%" sourceLinked="1"/>
        <c:tickLblPos val="nextTo"/>
        <c:spPr>
          <a:ln w="3175">
            <a:solidFill>
              <a:srgbClr val="000000"/>
            </a:solidFill>
            <a:prstDash val="solid"/>
          </a:ln>
        </c:spPr>
        <c:crossAx val="166092160"/>
        <c:crosses val="autoZero"/>
        <c:crossBetween val="between"/>
      </c:valAx>
      <c:spPr>
        <a:noFill/>
        <a:ln w="25400">
          <a:noFill/>
        </a:ln>
      </c:spPr>
    </c:plotArea>
    <c:legend>
      <c:legendPos val="b"/>
      <c:layout>
        <c:manualLayout>
          <c:xMode val="edge"/>
          <c:yMode val="edge"/>
          <c:x val="2.8571428571428591E-2"/>
          <c:y val="0.86363636363636354"/>
          <c:w val="0.9"/>
          <c:h val="6.7479957050823533E-2"/>
        </c:manualLayout>
      </c:layout>
      <c:spPr>
        <a:noFill/>
        <a:ln w="25400">
          <a:noFill/>
        </a:ln>
      </c:spPr>
    </c:legend>
    <c:plotVisOnly val="1"/>
  </c:chart>
  <c:spPr>
    <a:noFill/>
    <a:ln w="9525">
      <a:noFill/>
    </a:ln>
  </c:spPr>
  <c:txPr>
    <a:bodyPr/>
    <a:lstStyle/>
    <a:p>
      <a:pPr>
        <a:defRPr sz="700" b="0" i="0">
          <a:solidFill>
            <a:srgbClr val="000000"/>
          </a:solidFill>
          <a:latin typeface="MinionPro-Regular"/>
          <a:ea typeface="Arial"/>
          <a:cs typeface="Arial"/>
        </a:defRPr>
      </a:pPr>
      <a:endParaRPr lang="es-ES"/>
    </a:p>
  </c:txPr>
  <c:externalData r:id="rId1"/>
</c:chartSpace>
</file>

<file path=word/charts/chart62.xml><?xml version="1.0" encoding="utf-8"?>
<c:chartSpace xmlns:c="http://schemas.openxmlformats.org/drawingml/2006/chart" xmlns:a="http://schemas.openxmlformats.org/drawingml/2006/main" xmlns:r="http://schemas.openxmlformats.org/officeDocument/2006/relationships">
  <c:date1904 val="1"/>
  <c:lang val="es-ES"/>
  <c:chart>
    <c:autoTitleDeleted val="1"/>
    <c:plotArea>
      <c:layout>
        <c:manualLayout>
          <c:layoutTarget val="inner"/>
          <c:xMode val="edge"/>
          <c:yMode val="edge"/>
          <c:x val="0.12305939257592798"/>
          <c:y val="0.10271581961345741"/>
          <c:w val="0.77979775028122278"/>
          <c:h val="0.61764030064424524"/>
        </c:manualLayout>
      </c:layout>
      <c:lineChart>
        <c:grouping val="standard"/>
        <c:ser>
          <c:idx val="0"/>
          <c:order val="0"/>
          <c:tx>
            <c:strRef>
              <c:f>Educación!$C$77</c:f>
              <c:strCache>
                <c:ptCount val="1"/>
                <c:pt idx="0">
                  <c:v>ESPAÑA</c:v>
                </c:pt>
              </c:strCache>
            </c:strRef>
          </c:tx>
          <c:spPr>
            <a:ln w="12700">
              <a:solidFill>
                <a:srgbClr val="007C92"/>
              </a:solidFill>
              <a:prstDash val="solid"/>
            </a:ln>
          </c:spPr>
          <c:marker>
            <c:symbol val="diamond"/>
            <c:size val="3"/>
            <c:spPr>
              <a:solidFill>
                <a:srgbClr val="007C92"/>
              </a:solidFill>
              <a:ln>
                <a:solidFill>
                  <a:srgbClr val="007C92"/>
                </a:solidFill>
                <a:prstDash val="solid"/>
              </a:ln>
            </c:spPr>
          </c:marker>
          <c:dLbls>
            <c:dLbl>
              <c:idx val="0"/>
              <c:layout>
                <c:manualLayout>
                  <c:x val="-8.5714285714285701E-2"/>
                  <c:y val="0"/>
                </c:manualLayout>
              </c:layout>
              <c:showVal val="1"/>
            </c:dLbl>
            <c:txPr>
              <a:bodyPr/>
              <a:lstStyle/>
              <a:p>
                <a:pPr>
                  <a:defRPr sz="700"/>
                </a:pPr>
                <a:endParaRPr lang="es-ES"/>
              </a:p>
            </c:txPr>
            <c:showVal val="1"/>
          </c:dLbls>
          <c:cat>
            <c:numRef>
              <c:f>Educación!$D$76:$E$76</c:f>
              <c:numCache>
                <c:formatCode>General</c:formatCode>
                <c:ptCount val="2"/>
                <c:pt idx="0">
                  <c:v>2008</c:v>
                </c:pt>
                <c:pt idx="1">
                  <c:v>2009</c:v>
                </c:pt>
              </c:numCache>
            </c:numRef>
          </c:cat>
          <c:val>
            <c:numRef>
              <c:f>Educación!$D$77:$E$77</c:f>
              <c:numCache>
                <c:formatCode>0.0%</c:formatCode>
                <c:ptCount val="2"/>
                <c:pt idx="0">
                  <c:v>0.40500000000000008</c:v>
                </c:pt>
                <c:pt idx="1">
                  <c:v>0.42300000000000032</c:v>
                </c:pt>
              </c:numCache>
            </c:numRef>
          </c:val>
        </c:ser>
        <c:ser>
          <c:idx val="1"/>
          <c:order val="1"/>
          <c:tx>
            <c:strRef>
              <c:f>Educación!$C$78</c:f>
              <c:strCache>
                <c:ptCount val="1"/>
                <c:pt idx="0">
                  <c:v>ALEMANIA</c:v>
                </c:pt>
              </c:strCache>
            </c:strRef>
          </c:tx>
          <c:spPr>
            <a:ln w="12700">
              <a:solidFill>
                <a:srgbClr val="8E258D"/>
              </a:solidFill>
              <a:prstDash val="solid"/>
            </a:ln>
          </c:spPr>
          <c:marker>
            <c:symbol val="square"/>
            <c:size val="3"/>
            <c:spPr>
              <a:solidFill>
                <a:srgbClr val="8E258D"/>
              </a:solidFill>
              <a:ln>
                <a:solidFill>
                  <a:srgbClr val="8E258D"/>
                </a:solidFill>
                <a:prstDash val="solid"/>
              </a:ln>
            </c:spPr>
          </c:marker>
          <c:dLbls>
            <c:dLbl>
              <c:idx val="0"/>
              <c:layout>
                <c:manualLayout>
                  <c:x val="-7.714285714285711E-2"/>
                  <c:y val="0"/>
                </c:manualLayout>
              </c:layout>
              <c:showVal val="1"/>
            </c:dLbl>
            <c:txPr>
              <a:bodyPr/>
              <a:lstStyle/>
              <a:p>
                <a:pPr>
                  <a:defRPr sz="700"/>
                </a:pPr>
                <a:endParaRPr lang="es-ES"/>
              </a:p>
            </c:txPr>
            <c:showVal val="1"/>
          </c:dLbls>
          <c:cat>
            <c:numRef>
              <c:f>Educación!$D$76:$E$76</c:f>
              <c:numCache>
                <c:formatCode>General</c:formatCode>
                <c:ptCount val="2"/>
                <c:pt idx="0">
                  <c:v>2008</c:v>
                </c:pt>
                <c:pt idx="1">
                  <c:v>2009</c:v>
                </c:pt>
              </c:numCache>
            </c:numRef>
          </c:cat>
          <c:val>
            <c:numRef>
              <c:f>Educación!$D$78:$E$78</c:f>
              <c:numCache>
                <c:formatCode>0.0%</c:formatCode>
                <c:ptCount val="2"/>
                <c:pt idx="0">
                  <c:v>0.19900000000000001</c:v>
                </c:pt>
                <c:pt idx="1">
                  <c:v>0.24300000000000024</c:v>
                </c:pt>
              </c:numCache>
            </c:numRef>
          </c:val>
        </c:ser>
        <c:ser>
          <c:idx val="2"/>
          <c:order val="2"/>
          <c:tx>
            <c:strRef>
              <c:f>Educación!$C$79</c:f>
              <c:strCache>
                <c:ptCount val="1"/>
                <c:pt idx="0">
                  <c:v>SUECIA</c:v>
                </c:pt>
              </c:strCache>
            </c:strRef>
          </c:tx>
          <c:spPr>
            <a:ln w="12700">
              <a:solidFill>
                <a:srgbClr val="A79E70"/>
              </a:solidFill>
              <a:prstDash val="solid"/>
            </a:ln>
          </c:spPr>
          <c:marker>
            <c:symbol val="triangle"/>
            <c:size val="3"/>
            <c:spPr>
              <a:solidFill>
                <a:srgbClr val="A79E70"/>
              </a:solidFill>
              <a:ln>
                <a:solidFill>
                  <a:srgbClr val="A79E70"/>
                </a:solidFill>
                <a:prstDash val="solid"/>
              </a:ln>
            </c:spPr>
          </c:marker>
          <c:dLbls>
            <c:dLbl>
              <c:idx val="0"/>
              <c:layout>
                <c:manualLayout>
                  <c:x val="-7.714285714285711E-2"/>
                  <c:y val="1.8181818181818413E-2"/>
                </c:manualLayout>
              </c:layout>
              <c:showVal val="1"/>
            </c:dLbl>
            <c:dLbl>
              <c:idx val="1"/>
              <c:layout>
                <c:manualLayout>
                  <c:x val="2.8571428571428602E-3"/>
                  <c:y val="9.0909090909091547E-3"/>
                </c:manualLayout>
              </c:layout>
              <c:showVal val="1"/>
            </c:dLbl>
            <c:txPr>
              <a:bodyPr/>
              <a:lstStyle/>
              <a:p>
                <a:pPr>
                  <a:defRPr sz="700"/>
                </a:pPr>
                <a:endParaRPr lang="es-ES"/>
              </a:p>
            </c:txPr>
            <c:showVal val="1"/>
          </c:dLbls>
          <c:cat>
            <c:numRef>
              <c:f>Educación!$D$76:$E$76</c:f>
              <c:numCache>
                <c:formatCode>General</c:formatCode>
                <c:ptCount val="2"/>
                <c:pt idx="0">
                  <c:v>2008</c:v>
                </c:pt>
                <c:pt idx="1">
                  <c:v>2009</c:v>
                </c:pt>
              </c:numCache>
            </c:numRef>
          </c:cat>
          <c:val>
            <c:numRef>
              <c:f>Educación!$D$79:$E$79</c:f>
              <c:numCache>
                <c:formatCode>0.0%</c:formatCode>
                <c:ptCount val="2"/>
                <c:pt idx="0">
                  <c:v>0.12400000000000012</c:v>
                </c:pt>
                <c:pt idx="1">
                  <c:v>0.13</c:v>
                </c:pt>
              </c:numCache>
            </c:numRef>
          </c:val>
        </c:ser>
        <c:ser>
          <c:idx val="3"/>
          <c:order val="3"/>
          <c:tx>
            <c:strRef>
              <c:f>Educación!$C$80</c:f>
              <c:strCache>
                <c:ptCount val="1"/>
                <c:pt idx="0">
                  <c:v>REINO UNIDO</c:v>
                </c:pt>
              </c:strCache>
            </c:strRef>
          </c:tx>
          <c:spPr>
            <a:ln w="12700">
              <a:solidFill>
                <a:srgbClr val="7AB800"/>
              </a:solidFill>
              <a:prstDash val="solid"/>
            </a:ln>
          </c:spPr>
          <c:marker>
            <c:symbol val="circle"/>
            <c:size val="3"/>
            <c:spPr>
              <a:solidFill>
                <a:srgbClr val="7AB800"/>
              </a:solidFill>
              <a:ln>
                <a:solidFill>
                  <a:srgbClr val="7AB800"/>
                </a:solidFill>
                <a:prstDash val="solid"/>
              </a:ln>
            </c:spPr>
          </c:marker>
          <c:dLbls>
            <c:dLbl>
              <c:idx val="0"/>
              <c:layout>
                <c:manualLayout>
                  <c:x val="-7.714285714285711E-2"/>
                  <c:y val="0"/>
                </c:manualLayout>
              </c:layout>
              <c:showVal val="1"/>
            </c:dLbl>
            <c:txPr>
              <a:bodyPr/>
              <a:lstStyle/>
              <a:p>
                <a:pPr>
                  <a:defRPr sz="700"/>
                </a:pPr>
                <a:endParaRPr lang="es-ES"/>
              </a:p>
            </c:txPr>
            <c:showVal val="1"/>
          </c:dLbls>
          <c:cat>
            <c:numRef>
              <c:f>Educación!$D$76:$E$76</c:f>
              <c:numCache>
                <c:formatCode>General</c:formatCode>
                <c:ptCount val="2"/>
                <c:pt idx="0">
                  <c:v>2008</c:v>
                </c:pt>
                <c:pt idx="1">
                  <c:v>2009</c:v>
                </c:pt>
              </c:numCache>
            </c:numRef>
          </c:cat>
          <c:val>
            <c:numRef>
              <c:f>Educación!$D$80:$E$80</c:f>
              <c:numCache>
                <c:formatCode>0.0%</c:formatCode>
                <c:ptCount val="2"/>
                <c:pt idx="0">
                  <c:v>0.161</c:v>
                </c:pt>
                <c:pt idx="1">
                  <c:v>0.16600000000000001</c:v>
                </c:pt>
              </c:numCache>
            </c:numRef>
          </c:val>
        </c:ser>
        <c:marker val="1"/>
        <c:axId val="166154624"/>
        <c:axId val="166156160"/>
      </c:lineChart>
      <c:catAx>
        <c:axId val="166154624"/>
        <c:scaling>
          <c:orientation val="minMax"/>
        </c:scaling>
        <c:axPos val="b"/>
        <c:numFmt formatCode="General" sourceLinked="1"/>
        <c:tickLblPos val="low"/>
        <c:spPr>
          <a:ln w="3175">
            <a:solidFill>
              <a:srgbClr val="000000"/>
            </a:solidFill>
            <a:prstDash val="solid"/>
          </a:ln>
        </c:spPr>
        <c:txPr>
          <a:bodyPr/>
          <a:lstStyle/>
          <a:p>
            <a:pPr>
              <a:defRPr>
                <a:solidFill>
                  <a:srgbClr val="000000"/>
                </a:solidFill>
              </a:defRPr>
            </a:pPr>
            <a:endParaRPr lang="es-ES"/>
          </a:p>
        </c:txPr>
        <c:crossAx val="166156160"/>
        <c:crosses val="autoZero"/>
        <c:auto val="1"/>
        <c:lblAlgn val="ctr"/>
        <c:lblOffset val="100"/>
      </c:catAx>
      <c:valAx>
        <c:axId val="166156160"/>
        <c:scaling>
          <c:orientation val="minMax"/>
        </c:scaling>
        <c:axPos val="l"/>
        <c:numFmt formatCode="0.0%" sourceLinked="1"/>
        <c:tickLblPos val="nextTo"/>
        <c:spPr>
          <a:ln w="3175">
            <a:solidFill>
              <a:srgbClr val="000000"/>
            </a:solidFill>
            <a:prstDash val="solid"/>
          </a:ln>
        </c:spPr>
        <c:txPr>
          <a:bodyPr/>
          <a:lstStyle/>
          <a:p>
            <a:pPr>
              <a:defRPr sz="700">
                <a:solidFill>
                  <a:srgbClr val="000000"/>
                </a:solidFill>
              </a:defRPr>
            </a:pPr>
            <a:endParaRPr lang="es-ES"/>
          </a:p>
        </c:txPr>
        <c:crossAx val="166154624"/>
        <c:crosses val="autoZero"/>
        <c:crossBetween val="between"/>
      </c:valAx>
      <c:spPr>
        <a:noFill/>
        <a:ln w="25400">
          <a:noFill/>
        </a:ln>
      </c:spPr>
    </c:plotArea>
    <c:legend>
      <c:legendPos val="b"/>
      <c:layout>
        <c:manualLayout>
          <c:xMode val="edge"/>
          <c:yMode val="edge"/>
          <c:x val="0"/>
          <c:y val="0.83636363636363664"/>
          <c:w val="0.9"/>
          <c:h val="6.7479957050823533E-2"/>
        </c:manualLayout>
      </c:layout>
      <c:spPr>
        <a:noFill/>
        <a:ln w="25400">
          <a:noFill/>
        </a:ln>
      </c:spPr>
      <c:txPr>
        <a:bodyPr/>
        <a:lstStyle/>
        <a:p>
          <a:pPr>
            <a:defRPr sz="700">
              <a:solidFill>
                <a:srgbClr val="000000"/>
              </a:solidFill>
            </a:defRPr>
          </a:pPr>
          <a:endParaRPr lang="es-ES"/>
        </a:p>
      </c:txPr>
    </c:legend>
    <c:plotVisOnly val="1"/>
  </c:chart>
  <c:spPr>
    <a:noFill/>
    <a:ln w="9525">
      <a:noFill/>
    </a:ln>
  </c:spPr>
  <c:txPr>
    <a:bodyPr/>
    <a:lstStyle/>
    <a:p>
      <a:pPr>
        <a:defRPr sz="800" b="0" i="0">
          <a:solidFill>
            <a:srgbClr val="000000"/>
          </a:solidFill>
          <a:latin typeface="Arial"/>
          <a:ea typeface="Arial"/>
          <a:cs typeface="Arial"/>
        </a:defRPr>
      </a:pPr>
      <a:endParaRPr lang="es-ES"/>
    </a:p>
  </c:txPr>
  <c:externalData r:id="rId1"/>
</c:chartSpace>
</file>

<file path=word/charts/chart63.xml><?xml version="1.0" encoding="utf-8"?>
<c:chartSpace xmlns:c="http://schemas.openxmlformats.org/drawingml/2006/chart" xmlns:a="http://schemas.openxmlformats.org/drawingml/2006/main" xmlns:r="http://schemas.openxmlformats.org/officeDocument/2006/relationships">
  <c:date1904 val="1"/>
  <c:lang val="es-ES"/>
  <c:chart>
    <c:autoTitleDeleted val="1"/>
    <c:plotArea>
      <c:layout>
        <c:manualLayout>
          <c:layoutTarget val="inner"/>
          <c:xMode val="edge"/>
          <c:yMode val="edge"/>
          <c:x val="0.13734510686164414"/>
          <c:y val="0.12089763779527557"/>
          <c:w val="0.80265489313836669"/>
          <c:h val="0.5994584824624194"/>
        </c:manualLayout>
      </c:layout>
      <c:lineChart>
        <c:grouping val="standard"/>
        <c:ser>
          <c:idx val="0"/>
          <c:order val="0"/>
          <c:tx>
            <c:strRef>
              <c:f>Educación!$C$84</c:f>
              <c:strCache>
                <c:ptCount val="1"/>
                <c:pt idx="0">
                  <c:v>ESPAÑA</c:v>
                </c:pt>
              </c:strCache>
            </c:strRef>
          </c:tx>
          <c:spPr>
            <a:ln w="12700">
              <a:solidFill>
                <a:srgbClr val="007C92"/>
              </a:solidFill>
              <a:prstDash val="solid"/>
            </a:ln>
          </c:spPr>
          <c:marker>
            <c:symbol val="diamond"/>
            <c:size val="3"/>
            <c:spPr>
              <a:solidFill>
                <a:srgbClr val="007C92"/>
              </a:solidFill>
              <a:ln>
                <a:solidFill>
                  <a:srgbClr val="007C92"/>
                </a:solidFill>
                <a:prstDash val="solid"/>
              </a:ln>
            </c:spPr>
          </c:marker>
          <c:dLbls>
            <c:dLbl>
              <c:idx val="0"/>
              <c:layout>
                <c:manualLayout>
                  <c:x val="-8.0000000000000043E-2"/>
                  <c:y val="0"/>
                </c:manualLayout>
              </c:layout>
              <c:showVal val="1"/>
            </c:dLbl>
            <c:txPr>
              <a:bodyPr/>
              <a:lstStyle/>
              <a:p>
                <a:pPr>
                  <a:defRPr sz="700"/>
                </a:pPr>
                <a:endParaRPr lang="es-ES"/>
              </a:p>
            </c:txPr>
            <c:showVal val="1"/>
          </c:dLbls>
          <c:cat>
            <c:numRef>
              <c:f>Educación!$D$83:$E$83</c:f>
              <c:numCache>
                <c:formatCode>General</c:formatCode>
                <c:ptCount val="2"/>
                <c:pt idx="0">
                  <c:v>2008</c:v>
                </c:pt>
                <c:pt idx="1">
                  <c:v>2009</c:v>
                </c:pt>
              </c:numCache>
            </c:numRef>
          </c:cat>
          <c:val>
            <c:numRef>
              <c:f>Educación!$D$84:$E$84</c:f>
              <c:numCache>
                <c:formatCode>0.0%</c:formatCode>
                <c:ptCount val="2"/>
                <c:pt idx="0">
                  <c:v>0.27700000000000002</c:v>
                </c:pt>
                <c:pt idx="1">
                  <c:v>0.26500000000000001</c:v>
                </c:pt>
              </c:numCache>
            </c:numRef>
          </c:val>
        </c:ser>
        <c:ser>
          <c:idx val="1"/>
          <c:order val="1"/>
          <c:tx>
            <c:strRef>
              <c:f>Educación!$C$85</c:f>
              <c:strCache>
                <c:ptCount val="1"/>
                <c:pt idx="0">
                  <c:v>ALEMANIA</c:v>
                </c:pt>
              </c:strCache>
            </c:strRef>
          </c:tx>
          <c:spPr>
            <a:ln w="12700">
              <a:solidFill>
                <a:srgbClr val="8E258D"/>
              </a:solidFill>
              <a:prstDash val="solid"/>
            </a:ln>
          </c:spPr>
          <c:marker>
            <c:symbol val="square"/>
            <c:size val="3"/>
            <c:spPr>
              <a:solidFill>
                <a:srgbClr val="8E258D"/>
              </a:solidFill>
              <a:ln>
                <a:solidFill>
                  <a:srgbClr val="8E258D"/>
                </a:solidFill>
                <a:prstDash val="solid"/>
              </a:ln>
            </c:spPr>
          </c:marker>
          <c:dLbls>
            <c:dLbl>
              <c:idx val="0"/>
              <c:layout>
                <c:manualLayout>
                  <c:x val="-7.714285714285711E-2"/>
                  <c:y val="-1.8181818181818413E-2"/>
                </c:manualLayout>
              </c:layout>
              <c:showVal val="1"/>
            </c:dLbl>
            <c:dLbl>
              <c:idx val="1"/>
              <c:layout>
                <c:manualLayout>
                  <c:x val="0"/>
                  <c:y val="-1.8181818181818413E-2"/>
                </c:manualLayout>
              </c:layout>
              <c:showVal val="1"/>
            </c:dLbl>
            <c:txPr>
              <a:bodyPr/>
              <a:lstStyle/>
              <a:p>
                <a:pPr>
                  <a:defRPr sz="700"/>
                </a:pPr>
                <a:endParaRPr lang="es-ES"/>
              </a:p>
            </c:txPr>
            <c:showVal val="1"/>
          </c:dLbls>
          <c:cat>
            <c:numRef>
              <c:f>Educación!$D$83:$E$83</c:f>
              <c:numCache>
                <c:formatCode>General</c:formatCode>
                <c:ptCount val="2"/>
                <c:pt idx="0">
                  <c:v>2008</c:v>
                </c:pt>
                <c:pt idx="1">
                  <c:v>2009</c:v>
                </c:pt>
              </c:numCache>
            </c:numRef>
          </c:cat>
          <c:val>
            <c:numRef>
              <c:f>Educación!$D$85:$E$85</c:f>
              <c:numCache>
                <c:formatCode>0.0%</c:formatCode>
                <c:ptCount val="2"/>
                <c:pt idx="0">
                  <c:v>8.0000000000000043E-2</c:v>
                </c:pt>
                <c:pt idx="1">
                  <c:v>8.6000000000000021E-2</c:v>
                </c:pt>
              </c:numCache>
            </c:numRef>
          </c:val>
        </c:ser>
        <c:ser>
          <c:idx val="2"/>
          <c:order val="2"/>
          <c:tx>
            <c:strRef>
              <c:f>Educación!$C$86</c:f>
              <c:strCache>
                <c:ptCount val="1"/>
                <c:pt idx="0">
                  <c:v>SUECIA</c:v>
                </c:pt>
              </c:strCache>
            </c:strRef>
          </c:tx>
          <c:spPr>
            <a:ln w="12700">
              <a:solidFill>
                <a:srgbClr val="A79E70"/>
              </a:solidFill>
              <a:prstDash val="solid"/>
            </a:ln>
          </c:spPr>
          <c:marker>
            <c:symbol val="triangle"/>
            <c:size val="3"/>
            <c:spPr>
              <a:solidFill>
                <a:srgbClr val="A79E70"/>
              </a:solidFill>
              <a:ln>
                <a:solidFill>
                  <a:srgbClr val="A79E70"/>
                </a:solidFill>
                <a:prstDash val="solid"/>
              </a:ln>
            </c:spPr>
          </c:marker>
          <c:dLbls>
            <c:dLbl>
              <c:idx val="0"/>
              <c:layout>
                <c:manualLayout>
                  <c:x val="-7.714285714285711E-2"/>
                  <c:y val="1.3636363636363641E-2"/>
                </c:manualLayout>
              </c:layout>
              <c:showVal val="1"/>
            </c:dLbl>
            <c:txPr>
              <a:bodyPr/>
              <a:lstStyle/>
              <a:p>
                <a:pPr>
                  <a:defRPr sz="700"/>
                </a:pPr>
                <a:endParaRPr lang="es-ES"/>
              </a:p>
            </c:txPr>
            <c:showVal val="1"/>
          </c:dLbls>
          <c:cat>
            <c:numRef>
              <c:f>Educación!$D$83:$E$83</c:f>
              <c:numCache>
                <c:formatCode>General</c:formatCode>
                <c:ptCount val="2"/>
                <c:pt idx="0">
                  <c:v>2008</c:v>
                </c:pt>
                <c:pt idx="1">
                  <c:v>2009</c:v>
                </c:pt>
              </c:numCache>
            </c:numRef>
          </c:cat>
          <c:val>
            <c:numRef>
              <c:f>Educación!$D$86:$E$86</c:f>
              <c:numCache>
                <c:formatCode>0.0%</c:formatCode>
                <c:ptCount val="2"/>
                <c:pt idx="0">
                  <c:v>6.1000000000000013E-2</c:v>
                </c:pt>
                <c:pt idx="1">
                  <c:v>5.1999999999999998E-2</c:v>
                </c:pt>
              </c:numCache>
            </c:numRef>
          </c:val>
        </c:ser>
        <c:ser>
          <c:idx val="3"/>
          <c:order val="3"/>
          <c:tx>
            <c:strRef>
              <c:f>Educación!$C$87</c:f>
              <c:strCache>
                <c:ptCount val="1"/>
                <c:pt idx="0">
                  <c:v>REINO UNIDO</c:v>
                </c:pt>
              </c:strCache>
            </c:strRef>
          </c:tx>
          <c:spPr>
            <a:ln w="12700">
              <a:solidFill>
                <a:srgbClr val="7AB800"/>
              </a:solidFill>
              <a:prstDash val="solid"/>
            </a:ln>
          </c:spPr>
          <c:marker>
            <c:symbol val="circle"/>
            <c:size val="3"/>
            <c:spPr>
              <a:solidFill>
                <a:srgbClr val="7AB800"/>
              </a:solidFill>
              <a:ln>
                <a:solidFill>
                  <a:srgbClr val="7AB800"/>
                </a:solidFill>
                <a:prstDash val="solid"/>
              </a:ln>
            </c:spPr>
          </c:marker>
          <c:dLbls>
            <c:dLbl>
              <c:idx val="0"/>
              <c:layout>
                <c:manualLayout>
                  <c:x val="-7.714285714285711E-2"/>
                  <c:y val="0"/>
                </c:manualLayout>
              </c:layout>
              <c:showVal val="1"/>
            </c:dLbl>
            <c:txPr>
              <a:bodyPr/>
              <a:lstStyle/>
              <a:p>
                <a:pPr>
                  <a:defRPr sz="700"/>
                </a:pPr>
                <a:endParaRPr lang="es-ES"/>
              </a:p>
            </c:txPr>
            <c:showVal val="1"/>
          </c:dLbls>
          <c:cat>
            <c:numRef>
              <c:f>Educación!$D$83:$E$83</c:f>
              <c:numCache>
                <c:formatCode>General</c:formatCode>
                <c:ptCount val="2"/>
                <c:pt idx="0">
                  <c:v>2008</c:v>
                </c:pt>
                <c:pt idx="1">
                  <c:v>2009</c:v>
                </c:pt>
              </c:numCache>
            </c:numRef>
          </c:cat>
          <c:val>
            <c:numRef>
              <c:f>Educación!$D$87:$E$87</c:f>
              <c:numCache>
                <c:formatCode>0.0%</c:formatCode>
                <c:ptCount val="2"/>
                <c:pt idx="0">
                  <c:v>6.8000000000000019E-2</c:v>
                </c:pt>
                <c:pt idx="1">
                  <c:v>7.9000000000000514E-2</c:v>
                </c:pt>
              </c:numCache>
            </c:numRef>
          </c:val>
        </c:ser>
        <c:marker val="1"/>
        <c:axId val="166225024"/>
        <c:axId val="166226560"/>
      </c:lineChart>
      <c:catAx>
        <c:axId val="166225024"/>
        <c:scaling>
          <c:orientation val="minMax"/>
        </c:scaling>
        <c:axPos val="b"/>
        <c:numFmt formatCode="General" sourceLinked="1"/>
        <c:tickLblPos val="low"/>
        <c:spPr>
          <a:ln w="3175">
            <a:solidFill>
              <a:srgbClr val="000000"/>
            </a:solidFill>
            <a:prstDash val="solid"/>
          </a:ln>
        </c:spPr>
        <c:txPr>
          <a:bodyPr/>
          <a:lstStyle/>
          <a:p>
            <a:pPr>
              <a:defRPr>
                <a:solidFill>
                  <a:srgbClr val="000000"/>
                </a:solidFill>
              </a:defRPr>
            </a:pPr>
            <a:endParaRPr lang="es-ES"/>
          </a:p>
        </c:txPr>
        <c:crossAx val="166226560"/>
        <c:crosses val="autoZero"/>
        <c:auto val="1"/>
        <c:lblAlgn val="ctr"/>
        <c:lblOffset val="100"/>
      </c:catAx>
      <c:valAx>
        <c:axId val="166226560"/>
        <c:scaling>
          <c:orientation val="minMax"/>
        </c:scaling>
        <c:axPos val="l"/>
        <c:numFmt formatCode="0.0%" sourceLinked="1"/>
        <c:tickLblPos val="nextTo"/>
        <c:spPr>
          <a:ln w="3175">
            <a:solidFill>
              <a:srgbClr val="000000"/>
            </a:solidFill>
            <a:prstDash val="solid"/>
          </a:ln>
        </c:spPr>
        <c:txPr>
          <a:bodyPr/>
          <a:lstStyle/>
          <a:p>
            <a:pPr>
              <a:defRPr sz="700">
                <a:solidFill>
                  <a:srgbClr val="000000"/>
                </a:solidFill>
              </a:defRPr>
            </a:pPr>
            <a:endParaRPr lang="es-ES"/>
          </a:p>
        </c:txPr>
        <c:crossAx val="166225024"/>
        <c:crosses val="autoZero"/>
        <c:crossBetween val="between"/>
      </c:valAx>
      <c:spPr>
        <a:noFill/>
        <a:ln w="25400">
          <a:noFill/>
        </a:ln>
      </c:spPr>
    </c:plotArea>
    <c:legend>
      <c:legendPos val="b"/>
      <c:layout>
        <c:manualLayout>
          <c:xMode val="edge"/>
          <c:yMode val="edge"/>
          <c:x val="0"/>
          <c:y val="0.83636363636363664"/>
          <c:w val="0.9"/>
          <c:h val="6.7479957050823533E-2"/>
        </c:manualLayout>
      </c:layout>
      <c:spPr>
        <a:noFill/>
        <a:ln w="25400">
          <a:noFill/>
        </a:ln>
      </c:spPr>
      <c:txPr>
        <a:bodyPr/>
        <a:lstStyle/>
        <a:p>
          <a:pPr>
            <a:defRPr sz="700">
              <a:solidFill>
                <a:srgbClr val="000000"/>
              </a:solidFill>
            </a:defRPr>
          </a:pPr>
          <a:endParaRPr lang="es-ES"/>
        </a:p>
      </c:txPr>
    </c:legend>
    <c:plotVisOnly val="1"/>
  </c:chart>
  <c:spPr>
    <a:noFill/>
    <a:ln w="9525">
      <a:noFill/>
    </a:ln>
  </c:spPr>
  <c:txPr>
    <a:bodyPr/>
    <a:lstStyle/>
    <a:p>
      <a:pPr>
        <a:defRPr sz="800" b="0" i="0">
          <a:solidFill>
            <a:srgbClr val="000000"/>
          </a:solidFill>
          <a:latin typeface="Arial"/>
          <a:ea typeface="Arial"/>
          <a:cs typeface="Arial"/>
        </a:defRPr>
      </a:pPr>
      <a:endParaRPr lang="es-ES"/>
    </a:p>
  </c:txPr>
  <c:externalData r:id="rId1"/>
</c:chartSpace>
</file>

<file path=word/charts/chart64.xml><?xml version="1.0" encoding="utf-8"?>
<c:chartSpace xmlns:c="http://schemas.openxmlformats.org/drawingml/2006/chart" xmlns:a="http://schemas.openxmlformats.org/drawingml/2006/main" xmlns:r="http://schemas.openxmlformats.org/officeDocument/2006/relationships">
  <c:date1904 val="1"/>
  <c:lang val="es-ES"/>
  <c:chart>
    <c:autoTitleDeleted val="1"/>
    <c:plotArea>
      <c:layout>
        <c:manualLayout>
          <c:layoutTarget val="inner"/>
          <c:xMode val="edge"/>
          <c:yMode val="edge"/>
          <c:x val="0.15448796400450004"/>
          <c:y val="0.1436249105225483"/>
          <c:w val="0.80836917885263448"/>
          <c:h val="0.57218575518969261"/>
        </c:manualLayout>
      </c:layout>
      <c:lineChart>
        <c:grouping val="standard"/>
        <c:ser>
          <c:idx val="0"/>
          <c:order val="0"/>
          <c:tx>
            <c:strRef>
              <c:f>Educación!$C$69</c:f>
              <c:strCache>
                <c:ptCount val="1"/>
                <c:pt idx="0">
                  <c:v>ESPAÑA</c:v>
                </c:pt>
              </c:strCache>
            </c:strRef>
          </c:tx>
          <c:spPr>
            <a:ln w="12700">
              <a:solidFill>
                <a:srgbClr val="007C92"/>
              </a:solidFill>
              <a:prstDash val="solid"/>
            </a:ln>
          </c:spPr>
          <c:marker>
            <c:symbol val="diamond"/>
            <c:size val="3"/>
            <c:spPr>
              <a:solidFill>
                <a:srgbClr val="007C92"/>
              </a:solidFill>
              <a:ln>
                <a:solidFill>
                  <a:srgbClr val="007C92"/>
                </a:solidFill>
                <a:prstDash val="solid"/>
              </a:ln>
            </c:spPr>
          </c:marker>
          <c:dLbls>
            <c:dLbl>
              <c:idx val="0"/>
              <c:layout>
                <c:manualLayout>
                  <c:x val="-7.714285714285711E-2"/>
                  <c:y val="-1.8181818181818413E-2"/>
                </c:manualLayout>
              </c:layout>
              <c:showVal val="1"/>
            </c:dLbl>
            <c:dLbl>
              <c:idx val="1"/>
              <c:layout>
                <c:manualLayout>
                  <c:x val="-2.8571428571428602E-3"/>
                  <c:y val="-3.1818181818181836E-2"/>
                </c:manualLayout>
              </c:layout>
              <c:showVal val="1"/>
            </c:dLbl>
            <c:txPr>
              <a:bodyPr/>
              <a:lstStyle/>
              <a:p>
                <a:pPr>
                  <a:defRPr sz="700"/>
                </a:pPr>
                <a:endParaRPr lang="es-ES"/>
              </a:p>
            </c:txPr>
            <c:showVal val="1"/>
          </c:dLbls>
          <c:cat>
            <c:numRef>
              <c:f>Educación!$D$68:$E$68</c:f>
              <c:numCache>
                <c:formatCode>General</c:formatCode>
                <c:ptCount val="2"/>
                <c:pt idx="0">
                  <c:v>2008</c:v>
                </c:pt>
                <c:pt idx="1">
                  <c:v>2009</c:v>
                </c:pt>
              </c:numCache>
            </c:numRef>
          </c:cat>
          <c:val>
            <c:numRef>
              <c:f>Educación!$D$69:$E$69</c:f>
              <c:numCache>
                <c:formatCode>0.0%</c:formatCode>
                <c:ptCount val="2"/>
                <c:pt idx="0">
                  <c:v>0.128</c:v>
                </c:pt>
                <c:pt idx="1">
                  <c:v>0.15800000000000144</c:v>
                </c:pt>
              </c:numCache>
            </c:numRef>
          </c:val>
        </c:ser>
        <c:ser>
          <c:idx val="1"/>
          <c:order val="1"/>
          <c:tx>
            <c:strRef>
              <c:f>Educación!$C$70</c:f>
              <c:strCache>
                <c:ptCount val="1"/>
                <c:pt idx="0">
                  <c:v>ALEMANIA</c:v>
                </c:pt>
              </c:strCache>
            </c:strRef>
          </c:tx>
          <c:spPr>
            <a:ln w="12700">
              <a:solidFill>
                <a:srgbClr val="8E258D"/>
              </a:solidFill>
              <a:prstDash val="solid"/>
            </a:ln>
          </c:spPr>
          <c:marker>
            <c:symbol val="square"/>
            <c:size val="3"/>
            <c:spPr>
              <a:solidFill>
                <a:srgbClr val="8E258D"/>
              </a:solidFill>
              <a:ln>
                <a:solidFill>
                  <a:srgbClr val="8E258D"/>
                </a:solidFill>
                <a:prstDash val="solid"/>
              </a:ln>
            </c:spPr>
          </c:marker>
          <c:dLbls>
            <c:dLbl>
              <c:idx val="0"/>
              <c:layout>
                <c:manualLayout>
                  <c:x val="-7.714285714285711E-2"/>
                  <c:y val="9.0909090909091547E-3"/>
                </c:manualLayout>
              </c:layout>
              <c:showVal val="1"/>
            </c:dLbl>
            <c:dLbl>
              <c:idx val="1"/>
              <c:layout>
                <c:manualLayout>
                  <c:x val="0"/>
                  <c:y val="1.3636363636363641E-2"/>
                </c:manualLayout>
              </c:layout>
              <c:showVal val="1"/>
            </c:dLbl>
            <c:txPr>
              <a:bodyPr/>
              <a:lstStyle/>
              <a:p>
                <a:pPr>
                  <a:defRPr sz="700"/>
                </a:pPr>
                <a:endParaRPr lang="es-ES"/>
              </a:p>
            </c:txPr>
            <c:showVal val="1"/>
          </c:dLbls>
          <c:cat>
            <c:numRef>
              <c:f>Educación!$D$68:$E$68</c:f>
              <c:numCache>
                <c:formatCode>General</c:formatCode>
                <c:ptCount val="2"/>
                <c:pt idx="0">
                  <c:v>2008</c:v>
                </c:pt>
                <c:pt idx="1">
                  <c:v>2009</c:v>
                </c:pt>
              </c:numCache>
            </c:numRef>
          </c:cat>
          <c:val>
            <c:numRef>
              <c:f>Educación!$D$70:$E$70</c:f>
              <c:numCache>
                <c:formatCode>0.0%</c:formatCode>
                <c:ptCount val="2"/>
                <c:pt idx="0">
                  <c:v>0.11900000000000002</c:v>
                </c:pt>
                <c:pt idx="1">
                  <c:v>0.15700000000000044</c:v>
                </c:pt>
              </c:numCache>
            </c:numRef>
          </c:val>
        </c:ser>
        <c:ser>
          <c:idx val="2"/>
          <c:order val="2"/>
          <c:tx>
            <c:strRef>
              <c:f>Educación!$C$71</c:f>
              <c:strCache>
                <c:ptCount val="1"/>
                <c:pt idx="0">
                  <c:v>SUECIA</c:v>
                </c:pt>
              </c:strCache>
            </c:strRef>
          </c:tx>
          <c:spPr>
            <a:ln w="12700">
              <a:solidFill>
                <a:srgbClr val="A79E70"/>
              </a:solidFill>
              <a:prstDash val="solid"/>
            </a:ln>
          </c:spPr>
          <c:marker>
            <c:symbol val="triangle"/>
            <c:size val="3"/>
            <c:spPr>
              <a:solidFill>
                <a:srgbClr val="A79E70"/>
              </a:solidFill>
              <a:ln>
                <a:solidFill>
                  <a:srgbClr val="A79E70"/>
                </a:solidFill>
                <a:prstDash val="solid"/>
              </a:ln>
            </c:spPr>
          </c:marker>
          <c:dLbls>
            <c:dLbl>
              <c:idx val="0"/>
              <c:layout>
                <c:manualLayout>
                  <c:x val="-7.4285714285714274E-2"/>
                  <c:y val="0"/>
                </c:manualLayout>
              </c:layout>
              <c:showVal val="1"/>
            </c:dLbl>
            <c:txPr>
              <a:bodyPr/>
              <a:lstStyle/>
              <a:p>
                <a:pPr>
                  <a:defRPr sz="700"/>
                </a:pPr>
                <a:endParaRPr lang="es-ES"/>
              </a:p>
            </c:txPr>
            <c:showVal val="1"/>
          </c:dLbls>
          <c:cat>
            <c:numRef>
              <c:f>Educación!$D$68:$E$68</c:f>
              <c:numCache>
                <c:formatCode>General</c:formatCode>
                <c:ptCount val="2"/>
                <c:pt idx="0">
                  <c:v>2008</c:v>
                </c:pt>
                <c:pt idx="1">
                  <c:v>2009</c:v>
                </c:pt>
              </c:numCache>
            </c:numRef>
          </c:cat>
          <c:val>
            <c:numRef>
              <c:f>Educación!$D$71:$E$71</c:f>
              <c:numCache>
                <c:formatCode>0.0%</c:formatCode>
                <c:ptCount val="2"/>
                <c:pt idx="0">
                  <c:v>6.3E-2</c:v>
                </c:pt>
                <c:pt idx="1">
                  <c:v>7.8000000000000014E-2</c:v>
                </c:pt>
              </c:numCache>
            </c:numRef>
          </c:val>
        </c:ser>
        <c:ser>
          <c:idx val="3"/>
          <c:order val="3"/>
          <c:tx>
            <c:strRef>
              <c:f>Educación!$C$72</c:f>
              <c:strCache>
                <c:ptCount val="1"/>
                <c:pt idx="0">
                  <c:v>REINO UNIDO</c:v>
                </c:pt>
              </c:strCache>
            </c:strRef>
          </c:tx>
          <c:spPr>
            <a:ln w="12700">
              <a:solidFill>
                <a:srgbClr val="7AB800"/>
              </a:solidFill>
              <a:prstDash val="solid"/>
            </a:ln>
          </c:spPr>
          <c:marker>
            <c:symbol val="circle"/>
            <c:size val="3"/>
            <c:spPr>
              <a:solidFill>
                <a:srgbClr val="7AB800"/>
              </a:solidFill>
              <a:ln>
                <a:solidFill>
                  <a:srgbClr val="7AB800"/>
                </a:solidFill>
                <a:prstDash val="solid"/>
              </a:ln>
            </c:spPr>
          </c:marker>
          <c:dLbls>
            <c:dLbl>
              <c:idx val="0"/>
              <c:layout>
                <c:manualLayout>
                  <c:x val="-7.4285714285714274E-2"/>
                  <c:y val="0"/>
                </c:manualLayout>
              </c:layout>
              <c:showVal val="1"/>
            </c:dLbl>
            <c:dLbl>
              <c:idx val="1"/>
              <c:layout>
                <c:manualLayout>
                  <c:x val="0"/>
                  <c:y val="-1.3636363636363681E-2"/>
                </c:manualLayout>
              </c:layout>
              <c:showVal val="1"/>
            </c:dLbl>
            <c:txPr>
              <a:bodyPr/>
              <a:lstStyle/>
              <a:p>
                <a:pPr>
                  <a:defRPr sz="700"/>
                </a:pPr>
                <a:endParaRPr lang="es-ES"/>
              </a:p>
            </c:txPr>
            <c:showVal val="1"/>
          </c:dLbls>
          <c:cat>
            <c:numRef>
              <c:f>Educación!$D$68:$E$68</c:f>
              <c:numCache>
                <c:formatCode>General</c:formatCode>
                <c:ptCount val="2"/>
                <c:pt idx="0">
                  <c:v>2008</c:v>
                </c:pt>
                <c:pt idx="1">
                  <c:v>2009</c:v>
                </c:pt>
              </c:numCache>
            </c:numRef>
          </c:cat>
          <c:val>
            <c:numRef>
              <c:f>Educación!$D$72:$E$72</c:f>
              <c:numCache>
                <c:formatCode>0.0%</c:formatCode>
                <c:ptCount val="2"/>
                <c:pt idx="0">
                  <c:v>9.3000000000000208E-2</c:v>
                </c:pt>
                <c:pt idx="1">
                  <c:v>8.7000000000000008E-2</c:v>
                </c:pt>
              </c:numCache>
            </c:numRef>
          </c:val>
        </c:ser>
        <c:marker val="1"/>
        <c:axId val="167024512"/>
        <c:axId val="167026048"/>
      </c:lineChart>
      <c:catAx>
        <c:axId val="167024512"/>
        <c:scaling>
          <c:orientation val="minMax"/>
        </c:scaling>
        <c:axPos val="b"/>
        <c:numFmt formatCode="General" sourceLinked="1"/>
        <c:tickLblPos val="low"/>
        <c:spPr>
          <a:ln w="3175">
            <a:solidFill>
              <a:srgbClr val="000000"/>
            </a:solidFill>
            <a:prstDash val="solid"/>
          </a:ln>
        </c:spPr>
        <c:txPr>
          <a:bodyPr/>
          <a:lstStyle/>
          <a:p>
            <a:pPr>
              <a:defRPr>
                <a:solidFill>
                  <a:srgbClr val="000000"/>
                </a:solidFill>
              </a:defRPr>
            </a:pPr>
            <a:endParaRPr lang="es-ES"/>
          </a:p>
        </c:txPr>
        <c:crossAx val="167026048"/>
        <c:crosses val="autoZero"/>
        <c:auto val="1"/>
        <c:lblAlgn val="ctr"/>
        <c:lblOffset val="100"/>
      </c:catAx>
      <c:valAx>
        <c:axId val="167026048"/>
        <c:scaling>
          <c:orientation val="minMax"/>
        </c:scaling>
        <c:axPos val="l"/>
        <c:numFmt formatCode="0.0%" sourceLinked="1"/>
        <c:tickLblPos val="nextTo"/>
        <c:spPr>
          <a:ln w="3175">
            <a:solidFill>
              <a:srgbClr val="000000"/>
            </a:solidFill>
            <a:prstDash val="solid"/>
          </a:ln>
        </c:spPr>
        <c:txPr>
          <a:bodyPr/>
          <a:lstStyle/>
          <a:p>
            <a:pPr>
              <a:defRPr sz="700">
                <a:solidFill>
                  <a:srgbClr val="000000"/>
                </a:solidFill>
              </a:defRPr>
            </a:pPr>
            <a:endParaRPr lang="es-ES"/>
          </a:p>
        </c:txPr>
        <c:crossAx val="167024512"/>
        <c:crosses val="autoZero"/>
        <c:crossBetween val="between"/>
      </c:valAx>
      <c:spPr>
        <a:noFill/>
        <a:ln w="25400">
          <a:noFill/>
        </a:ln>
      </c:spPr>
    </c:plotArea>
    <c:legend>
      <c:legendPos val="b"/>
      <c:layout>
        <c:manualLayout>
          <c:xMode val="edge"/>
          <c:yMode val="edge"/>
          <c:x val="0"/>
          <c:y val="0.83636363636363664"/>
          <c:w val="0.9"/>
          <c:h val="6.7479957050823533E-2"/>
        </c:manualLayout>
      </c:layout>
      <c:spPr>
        <a:noFill/>
        <a:ln w="25400">
          <a:noFill/>
        </a:ln>
      </c:spPr>
      <c:txPr>
        <a:bodyPr/>
        <a:lstStyle/>
        <a:p>
          <a:pPr>
            <a:defRPr sz="700">
              <a:solidFill>
                <a:srgbClr val="000000"/>
              </a:solidFill>
            </a:defRPr>
          </a:pPr>
          <a:endParaRPr lang="es-ES"/>
        </a:p>
      </c:txPr>
    </c:legend>
    <c:plotVisOnly val="1"/>
  </c:chart>
  <c:spPr>
    <a:noFill/>
    <a:ln w="9525">
      <a:noFill/>
    </a:ln>
  </c:spPr>
  <c:txPr>
    <a:bodyPr/>
    <a:lstStyle/>
    <a:p>
      <a:pPr>
        <a:defRPr sz="800" b="0" i="0">
          <a:solidFill>
            <a:srgbClr val="000000"/>
          </a:solidFill>
          <a:latin typeface="Arial"/>
          <a:ea typeface="Arial"/>
          <a:cs typeface="Arial"/>
        </a:defRPr>
      </a:pPr>
      <a:endParaRPr lang="es-ES"/>
    </a:p>
  </c:txPr>
  <c:externalData r:id="rId1"/>
</c:chartSpace>
</file>

<file path=word/charts/chart65.xml><?xml version="1.0" encoding="utf-8"?>
<c:chartSpace xmlns:c="http://schemas.openxmlformats.org/drawingml/2006/chart" xmlns:a="http://schemas.openxmlformats.org/drawingml/2006/main" xmlns:r="http://schemas.openxmlformats.org/officeDocument/2006/relationships">
  <c:date1904 val="1"/>
  <c:lang val="es-ES"/>
  <c:chart>
    <c:autoTitleDeleted val="1"/>
    <c:plotArea>
      <c:layout>
        <c:manualLayout>
          <c:layoutTarget val="inner"/>
          <c:xMode val="edge"/>
          <c:yMode val="edge"/>
          <c:x val="0.16305939257593083"/>
          <c:y val="7.5443092340730183E-2"/>
          <c:w val="0.72836917885263497"/>
          <c:h val="0.70854939155332863"/>
        </c:manualLayout>
      </c:layout>
      <c:lineChart>
        <c:grouping val="standard"/>
        <c:ser>
          <c:idx val="0"/>
          <c:order val="0"/>
          <c:tx>
            <c:strRef>
              <c:f>Pobreza!$C$23</c:f>
              <c:strCache>
                <c:ptCount val="1"/>
                <c:pt idx="0">
                  <c:v>ESPAÑA</c:v>
                </c:pt>
              </c:strCache>
            </c:strRef>
          </c:tx>
          <c:spPr>
            <a:ln w="12700">
              <a:solidFill>
                <a:srgbClr val="007C92"/>
              </a:solidFill>
              <a:prstDash val="solid"/>
            </a:ln>
          </c:spPr>
          <c:marker>
            <c:symbol val="diamond"/>
            <c:size val="3"/>
            <c:spPr>
              <a:solidFill>
                <a:srgbClr val="007C92"/>
              </a:solidFill>
              <a:ln>
                <a:solidFill>
                  <a:srgbClr val="007C92"/>
                </a:solidFill>
                <a:prstDash val="solid"/>
              </a:ln>
            </c:spPr>
          </c:marker>
          <c:dLbls>
            <c:dLbl>
              <c:idx val="0"/>
              <c:layout>
                <c:manualLayout>
                  <c:x val="-9.4285778471699708E-2"/>
                  <c:y val="1.3661094323100241E-2"/>
                </c:manualLayout>
              </c:layout>
              <c:showVal val="1"/>
            </c:dLbl>
            <c:txPr>
              <a:bodyPr/>
              <a:lstStyle/>
              <a:p>
                <a:pPr>
                  <a:defRPr sz="700" b="0"/>
                </a:pPr>
                <a:endParaRPr lang="es-ES"/>
              </a:p>
            </c:txPr>
            <c:showVal val="1"/>
          </c:dLbls>
          <c:cat>
            <c:numRef>
              <c:f>Pobreza!$D$22:$E$22</c:f>
              <c:numCache>
                <c:formatCode>General</c:formatCode>
                <c:ptCount val="2"/>
                <c:pt idx="0">
                  <c:v>2008</c:v>
                </c:pt>
                <c:pt idx="1">
                  <c:v>2009</c:v>
                </c:pt>
              </c:numCache>
            </c:numRef>
          </c:cat>
          <c:val>
            <c:numRef>
              <c:f>Pobreza!$D$23:$E$23</c:f>
              <c:numCache>
                <c:formatCode>0.0%</c:formatCode>
                <c:ptCount val="2"/>
                <c:pt idx="0">
                  <c:v>0.22</c:v>
                </c:pt>
                <c:pt idx="1">
                  <c:v>0.22600000000000001</c:v>
                </c:pt>
              </c:numCache>
            </c:numRef>
          </c:val>
        </c:ser>
        <c:ser>
          <c:idx val="1"/>
          <c:order val="1"/>
          <c:tx>
            <c:strRef>
              <c:f>Pobreza!$C$24</c:f>
              <c:strCache>
                <c:ptCount val="1"/>
                <c:pt idx="0">
                  <c:v>ALEMANIA</c:v>
                </c:pt>
              </c:strCache>
            </c:strRef>
          </c:tx>
          <c:spPr>
            <a:ln w="12700">
              <a:solidFill>
                <a:srgbClr val="8E258D"/>
              </a:solidFill>
              <a:prstDash val="solid"/>
            </a:ln>
          </c:spPr>
          <c:marker>
            <c:symbol val="square"/>
            <c:size val="3"/>
            <c:spPr>
              <a:solidFill>
                <a:srgbClr val="8E258D"/>
              </a:solidFill>
              <a:ln>
                <a:solidFill>
                  <a:srgbClr val="8E258D"/>
                </a:solidFill>
                <a:prstDash val="solid"/>
              </a:ln>
            </c:spPr>
          </c:marker>
          <c:dLbls>
            <c:dLbl>
              <c:idx val="0"/>
              <c:delete val="1"/>
            </c:dLbl>
            <c:dLbl>
              <c:idx val="1"/>
              <c:layout>
                <c:manualLayout>
                  <c:x val="0"/>
                  <c:y val="-2.7272727272727719E-2"/>
                </c:manualLayout>
              </c:layout>
              <c:showVal val="1"/>
            </c:dLbl>
            <c:txPr>
              <a:bodyPr/>
              <a:lstStyle/>
              <a:p>
                <a:pPr>
                  <a:defRPr sz="600"/>
                </a:pPr>
                <a:endParaRPr lang="es-ES"/>
              </a:p>
            </c:txPr>
            <c:showVal val="1"/>
          </c:dLbls>
          <c:cat>
            <c:numRef>
              <c:f>Pobreza!$D$22:$E$22</c:f>
              <c:numCache>
                <c:formatCode>General</c:formatCode>
                <c:ptCount val="2"/>
                <c:pt idx="0">
                  <c:v>2008</c:v>
                </c:pt>
                <c:pt idx="1">
                  <c:v>2009</c:v>
                </c:pt>
              </c:numCache>
            </c:numRef>
          </c:cat>
          <c:val>
            <c:numRef>
              <c:f>Pobreza!$D$24:$E$24</c:f>
              <c:numCache>
                <c:formatCode>0.0%</c:formatCode>
                <c:ptCount val="2"/>
                <c:pt idx="0">
                  <c:v>0.22</c:v>
                </c:pt>
                <c:pt idx="1">
                  <c:v>0.22800000000000001</c:v>
                </c:pt>
              </c:numCache>
            </c:numRef>
          </c:val>
        </c:ser>
        <c:ser>
          <c:idx val="2"/>
          <c:order val="2"/>
          <c:tx>
            <c:strRef>
              <c:f>Pobreza!$C$25</c:f>
              <c:strCache>
                <c:ptCount val="1"/>
                <c:pt idx="0">
                  <c:v>SUECIA</c:v>
                </c:pt>
              </c:strCache>
            </c:strRef>
          </c:tx>
          <c:spPr>
            <a:ln w="12700">
              <a:solidFill>
                <a:srgbClr val="A79E70"/>
              </a:solidFill>
              <a:prstDash val="solid"/>
            </a:ln>
          </c:spPr>
          <c:marker>
            <c:symbol val="triangle"/>
            <c:size val="3"/>
            <c:spPr>
              <a:solidFill>
                <a:srgbClr val="A79E70"/>
              </a:solidFill>
              <a:ln>
                <a:solidFill>
                  <a:srgbClr val="A79E70"/>
                </a:solidFill>
                <a:prstDash val="solid"/>
              </a:ln>
            </c:spPr>
          </c:marker>
          <c:dLbls>
            <c:dLbl>
              <c:idx val="0"/>
              <c:layout>
                <c:manualLayout>
                  <c:x val="-8.5714285714285701E-2"/>
                  <c:y val="0"/>
                </c:manualLayout>
              </c:layout>
              <c:showVal val="1"/>
            </c:dLbl>
            <c:dLbl>
              <c:idx val="1"/>
              <c:layout>
                <c:manualLayout>
                  <c:x val="2.8571428571428602E-3"/>
                  <c:y val="2.2727272727273432E-2"/>
                </c:manualLayout>
              </c:layout>
              <c:showVal val="1"/>
            </c:dLbl>
            <c:txPr>
              <a:bodyPr/>
              <a:lstStyle/>
              <a:p>
                <a:pPr>
                  <a:defRPr sz="600"/>
                </a:pPr>
                <a:endParaRPr lang="es-ES"/>
              </a:p>
            </c:txPr>
            <c:showVal val="1"/>
          </c:dLbls>
          <c:cat>
            <c:numRef>
              <c:f>Pobreza!$D$22:$E$22</c:f>
              <c:numCache>
                <c:formatCode>General</c:formatCode>
                <c:ptCount val="2"/>
                <c:pt idx="0">
                  <c:v>2008</c:v>
                </c:pt>
                <c:pt idx="1">
                  <c:v>2009</c:v>
                </c:pt>
              </c:numCache>
            </c:numRef>
          </c:cat>
          <c:val>
            <c:numRef>
              <c:f>Pobreza!$D$25:$E$25</c:f>
              <c:numCache>
                <c:formatCode>0.0%</c:formatCode>
                <c:ptCount val="2"/>
                <c:pt idx="0">
                  <c:v>0.12200000000000009</c:v>
                </c:pt>
                <c:pt idx="1">
                  <c:v>0.15900000000000097</c:v>
                </c:pt>
              </c:numCache>
            </c:numRef>
          </c:val>
        </c:ser>
        <c:ser>
          <c:idx val="3"/>
          <c:order val="3"/>
          <c:tx>
            <c:strRef>
              <c:f>Pobreza!$C$26</c:f>
              <c:strCache>
                <c:ptCount val="1"/>
                <c:pt idx="0">
                  <c:v>REINO UNIDO</c:v>
                </c:pt>
              </c:strCache>
            </c:strRef>
          </c:tx>
          <c:spPr>
            <a:ln w="12700">
              <a:solidFill>
                <a:srgbClr val="7AB800"/>
              </a:solidFill>
              <a:prstDash val="solid"/>
            </a:ln>
          </c:spPr>
          <c:marker>
            <c:symbol val="circle"/>
            <c:size val="3"/>
            <c:spPr>
              <a:solidFill>
                <a:srgbClr val="7AB800"/>
              </a:solidFill>
              <a:ln>
                <a:solidFill>
                  <a:srgbClr val="7AB800"/>
                </a:solidFill>
                <a:prstDash val="solid"/>
              </a:ln>
            </c:spPr>
          </c:marker>
          <c:dLbls>
            <c:dLbl>
              <c:idx val="0"/>
              <c:layout>
                <c:manualLayout>
                  <c:x val="-9.4285714285714181E-2"/>
                  <c:y val="-1.8181818181818372E-2"/>
                </c:manualLayout>
              </c:layout>
              <c:showVal val="1"/>
            </c:dLbl>
            <c:dLbl>
              <c:idx val="1"/>
              <c:layout>
                <c:manualLayout>
                  <c:x val="2.8571428571428602E-3"/>
                  <c:y val="2.7272727272727761E-2"/>
                </c:manualLayout>
              </c:layout>
              <c:showVal val="1"/>
            </c:dLbl>
            <c:txPr>
              <a:bodyPr/>
              <a:lstStyle/>
              <a:p>
                <a:pPr>
                  <a:defRPr sz="700"/>
                </a:pPr>
                <a:endParaRPr lang="es-ES"/>
              </a:p>
            </c:txPr>
            <c:showVal val="1"/>
          </c:dLbls>
          <c:cat>
            <c:numRef>
              <c:f>Pobreza!$D$22:$E$22</c:f>
              <c:numCache>
                <c:formatCode>General</c:formatCode>
                <c:ptCount val="2"/>
                <c:pt idx="0">
                  <c:v>2008</c:v>
                </c:pt>
                <c:pt idx="1">
                  <c:v>2009</c:v>
                </c:pt>
              </c:numCache>
            </c:numRef>
          </c:cat>
          <c:val>
            <c:numRef>
              <c:f>Pobreza!$D$26:$E$26</c:f>
              <c:numCache>
                <c:formatCode>0.0%</c:formatCode>
                <c:ptCount val="2"/>
                <c:pt idx="0">
                  <c:v>0.23500000000000001</c:v>
                </c:pt>
                <c:pt idx="1">
                  <c:v>0.22500000000000001</c:v>
                </c:pt>
              </c:numCache>
            </c:numRef>
          </c:val>
        </c:ser>
        <c:ser>
          <c:idx val="4"/>
          <c:order val="4"/>
          <c:tx>
            <c:strRef>
              <c:f>Pobreza!$C$27</c:f>
              <c:strCache>
                <c:ptCount val="1"/>
                <c:pt idx="0">
                  <c:v>ITALIA</c:v>
                </c:pt>
              </c:strCache>
            </c:strRef>
          </c:tx>
          <c:spPr>
            <a:ln w="12700">
              <a:solidFill>
                <a:srgbClr val="00338D"/>
              </a:solidFill>
              <a:prstDash val="solid"/>
            </a:ln>
          </c:spPr>
          <c:marker>
            <c:symbol val="diamond"/>
            <c:size val="3"/>
            <c:spPr>
              <a:solidFill>
                <a:srgbClr val="00338D"/>
              </a:solidFill>
              <a:ln>
                <a:solidFill>
                  <a:srgbClr val="00338D"/>
                </a:solidFill>
                <a:prstDash val="solid"/>
              </a:ln>
            </c:spPr>
          </c:marker>
          <c:dLbls>
            <c:dLbl>
              <c:idx val="0"/>
              <c:layout>
                <c:manualLayout>
                  <c:x val="-9.1428571428571401E-2"/>
                  <c:y val="9.0909090909091547E-3"/>
                </c:manualLayout>
              </c:layout>
              <c:showVal val="1"/>
            </c:dLbl>
            <c:txPr>
              <a:bodyPr/>
              <a:lstStyle/>
              <a:p>
                <a:pPr>
                  <a:defRPr sz="600"/>
                </a:pPr>
                <a:endParaRPr lang="es-ES"/>
              </a:p>
            </c:txPr>
            <c:showVal val="1"/>
          </c:dLbls>
          <c:cat>
            <c:numRef>
              <c:f>Pobreza!$D$22:$E$22</c:f>
              <c:numCache>
                <c:formatCode>General</c:formatCode>
                <c:ptCount val="2"/>
                <c:pt idx="0">
                  <c:v>2008</c:v>
                </c:pt>
                <c:pt idx="1">
                  <c:v>2009</c:v>
                </c:pt>
              </c:numCache>
            </c:numRef>
          </c:cat>
          <c:val>
            <c:numRef>
              <c:f>Pobreza!$D$27:$E$27</c:f>
              <c:numCache>
                <c:formatCode>0.0%</c:formatCode>
                <c:ptCount val="2"/>
                <c:pt idx="0">
                  <c:v>0.191</c:v>
                </c:pt>
                <c:pt idx="1">
                  <c:v>0.19400000000000001</c:v>
                </c:pt>
              </c:numCache>
            </c:numRef>
          </c:val>
        </c:ser>
        <c:marker val="1"/>
        <c:axId val="168886272"/>
        <c:axId val="168887808"/>
      </c:lineChart>
      <c:catAx>
        <c:axId val="168886272"/>
        <c:scaling>
          <c:orientation val="minMax"/>
        </c:scaling>
        <c:axPos val="b"/>
        <c:numFmt formatCode="General" sourceLinked="1"/>
        <c:tickLblPos val="low"/>
        <c:spPr>
          <a:ln w="3175">
            <a:solidFill>
              <a:srgbClr val="000000"/>
            </a:solidFill>
            <a:prstDash val="solid"/>
          </a:ln>
        </c:spPr>
        <c:txPr>
          <a:bodyPr/>
          <a:lstStyle/>
          <a:p>
            <a:pPr>
              <a:defRPr>
                <a:solidFill>
                  <a:srgbClr val="000000"/>
                </a:solidFill>
              </a:defRPr>
            </a:pPr>
            <a:endParaRPr lang="es-ES"/>
          </a:p>
        </c:txPr>
        <c:crossAx val="168887808"/>
        <c:crosses val="autoZero"/>
        <c:auto val="1"/>
        <c:lblAlgn val="ctr"/>
        <c:lblOffset val="100"/>
      </c:catAx>
      <c:valAx>
        <c:axId val="168887808"/>
        <c:scaling>
          <c:orientation val="minMax"/>
          <c:min val="0.1"/>
        </c:scaling>
        <c:axPos val="l"/>
        <c:numFmt formatCode="0.0%" sourceLinked="1"/>
        <c:tickLblPos val="nextTo"/>
        <c:spPr>
          <a:ln w="3175">
            <a:solidFill>
              <a:srgbClr val="000000"/>
            </a:solidFill>
            <a:prstDash val="solid"/>
          </a:ln>
        </c:spPr>
        <c:txPr>
          <a:bodyPr/>
          <a:lstStyle/>
          <a:p>
            <a:pPr>
              <a:defRPr sz="700">
                <a:solidFill>
                  <a:srgbClr val="000000"/>
                </a:solidFill>
              </a:defRPr>
            </a:pPr>
            <a:endParaRPr lang="es-ES"/>
          </a:p>
        </c:txPr>
        <c:crossAx val="168886272"/>
        <c:crosses val="autoZero"/>
        <c:crossBetween val="between"/>
      </c:valAx>
      <c:spPr>
        <a:noFill/>
        <a:ln w="25400">
          <a:noFill/>
        </a:ln>
      </c:spPr>
    </c:plotArea>
    <c:legend>
      <c:legendPos val="b"/>
      <c:layout>
        <c:manualLayout>
          <c:xMode val="edge"/>
          <c:yMode val="edge"/>
          <c:x val="8.5714285714285736E-3"/>
          <c:y val="0.87272727272727968"/>
          <c:w val="0.9"/>
          <c:h val="6.7479957050823533E-2"/>
        </c:manualLayout>
      </c:layout>
      <c:spPr>
        <a:noFill/>
        <a:ln w="25400">
          <a:noFill/>
        </a:ln>
      </c:spPr>
      <c:txPr>
        <a:bodyPr/>
        <a:lstStyle/>
        <a:p>
          <a:pPr>
            <a:defRPr sz="700">
              <a:solidFill>
                <a:srgbClr val="000000"/>
              </a:solidFill>
            </a:defRPr>
          </a:pPr>
          <a:endParaRPr lang="es-ES"/>
        </a:p>
      </c:txPr>
    </c:legend>
    <c:plotVisOnly val="1"/>
  </c:chart>
  <c:spPr>
    <a:noFill/>
    <a:ln w="9525">
      <a:noFill/>
    </a:ln>
  </c:spPr>
  <c:txPr>
    <a:bodyPr/>
    <a:lstStyle/>
    <a:p>
      <a:pPr>
        <a:defRPr sz="800" b="0" i="0">
          <a:solidFill>
            <a:srgbClr val="000000"/>
          </a:solidFill>
          <a:latin typeface="Arial"/>
          <a:ea typeface="Arial"/>
          <a:cs typeface="Arial"/>
        </a:defRPr>
      </a:pPr>
      <a:endParaRPr lang="es-ES"/>
    </a:p>
  </c:txPr>
  <c:externalData r:id="rId1"/>
</c:chartSpace>
</file>

<file path=word/charts/chart66.xml><?xml version="1.0" encoding="utf-8"?>
<c:chartSpace xmlns:c="http://schemas.openxmlformats.org/drawingml/2006/chart" xmlns:a="http://schemas.openxmlformats.org/drawingml/2006/main" xmlns:r="http://schemas.openxmlformats.org/officeDocument/2006/relationships">
  <c:date1904 val="1"/>
  <c:lang val="es-ES"/>
  <c:chart>
    <c:autoTitleDeleted val="1"/>
    <c:plotArea>
      <c:layout>
        <c:manualLayout>
          <c:layoutTarget val="inner"/>
          <c:xMode val="edge"/>
          <c:yMode val="edge"/>
          <c:x val="0.22591653543307091"/>
          <c:y val="0.12089763779527557"/>
          <c:w val="0.66551203599550068"/>
          <c:h val="0.58127666428059999"/>
        </c:manualLayout>
      </c:layout>
      <c:lineChart>
        <c:grouping val="standard"/>
        <c:ser>
          <c:idx val="0"/>
          <c:order val="0"/>
          <c:tx>
            <c:strRef>
              <c:f>Pobreza!$C$31</c:f>
              <c:strCache>
                <c:ptCount val="1"/>
                <c:pt idx="0">
                  <c:v>ESPAÑA</c:v>
                </c:pt>
              </c:strCache>
            </c:strRef>
          </c:tx>
          <c:spPr>
            <a:ln w="12700">
              <a:solidFill>
                <a:srgbClr val="007C92"/>
              </a:solidFill>
              <a:prstDash val="solid"/>
            </a:ln>
          </c:spPr>
          <c:marker>
            <c:symbol val="diamond"/>
            <c:size val="3"/>
            <c:spPr>
              <a:solidFill>
                <a:srgbClr val="007C92"/>
              </a:solidFill>
              <a:ln>
                <a:solidFill>
                  <a:srgbClr val="007C92"/>
                </a:solidFill>
                <a:prstDash val="solid"/>
              </a:ln>
            </c:spPr>
          </c:marker>
          <c:dLbls>
            <c:dLbl>
              <c:idx val="0"/>
              <c:layout>
                <c:manualLayout>
                  <c:x val="-8.5714285714285701E-2"/>
                  <c:y val="3.1818181818181808E-2"/>
                </c:manualLayout>
              </c:layout>
              <c:showVal val="1"/>
            </c:dLbl>
            <c:txPr>
              <a:bodyPr/>
              <a:lstStyle/>
              <a:p>
                <a:pPr>
                  <a:defRPr sz="700"/>
                </a:pPr>
                <a:endParaRPr lang="es-ES"/>
              </a:p>
            </c:txPr>
            <c:showVal val="1"/>
          </c:dLbls>
          <c:cat>
            <c:numRef>
              <c:f>Pobreza!$D$30:$E$30</c:f>
              <c:numCache>
                <c:formatCode>General</c:formatCode>
                <c:ptCount val="2"/>
                <c:pt idx="0">
                  <c:v>2008</c:v>
                </c:pt>
                <c:pt idx="1">
                  <c:v>2009</c:v>
                </c:pt>
              </c:numCache>
            </c:numRef>
          </c:cat>
          <c:val>
            <c:numRef>
              <c:f>Pobreza!$D$31:$E$31</c:f>
              <c:numCache>
                <c:formatCode>0.0%</c:formatCode>
                <c:ptCount val="2"/>
                <c:pt idx="0">
                  <c:v>0.15900000000000158</c:v>
                </c:pt>
                <c:pt idx="1">
                  <c:v>0.16400000000000001</c:v>
                </c:pt>
              </c:numCache>
            </c:numRef>
          </c:val>
        </c:ser>
        <c:ser>
          <c:idx val="1"/>
          <c:order val="1"/>
          <c:tx>
            <c:strRef>
              <c:f>Pobreza!$C$32</c:f>
              <c:strCache>
                <c:ptCount val="1"/>
                <c:pt idx="0">
                  <c:v>ALEMANIA</c:v>
                </c:pt>
              </c:strCache>
            </c:strRef>
          </c:tx>
          <c:spPr>
            <a:ln w="12700">
              <a:solidFill>
                <a:srgbClr val="8E258D"/>
              </a:solidFill>
              <a:prstDash val="solid"/>
            </a:ln>
          </c:spPr>
          <c:marker>
            <c:symbol val="square"/>
            <c:size val="3"/>
            <c:spPr>
              <a:solidFill>
                <a:srgbClr val="8E258D"/>
              </a:solidFill>
              <a:ln>
                <a:solidFill>
                  <a:srgbClr val="8E258D"/>
                </a:solidFill>
                <a:prstDash val="solid"/>
              </a:ln>
            </c:spPr>
          </c:marker>
          <c:dLbls>
            <c:dLbl>
              <c:idx val="0"/>
              <c:layout>
                <c:manualLayout>
                  <c:x val="-8.2857142857143046E-2"/>
                  <c:y val="-9.0909090909091547E-3"/>
                </c:manualLayout>
              </c:layout>
              <c:showVal val="1"/>
            </c:dLbl>
            <c:txPr>
              <a:bodyPr/>
              <a:lstStyle/>
              <a:p>
                <a:pPr>
                  <a:defRPr sz="700"/>
                </a:pPr>
                <a:endParaRPr lang="es-ES"/>
              </a:p>
            </c:txPr>
            <c:showVal val="1"/>
          </c:dLbls>
          <c:cat>
            <c:numRef>
              <c:f>Pobreza!$D$30:$E$30</c:f>
              <c:numCache>
                <c:formatCode>General</c:formatCode>
                <c:ptCount val="2"/>
                <c:pt idx="0">
                  <c:v>2008</c:v>
                </c:pt>
                <c:pt idx="1">
                  <c:v>2009</c:v>
                </c:pt>
              </c:numCache>
            </c:numRef>
          </c:cat>
          <c:val>
            <c:numRef>
              <c:f>Pobreza!$D$32:$E$32</c:f>
              <c:numCache>
                <c:formatCode>0.0%</c:formatCode>
                <c:ptCount val="2"/>
                <c:pt idx="0">
                  <c:v>0.11700000000000002</c:v>
                </c:pt>
                <c:pt idx="1">
                  <c:v>0.11799999999999998</c:v>
                </c:pt>
              </c:numCache>
            </c:numRef>
          </c:val>
        </c:ser>
        <c:ser>
          <c:idx val="2"/>
          <c:order val="2"/>
          <c:tx>
            <c:strRef>
              <c:f>Pobreza!$C$33</c:f>
              <c:strCache>
                <c:ptCount val="1"/>
                <c:pt idx="0">
                  <c:v>SUECIA</c:v>
                </c:pt>
              </c:strCache>
            </c:strRef>
          </c:tx>
          <c:spPr>
            <a:ln w="12700">
              <a:solidFill>
                <a:srgbClr val="A79E70"/>
              </a:solidFill>
              <a:prstDash val="solid"/>
            </a:ln>
          </c:spPr>
          <c:marker>
            <c:symbol val="triangle"/>
            <c:size val="3"/>
            <c:spPr>
              <a:solidFill>
                <a:srgbClr val="A79E70"/>
              </a:solidFill>
              <a:ln>
                <a:solidFill>
                  <a:srgbClr val="A79E70"/>
                </a:solidFill>
                <a:prstDash val="solid"/>
              </a:ln>
            </c:spPr>
          </c:marker>
          <c:dLbls>
            <c:dLbl>
              <c:idx val="0"/>
              <c:layout>
                <c:manualLayout>
                  <c:x val="-8.2857142857143046E-2"/>
                  <c:y val="9.0909090909091547E-3"/>
                </c:manualLayout>
              </c:layout>
              <c:showVal val="1"/>
            </c:dLbl>
            <c:txPr>
              <a:bodyPr/>
              <a:lstStyle/>
              <a:p>
                <a:pPr>
                  <a:defRPr sz="700"/>
                </a:pPr>
                <a:endParaRPr lang="es-ES"/>
              </a:p>
            </c:txPr>
            <c:showVal val="1"/>
          </c:dLbls>
          <c:cat>
            <c:numRef>
              <c:f>Pobreza!$D$30:$E$30</c:f>
              <c:numCache>
                <c:formatCode>General</c:formatCode>
                <c:ptCount val="2"/>
                <c:pt idx="0">
                  <c:v>2008</c:v>
                </c:pt>
                <c:pt idx="1">
                  <c:v>2009</c:v>
                </c:pt>
              </c:numCache>
            </c:numRef>
          </c:cat>
          <c:val>
            <c:numRef>
              <c:f>Pobreza!$D$33:$E$33</c:f>
              <c:numCache>
                <c:formatCode>0.0%</c:formatCode>
                <c:ptCount val="2"/>
                <c:pt idx="0">
                  <c:v>0.113</c:v>
                </c:pt>
                <c:pt idx="1">
                  <c:v>0.11799999999999998</c:v>
                </c:pt>
              </c:numCache>
            </c:numRef>
          </c:val>
        </c:ser>
        <c:ser>
          <c:idx val="3"/>
          <c:order val="3"/>
          <c:tx>
            <c:strRef>
              <c:f>Pobreza!$C$34</c:f>
              <c:strCache>
                <c:ptCount val="1"/>
                <c:pt idx="0">
                  <c:v>REINO UNIDO</c:v>
                </c:pt>
              </c:strCache>
            </c:strRef>
          </c:tx>
          <c:spPr>
            <a:ln w="12700">
              <a:solidFill>
                <a:srgbClr val="7AB800"/>
              </a:solidFill>
              <a:prstDash val="solid"/>
            </a:ln>
          </c:spPr>
          <c:marker>
            <c:symbol val="circle"/>
            <c:size val="3"/>
            <c:spPr>
              <a:solidFill>
                <a:srgbClr val="7AB800"/>
              </a:solidFill>
              <a:ln>
                <a:solidFill>
                  <a:srgbClr val="7AB800"/>
                </a:solidFill>
                <a:prstDash val="solid"/>
              </a:ln>
            </c:spPr>
          </c:marker>
          <c:dLbls>
            <c:dLbl>
              <c:idx val="0"/>
              <c:layout>
                <c:manualLayout>
                  <c:x val="-8.5714285714285701E-2"/>
                  <c:y val="0"/>
                </c:manualLayout>
              </c:layout>
              <c:showVal val="1"/>
            </c:dLbl>
            <c:txPr>
              <a:bodyPr/>
              <a:lstStyle/>
              <a:p>
                <a:pPr>
                  <a:defRPr sz="700"/>
                </a:pPr>
                <a:endParaRPr lang="es-ES"/>
              </a:p>
            </c:txPr>
            <c:showVal val="1"/>
          </c:dLbls>
          <c:cat>
            <c:numRef>
              <c:f>Pobreza!$D$30:$E$30</c:f>
              <c:numCache>
                <c:formatCode>General</c:formatCode>
                <c:ptCount val="2"/>
                <c:pt idx="0">
                  <c:v>2008</c:v>
                </c:pt>
                <c:pt idx="1">
                  <c:v>2009</c:v>
                </c:pt>
              </c:numCache>
            </c:numRef>
          </c:cat>
          <c:val>
            <c:numRef>
              <c:f>Pobreza!$D$34:$E$34</c:f>
              <c:numCache>
                <c:formatCode>0.0%</c:formatCode>
                <c:ptCount val="2"/>
                <c:pt idx="0">
                  <c:v>0.13600000000000001</c:v>
                </c:pt>
                <c:pt idx="1">
                  <c:v>0.13800000000000001</c:v>
                </c:pt>
              </c:numCache>
            </c:numRef>
          </c:val>
        </c:ser>
        <c:ser>
          <c:idx val="4"/>
          <c:order val="4"/>
          <c:tx>
            <c:strRef>
              <c:f>Pobreza!$C$35</c:f>
              <c:strCache>
                <c:ptCount val="1"/>
                <c:pt idx="0">
                  <c:v>ITALIA</c:v>
                </c:pt>
              </c:strCache>
            </c:strRef>
          </c:tx>
          <c:spPr>
            <a:ln w="12700">
              <a:solidFill>
                <a:srgbClr val="00338D"/>
              </a:solidFill>
              <a:prstDash val="solid"/>
            </a:ln>
          </c:spPr>
          <c:marker>
            <c:symbol val="diamond"/>
            <c:size val="3"/>
            <c:spPr>
              <a:solidFill>
                <a:srgbClr val="00338D"/>
              </a:solidFill>
              <a:ln>
                <a:solidFill>
                  <a:srgbClr val="00338D"/>
                </a:solidFill>
                <a:prstDash val="solid"/>
              </a:ln>
            </c:spPr>
          </c:marker>
          <c:dLbls>
            <c:dLbl>
              <c:idx val="0"/>
              <c:layout>
                <c:manualLayout>
                  <c:x val="-8.5714285714285701E-2"/>
                  <c:y val="0"/>
                </c:manualLayout>
              </c:layout>
              <c:showVal val="1"/>
            </c:dLbl>
            <c:txPr>
              <a:bodyPr/>
              <a:lstStyle/>
              <a:p>
                <a:pPr>
                  <a:defRPr sz="700"/>
                </a:pPr>
                <a:endParaRPr lang="es-ES"/>
              </a:p>
            </c:txPr>
            <c:showVal val="1"/>
          </c:dLbls>
          <c:cat>
            <c:numRef>
              <c:f>Pobreza!$D$30:$E$30</c:f>
              <c:numCache>
                <c:formatCode>General</c:formatCode>
                <c:ptCount val="2"/>
                <c:pt idx="0">
                  <c:v>2008</c:v>
                </c:pt>
                <c:pt idx="1">
                  <c:v>2009</c:v>
                </c:pt>
              </c:numCache>
            </c:numRef>
          </c:cat>
          <c:val>
            <c:numRef>
              <c:f>Pobreza!$D$35:$E$35</c:f>
              <c:numCache>
                <c:formatCode>0.0%</c:formatCode>
                <c:ptCount val="2"/>
                <c:pt idx="0">
                  <c:v>0.161</c:v>
                </c:pt>
                <c:pt idx="1">
                  <c:v>0.161</c:v>
                </c:pt>
              </c:numCache>
            </c:numRef>
          </c:val>
        </c:ser>
        <c:marker val="1"/>
        <c:axId val="168941440"/>
        <c:axId val="168942976"/>
      </c:lineChart>
      <c:catAx>
        <c:axId val="168941440"/>
        <c:scaling>
          <c:orientation val="minMax"/>
        </c:scaling>
        <c:axPos val="b"/>
        <c:numFmt formatCode="General" sourceLinked="1"/>
        <c:tickLblPos val="low"/>
        <c:spPr>
          <a:ln w="3175">
            <a:solidFill>
              <a:srgbClr val="000000"/>
            </a:solidFill>
            <a:prstDash val="solid"/>
          </a:ln>
        </c:spPr>
        <c:txPr>
          <a:bodyPr/>
          <a:lstStyle/>
          <a:p>
            <a:pPr>
              <a:defRPr>
                <a:solidFill>
                  <a:srgbClr val="000000"/>
                </a:solidFill>
              </a:defRPr>
            </a:pPr>
            <a:endParaRPr lang="es-ES"/>
          </a:p>
        </c:txPr>
        <c:crossAx val="168942976"/>
        <c:crosses val="autoZero"/>
        <c:auto val="1"/>
        <c:lblAlgn val="ctr"/>
        <c:lblOffset val="100"/>
      </c:catAx>
      <c:valAx>
        <c:axId val="168942976"/>
        <c:scaling>
          <c:orientation val="minMax"/>
          <c:min val="0.1"/>
        </c:scaling>
        <c:axPos val="l"/>
        <c:numFmt formatCode="0.0%" sourceLinked="1"/>
        <c:tickLblPos val="nextTo"/>
        <c:spPr>
          <a:ln w="3175">
            <a:solidFill>
              <a:srgbClr val="000000"/>
            </a:solidFill>
            <a:prstDash val="solid"/>
          </a:ln>
        </c:spPr>
        <c:txPr>
          <a:bodyPr/>
          <a:lstStyle/>
          <a:p>
            <a:pPr>
              <a:defRPr sz="700">
                <a:solidFill>
                  <a:srgbClr val="000000"/>
                </a:solidFill>
              </a:defRPr>
            </a:pPr>
            <a:endParaRPr lang="es-ES"/>
          </a:p>
        </c:txPr>
        <c:crossAx val="168941440"/>
        <c:crosses val="autoZero"/>
        <c:crossBetween val="between"/>
      </c:valAx>
      <c:spPr>
        <a:noFill/>
        <a:ln w="25400">
          <a:noFill/>
        </a:ln>
      </c:spPr>
    </c:plotArea>
    <c:legend>
      <c:legendPos val="b"/>
      <c:layout>
        <c:manualLayout>
          <c:xMode val="edge"/>
          <c:yMode val="edge"/>
          <c:x val="0"/>
          <c:y val="0.83636363636363664"/>
          <c:w val="0.9"/>
          <c:h val="6.7479957050823533E-2"/>
        </c:manualLayout>
      </c:layout>
      <c:spPr>
        <a:noFill/>
        <a:ln w="25400">
          <a:noFill/>
        </a:ln>
      </c:spPr>
      <c:txPr>
        <a:bodyPr/>
        <a:lstStyle/>
        <a:p>
          <a:pPr>
            <a:defRPr sz="700">
              <a:solidFill>
                <a:srgbClr val="000000"/>
              </a:solidFill>
            </a:defRPr>
          </a:pPr>
          <a:endParaRPr lang="es-ES"/>
        </a:p>
      </c:txPr>
    </c:legend>
    <c:plotVisOnly val="1"/>
  </c:chart>
  <c:spPr>
    <a:noFill/>
    <a:ln w="9525">
      <a:noFill/>
    </a:ln>
  </c:spPr>
  <c:txPr>
    <a:bodyPr/>
    <a:lstStyle/>
    <a:p>
      <a:pPr>
        <a:defRPr sz="800" b="0" i="0">
          <a:solidFill>
            <a:srgbClr val="000000"/>
          </a:solidFill>
          <a:latin typeface="Arial"/>
          <a:ea typeface="Arial"/>
          <a:cs typeface="Arial"/>
        </a:defRPr>
      </a:pPr>
      <a:endParaRPr lang="es-ES"/>
    </a:p>
  </c:txPr>
  <c:externalData r:id="rId1"/>
</c:chartSpace>
</file>

<file path=word/charts/chart67.xml><?xml version="1.0" encoding="utf-8"?>
<c:chartSpace xmlns:c="http://schemas.openxmlformats.org/drawingml/2006/chart" xmlns:a="http://schemas.openxmlformats.org/drawingml/2006/main" xmlns:r="http://schemas.openxmlformats.org/officeDocument/2006/relationships">
  <c:date1904 val="1"/>
  <c:lang val="es-ES"/>
  <c:chart>
    <c:autoTitleDeleted val="1"/>
    <c:plotArea>
      <c:layout>
        <c:manualLayout>
          <c:layoutTarget val="inner"/>
          <c:xMode val="edge"/>
          <c:yMode val="edge"/>
          <c:x val="0.14877367829021368"/>
          <c:y val="0.15726127415891294"/>
          <c:w val="0.74836917885263599"/>
          <c:h val="0.54945848246241968"/>
        </c:manualLayout>
      </c:layout>
      <c:lineChart>
        <c:grouping val="standard"/>
        <c:ser>
          <c:idx val="0"/>
          <c:order val="0"/>
          <c:tx>
            <c:strRef>
              <c:f>Pobreza!$C$15</c:f>
              <c:strCache>
                <c:ptCount val="1"/>
                <c:pt idx="0">
                  <c:v>ESPAÑA</c:v>
                </c:pt>
              </c:strCache>
            </c:strRef>
          </c:tx>
          <c:spPr>
            <a:ln w="12700">
              <a:solidFill>
                <a:srgbClr val="007C92"/>
              </a:solidFill>
              <a:prstDash val="solid"/>
            </a:ln>
          </c:spPr>
          <c:marker>
            <c:symbol val="diamond"/>
            <c:size val="3"/>
            <c:spPr>
              <a:solidFill>
                <a:srgbClr val="007C92"/>
              </a:solidFill>
              <a:ln>
                <a:solidFill>
                  <a:srgbClr val="007C92"/>
                </a:solidFill>
                <a:prstDash val="solid"/>
              </a:ln>
            </c:spPr>
          </c:marker>
          <c:dLbls>
            <c:dLbl>
              <c:idx val="0"/>
              <c:layout>
                <c:manualLayout>
                  <c:x val="-6.8571428571428547E-2"/>
                  <c:y val="-4.5454545454545036E-3"/>
                </c:manualLayout>
              </c:layout>
              <c:showVal val="1"/>
            </c:dLbl>
            <c:txPr>
              <a:bodyPr/>
              <a:lstStyle/>
              <a:p>
                <a:pPr>
                  <a:defRPr sz="700"/>
                </a:pPr>
                <a:endParaRPr lang="es-ES"/>
              </a:p>
            </c:txPr>
            <c:showVal val="1"/>
          </c:dLbls>
          <c:cat>
            <c:numRef>
              <c:f>Pobreza!$D$14:$E$14</c:f>
              <c:numCache>
                <c:formatCode>General</c:formatCode>
                <c:ptCount val="2"/>
                <c:pt idx="0">
                  <c:v>2008</c:v>
                </c:pt>
                <c:pt idx="1">
                  <c:v>2009</c:v>
                </c:pt>
              </c:numCache>
            </c:numRef>
          </c:cat>
          <c:val>
            <c:numRef>
              <c:f>Pobreza!$D$15:$E$15</c:f>
              <c:numCache>
                <c:formatCode>0.0%</c:formatCode>
                <c:ptCount val="2"/>
                <c:pt idx="0">
                  <c:v>6.1000000000000013E-2</c:v>
                </c:pt>
                <c:pt idx="1">
                  <c:v>6.2000000000000034E-2</c:v>
                </c:pt>
              </c:numCache>
            </c:numRef>
          </c:val>
        </c:ser>
        <c:ser>
          <c:idx val="1"/>
          <c:order val="1"/>
          <c:tx>
            <c:strRef>
              <c:f>Pobreza!$C$16</c:f>
              <c:strCache>
                <c:ptCount val="1"/>
                <c:pt idx="0">
                  <c:v>ALEMANIA</c:v>
                </c:pt>
              </c:strCache>
            </c:strRef>
          </c:tx>
          <c:spPr>
            <a:ln w="12700">
              <a:solidFill>
                <a:srgbClr val="8E258D"/>
              </a:solidFill>
              <a:prstDash val="solid"/>
            </a:ln>
          </c:spPr>
          <c:marker>
            <c:symbol val="square"/>
            <c:size val="3"/>
            <c:spPr>
              <a:solidFill>
                <a:srgbClr val="8E258D"/>
              </a:solidFill>
              <a:ln>
                <a:solidFill>
                  <a:srgbClr val="8E258D"/>
                </a:solidFill>
                <a:prstDash val="solid"/>
              </a:ln>
            </c:spPr>
          </c:marker>
          <c:dLbls>
            <c:dLbl>
              <c:idx val="0"/>
              <c:layout>
                <c:manualLayout>
                  <c:x val="-7.4285714285714274E-2"/>
                  <c:y val="-1.3636363636363663E-2"/>
                </c:manualLayout>
              </c:layout>
              <c:showVal val="1"/>
            </c:dLbl>
            <c:txPr>
              <a:bodyPr/>
              <a:lstStyle/>
              <a:p>
                <a:pPr>
                  <a:defRPr sz="700"/>
                </a:pPr>
                <a:endParaRPr lang="es-ES"/>
              </a:p>
            </c:txPr>
            <c:showVal val="1"/>
          </c:dLbls>
          <c:cat>
            <c:numRef>
              <c:f>Pobreza!$D$14:$E$14</c:f>
              <c:numCache>
                <c:formatCode>General</c:formatCode>
                <c:ptCount val="2"/>
                <c:pt idx="0">
                  <c:v>2008</c:v>
                </c:pt>
                <c:pt idx="1">
                  <c:v>2009</c:v>
                </c:pt>
              </c:numCache>
            </c:numRef>
          </c:cat>
          <c:val>
            <c:numRef>
              <c:f>Pobreza!$D$16:$E$16</c:f>
              <c:numCache>
                <c:formatCode>0.0%</c:formatCode>
                <c:ptCount val="2"/>
                <c:pt idx="0">
                  <c:v>0.10299999999999998</c:v>
                </c:pt>
                <c:pt idx="1">
                  <c:v>0.11000000000000001</c:v>
                </c:pt>
              </c:numCache>
            </c:numRef>
          </c:val>
        </c:ser>
        <c:ser>
          <c:idx val="2"/>
          <c:order val="2"/>
          <c:tx>
            <c:strRef>
              <c:f>Pobreza!$C$17</c:f>
              <c:strCache>
                <c:ptCount val="1"/>
                <c:pt idx="0">
                  <c:v>SUECIA</c:v>
                </c:pt>
              </c:strCache>
            </c:strRef>
          </c:tx>
          <c:spPr>
            <a:ln w="12700">
              <a:solidFill>
                <a:srgbClr val="A79E70"/>
              </a:solidFill>
              <a:prstDash val="solid"/>
            </a:ln>
          </c:spPr>
          <c:marker>
            <c:symbol val="triangle"/>
            <c:size val="3"/>
            <c:spPr>
              <a:solidFill>
                <a:srgbClr val="A79E70"/>
              </a:solidFill>
              <a:ln>
                <a:solidFill>
                  <a:srgbClr val="A79E70"/>
                </a:solidFill>
                <a:prstDash val="solid"/>
              </a:ln>
            </c:spPr>
          </c:marker>
          <c:dLbls>
            <c:dLbl>
              <c:idx val="0"/>
              <c:layout>
                <c:manualLayout>
                  <c:x val="-6.8571428571428547E-2"/>
                  <c:y val="0"/>
                </c:manualLayout>
              </c:layout>
              <c:showVal val="1"/>
            </c:dLbl>
            <c:txPr>
              <a:bodyPr/>
              <a:lstStyle/>
              <a:p>
                <a:pPr>
                  <a:defRPr sz="700"/>
                </a:pPr>
                <a:endParaRPr lang="es-ES"/>
              </a:p>
            </c:txPr>
            <c:showVal val="1"/>
          </c:dLbls>
          <c:cat>
            <c:numRef>
              <c:f>Pobreza!$D$14:$E$14</c:f>
              <c:numCache>
                <c:formatCode>General</c:formatCode>
                <c:ptCount val="2"/>
                <c:pt idx="0">
                  <c:v>2008</c:v>
                </c:pt>
                <c:pt idx="1">
                  <c:v>2009</c:v>
                </c:pt>
              </c:numCache>
            </c:numRef>
          </c:cat>
          <c:val>
            <c:numRef>
              <c:f>Pobreza!$D$17:$E$17</c:f>
              <c:numCache>
                <c:formatCode>0.0%</c:formatCode>
                <c:ptCount val="2"/>
                <c:pt idx="0">
                  <c:v>9.0000000000000028E-3</c:v>
                </c:pt>
                <c:pt idx="1">
                  <c:v>4.1000000000000009E-2</c:v>
                </c:pt>
              </c:numCache>
            </c:numRef>
          </c:val>
        </c:ser>
        <c:ser>
          <c:idx val="3"/>
          <c:order val="3"/>
          <c:tx>
            <c:strRef>
              <c:f>Pobreza!$C$18</c:f>
              <c:strCache>
                <c:ptCount val="1"/>
                <c:pt idx="0">
                  <c:v>REINO UNIDO</c:v>
                </c:pt>
              </c:strCache>
            </c:strRef>
          </c:tx>
          <c:spPr>
            <a:ln w="12700">
              <a:solidFill>
                <a:srgbClr val="7AB800"/>
              </a:solidFill>
              <a:prstDash val="solid"/>
            </a:ln>
          </c:spPr>
          <c:marker>
            <c:symbol val="circle"/>
            <c:size val="3"/>
            <c:spPr>
              <a:solidFill>
                <a:srgbClr val="7AB800"/>
              </a:solidFill>
              <a:ln>
                <a:solidFill>
                  <a:srgbClr val="7AB800"/>
                </a:solidFill>
                <a:prstDash val="solid"/>
              </a:ln>
            </c:spPr>
          </c:marker>
          <c:dLbls>
            <c:dLbl>
              <c:idx val="0"/>
              <c:layout>
                <c:manualLayout>
                  <c:x val="-7.1428571428571411E-2"/>
                  <c:y val="9.0909090909091547E-3"/>
                </c:manualLayout>
              </c:layout>
              <c:showVal val="1"/>
            </c:dLbl>
            <c:txPr>
              <a:bodyPr/>
              <a:lstStyle/>
              <a:p>
                <a:pPr>
                  <a:defRPr sz="700"/>
                </a:pPr>
                <a:endParaRPr lang="es-ES"/>
              </a:p>
            </c:txPr>
            <c:showVal val="1"/>
          </c:dLbls>
          <c:cat>
            <c:numRef>
              <c:f>Pobreza!$D$14:$E$14</c:f>
              <c:numCache>
                <c:formatCode>General</c:formatCode>
                <c:ptCount val="2"/>
                <c:pt idx="0">
                  <c:v>2008</c:v>
                </c:pt>
                <c:pt idx="1">
                  <c:v>2009</c:v>
                </c:pt>
              </c:numCache>
            </c:numRef>
          </c:cat>
          <c:val>
            <c:numRef>
              <c:f>Pobreza!$D$18:$E$18</c:f>
              <c:numCache>
                <c:formatCode>0.0%</c:formatCode>
                <c:ptCount val="2"/>
                <c:pt idx="0">
                  <c:v>9.9000000000000046E-2</c:v>
                </c:pt>
                <c:pt idx="1">
                  <c:v>8.7000000000000022E-2</c:v>
                </c:pt>
              </c:numCache>
            </c:numRef>
          </c:val>
        </c:ser>
        <c:ser>
          <c:idx val="4"/>
          <c:order val="4"/>
          <c:tx>
            <c:strRef>
              <c:f>Pobreza!$C$19</c:f>
              <c:strCache>
                <c:ptCount val="1"/>
                <c:pt idx="0">
                  <c:v>ITALIA</c:v>
                </c:pt>
              </c:strCache>
            </c:strRef>
          </c:tx>
          <c:spPr>
            <a:ln w="12700">
              <a:solidFill>
                <a:srgbClr val="00338D"/>
              </a:solidFill>
              <a:prstDash val="solid"/>
            </a:ln>
          </c:spPr>
          <c:marker>
            <c:symbol val="diamond"/>
            <c:size val="3"/>
            <c:spPr>
              <a:solidFill>
                <a:srgbClr val="00338D"/>
              </a:solidFill>
              <a:ln>
                <a:solidFill>
                  <a:srgbClr val="00338D"/>
                </a:solidFill>
                <a:prstDash val="solid"/>
              </a:ln>
            </c:spPr>
          </c:marker>
          <c:dLbls>
            <c:dLbl>
              <c:idx val="0"/>
              <c:layout>
                <c:manualLayout>
                  <c:x val="-7.1428571428571411E-2"/>
                  <c:y val="-4.5454545454545504E-3"/>
                </c:manualLayout>
              </c:layout>
              <c:showVal val="1"/>
            </c:dLbl>
            <c:txPr>
              <a:bodyPr/>
              <a:lstStyle/>
              <a:p>
                <a:pPr>
                  <a:defRPr sz="700"/>
                </a:pPr>
                <a:endParaRPr lang="es-ES"/>
              </a:p>
            </c:txPr>
            <c:showVal val="1"/>
          </c:dLbls>
          <c:cat>
            <c:numRef>
              <c:f>Pobreza!$D$14:$E$14</c:f>
              <c:numCache>
                <c:formatCode>General</c:formatCode>
                <c:ptCount val="2"/>
                <c:pt idx="0">
                  <c:v>2008</c:v>
                </c:pt>
                <c:pt idx="1">
                  <c:v>2009</c:v>
                </c:pt>
              </c:numCache>
            </c:numRef>
          </c:cat>
          <c:val>
            <c:numRef>
              <c:f>Pobreza!$D$19:$E$19</c:f>
              <c:numCache>
                <c:formatCode>0.0%</c:formatCode>
                <c:ptCount val="2"/>
                <c:pt idx="0">
                  <c:v>3.0000000000000002E-2</c:v>
                </c:pt>
                <c:pt idx="1">
                  <c:v>3.3000000000000002E-2</c:v>
                </c:pt>
              </c:numCache>
            </c:numRef>
          </c:val>
        </c:ser>
        <c:marker val="1"/>
        <c:axId val="172634112"/>
        <c:axId val="172635648"/>
      </c:lineChart>
      <c:catAx>
        <c:axId val="172634112"/>
        <c:scaling>
          <c:orientation val="minMax"/>
        </c:scaling>
        <c:axPos val="b"/>
        <c:numFmt formatCode="General" sourceLinked="1"/>
        <c:tickLblPos val="low"/>
        <c:spPr>
          <a:ln w="3175">
            <a:solidFill>
              <a:srgbClr val="000000"/>
            </a:solidFill>
            <a:prstDash val="solid"/>
          </a:ln>
        </c:spPr>
        <c:txPr>
          <a:bodyPr/>
          <a:lstStyle/>
          <a:p>
            <a:pPr>
              <a:defRPr>
                <a:solidFill>
                  <a:srgbClr val="000000"/>
                </a:solidFill>
              </a:defRPr>
            </a:pPr>
            <a:endParaRPr lang="es-ES"/>
          </a:p>
        </c:txPr>
        <c:crossAx val="172635648"/>
        <c:crosses val="autoZero"/>
        <c:auto val="1"/>
        <c:lblAlgn val="ctr"/>
        <c:lblOffset val="100"/>
      </c:catAx>
      <c:valAx>
        <c:axId val="172635648"/>
        <c:scaling>
          <c:orientation val="minMax"/>
        </c:scaling>
        <c:axPos val="l"/>
        <c:numFmt formatCode="0.0%" sourceLinked="1"/>
        <c:tickLblPos val="nextTo"/>
        <c:spPr>
          <a:ln w="3175">
            <a:solidFill>
              <a:srgbClr val="000000"/>
            </a:solidFill>
            <a:prstDash val="solid"/>
          </a:ln>
        </c:spPr>
        <c:txPr>
          <a:bodyPr/>
          <a:lstStyle/>
          <a:p>
            <a:pPr>
              <a:defRPr sz="700">
                <a:solidFill>
                  <a:srgbClr val="000000"/>
                </a:solidFill>
              </a:defRPr>
            </a:pPr>
            <a:endParaRPr lang="es-ES"/>
          </a:p>
        </c:txPr>
        <c:crossAx val="172634112"/>
        <c:crosses val="autoZero"/>
        <c:crossBetween val="between"/>
      </c:valAx>
      <c:spPr>
        <a:noFill/>
        <a:ln w="25400">
          <a:noFill/>
        </a:ln>
      </c:spPr>
    </c:plotArea>
    <c:legend>
      <c:legendPos val="b"/>
      <c:layout>
        <c:manualLayout>
          <c:xMode val="edge"/>
          <c:yMode val="edge"/>
          <c:x val="0"/>
          <c:y val="0.83636363636363664"/>
          <c:w val="0.9"/>
          <c:h val="6.7479957050823533E-2"/>
        </c:manualLayout>
      </c:layout>
      <c:spPr>
        <a:noFill/>
        <a:ln w="25400">
          <a:noFill/>
        </a:ln>
      </c:spPr>
      <c:txPr>
        <a:bodyPr/>
        <a:lstStyle/>
        <a:p>
          <a:pPr>
            <a:defRPr sz="700">
              <a:solidFill>
                <a:srgbClr val="000000"/>
              </a:solidFill>
            </a:defRPr>
          </a:pPr>
          <a:endParaRPr lang="es-ES"/>
        </a:p>
      </c:txPr>
    </c:legend>
    <c:plotVisOnly val="1"/>
  </c:chart>
  <c:spPr>
    <a:noFill/>
    <a:ln w="9525">
      <a:noFill/>
    </a:ln>
  </c:spPr>
  <c:txPr>
    <a:bodyPr/>
    <a:lstStyle/>
    <a:p>
      <a:pPr>
        <a:defRPr sz="800" b="0" i="0">
          <a:solidFill>
            <a:srgbClr val="000000"/>
          </a:solidFill>
          <a:latin typeface="Arial"/>
          <a:ea typeface="Arial"/>
          <a:cs typeface="Arial"/>
        </a:defRPr>
      </a:pPr>
      <a:endParaRPr lang="es-ES"/>
    </a:p>
  </c:txPr>
  <c:externalData r:id="rId1"/>
</c:chartSpace>
</file>

<file path=word/charts/chart68.xml><?xml version="1.0" encoding="utf-8"?>
<c:chartSpace xmlns:c="http://schemas.openxmlformats.org/drawingml/2006/chart" xmlns:a="http://schemas.openxmlformats.org/drawingml/2006/main" xmlns:r="http://schemas.openxmlformats.org/officeDocument/2006/relationships">
  <c:date1904 val="1"/>
  <c:lang val="es-ES"/>
  <c:chart>
    <c:autoTitleDeleted val="1"/>
    <c:plotArea>
      <c:layout>
        <c:manualLayout>
          <c:layoutTarget val="inner"/>
          <c:xMode val="edge"/>
          <c:yMode val="edge"/>
          <c:x val="0.153276265777985"/>
          <c:y val="0.11010546064413428"/>
          <c:w val="0.74775116803345665"/>
          <c:h val="0.67424732558251033"/>
        </c:manualLayout>
      </c:layout>
      <c:lineChart>
        <c:grouping val="standard"/>
        <c:ser>
          <c:idx val="0"/>
          <c:order val="0"/>
          <c:tx>
            <c:strRef>
              <c:f>PIB!$C$4</c:f>
              <c:strCache>
                <c:ptCount val="1"/>
                <c:pt idx="0">
                  <c:v>ESPAÑA</c:v>
                </c:pt>
              </c:strCache>
            </c:strRef>
          </c:tx>
          <c:spPr>
            <a:ln w="12700">
              <a:solidFill>
                <a:srgbClr val="007C92"/>
              </a:solidFill>
              <a:prstDash val="solid"/>
            </a:ln>
          </c:spPr>
          <c:marker>
            <c:symbol val="diamond"/>
            <c:size val="3"/>
            <c:spPr>
              <a:solidFill>
                <a:srgbClr val="007C92"/>
              </a:solidFill>
              <a:ln>
                <a:solidFill>
                  <a:srgbClr val="007C92"/>
                </a:solidFill>
                <a:prstDash val="solid"/>
              </a:ln>
            </c:spPr>
          </c:marker>
          <c:dLbls>
            <c:dLbl>
              <c:idx val="0"/>
              <c:delete val="1"/>
            </c:dLbl>
            <c:dLbl>
              <c:idx val="1"/>
              <c:layout>
                <c:manualLayout>
                  <c:x val="-8.5714285714285268E-3"/>
                  <c:y val="1.3636363636363641E-2"/>
                </c:manualLayout>
              </c:layout>
              <c:showVal val="1"/>
            </c:dLbl>
            <c:dLbl>
              <c:idx val="2"/>
              <c:layout>
                <c:manualLayout>
                  <c:x val="-2.8571428571428602E-3"/>
                  <c:y val="0"/>
                </c:manualLayout>
              </c:layout>
              <c:showVal val="1"/>
            </c:dLbl>
            <c:showVal val="1"/>
          </c:dLbls>
          <c:cat>
            <c:numRef>
              <c:f>PIB!$D$3:$F$3</c:f>
              <c:numCache>
                <c:formatCode>General</c:formatCode>
                <c:ptCount val="3"/>
                <c:pt idx="0">
                  <c:v>1990</c:v>
                </c:pt>
                <c:pt idx="1">
                  <c:v>2000</c:v>
                </c:pt>
                <c:pt idx="2">
                  <c:v>2007</c:v>
                </c:pt>
              </c:numCache>
            </c:numRef>
          </c:cat>
          <c:val>
            <c:numRef>
              <c:f>PIB!$D$4:$F$4</c:f>
              <c:numCache>
                <c:formatCode>0.0%</c:formatCode>
                <c:ptCount val="3"/>
                <c:pt idx="0">
                  <c:v>1.2E-2</c:v>
                </c:pt>
                <c:pt idx="1">
                  <c:v>1.2E-2</c:v>
                </c:pt>
                <c:pt idx="2">
                  <c:v>1.2E-2</c:v>
                </c:pt>
              </c:numCache>
            </c:numRef>
          </c:val>
        </c:ser>
        <c:ser>
          <c:idx val="1"/>
          <c:order val="1"/>
          <c:tx>
            <c:strRef>
              <c:f>PIB!$C$5</c:f>
              <c:strCache>
                <c:ptCount val="1"/>
                <c:pt idx="0">
                  <c:v>ALEMANIA</c:v>
                </c:pt>
              </c:strCache>
            </c:strRef>
          </c:tx>
          <c:spPr>
            <a:ln w="12700">
              <a:solidFill>
                <a:srgbClr val="8E258D"/>
              </a:solidFill>
              <a:prstDash val="solid"/>
            </a:ln>
          </c:spPr>
          <c:marker>
            <c:symbol val="square"/>
            <c:size val="3"/>
            <c:spPr>
              <a:solidFill>
                <a:srgbClr val="8E258D"/>
              </a:solidFill>
              <a:ln>
                <a:solidFill>
                  <a:srgbClr val="8E258D"/>
                </a:solidFill>
                <a:prstDash val="solid"/>
              </a:ln>
            </c:spPr>
          </c:marker>
          <c:dLbls>
            <c:dLbl>
              <c:idx val="0"/>
              <c:layout>
                <c:manualLayout>
                  <c:x val="-6.5714285714285739E-2"/>
                  <c:y val="-1.3636363636363641E-2"/>
                </c:manualLayout>
              </c:layout>
              <c:showVal val="1"/>
            </c:dLbl>
            <c:dLbl>
              <c:idx val="1"/>
              <c:layout>
                <c:manualLayout>
                  <c:x val="-8.5714285714285268E-3"/>
                  <c:y val="-1.818181818181866E-2"/>
                </c:manualLayout>
              </c:layout>
              <c:showVal val="1"/>
            </c:dLbl>
            <c:dLbl>
              <c:idx val="2"/>
              <c:layout>
                <c:manualLayout>
                  <c:x val="-2.8571428571428602E-3"/>
                  <c:y val="2.2727272727274282E-2"/>
                </c:manualLayout>
              </c:layout>
              <c:showVal val="1"/>
            </c:dLbl>
            <c:showVal val="1"/>
          </c:dLbls>
          <c:cat>
            <c:numRef>
              <c:f>PIB!$D$3:$F$3</c:f>
              <c:numCache>
                <c:formatCode>General</c:formatCode>
                <c:ptCount val="3"/>
                <c:pt idx="0">
                  <c:v>1990</c:v>
                </c:pt>
                <c:pt idx="1">
                  <c:v>2000</c:v>
                </c:pt>
                <c:pt idx="2">
                  <c:v>2007</c:v>
                </c:pt>
              </c:numCache>
            </c:numRef>
          </c:cat>
          <c:val>
            <c:numRef>
              <c:f>PIB!$D$5:$F$5</c:f>
              <c:numCache>
                <c:formatCode>0.0%</c:formatCode>
                <c:ptCount val="3"/>
                <c:pt idx="0">
                  <c:v>1.2999999999999998E-2</c:v>
                </c:pt>
                <c:pt idx="1">
                  <c:v>1.2999999999999998E-2</c:v>
                </c:pt>
                <c:pt idx="2">
                  <c:v>1.0999999999999998E-2</c:v>
                </c:pt>
              </c:numCache>
            </c:numRef>
          </c:val>
        </c:ser>
        <c:ser>
          <c:idx val="2"/>
          <c:order val="2"/>
          <c:tx>
            <c:strRef>
              <c:f>PIB!$C$6</c:f>
              <c:strCache>
                <c:ptCount val="1"/>
                <c:pt idx="0">
                  <c:v>SUECIA</c:v>
                </c:pt>
              </c:strCache>
            </c:strRef>
          </c:tx>
          <c:spPr>
            <a:ln w="12700">
              <a:solidFill>
                <a:srgbClr val="A79E70"/>
              </a:solidFill>
              <a:prstDash val="solid"/>
            </a:ln>
          </c:spPr>
          <c:marker>
            <c:symbol val="triangle"/>
            <c:size val="3"/>
            <c:spPr>
              <a:solidFill>
                <a:srgbClr val="A79E70"/>
              </a:solidFill>
              <a:ln>
                <a:solidFill>
                  <a:srgbClr val="A79E70"/>
                </a:solidFill>
                <a:prstDash val="solid"/>
              </a:ln>
            </c:spPr>
          </c:marker>
          <c:dLbls>
            <c:dLbl>
              <c:idx val="0"/>
              <c:layout>
                <c:manualLayout>
                  <c:x val="-3.1428571428571452E-2"/>
                  <c:y val="-2.7272727272728347E-2"/>
                </c:manualLayout>
              </c:layout>
              <c:showVal val="1"/>
            </c:dLbl>
            <c:dLbl>
              <c:idx val="1"/>
              <c:layout>
                <c:manualLayout>
                  <c:x val="-3.7142857142857089E-2"/>
                  <c:y val="-4.0909090909090923E-2"/>
                </c:manualLayout>
              </c:layout>
              <c:showVal val="1"/>
            </c:dLbl>
            <c:showVal val="1"/>
          </c:dLbls>
          <c:cat>
            <c:numRef>
              <c:f>PIB!$D$3:$F$3</c:f>
              <c:numCache>
                <c:formatCode>General</c:formatCode>
                <c:ptCount val="3"/>
                <c:pt idx="0">
                  <c:v>1990</c:v>
                </c:pt>
                <c:pt idx="1">
                  <c:v>2000</c:v>
                </c:pt>
                <c:pt idx="2">
                  <c:v>2007</c:v>
                </c:pt>
              </c:numCache>
            </c:numRef>
          </c:cat>
          <c:val>
            <c:numRef>
              <c:f>PIB!$D$6:$F$6</c:f>
              <c:numCache>
                <c:formatCode>0.0%</c:formatCode>
                <c:ptCount val="3"/>
                <c:pt idx="0">
                  <c:v>1.9000000000000457E-2</c:v>
                </c:pt>
                <c:pt idx="1">
                  <c:v>2.0000000000000011E-2</c:v>
                </c:pt>
                <c:pt idx="2">
                  <c:v>2.1999999999999999E-2</c:v>
                </c:pt>
              </c:numCache>
            </c:numRef>
          </c:val>
        </c:ser>
        <c:ser>
          <c:idx val="3"/>
          <c:order val="3"/>
          <c:tx>
            <c:strRef>
              <c:f>PIB!$C$7</c:f>
              <c:strCache>
                <c:ptCount val="1"/>
                <c:pt idx="0">
                  <c:v>REINO UNIDO</c:v>
                </c:pt>
              </c:strCache>
            </c:strRef>
          </c:tx>
          <c:spPr>
            <a:ln w="12700">
              <a:solidFill>
                <a:srgbClr val="7AB800"/>
              </a:solidFill>
              <a:prstDash val="solid"/>
            </a:ln>
          </c:spPr>
          <c:marker>
            <c:symbol val="circle"/>
            <c:size val="3"/>
            <c:spPr>
              <a:solidFill>
                <a:srgbClr val="7AB800"/>
              </a:solidFill>
              <a:ln>
                <a:solidFill>
                  <a:srgbClr val="7AB800"/>
                </a:solidFill>
                <a:prstDash val="solid"/>
              </a:ln>
            </c:spPr>
          </c:marker>
          <c:dLbls>
            <c:dLbl>
              <c:idx val="0"/>
              <c:layout>
                <c:manualLayout>
                  <c:x val="-6.8571428571428603E-2"/>
                  <c:y val="-4.5454545454545504E-3"/>
                </c:manualLayout>
              </c:layout>
              <c:showVal val="1"/>
            </c:dLbl>
            <c:dLbl>
              <c:idx val="1"/>
              <c:delete val="1"/>
            </c:dLbl>
            <c:dLbl>
              <c:idx val="2"/>
              <c:layout>
                <c:manualLayout>
                  <c:x val="0"/>
                  <c:y val="-1.3636363636363641E-2"/>
                </c:manualLayout>
              </c:layout>
              <c:showVal val="1"/>
            </c:dLbl>
            <c:showVal val="1"/>
          </c:dLbls>
          <c:cat>
            <c:numRef>
              <c:f>PIB!$D$3:$F$3</c:f>
              <c:numCache>
                <c:formatCode>General</c:formatCode>
                <c:ptCount val="3"/>
                <c:pt idx="0">
                  <c:v>1990</c:v>
                </c:pt>
                <c:pt idx="1">
                  <c:v>2000</c:v>
                </c:pt>
                <c:pt idx="2">
                  <c:v>2007</c:v>
                </c:pt>
              </c:numCache>
            </c:numRef>
          </c:cat>
          <c:val>
            <c:numRef>
              <c:f>PIB!$D$7:$F$7</c:f>
              <c:numCache>
                <c:formatCode>0.0%</c:formatCode>
                <c:ptCount val="3"/>
                <c:pt idx="0">
                  <c:v>1.6000000000000021E-2</c:v>
                </c:pt>
                <c:pt idx="1">
                  <c:v>2.0000000000000011E-2</c:v>
                </c:pt>
                <c:pt idx="2">
                  <c:v>1.9000000000000457E-2</c:v>
                </c:pt>
              </c:numCache>
            </c:numRef>
          </c:val>
        </c:ser>
        <c:ser>
          <c:idx val="4"/>
          <c:order val="4"/>
          <c:tx>
            <c:strRef>
              <c:f>PIB!$C$8</c:f>
              <c:strCache>
                <c:ptCount val="1"/>
                <c:pt idx="0">
                  <c:v>ITALIA</c:v>
                </c:pt>
              </c:strCache>
            </c:strRef>
          </c:tx>
          <c:spPr>
            <a:ln w="12700">
              <a:solidFill>
                <a:srgbClr val="00338D"/>
              </a:solidFill>
              <a:prstDash val="solid"/>
            </a:ln>
          </c:spPr>
          <c:marker>
            <c:symbol val="diamond"/>
            <c:size val="3"/>
            <c:spPr>
              <a:solidFill>
                <a:srgbClr val="00338D"/>
              </a:solidFill>
              <a:ln>
                <a:solidFill>
                  <a:srgbClr val="00338D"/>
                </a:solidFill>
                <a:prstDash val="solid"/>
              </a:ln>
            </c:spPr>
          </c:marker>
          <c:dLbls>
            <c:dLbl>
              <c:idx val="0"/>
              <c:layout>
                <c:manualLayout>
                  <c:x val="-6.5714510686164226E-2"/>
                  <c:y val="1.818181818181866E-2"/>
                </c:manualLayout>
              </c:layout>
              <c:showVal val="1"/>
            </c:dLbl>
            <c:dLbl>
              <c:idx val="1"/>
              <c:layout>
                <c:manualLayout>
                  <c:x val="-3.4285714285715377E-2"/>
                  <c:y val="4.0909090909090923E-2"/>
                </c:manualLayout>
              </c:layout>
              <c:showVal val="1"/>
            </c:dLbl>
            <c:showVal val="1"/>
          </c:dLbls>
          <c:cat>
            <c:numRef>
              <c:f>PIB!$D$3:$F$3</c:f>
              <c:numCache>
                <c:formatCode>General</c:formatCode>
                <c:ptCount val="3"/>
                <c:pt idx="0">
                  <c:v>1990</c:v>
                </c:pt>
                <c:pt idx="1">
                  <c:v>2000</c:v>
                </c:pt>
                <c:pt idx="2">
                  <c:v>2007</c:v>
                </c:pt>
              </c:numCache>
            </c:numRef>
          </c:cat>
          <c:val>
            <c:numRef>
              <c:f>PIB!$D$8:$F$8</c:f>
              <c:numCache>
                <c:formatCode>0.0%</c:formatCode>
                <c:ptCount val="3"/>
                <c:pt idx="0">
                  <c:v>1.2E-2</c:v>
                </c:pt>
                <c:pt idx="1">
                  <c:v>9.0000000000000028E-3</c:v>
                </c:pt>
                <c:pt idx="2">
                  <c:v>7.0000000000000114E-3</c:v>
                </c:pt>
              </c:numCache>
            </c:numRef>
          </c:val>
        </c:ser>
        <c:marker val="1"/>
        <c:axId val="172681088"/>
        <c:axId val="172682624"/>
      </c:lineChart>
      <c:catAx>
        <c:axId val="172681088"/>
        <c:scaling>
          <c:orientation val="minMax"/>
        </c:scaling>
        <c:axPos val="b"/>
        <c:numFmt formatCode="General" sourceLinked="1"/>
        <c:tickLblPos val="low"/>
        <c:spPr>
          <a:ln w="3175">
            <a:solidFill>
              <a:srgbClr val="000000"/>
            </a:solidFill>
            <a:prstDash val="solid"/>
          </a:ln>
        </c:spPr>
        <c:crossAx val="172682624"/>
        <c:crosses val="autoZero"/>
        <c:auto val="1"/>
        <c:lblAlgn val="ctr"/>
        <c:lblOffset val="100"/>
      </c:catAx>
      <c:valAx>
        <c:axId val="172682624"/>
        <c:scaling>
          <c:orientation val="minMax"/>
        </c:scaling>
        <c:axPos val="l"/>
        <c:numFmt formatCode="0.0%" sourceLinked="1"/>
        <c:tickLblPos val="nextTo"/>
        <c:spPr>
          <a:ln w="3175">
            <a:solidFill>
              <a:srgbClr val="000000"/>
            </a:solidFill>
            <a:prstDash val="solid"/>
          </a:ln>
        </c:spPr>
        <c:crossAx val="172681088"/>
        <c:crosses val="autoZero"/>
        <c:crossBetween val="between"/>
      </c:valAx>
      <c:spPr>
        <a:noFill/>
        <a:ln w="25400">
          <a:noFill/>
        </a:ln>
      </c:spPr>
    </c:plotArea>
    <c:legend>
      <c:legendPos val="b"/>
      <c:layout>
        <c:manualLayout>
          <c:xMode val="edge"/>
          <c:yMode val="edge"/>
          <c:x val="3.5961272475796439E-2"/>
          <c:y val="0.88365416391916529"/>
          <c:w val="0.9"/>
          <c:h val="6.7479957050823533E-2"/>
        </c:manualLayout>
      </c:layout>
      <c:spPr>
        <a:noFill/>
        <a:ln w="25400">
          <a:noFill/>
        </a:ln>
      </c:spPr>
    </c:legend>
    <c:plotVisOnly val="1"/>
  </c:chart>
  <c:spPr>
    <a:noFill/>
    <a:ln w="9525">
      <a:noFill/>
    </a:ln>
  </c:spPr>
  <c:txPr>
    <a:bodyPr/>
    <a:lstStyle/>
    <a:p>
      <a:pPr>
        <a:defRPr sz="700" b="0" i="0">
          <a:solidFill>
            <a:srgbClr val="000000"/>
          </a:solidFill>
          <a:latin typeface="MinionPro-Regular"/>
          <a:ea typeface="Arial"/>
          <a:cs typeface="Arial"/>
        </a:defRPr>
      </a:pPr>
      <a:endParaRPr lang="es-ES"/>
    </a:p>
  </c:txPr>
  <c:externalData r:id="rId1"/>
</c:chartSpace>
</file>

<file path=word/charts/chart69.xml><?xml version="1.0" encoding="utf-8"?>
<c:chartSpace xmlns:c="http://schemas.openxmlformats.org/drawingml/2006/chart" xmlns:a="http://schemas.openxmlformats.org/drawingml/2006/main" xmlns:r="http://schemas.openxmlformats.org/officeDocument/2006/relationships">
  <c:date1904 val="1"/>
  <c:lang val="es-ES"/>
  <c:chart>
    <c:autoTitleDeleted val="1"/>
    <c:plotArea>
      <c:layout>
        <c:manualLayout>
          <c:xMode val="edge"/>
          <c:yMode val="edge"/>
          <c:x val="6.8571428571428575E-2"/>
          <c:y val="0.13181818181818244"/>
          <c:w val="0.60285714285714287"/>
          <c:h val="0.5363636363636366"/>
        </c:manualLayout>
      </c:layout>
      <c:barChart>
        <c:barDir val="col"/>
        <c:grouping val="stacked"/>
        <c:ser>
          <c:idx val="0"/>
          <c:order val="0"/>
          <c:tx>
            <c:strRef>
              <c:f>Graficos_Informe!$D$8</c:f>
              <c:strCache>
                <c:ptCount val="1"/>
                <c:pt idx="0">
                  <c:v>Con salida de efectivo</c:v>
                </c:pt>
              </c:strCache>
            </c:strRef>
          </c:tx>
          <c:spPr>
            <a:solidFill>
              <a:srgbClr val="7AB800"/>
            </a:solidFill>
            <a:ln w="3175">
              <a:solidFill>
                <a:srgbClr val="FFFFFF"/>
              </a:solidFill>
              <a:prstDash val="solid"/>
            </a:ln>
          </c:spPr>
          <c:dPt>
            <c:idx val="0"/>
            <c:spPr>
              <a:solidFill>
                <a:srgbClr val="7AB800"/>
              </a:solidFill>
              <a:ln w="3175">
                <a:solidFill>
                  <a:srgbClr val="FFFFFF"/>
                </a:solidFill>
                <a:prstDash val="solid"/>
              </a:ln>
            </c:spPr>
          </c:dPt>
          <c:dLbls>
            <c:showVal val="1"/>
          </c:dLbls>
          <c:cat>
            <c:numRef>
              <c:f>Graficos_Informe!$E$7</c:f>
              <c:numCache>
                <c:formatCode>General</c:formatCode>
                <c:ptCount val="1"/>
                <c:pt idx="0">
                  <c:v>2011</c:v>
                </c:pt>
              </c:numCache>
            </c:numRef>
          </c:cat>
          <c:val>
            <c:numRef>
              <c:f>Graficos_Informe!$E$8</c:f>
              <c:numCache>
                <c:formatCode>#,##0</c:formatCode>
                <c:ptCount val="1"/>
                <c:pt idx="0">
                  <c:v>323514020.31999999</c:v>
                </c:pt>
              </c:numCache>
            </c:numRef>
          </c:val>
        </c:ser>
        <c:ser>
          <c:idx val="1"/>
          <c:order val="1"/>
          <c:tx>
            <c:strRef>
              <c:f>Graficos_Informe!$D$9</c:f>
              <c:strCache>
                <c:ptCount val="1"/>
                <c:pt idx="0">
                  <c:v>Sin salida de efectivo</c:v>
                </c:pt>
              </c:strCache>
            </c:strRef>
          </c:tx>
          <c:spPr>
            <a:solidFill>
              <a:srgbClr val="9BCA40"/>
            </a:solidFill>
          </c:spPr>
          <c:dLbls>
            <c:showVal val="1"/>
          </c:dLbls>
          <c:cat>
            <c:numRef>
              <c:f>Graficos_Informe!$E$7</c:f>
              <c:numCache>
                <c:formatCode>General</c:formatCode>
                <c:ptCount val="1"/>
                <c:pt idx="0">
                  <c:v>2011</c:v>
                </c:pt>
              </c:numCache>
            </c:numRef>
          </c:cat>
          <c:val>
            <c:numRef>
              <c:f>Graficos_Informe!$E$9</c:f>
              <c:numCache>
                <c:formatCode>#,##0</c:formatCode>
                <c:ptCount val="1"/>
                <c:pt idx="0">
                  <c:v>204815193.38000011</c:v>
                </c:pt>
              </c:numCache>
            </c:numRef>
          </c:val>
        </c:ser>
        <c:gapWidth val="40"/>
        <c:overlap val="100"/>
        <c:axId val="175923968"/>
        <c:axId val="175925504"/>
      </c:barChart>
      <c:catAx>
        <c:axId val="175923968"/>
        <c:scaling>
          <c:orientation val="minMax"/>
        </c:scaling>
        <c:axPos val="b"/>
        <c:numFmt formatCode="General" sourceLinked="1"/>
        <c:tickLblPos val="low"/>
        <c:spPr>
          <a:ln w="3175">
            <a:solidFill>
              <a:srgbClr val="000000"/>
            </a:solidFill>
            <a:prstDash val="solid"/>
          </a:ln>
        </c:spPr>
        <c:crossAx val="175925504"/>
        <c:crosses val="autoZero"/>
        <c:auto val="1"/>
        <c:lblAlgn val="ctr"/>
        <c:lblOffset val="100"/>
      </c:catAx>
      <c:valAx>
        <c:axId val="175925504"/>
        <c:scaling>
          <c:orientation val="minMax"/>
          <c:max val="500000000"/>
          <c:min val="0"/>
        </c:scaling>
        <c:axPos val="l"/>
        <c:numFmt formatCode="#,##0" sourceLinked="1"/>
        <c:tickLblPos val="nextTo"/>
        <c:spPr>
          <a:ln w="3175">
            <a:solidFill>
              <a:srgbClr val="000000"/>
            </a:solidFill>
            <a:prstDash val="solid"/>
          </a:ln>
        </c:spPr>
        <c:crossAx val="175923968"/>
        <c:crosses val="autoZero"/>
        <c:crossBetween val="between"/>
        <c:minorUnit val="200000000"/>
      </c:valAx>
      <c:spPr>
        <a:noFill/>
        <a:ln w="25400">
          <a:noFill/>
        </a:ln>
      </c:spPr>
    </c:plotArea>
    <c:legend>
      <c:legendPos val="b"/>
      <c:layout>
        <c:manualLayout>
          <c:xMode val="edge"/>
          <c:yMode val="edge"/>
          <c:x val="9.7034422421335254E-2"/>
          <c:y val="0.72734512681662067"/>
          <c:w val="0.78339276555947768"/>
          <c:h val="8.2931851015585381E-2"/>
        </c:manualLayout>
      </c:layout>
      <c:spPr>
        <a:noFill/>
        <a:ln w="25400">
          <a:noFill/>
        </a:ln>
      </c:spPr>
    </c:legend>
    <c:plotVisOnly val="1"/>
  </c:chart>
  <c:spPr>
    <a:noFill/>
    <a:ln w="9525">
      <a:noFill/>
    </a:ln>
  </c:spPr>
  <c:txPr>
    <a:bodyPr/>
    <a:lstStyle/>
    <a:p>
      <a:pPr>
        <a:defRPr sz="1000" b="0" i="0">
          <a:solidFill>
            <a:srgbClr val="000000"/>
          </a:solidFill>
          <a:latin typeface="MinionPro-Regular"/>
          <a:ea typeface="Arial"/>
          <a:cs typeface="Arial"/>
        </a:defRPr>
      </a:pPr>
      <a:endParaRPr lang="es-ES"/>
    </a:p>
  </c:txPr>
  <c:externalData r:id="rId1"/>
  <c:userShapes r:id="rId2"/>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es-ES"/>
  <c:chart>
    <c:autoTitleDeleted val="1"/>
    <c:plotArea>
      <c:layout>
        <c:manualLayout>
          <c:layoutTarget val="inner"/>
          <c:xMode val="edge"/>
          <c:yMode val="edge"/>
          <c:x val="0.19387032209569519"/>
          <c:y val="0.10606771234966418"/>
          <c:w val="0.74481663849434965"/>
          <c:h val="0.5548682720008794"/>
        </c:manualLayout>
      </c:layout>
      <c:barChart>
        <c:barDir val="col"/>
        <c:grouping val="clustered"/>
        <c:ser>
          <c:idx val="0"/>
          <c:order val="0"/>
          <c:spPr>
            <a:solidFill>
              <a:srgbClr val="409DAD"/>
            </a:solidFill>
            <a:ln w="3175">
              <a:solidFill>
                <a:srgbClr val="FFFFFF"/>
              </a:solidFill>
              <a:prstDash val="solid"/>
            </a:ln>
          </c:spPr>
          <c:dLbls>
            <c:txPr>
              <a:bodyPr/>
              <a:lstStyle/>
              <a:p>
                <a:pPr>
                  <a:defRPr sz="600"/>
                </a:pPr>
                <a:endParaRPr lang="es-ES"/>
              </a:p>
            </c:txPr>
            <c:showVal val="1"/>
          </c:dLbls>
          <c:cat>
            <c:strRef>
              <c:f>'GRAFICA DEFINITIVA'!$C$53:$C$69</c:f>
              <c:strCache>
                <c:ptCount val="17"/>
                <c:pt idx="0">
                  <c:v>Madrid</c:v>
                </c:pt>
                <c:pt idx="1">
                  <c:v>Cataluña</c:v>
                </c:pt>
                <c:pt idx="2">
                  <c:v>Canarias</c:v>
                </c:pt>
                <c:pt idx="3">
                  <c:v>Navarra</c:v>
                </c:pt>
                <c:pt idx="4">
                  <c:v>C.Valenciana</c:v>
                </c:pt>
                <c:pt idx="5">
                  <c:v>Castilla y León</c:v>
                </c:pt>
                <c:pt idx="6">
                  <c:v>La Rioja</c:v>
                </c:pt>
                <c:pt idx="7">
                  <c:v>Aragón</c:v>
                </c:pt>
                <c:pt idx="8">
                  <c:v>Asturias</c:v>
                </c:pt>
                <c:pt idx="9">
                  <c:v>Extremadura</c:v>
                </c:pt>
                <c:pt idx="10">
                  <c:v>Andalucía + Ceuta y Melilla</c:v>
                </c:pt>
                <c:pt idx="11">
                  <c:v>País Vasco</c:v>
                </c:pt>
                <c:pt idx="12">
                  <c:v>Galicia</c:v>
                </c:pt>
                <c:pt idx="13">
                  <c:v>Castilla La Mancha</c:v>
                </c:pt>
                <c:pt idx="14">
                  <c:v>  Murcia</c:v>
                </c:pt>
                <c:pt idx="15">
                  <c:v>Cantabria</c:v>
                </c:pt>
                <c:pt idx="16">
                  <c:v>Baleares</c:v>
                </c:pt>
              </c:strCache>
            </c:strRef>
          </c:cat>
          <c:val>
            <c:numRef>
              <c:f>'GRAFICA DEFINITIVA'!$D$53:$D$69</c:f>
              <c:numCache>
                <c:formatCode>0.00</c:formatCode>
                <c:ptCount val="17"/>
                <c:pt idx="0">
                  <c:v>19.189189189189189</c:v>
                </c:pt>
                <c:pt idx="1">
                  <c:v>13.380176409029756</c:v>
                </c:pt>
                <c:pt idx="2">
                  <c:v>12.565445026178027</c:v>
                </c:pt>
                <c:pt idx="3">
                  <c:v>12.435233160621761</c:v>
                </c:pt>
                <c:pt idx="4">
                  <c:v>11.6075339465615</c:v>
                </c:pt>
                <c:pt idx="5">
                  <c:v>10.117493472584902</c:v>
                </c:pt>
                <c:pt idx="6">
                  <c:v>9.2857142857143025</c:v>
                </c:pt>
                <c:pt idx="7">
                  <c:v>8.6832061068702302</c:v>
                </c:pt>
                <c:pt idx="8">
                  <c:v>8.4586466165413725</c:v>
                </c:pt>
                <c:pt idx="9">
                  <c:v>8.3044982698961896</c:v>
                </c:pt>
                <c:pt idx="10">
                  <c:v>8.1825037707390607</c:v>
                </c:pt>
                <c:pt idx="11">
                  <c:v>6.0900264783759832</c:v>
                </c:pt>
                <c:pt idx="12">
                  <c:v>5.2407932011331493</c:v>
                </c:pt>
                <c:pt idx="13">
                  <c:v>4.0242557883131198</c:v>
                </c:pt>
                <c:pt idx="14">
                  <c:v>3.9308855291576665</c:v>
                </c:pt>
                <c:pt idx="15">
                  <c:v>3.6717062634989204</c:v>
                </c:pt>
                <c:pt idx="16">
                  <c:v>0</c:v>
                </c:pt>
              </c:numCache>
            </c:numRef>
          </c:val>
        </c:ser>
        <c:gapWidth val="40"/>
        <c:axId val="207358592"/>
        <c:axId val="207364480"/>
      </c:barChart>
      <c:catAx>
        <c:axId val="207358592"/>
        <c:scaling>
          <c:orientation val="minMax"/>
        </c:scaling>
        <c:axPos val="b"/>
        <c:tickLblPos val="low"/>
        <c:spPr>
          <a:ln w="3175">
            <a:solidFill>
              <a:srgbClr val="000000"/>
            </a:solidFill>
            <a:prstDash val="solid"/>
          </a:ln>
        </c:spPr>
        <c:crossAx val="207364480"/>
        <c:crosses val="autoZero"/>
        <c:auto val="1"/>
        <c:lblAlgn val="ctr"/>
        <c:lblOffset val="100"/>
      </c:catAx>
      <c:valAx>
        <c:axId val="207364480"/>
        <c:scaling>
          <c:orientation val="minMax"/>
        </c:scaling>
        <c:axPos val="l"/>
        <c:title>
          <c:tx>
            <c:rich>
              <a:bodyPr rot="-5400000" vert="horz"/>
              <a:lstStyle/>
              <a:p>
                <a:pPr>
                  <a:defRPr/>
                </a:pPr>
                <a:r>
                  <a:rPr lang="en-US"/>
                  <a:t>Número de autobuses accesibles</a:t>
                </a:r>
              </a:p>
              <a:p>
                <a:pPr>
                  <a:defRPr/>
                </a:pPr>
                <a:r>
                  <a:rPr lang="en-US"/>
                  <a:t> por cada persona con discapacidad ocupada</a:t>
                </a:r>
              </a:p>
            </c:rich>
          </c:tx>
          <c:layout>
            <c:manualLayout>
              <c:xMode val="edge"/>
              <c:yMode val="edge"/>
              <c:x val="5.3864313151015419E-2"/>
              <c:y val="0.13729125899671321"/>
            </c:manualLayout>
          </c:layout>
        </c:title>
        <c:numFmt formatCode="0.00" sourceLinked="1"/>
        <c:tickLblPos val="nextTo"/>
        <c:spPr>
          <a:ln w="3175">
            <a:solidFill>
              <a:srgbClr val="000000"/>
            </a:solidFill>
            <a:prstDash val="solid"/>
          </a:ln>
        </c:spPr>
        <c:crossAx val="207358592"/>
        <c:crosses val="autoZero"/>
        <c:crossBetween val="between"/>
      </c:valAx>
      <c:spPr>
        <a:noFill/>
        <a:ln w="25400">
          <a:noFill/>
        </a:ln>
      </c:spPr>
    </c:plotArea>
    <c:plotVisOnly val="1"/>
  </c:chart>
  <c:spPr>
    <a:noFill/>
    <a:ln w="9525">
      <a:noFill/>
    </a:ln>
  </c:spPr>
  <c:txPr>
    <a:bodyPr/>
    <a:lstStyle/>
    <a:p>
      <a:pPr>
        <a:defRPr sz="800" b="0" i="0">
          <a:solidFill>
            <a:srgbClr val="000000"/>
          </a:solidFill>
          <a:latin typeface="MinionPro-Regular"/>
          <a:ea typeface="Arial"/>
          <a:cs typeface="Arial"/>
        </a:defRPr>
      </a:pPr>
      <a:endParaRPr lang="es-ES"/>
    </a:p>
  </c:txPr>
  <c:externalData r:id="rId1"/>
</c:chartSpace>
</file>

<file path=word/charts/chart70.xml><?xml version="1.0" encoding="utf-8"?>
<c:chartSpace xmlns:c="http://schemas.openxmlformats.org/drawingml/2006/chart" xmlns:a="http://schemas.openxmlformats.org/drawingml/2006/main" xmlns:r="http://schemas.openxmlformats.org/officeDocument/2006/relationships">
  <c:date1904 val="1"/>
  <c:lang val="es-ES"/>
  <c:chart>
    <c:autoTitleDeleted val="1"/>
    <c:plotArea>
      <c:layout>
        <c:manualLayout>
          <c:layoutTarget val="inner"/>
          <c:xMode val="edge"/>
          <c:yMode val="edge"/>
          <c:x val="0.25784364764321815"/>
          <c:y val="0.16622440507922484"/>
          <c:w val="0.47694583631591508"/>
          <c:h val="0.48403645992641597"/>
        </c:manualLayout>
      </c:layout>
      <c:barChart>
        <c:barDir val="col"/>
        <c:grouping val="stacked"/>
        <c:ser>
          <c:idx val="0"/>
          <c:order val="0"/>
          <c:tx>
            <c:strRef>
              <c:f>Graficos_Informe!$D$28</c:f>
              <c:strCache>
                <c:ptCount val="1"/>
                <c:pt idx="0">
                  <c:v>IRPF</c:v>
                </c:pt>
              </c:strCache>
            </c:strRef>
          </c:tx>
          <c:spPr>
            <a:solidFill>
              <a:srgbClr val="409DAD"/>
            </a:solidFill>
            <a:ln w="3175">
              <a:noFill/>
              <a:prstDash val="solid"/>
            </a:ln>
          </c:spPr>
          <c:dPt>
            <c:idx val="0"/>
            <c:spPr>
              <a:solidFill>
                <a:srgbClr val="409DAD"/>
              </a:solidFill>
              <a:ln w="3175">
                <a:noFill/>
                <a:prstDash val="solid"/>
              </a:ln>
            </c:spPr>
          </c:dPt>
          <c:dLbls>
            <c:txPr>
              <a:bodyPr/>
              <a:lstStyle/>
              <a:p>
                <a:pPr>
                  <a:defRPr>
                    <a:solidFill>
                      <a:schemeClr val="bg1"/>
                    </a:solidFill>
                  </a:defRPr>
                </a:pPr>
                <a:endParaRPr lang="es-ES"/>
              </a:p>
            </c:txPr>
            <c:showVal val="1"/>
          </c:dLbls>
          <c:cat>
            <c:numRef>
              <c:f>Graficos_Informe!$E$7</c:f>
              <c:numCache>
                <c:formatCode>General</c:formatCode>
                <c:ptCount val="1"/>
                <c:pt idx="0">
                  <c:v>2011</c:v>
                </c:pt>
              </c:numCache>
            </c:numRef>
          </c:cat>
          <c:val>
            <c:numRef>
              <c:f>Graficos_Informe!$E$28</c:f>
              <c:numCache>
                <c:formatCode>#,##0</c:formatCode>
                <c:ptCount val="1"/>
                <c:pt idx="0">
                  <c:v>38439568</c:v>
                </c:pt>
              </c:numCache>
            </c:numRef>
          </c:val>
        </c:ser>
        <c:ser>
          <c:idx val="1"/>
          <c:order val="1"/>
          <c:tx>
            <c:strRef>
              <c:f>Graficos_Informe!$D$29</c:f>
              <c:strCache>
                <c:ptCount val="1"/>
                <c:pt idx="0">
                  <c:v>Cotización Seguridad Social</c:v>
                </c:pt>
              </c:strCache>
            </c:strRef>
          </c:tx>
          <c:spPr>
            <a:solidFill>
              <a:srgbClr val="93CDDD"/>
            </a:solidFill>
          </c:spPr>
          <c:dLbls>
            <c:dLbl>
              <c:idx val="0"/>
              <c:spPr/>
              <c:txPr>
                <a:bodyPr/>
                <a:lstStyle/>
                <a:p>
                  <a:pPr>
                    <a:defRPr>
                      <a:solidFill>
                        <a:schemeClr val="bg1"/>
                      </a:solidFill>
                    </a:defRPr>
                  </a:pPr>
                  <a:endParaRPr lang="es-ES"/>
                </a:p>
              </c:txPr>
            </c:dLbl>
            <c:showVal val="1"/>
          </c:dLbls>
          <c:cat>
            <c:numRef>
              <c:f>Graficos_Informe!$E$7</c:f>
              <c:numCache>
                <c:formatCode>General</c:formatCode>
                <c:ptCount val="1"/>
                <c:pt idx="0">
                  <c:v>2011</c:v>
                </c:pt>
              </c:numCache>
            </c:numRef>
          </c:cat>
          <c:val>
            <c:numRef>
              <c:f>Graficos_Informe!$E$29</c:f>
              <c:numCache>
                <c:formatCode>#,##0</c:formatCode>
                <c:ptCount val="1"/>
                <c:pt idx="0">
                  <c:v>48926719</c:v>
                </c:pt>
              </c:numCache>
            </c:numRef>
          </c:val>
        </c:ser>
        <c:gapWidth val="40"/>
        <c:overlap val="100"/>
        <c:axId val="175988736"/>
        <c:axId val="175990272"/>
      </c:barChart>
      <c:catAx>
        <c:axId val="175988736"/>
        <c:scaling>
          <c:orientation val="minMax"/>
        </c:scaling>
        <c:axPos val="b"/>
        <c:numFmt formatCode="General" sourceLinked="1"/>
        <c:tickLblPos val="low"/>
        <c:spPr>
          <a:ln w="3175">
            <a:solidFill>
              <a:srgbClr val="000000"/>
            </a:solidFill>
            <a:prstDash val="solid"/>
          </a:ln>
        </c:spPr>
        <c:crossAx val="175990272"/>
        <c:crosses val="autoZero"/>
        <c:auto val="1"/>
        <c:lblAlgn val="ctr"/>
        <c:lblOffset val="100"/>
      </c:catAx>
      <c:valAx>
        <c:axId val="175990272"/>
        <c:scaling>
          <c:orientation val="minMax"/>
          <c:max val="80000000"/>
          <c:min val="0"/>
        </c:scaling>
        <c:axPos val="l"/>
        <c:numFmt formatCode="#,##0" sourceLinked="1"/>
        <c:tickLblPos val="nextTo"/>
        <c:spPr>
          <a:ln w="3175">
            <a:solidFill>
              <a:srgbClr val="000000"/>
            </a:solidFill>
            <a:prstDash val="solid"/>
          </a:ln>
        </c:spPr>
        <c:crossAx val="175988736"/>
        <c:crosses val="autoZero"/>
        <c:crossBetween val="between"/>
        <c:minorUnit val="20000000"/>
      </c:valAx>
      <c:spPr>
        <a:noFill/>
        <a:ln w="25400">
          <a:noFill/>
        </a:ln>
      </c:spPr>
    </c:plotArea>
    <c:legend>
      <c:legendPos val="b"/>
      <c:layout>
        <c:manualLayout>
          <c:xMode val="edge"/>
          <c:yMode val="edge"/>
          <c:x val="0.12182772607969462"/>
          <c:y val="0.82501437597769756"/>
          <c:w val="0.78339276555947768"/>
          <c:h val="8.2931851015585381E-2"/>
        </c:manualLayout>
      </c:layout>
      <c:spPr>
        <a:noFill/>
        <a:ln w="25400">
          <a:noFill/>
        </a:ln>
      </c:spPr>
    </c:legend>
    <c:plotVisOnly val="1"/>
  </c:chart>
  <c:spPr>
    <a:noFill/>
    <a:ln w="9525">
      <a:noFill/>
    </a:ln>
  </c:spPr>
  <c:txPr>
    <a:bodyPr/>
    <a:lstStyle/>
    <a:p>
      <a:pPr>
        <a:defRPr sz="1000" b="0" i="0">
          <a:solidFill>
            <a:srgbClr val="000000"/>
          </a:solidFill>
          <a:latin typeface="MinionPro-Regular"/>
          <a:ea typeface="Arial"/>
          <a:cs typeface="Arial"/>
        </a:defRPr>
      </a:pPr>
      <a:endParaRPr lang="es-ES"/>
    </a:p>
  </c:txPr>
  <c:externalData r:id="rId1"/>
  <c:userShapes r:id="rId2"/>
</c:chartSpace>
</file>

<file path=word/charts/chart71.xml><?xml version="1.0" encoding="utf-8"?>
<c:chartSpace xmlns:c="http://schemas.openxmlformats.org/drawingml/2006/chart" xmlns:a="http://schemas.openxmlformats.org/drawingml/2006/main" xmlns:r="http://schemas.openxmlformats.org/officeDocument/2006/relationships">
  <c:date1904 val="1"/>
  <c:lang val="es-ES"/>
  <c:chart>
    <c:autoTitleDeleted val="1"/>
    <c:plotArea>
      <c:layout>
        <c:manualLayout>
          <c:layoutTarget val="inner"/>
          <c:xMode val="edge"/>
          <c:yMode val="edge"/>
          <c:x val="0.25233400576993992"/>
          <c:y val="0.17510342838665688"/>
          <c:w val="0.42184941758313271"/>
          <c:h val="0.42632280842808862"/>
        </c:manualLayout>
      </c:layout>
      <c:barChart>
        <c:barDir val="col"/>
        <c:grouping val="stacked"/>
        <c:ser>
          <c:idx val="0"/>
          <c:order val="0"/>
          <c:tx>
            <c:strRef>
              <c:f>Graficos_Informe!$D$44</c:f>
              <c:strCache>
                <c:ptCount val="1"/>
                <c:pt idx="0">
                  <c:v>IRPF</c:v>
                </c:pt>
              </c:strCache>
            </c:strRef>
          </c:tx>
          <c:spPr>
            <a:solidFill>
              <a:srgbClr val="00505C"/>
            </a:solidFill>
            <a:ln w="3175">
              <a:solidFill>
                <a:srgbClr val="FFFFFF"/>
              </a:solidFill>
              <a:prstDash val="solid"/>
            </a:ln>
          </c:spPr>
          <c:dLbls>
            <c:showVal val="1"/>
          </c:dLbls>
          <c:cat>
            <c:numRef>
              <c:f>Graficos_Informe!$E$7</c:f>
              <c:numCache>
                <c:formatCode>General</c:formatCode>
                <c:ptCount val="1"/>
                <c:pt idx="0">
                  <c:v>2011</c:v>
                </c:pt>
              </c:numCache>
            </c:numRef>
          </c:cat>
          <c:val>
            <c:numRef>
              <c:f>Graficos_Informe!$E$44</c:f>
              <c:numCache>
                <c:formatCode>#,##0</c:formatCode>
                <c:ptCount val="1"/>
                <c:pt idx="0">
                  <c:v>20768856</c:v>
                </c:pt>
              </c:numCache>
            </c:numRef>
          </c:val>
        </c:ser>
        <c:ser>
          <c:idx val="1"/>
          <c:order val="1"/>
          <c:tx>
            <c:strRef>
              <c:f>Graficos_Informe!$D$45</c:f>
              <c:strCache>
                <c:ptCount val="1"/>
                <c:pt idx="0">
                  <c:v>Cotización Seguridad Social (empleado)</c:v>
                </c:pt>
              </c:strCache>
            </c:strRef>
          </c:tx>
          <c:spPr>
            <a:solidFill>
              <a:srgbClr val="407C85"/>
            </a:solidFill>
          </c:spPr>
          <c:dLbls>
            <c:showVal val="1"/>
          </c:dLbls>
          <c:cat>
            <c:numRef>
              <c:f>Graficos_Informe!$E$7</c:f>
              <c:numCache>
                <c:formatCode>General</c:formatCode>
                <c:ptCount val="1"/>
                <c:pt idx="0">
                  <c:v>2011</c:v>
                </c:pt>
              </c:numCache>
            </c:numRef>
          </c:cat>
          <c:val>
            <c:numRef>
              <c:f>Graficos_Informe!$E$45</c:f>
              <c:numCache>
                <c:formatCode>#,##0</c:formatCode>
                <c:ptCount val="1"/>
                <c:pt idx="0">
                  <c:v>10612703</c:v>
                </c:pt>
              </c:numCache>
            </c:numRef>
          </c:val>
        </c:ser>
        <c:ser>
          <c:idx val="2"/>
          <c:order val="2"/>
          <c:tx>
            <c:strRef>
              <c:f>Graficos_Informe!$D$46</c:f>
              <c:strCache>
                <c:ptCount val="1"/>
                <c:pt idx="0">
                  <c:v>Cotización Seguridad Social (empleador)</c:v>
                </c:pt>
              </c:strCache>
            </c:strRef>
          </c:tx>
          <c:spPr>
            <a:solidFill>
              <a:srgbClr val="409DAD"/>
            </a:solidFill>
          </c:spPr>
          <c:dLbls>
            <c:showVal val="1"/>
          </c:dLbls>
          <c:val>
            <c:numRef>
              <c:f>Graficos_Informe!$E$46</c:f>
              <c:numCache>
                <c:formatCode>#,##0</c:formatCode>
                <c:ptCount val="1"/>
                <c:pt idx="0">
                  <c:v>60584326</c:v>
                </c:pt>
              </c:numCache>
            </c:numRef>
          </c:val>
        </c:ser>
        <c:gapWidth val="40"/>
        <c:overlap val="100"/>
        <c:axId val="176033152"/>
        <c:axId val="176051328"/>
      </c:barChart>
      <c:catAx>
        <c:axId val="176033152"/>
        <c:scaling>
          <c:orientation val="minMax"/>
        </c:scaling>
        <c:axPos val="b"/>
        <c:numFmt formatCode="General" sourceLinked="1"/>
        <c:tickLblPos val="low"/>
        <c:spPr>
          <a:ln w="3175">
            <a:solidFill>
              <a:srgbClr val="000000"/>
            </a:solidFill>
            <a:prstDash val="solid"/>
          </a:ln>
        </c:spPr>
        <c:crossAx val="176051328"/>
        <c:crosses val="autoZero"/>
        <c:auto val="1"/>
        <c:lblAlgn val="ctr"/>
        <c:lblOffset val="100"/>
      </c:catAx>
      <c:valAx>
        <c:axId val="176051328"/>
        <c:scaling>
          <c:orientation val="minMax"/>
          <c:max val="100000000"/>
          <c:min val="0"/>
        </c:scaling>
        <c:axPos val="l"/>
        <c:numFmt formatCode="#,##0" sourceLinked="1"/>
        <c:tickLblPos val="nextTo"/>
        <c:spPr>
          <a:ln w="3175">
            <a:solidFill>
              <a:srgbClr val="000000"/>
            </a:solidFill>
            <a:prstDash val="solid"/>
          </a:ln>
        </c:spPr>
        <c:crossAx val="176033152"/>
        <c:crosses val="autoZero"/>
        <c:crossBetween val="between"/>
        <c:minorUnit val="20000000"/>
      </c:valAx>
      <c:spPr>
        <a:noFill/>
        <a:ln w="25400">
          <a:noFill/>
        </a:ln>
      </c:spPr>
    </c:plotArea>
    <c:legend>
      <c:legendPos val="b"/>
      <c:layout>
        <c:manualLayout>
          <c:xMode val="edge"/>
          <c:yMode val="edge"/>
          <c:x val="0.28711698227805438"/>
          <c:y val="0.72734511959590065"/>
          <c:w val="0.52834016615691637"/>
          <c:h val="0.22059793580186968"/>
        </c:manualLayout>
      </c:layout>
      <c:spPr>
        <a:noFill/>
        <a:ln w="25400">
          <a:noFill/>
        </a:ln>
      </c:spPr>
      <c:txPr>
        <a:bodyPr/>
        <a:lstStyle/>
        <a:p>
          <a:pPr>
            <a:defRPr sz="800"/>
          </a:pPr>
          <a:endParaRPr lang="es-ES"/>
        </a:p>
      </c:txPr>
    </c:legend>
    <c:plotVisOnly val="1"/>
  </c:chart>
  <c:spPr>
    <a:noFill/>
    <a:ln w="9525">
      <a:noFill/>
    </a:ln>
  </c:spPr>
  <c:txPr>
    <a:bodyPr/>
    <a:lstStyle/>
    <a:p>
      <a:pPr>
        <a:defRPr sz="1000" b="0" i="0">
          <a:solidFill>
            <a:srgbClr val="000000"/>
          </a:solidFill>
          <a:latin typeface="MinionPro-Regular"/>
          <a:ea typeface="Arial"/>
          <a:cs typeface="Arial"/>
        </a:defRPr>
      </a:pPr>
      <a:endParaRPr lang="es-ES"/>
    </a:p>
  </c:txPr>
  <c:externalData r:id="rId1"/>
  <c:userShapes r:id="rId2"/>
</c:chartSpace>
</file>

<file path=word/charts/chart72.xml><?xml version="1.0" encoding="utf-8"?>
<c:chartSpace xmlns:c="http://schemas.openxmlformats.org/drawingml/2006/chart" xmlns:a="http://schemas.openxmlformats.org/drawingml/2006/main" xmlns:r="http://schemas.openxmlformats.org/officeDocument/2006/relationships">
  <c:date1904 val="1"/>
  <c:lang val="es-ES"/>
  <c:chart>
    <c:autoTitleDeleted val="1"/>
    <c:plotArea>
      <c:layout>
        <c:manualLayout>
          <c:layoutTarget val="inner"/>
          <c:xMode val="edge"/>
          <c:yMode val="edge"/>
          <c:x val="0.15518595943190591"/>
          <c:y val="6.2350824813899912E-2"/>
          <c:w val="0.76087614196713149"/>
          <c:h val="0.86129735226026261"/>
        </c:manualLayout>
      </c:layout>
      <c:barChart>
        <c:barDir val="col"/>
        <c:grouping val="stacked"/>
        <c:ser>
          <c:idx val="0"/>
          <c:order val="0"/>
          <c:tx>
            <c:strRef>
              <c:f>Graficos_Informe!$D$59:$D$60</c:f>
              <c:strCache>
                <c:ptCount val="1"/>
                <c:pt idx="0">
                  <c:v>Retorno IRPF Ayudas de la administración con salida de efectivo</c:v>
                </c:pt>
              </c:strCache>
            </c:strRef>
          </c:tx>
          <c:spPr>
            <a:solidFill>
              <a:srgbClr val="7AB800"/>
            </a:solidFill>
            <a:ln>
              <a:noFill/>
            </a:ln>
          </c:spPr>
          <c:dPt>
            <c:idx val="0"/>
            <c:spPr>
              <a:solidFill>
                <a:srgbClr val="409DAD"/>
              </a:solidFill>
              <a:ln>
                <a:noFill/>
              </a:ln>
            </c:spPr>
          </c:dPt>
          <c:dLbls>
            <c:txPr>
              <a:bodyPr/>
              <a:lstStyle/>
              <a:p>
                <a:pPr>
                  <a:defRPr>
                    <a:solidFill>
                      <a:schemeClr val="bg1"/>
                    </a:solidFill>
                  </a:defRPr>
                </a:pPr>
                <a:endParaRPr lang="es-ES"/>
              </a:p>
            </c:txPr>
            <c:showVal val="1"/>
          </c:dLbls>
          <c:val>
            <c:numRef>
              <c:f>Graficos_Informe!$E$59:$E$60</c:f>
              <c:numCache>
                <c:formatCode>#,##0</c:formatCode>
                <c:ptCount val="2"/>
                <c:pt idx="0">
                  <c:v>59208424</c:v>
                </c:pt>
                <c:pt idx="1">
                  <c:v>323514020.31999999</c:v>
                </c:pt>
              </c:numCache>
            </c:numRef>
          </c:val>
        </c:ser>
        <c:ser>
          <c:idx val="1"/>
          <c:order val="1"/>
          <c:tx>
            <c:strRef>
              <c:f>Graficos_Informe!$D$61:$D$62</c:f>
              <c:strCache>
                <c:ptCount val="1"/>
                <c:pt idx="0">
                  <c:v>Cotización Seguridad Social Ayudas de la administración con salida de efectivo</c:v>
                </c:pt>
              </c:strCache>
            </c:strRef>
          </c:tx>
          <c:spPr>
            <a:solidFill>
              <a:srgbClr val="80BEC9"/>
            </a:solidFill>
          </c:spPr>
          <c:dLbls>
            <c:dLbl>
              <c:idx val="1"/>
              <c:layout>
                <c:manualLayout>
                  <c:x val="7.6914376886805923E-3"/>
                  <c:y val="-6.3340520445864912E-2"/>
                </c:manualLayout>
              </c:layout>
              <c:showVal val="1"/>
            </c:dLbl>
            <c:txPr>
              <a:bodyPr/>
              <a:lstStyle/>
              <a:p>
                <a:pPr>
                  <a:defRPr>
                    <a:solidFill>
                      <a:schemeClr val="bg1"/>
                    </a:solidFill>
                  </a:defRPr>
                </a:pPr>
                <a:endParaRPr lang="es-ES"/>
              </a:p>
            </c:txPr>
            <c:showVal val="1"/>
          </c:dLbls>
          <c:val>
            <c:numRef>
              <c:f>Graficos_Informe!$E$61:$E$62</c:f>
              <c:numCache>
                <c:formatCode>#,##0</c:formatCode>
                <c:ptCount val="2"/>
                <c:pt idx="0">
                  <c:v>120123748</c:v>
                </c:pt>
                <c:pt idx="1">
                  <c:v>0</c:v>
                </c:pt>
              </c:numCache>
            </c:numRef>
          </c:val>
        </c:ser>
        <c:gapWidth val="55"/>
        <c:overlap val="100"/>
        <c:axId val="172869888"/>
        <c:axId val="172879872"/>
      </c:barChart>
      <c:catAx>
        <c:axId val="172869888"/>
        <c:scaling>
          <c:orientation val="minMax"/>
        </c:scaling>
        <c:delete val="1"/>
        <c:axPos val="b"/>
        <c:numFmt formatCode="General" sourceLinked="1"/>
        <c:majorTickMark val="none"/>
        <c:tickLblPos val="none"/>
        <c:crossAx val="172879872"/>
        <c:crosses val="autoZero"/>
        <c:auto val="1"/>
        <c:lblAlgn val="ctr"/>
        <c:lblOffset val="100"/>
      </c:catAx>
      <c:valAx>
        <c:axId val="172879872"/>
        <c:scaling>
          <c:orientation val="minMax"/>
        </c:scaling>
        <c:axPos val="l"/>
        <c:numFmt formatCode="#,##0" sourceLinked="1"/>
        <c:majorTickMark val="none"/>
        <c:tickLblPos val="nextTo"/>
        <c:spPr>
          <a:ln w="3175">
            <a:solidFill>
              <a:srgbClr val="000000"/>
            </a:solidFill>
            <a:prstDash val="solid"/>
          </a:ln>
        </c:spPr>
        <c:crossAx val="172869888"/>
        <c:crosses val="autoZero"/>
        <c:crossBetween val="between"/>
        <c:minorUnit val="100000000"/>
      </c:valAx>
      <c:spPr>
        <a:noFill/>
        <a:ln w="25400">
          <a:noFill/>
        </a:ln>
      </c:spPr>
    </c:plotArea>
    <c:plotVisOnly val="1"/>
  </c:chart>
  <c:spPr>
    <a:noFill/>
    <a:ln w="9525">
      <a:noFill/>
    </a:ln>
  </c:spPr>
  <c:txPr>
    <a:bodyPr/>
    <a:lstStyle/>
    <a:p>
      <a:pPr>
        <a:defRPr sz="1000" b="0" i="0">
          <a:solidFill>
            <a:srgbClr val="000000"/>
          </a:solidFill>
          <a:latin typeface="MinionPro-Regular"/>
          <a:ea typeface="Arial"/>
          <a:cs typeface="Arial"/>
        </a:defRPr>
      </a:pPr>
      <a:endParaRPr lang="es-ES"/>
    </a:p>
  </c:txPr>
  <c:externalData r:id="rId1"/>
</c:chartSpace>
</file>

<file path=word/charts/chart73.xml><?xml version="1.0" encoding="utf-8"?>
<c:chartSpace xmlns:c="http://schemas.openxmlformats.org/drawingml/2006/chart" xmlns:a="http://schemas.openxmlformats.org/drawingml/2006/main" xmlns:r="http://schemas.openxmlformats.org/officeDocument/2006/relationships">
  <c:date1904 val="1"/>
  <c:lang val="es-ES"/>
  <c:chart>
    <c:autoTitleDeleted val="1"/>
    <c:plotArea>
      <c:layout>
        <c:manualLayout>
          <c:layoutTarget val="inner"/>
          <c:xMode val="edge"/>
          <c:yMode val="edge"/>
          <c:x val="0.12634306809935342"/>
          <c:y val="2.2762999535232677E-2"/>
          <c:w val="0.72749853096721129"/>
          <c:h val="0.86129735226026261"/>
        </c:manualLayout>
      </c:layout>
      <c:barChart>
        <c:barDir val="col"/>
        <c:grouping val="stacked"/>
        <c:ser>
          <c:idx val="0"/>
          <c:order val="0"/>
          <c:tx>
            <c:strRef>
              <c:f>Graficos_Informe!$D$85:$D$87</c:f>
              <c:strCache>
                <c:ptCount val="1"/>
                <c:pt idx="0">
                  <c:v>Retorno IRPF IVA Ayudas de la administración con salida de efectivo</c:v>
                </c:pt>
              </c:strCache>
            </c:strRef>
          </c:tx>
          <c:spPr>
            <a:solidFill>
              <a:srgbClr val="7AB800"/>
            </a:solidFill>
            <a:ln>
              <a:noFill/>
            </a:ln>
          </c:spPr>
          <c:dPt>
            <c:idx val="0"/>
            <c:spPr>
              <a:solidFill>
                <a:srgbClr val="409DAD"/>
              </a:solidFill>
              <a:ln>
                <a:noFill/>
              </a:ln>
            </c:spPr>
          </c:dPt>
          <c:dPt>
            <c:idx val="1"/>
            <c:spPr>
              <a:solidFill>
                <a:srgbClr val="B6646B"/>
              </a:solidFill>
              <a:ln>
                <a:noFill/>
              </a:ln>
            </c:spPr>
          </c:dPt>
          <c:dLbls>
            <c:dLbl>
              <c:idx val="1"/>
              <c:spPr>
                <a:noFill/>
              </c:spPr>
              <c:txPr>
                <a:bodyPr/>
                <a:lstStyle/>
                <a:p>
                  <a:pPr>
                    <a:defRPr>
                      <a:solidFill>
                        <a:schemeClr val="bg1"/>
                      </a:solidFill>
                    </a:defRPr>
                  </a:pPr>
                  <a:endParaRPr lang="es-ES"/>
                </a:p>
              </c:txPr>
            </c:dLbl>
            <c:txPr>
              <a:bodyPr/>
              <a:lstStyle/>
              <a:p>
                <a:pPr>
                  <a:defRPr>
                    <a:solidFill>
                      <a:schemeClr val="bg1"/>
                    </a:solidFill>
                  </a:defRPr>
                </a:pPr>
                <a:endParaRPr lang="es-ES"/>
              </a:p>
            </c:txPr>
            <c:showVal val="1"/>
          </c:dLbls>
          <c:val>
            <c:numRef>
              <c:f>Graficos_Informe!$E$85:$E$87</c:f>
              <c:numCache>
                <c:formatCode>#,##0</c:formatCode>
                <c:ptCount val="3"/>
                <c:pt idx="0">
                  <c:v>59208424</c:v>
                </c:pt>
                <c:pt idx="1">
                  <c:v>239555473.65482041</c:v>
                </c:pt>
                <c:pt idx="2">
                  <c:v>323514020.31999999</c:v>
                </c:pt>
              </c:numCache>
            </c:numRef>
          </c:val>
        </c:ser>
        <c:ser>
          <c:idx val="1"/>
          <c:order val="1"/>
          <c:tx>
            <c:strRef>
              <c:f>Graficos_Informe!$D$88:$D$90</c:f>
              <c:strCache>
                <c:ptCount val="1"/>
                <c:pt idx="0">
                  <c:v>Cotización Seguridad Social IVA Ayudas de la administración con salida de efectivo</c:v>
                </c:pt>
              </c:strCache>
            </c:strRef>
          </c:tx>
          <c:spPr>
            <a:solidFill>
              <a:srgbClr val="80BEC9"/>
            </a:solidFill>
          </c:spPr>
          <c:dLbls>
            <c:dLbl>
              <c:idx val="1"/>
              <c:layout>
                <c:manualLayout>
                  <c:x val="7.6914376886805923E-3"/>
                  <c:y val="-6.3340520445864912E-2"/>
                </c:manualLayout>
              </c:layout>
              <c:showVal val="1"/>
            </c:dLbl>
            <c:dLbl>
              <c:idx val="2"/>
              <c:layout>
                <c:manualLayout>
                  <c:x val="0"/>
                  <c:y val="-2.273994220115572E-2"/>
                </c:manualLayout>
              </c:layout>
              <c:showVal val="1"/>
            </c:dLbl>
            <c:txPr>
              <a:bodyPr/>
              <a:lstStyle/>
              <a:p>
                <a:pPr>
                  <a:defRPr>
                    <a:solidFill>
                      <a:schemeClr val="bg1"/>
                    </a:solidFill>
                  </a:defRPr>
                </a:pPr>
                <a:endParaRPr lang="es-ES"/>
              </a:p>
            </c:txPr>
            <c:showVal val="1"/>
          </c:dLbls>
          <c:val>
            <c:numRef>
              <c:f>Graficos_Informe!$E$88:$E$90</c:f>
              <c:numCache>
                <c:formatCode>#,##0</c:formatCode>
                <c:ptCount val="3"/>
                <c:pt idx="0">
                  <c:v>120123748</c:v>
                </c:pt>
                <c:pt idx="1">
                  <c:v>0</c:v>
                </c:pt>
                <c:pt idx="2">
                  <c:v>0</c:v>
                </c:pt>
              </c:numCache>
            </c:numRef>
          </c:val>
        </c:ser>
        <c:gapWidth val="55"/>
        <c:overlap val="100"/>
        <c:axId val="176186880"/>
        <c:axId val="176188416"/>
      </c:barChart>
      <c:catAx>
        <c:axId val="176186880"/>
        <c:scaling>
          <c:orientation val="minMax"/>
        </c:scaling>
        <c:delete val="1"/>
        <c:axPos val="b"/>
        <c:numFmt formatCode="General" sourceLinked="1"/>
        <c:majorTickMark val="none"/>
        <c:tickLblPos val="none"/>
        <c:crossAx val="176188416"/>
        <c:crosses val="autoZero"/>
        <c:auto val="1"/>
        <c:lblAlgn val="ctr"/>
        <c:lblOffset val="100"/>
      </c:catAx>
      <c:valAx>
        <c:axId val="176188416"/>
        <c:scaling>
          <c:orientation val="minMax"/>
        </c:scaling>
        <c:axPos val="l"/>
        <c:numFmt formatCode="#,##0" sourceLinked="1"/>
        <c:majorTickMark val="none"/>
        <c:tickLblPos val="nextTo"/>
        <c:spPr>
          <a:ln w="3175">
            <a:solidFill>
              <a:srgbClr val="000000"/>
            </a:solidFill>
            <a:prstDash val="solid"/>
          </a:ln>
        </c:spPr>
        <c:crossAx val="176186880"/>
        <c:crosses val="autoZero"/>
        <c:crossBetween val="between"/>
        <c:minorUnit val="100000000"/>
      </c:valAx>
      <c:spPr>
        <a:noFill/>
        <a:ln w="25400">
          <a:noFill/>
        </a:ln>
      </c:spPr>
    </c:plotArea>
    <c:plotVisOnly val="1"/>
  </c:chart>
  <c:spPr>
    <a:noFill/>
    <a:ln w="9525">
      <a:noFill/>
    </a:ln>
  </c:spPr>
  <c:txPr>
    <a:bodyPr/>
    <a:lstStyle/>
    <a:p>
      <a:pPr>
        <a:defRPr sz="1000" b="0" i="0">
          <a:solidFill>
            <a:srgbClr val="000000"/>
          </a:solidFill>
          <a:latin typeface="MinionPro-Regular"/>
          <a:ea typeface="Arial"/>
          <a:cs typeface="Arial"/>
        </a:defRPr>
      </a:pPr>
      <a:endParaRPr lang="es-ES"/>
    </a:p>
  </c:txPr>
  <c:externalData r:id="rId1"/>
</c:chartSpace>
</file>

<file path=word/charts/chart74.xml><?xml version="1.0" encoding="utf-8"?>
<c:chartSpace xmlns:c="http://schemas.openxmlformats.org/drawingml/2006/chart" xmlns:a="http://schemas.openxmlformats.org/drawingml/2006/main" xmlns:r="http://schemas.openxmlformats.org/officeDocument/2006/relationships">
  <c:date1904 val="1"/>
  <c:lang val="es-ES"/>
  <c:chart>
    <c:autoTitleDeleted val="1"/>
    <c:plotArea>
      <c:layout>
        <c:manualLayout>
          <c:layoutTarget val="inner"/>
          <c:xMode val="edge"/>
          <c:yMode val="edge"/>
          <c:x val="0.18952516385510695"/>
          <c:y val="0.16291263319937774"/>
          <c:w val="0.68029945365069622"/>
          <c:h val="0.46156530489217584"/>
        </c:manualLayout>
      </c:layout>
      <c:barChart>
        <c:barDir val="col"/>
        <c:grouping val="stacked"/>
        <c:ser>
          <c:idx val="0"/>
          <c:order val="0"/>
          <c:spPr>
            <a:solidFill>
              <a:srgbClr val="409DAD"/>
            </a:solidFill>
            <a:ln w="3175">
              <a:solidFill>
                <a:srgbClr val="FFFFFF"/>
              </a:solidFill>
              <a:prstDash val="solid"/>
            </a:ln>
          </c:spPr>
          <c:dPt>
            <c:idx val="0"/>
            <c:spPr>
              <a:solidFill>
                <a:schemeClr val="accent1"/>
              </a:solidFill>
              <a:ln w="3175">
                <a:solidFill>
                  <a:srgbClr val="FFFFFF"/>
                </a:solidFill>
                <a:prstDash val="solid"/>
              </a:ln>
            </c:spPr>
          </c:dPt>
          <c:dPt>
            <c:idx val="1"/>
            <c:spPr>
              <a:solidFill>
                <a:sysClr val="window" lastClr="FFFFFF"/>
              </a:solidFill>
              <a:ln w="3175">
                <a:solidFill>
                  <a:srgbClr val="FFFFFF"/>
                </a:solidFill>
                <a:prstDash val="solid"/>
              </a:ln>
            </c:spPr>
          </c:dPt>
          <c:dPt>
            <c:idx val="2"/>
            <c:spPr>
              <a:solidFill>
                <a:sysClr val="window" lastClr="FFFFFF"/>
              </a:solidFill>
              <a:ln w="3175">
                <a:solidFill>
                  <a:srgbClr val="FFFFFF"/>
                </a:solidFill>
                <a:prstDash val="solid"/>
              </a:ln>
            </c:spPr>
          </c:dPt>
          <c:dPt>
            <c:idx val="3"/>
            <c:spPr>
              <a:solidFill>
                <a:sysClr val="window" lastClr="FFFFFF"/>
              </a:solidFill>
              <a:ln w="3175">
                <a:solidFill>
                  <a:srgbClr val="FFFFFF"/>
                </a:solidFill>
                <a:prstDash val="solid"/>
              </a:ln>
            </c:spPr>
          </c:dPt>
          <c:dPt>
            <c:idx val="4"/>
            <c:spPr>
              <a:solidFill>
                <a:schemeClr val="accent1"/>
              </a:solidFill>
              <a:ln w="3175">
                <a:solidFill>
                  <a:srgbClr val="FFFFFF"/>
                </a:solidFill>
                <a:prstDash val="solid"/>
              </a:ln>
            </c:spPr>
          </c:dPt>
          <c:dPt>
            <c:idx val="5"/>
            <c:spPr>
              <a:solidFill>
                <a:srgbClr val="92D050"/>
              </a:solidFill>
              <a:ln w="3175">
                <a:solidFill>
                  <a:srgbClr val="FFFFFF"/>
                </a:solidFill>
                <a:prstDash val="solid"/>
              </a:ln>
            </c:spPr>
          </c:dPt>
          <c:dLbls>
            <c:dLbl>
              <c:idx val="0"/>
              <c:layout>
                <c:manualLayout>
                  <c:x val="2.4577998665821737E-3"/>
                  <c:y val="-4.4078519461534016E-2"/>
                </c:manualLayout>
              </c:layout>
              <c:showVal val="1"/>
            </c:dLbl>
            <c:dLbl>
              <c:idx val="1"/>
              <c:delete val="1"/>
            </c:dLbl>
            <c:dLbl>
              <c:idx val="2"/>
              <c:delete val="1"/>
            </c:dLbl>
            <c:dLbl>
              <c:idx val="3"/>
              <c:delete val="1"/>
            </c:dLbl>
            <c:dLbl>
              <c:idx val="4"/>
              <c:layout>
                <c:manualLayout>
                  <c:x val="4.9155997331644437E-3"/>
                  <c:y val="-0.24243185703843956"/>
                </c:manualLayout>
              </c:layout>
              <c:showVal val="1"/>
            </c:dLbl>
            <c:dLbl>
              <c:idx val="5"/>
              <c:layout>
                <c:manualLayout>
                  <c:x val="2.4457522573341612E-3"/>
                  <c:y val="-0.16749827690636912"/>
                </c:manualLayout>
              </c:layout>
              <c:showVal val="1"/>
            </c:dLbl>
            <c:showVal val="1"/>
          </c:dLbls>
          <c:cat>
            <c:strRef>
              <c:f>Hoja1!$C$28:$C$33</c:f>
              <c:strCache>
                <c:ptCount val="6"/>
                <c:pt idx="0">
                  <c:v>Retorno derivado del IRPF</c:v>
                </c:pt>
                <c:pt idx="1">
                  <c:v>Retorno derivado de la seguridad social</c:v>
                </c:pt>
                <c:pt idx="2">
                  <c:v>Retorno derivado del IVA</c:v>
                </c:pt>
                <c:pt idx="3">
                  <c:v>Retorno derivado del impuesto de sociedades</c:v>
                </c:pt>
                <c:pt idx="4">
                  <c:v>Total retorno que implica salida de efectivo</c:v>
                </c:pt>
                <c:pt idx="5">
                  <c:v>Ayudas de la administración que implican salida de efectivo</c:v>
                </c:pt>
              </c:strCache>
            </c:strRef>
          </c:cat>
          <c:val>
            <c:numRef>
              <c:f>Hoja1!$D$28:$D$33</c:f>
              <c:numCache>
                <c:formatCode>#,##0</c:formatCode>
                <c:ptCount val="6"/>
                <c:pt idx="0">
                  <c:v>59208424</c:v>
                </c:pt>
                <c:pt idx="1">
                  <c:v>59208424</c:v>
                </c:pt>
                <c:pt idx="2">
                  <c:v>59208424</c:v>
                </c:pt>
                <c:pt idx="3">
                  <c:v>59208424</c:v>
                </c:pt>
                <c:pt idx="4">
                  <c:v>459587646</c:v>
                </c:pt>
                <c:pt idx="5">
                  <c:v>323514020</c:v>
                </c:pt>
              </c:numCache>
            </c:numRef>
          </c:val>
        </c:ser>
        <c:ser>
          <c:idx val="1"/>
          <c:order val="1"/>
          <c:tx>
            <c:strRef>
              <c:f>Hoja1!$E$10</c:f>
              <c:strCache>
                <c:ptCount val="1"/>
              </c:strCache>
            </c:strRef>
          </c:tx>
          <c:spPr>
            <a:solidFill>
              <a:srgbClr val="BFDEE4"/>
            </a:solidFill>
            <a:ln w="3175">
              <a:solidFill>
                <a:srgbClr val="FFFFFF"/>
              </a:solidFill>
              <a:prstDash val="solid"/>
            </a:ln>
          </c:spPr>
          <c:dPt>
            <c:idx val="0"/>
            <c:spPr>
              <a:solidFill>
                <a:sysClr val="window" lastClr="FFFFFF"/>
              </a:solidFill>
              <a:ln w="3175">
                <a:solidFill>
                  <a:srgbClr val="FFFFFF"/>
                </a:solidFill>
                <a:prstDash val="solid"/>
              </a:ln>
            </c:spPr>
          </c:dPt>
          <c:dPt>
            <c:idx val="1"/>
            <c:spPr>
              <a:solidFill>
                <a:schemeClr val="tx2">
                  <a:lumMod val="40000"/>
                  <a:lumOff val="60000"/>
                </a:schemeClr>
              </a:solidFill>
              <a:ln w="3175">
                <a:solidFill>
                  <a:srgbClr val="FFFFFF"/>
                </a:solidFill>
                <a:prstDash val="solid"/>
              </a:ln>
            </c:spPr>
          </c:dPt>
          <c:dPt>
            <c:idx val="2"/>
            <c:spPr>
              <a:solidFill>
                <a:sysClr val="window" lastClr="FFFFFF"/>
              </a:solidFill>
              <a:ln w="3175">
                <a:solidFill>
                  <a:srgbClr val="FFFFFF"/>
                </a:solidFill>
                <a:prstDash val="solid"/>
              </a:ln>
            </c:spPr>
          </c:dPt>
          <c:dPt>
            <c:idx val="3"/>
            <c:spPr>
              <a:solidFill>
                <a:sysClr val="window" lastClr="FFFFFF"/>
              </a:solidFill>
              <a:ln w="3175">
                <a:solidFill>
                  <a:srgbClr val="FFFFFF"/>
                </a:solidFill>
                <a:prstDash val="solid"/>
              </a:ln>
            </c:spPr>
          </c:dPt>
          <c:dLbls>
            <c:dLbl>
              <c:idx val="0"/>
              <c:delete val="1"/>
            </c:dLbl>
            <c:dLbl>
              <c:idx val="1"/>
              <c:layout>
                <c:manualLayout>
                  <c:x val="4.9155997331643414E-3"/>
                  <c:y val="-8.374918697691465E-2"/>
                </c:manualLayout>
              </c:layout>
              <c:showVal val="1"/>
            </c:dLbl>
            <c:dLbl>
              <c:idx val="2"/>
              <c:delete val="1"/>
            </c:dLbl>
            <c:dLbl>
              <c:idx val="3"/>
              <c:delete val="1"/>
            </c:dLbl>
            <c:showVal val="1"/>
          </c:dLbls>
          <c:cat>
            <c:strRef>
              <c:f>Hoja1!$C$28:$C$32</c:f>
              <c:strCache>
                <c:ptCount val="5"/>
                <c:pt idx="0">
                  <c:v>Retorno derivado del IRPF</c:v>
                </c:pt>
                <c:pt idx="1">
                  <c:v>Retorno derivado de la seguridad social</c:v>
                </c:pt>
                <c:pt idx="2">
                  <c:v>Retorno derivado del IVA</c:v>
                </c:pt>
                <c:pt idx="3">
                  <c:v>Retorno derivado del impuesto de sociedades</c:v>
                </c:pt>
                <c:pt idx="4">
                  <c:v>Total retorno que implica salida de efectivo</c:v>
                </c:pt>
              </c:strCache>
            </c:strRef>
          </c:cat>
          <c:val>
            <c:numRef>
              <c:f>Hoja1!$E$28:$E$32</c:f>
              <c:numCache>
                <c:formatCode>#,##0</c:formatCode>
                <c:ptCount val="5"/>
                <c:pt idx="0">
                  <c:v>120123748</c:v>
                </c:pt>
                <c:pt idx="1">
                  <c:v>120123748</c:v>
                </c:pt>
                <c:pt idx="2">
                  <c:v>120123748</c:v>
                </c:pt>
                <c:pt idx="3">
                  <c:v>120123748</c:v>
                </c:pt>
              </c:numCache>
            </c:numRef>
          </c:val>
        </c:ser>
        <c:ser>
          <c:idx val="2"/>
          <c:order val="2"/>
          <c:spPr>
            <a:solidFill>
              <a:srgbClr val="AA5CAA"/>
            </a:solidFill>
            <a:ln w="3175">
              <a:solidFill>
                <a:srgbClr val="FFFFFF"/>
              </a:solidFill>
              <a:prstDash val="solid"/>
            </a:ln>
          </c:spPr>
          <c:dPt>
            <c:idx val="0"/>
            <c:spPr>
              <a:solidFill>
                <a:sysClr val="window" lastClr="FFFFFF"/>
              </a:solidFill>
              <a:ln w="3175">
                <a:solidFill>
                  <a:srgbClr val="FFFFFF"/>
                </a:solidFill>
                <a:prstDash val="solid"/>
              </a:ln>
            </c:spPr>
          </c:dPt>
          <c:dPt>
            <c:idx val="1"/>
            <c:spPr>
              <a:solidFill>
                <a:sysClr val="window" lastClr="FFFFFF"/>
              </a:solidFill>
              <a:ln w="3175">
                <a:solidFill>
                  <a:srgbClr val="FFFFFF"/>
                </a:solidFill>
                <a:prstDash val="solid"/>
              </a:ln>
            </c:spPr>
          </c:dPt>
          <c:dPt>
            <c:idx val="2"/>
            <c:spPr>
              <a:solidFill>
                <a:schemeClr val="accent1">
                  <a:lumMod val="20000"/>
                  <a:lumOff val="80000"/>
                </a:schemeClr>
              </a:solidFill>
              <a:ln w="3175">
                <a:solidFill>
                  <a:srgbClr val="FFFFFF"/>
                </a:solidFill>
                <a:prstDash val="solid"/>
              </a:ln>
            </c:spPr>
          </c:dPt>
          <c:dPt>
            <c:idx val="3"/>
            <c:spPr>
              <a:solidFill>
                <a:sysClr val="window" lastClr="FFFFFF"/>
              </a:solidFill>
              <a:ln w="3175">
                <a:solidFill>
                  <a:srgbClr val="FFFFFF"/>
                </a:solidFill>
                <a:prstDash val="solid"/>
              </a:ln>
            </c:spPr>
          </c:dPt>
          <c:dLbls>
            <c:dLbl>
              <c:idx val="0"/>
              <c:delete val="1"/>
            </c:dLbl>
            <c:dLbl>
              <c:idx val="1"/>
              <c:delete val="1"/>
            </c:dLbl>
            <c:dLbl>
              <c:idx val="2"/>
              <c:layout>
                <c:manualLayout>
                  <c:x val="4.9155997331643414E-3"/>
                  <c:y val="-0.1410512622769089"/>
                </c:manualLayout>
              </c:layout>
              <c:showVal val="1"/>
            </c:dLbl>
            <c:dLbl>
              <c:idx val="3"/>
              <c:delete val="1"/>
            </c:dLbl>
            <c:showVal val="1"/>
          </c:dLbls>
          <c:cat>
            <c:strRef>
              <c:f>Hoja1!$C$28:$C$32</c:f>
              <c:strCache>
                <c:ptCount val="5"/>
                <c:pt idx="0">
                  <c:v>Retorno derivado del IRPF</c:v>
                </c:pt>
                <c:pt idx="1">
                  <c:v>Retorno derivado de la seguridad social</c:v>
                </c:pt>
                <c:pt idx="2">
                  <c:v>Retorno derivado del IVA</c:v>
                </c:pt>
                <c:pt idx="3">
                  <c:v>Retorno derivado del impuesto de sociedades</c:v>
                </c:pt>
                <c:pt idx="4">
                  <c:v>Total retorno que implica salida de efectivo</c:v>
                </c:pt>
              </c:strCache>
            </c:strRef>
          </c:cat>
          <c:val>
            <c:numRef>
              <c:f>Hoja1!$F$28:$F$32</c:f>
              <c:numCache>
                <c:formatCode>#,##0</c:formatCode>
                <c:ptCount val="5"/>
                <c:pt idx="0">
                  <c:v>239555474</c:v>
                </c:pt>
                <c:pt idx="1">
                  <c:v>239555474</c:v>
                </c:pt>
                <c:pt idx="2">
                  <c:v>239555474</c:v>
                </c:pt>
                <c:pt idx="3">
                  <c:v>239555474</c:v>
                </c:pt>
              </c:numCache>
            </c:numRef>
          </c:val>
        </c:ser>
        <c:ser>
          <c:idx val="3"/>
          <c:order val="3"/>
          <c:tx>
            <c:strRef>
              <c:f>Hoja1!$D$28:$D$33</c:f>
              <c:strCache>
                <c:ptCount val="1"/>
                <c:pt idx="0">
                  <c:v>59.208.424 59.208.424 59.208.424 59.208.424 459.587.646 323.514.020</c:v>
                </c:pt>
              </c:strCache>
            </c:strRef>
          </c:tx>
          <c:spPr>
            <a:solidFill>
              <a:srgbClr val="E3C9E3"/>
            </a:solidFill>
            <a:ln w="3175">
              <a:solidFill>
                <a:srgbClr val="FFFFFF"/>
              </a:solidFill>
              <a:prstDash val="solid"/>
            </a:ln>
          </c:spPr>
          <c:dPt>
            <c:idx val="0"/>
            <c:spPr>
              <a:solidFill>
                <a:sysClr val="window" lastClr="FFFFFF"/>
              </a:solidFill>
              <a:ln w="3175">
                <a:solidFill>
                  <a:srgbClr val="FFFFFF"/>
                </a:solidFill>
                <a:prstDash val="solid"/>
              </a:ln>
            </c:spPr>
          </c:dPt>
          <c:dPt>
            <c:idx val="1"/>
            <c:spPr>
              <a:solidFill>
                <a:sysClr val="window" lastClr="FFFFFF"/>
              </a:solidFill>
              <a:ln w="3175">
                <a:solidFill>
                  <a:srgbClr val="FFFFFF"/>
                </a:solidFill>
                <a:prstDash val="solid"/>
              </a:ln>
            </c:spPr>
          </c:dPt>
          <c:dPt>
            <c:idx val="2"/>
            <c:spPr>
              <a:solidFill>
                <a:sysClr val="window" lastClr="FFFFFF"/>
              </a:solidFill>
              <a:ln w="3175">
                <a:solidFill>
                  <a:srgbClr val="FFFFFF"/>
                </a:solidFill>
                <a:prstDash val="solid"/>
              </a:ln>
            </c:spPr>
          </c:dPt>
          <c:dPt>
            <c:idx val="3"/>
            <c:spPr>
              <a:solidFill>
                <a:schemeClr val="accent5">
                  <a:lumMod val="20000"/>
                  <a:lumOff val="80000"/>
                </a:schemeClr>
              </a:solidFill>
              <a:ln w="3175">
                <a:solidFill>
                  <a:srgbClr val="FFFFFF"/>
                </a:solidFill>
                <a:prstDash val="solid"/>
              </a:ln>
            </c:spPr>
          </c:dPt>
          <c:dLbls>
            <c:dLbl>
              <c:idx val="0"/>
              <c:delete val="1"/>
            </c:dLbl>
            <c:dLbl>
              <c:idx val="1"/>
              <c:delete val="1"/>
            </c:dLbl>
            <c:dLbl>
              <c:idx val="2"/>
              <c:delete val="1"/>
            </c:dLbl>
            <c:dLbl>
              <c:idx val="3"/>
              <c:layout>
                <c:manualLayout>
                  <c:x val="0"/>
                  <c:y val="-4.8486371407687474E-2"/>
                </c:manualLayout>
              </c:layout>
              <c:showVal val="1"/>
            </c:dLbl>
            <c:showVal val="1"/>
          </c:dLbls>
          <c:cat>
            <c:strRef>
              <c:f>Hoja1!$C$28:$C$33</c:f>
              <c:strCache>
                <c:ptCount val="6"/>
                <c:pt idx="0">
                  <c:v>Retorno derivado del IRPF</c:v>
                </c:pt>
                <c:pt idx="1">
                  <c:v>Retorno derivado de la seguridad social</c:v>
                </c:pt>
                <c:pt idx="2">
                  <c:v>Retorno derivado del IVA</c:v>
                </c:pt>
                <c:pt idx="3">
                  <c:v>Retorno derivado del impuesto de sociedades</c:v>
                </c:pt>
                <c:pt idx="4">
                  <c:v>Total retorno que implica salida de efectivo</c:v>
                </c:pt>
                <c:pt idx="5">
                  <c:v>Ayudas de la administración que implican salida de efectivo</c:v>
                </c:pt>
              </c:strCache>
            </c:strRef>
          </c:cat>
          <c:val>
            <c:numRef>
              <c:f>Hoja1!$G$28:$G$33</c:f>
              <c:numCache>
                <c:formatCode>#,##0</c:formatCode>
                <c:ptCount val="6"/>
                <c:pt idx="0">
                  <c:v>40700000</c:v>
                </c:pt>
                <c:pt idx="1">
                  <c:v>40700000</c:v>
                </c:pt>
                <c:pt idx="2">
                  <c:v>40700000</c:v>
                </c:pt>
                <c:pt idx="3">
                  <c:v>40700000</c:v>
                </c:pt>
              </c:numCache>
            </c:numRef>
          </c:val>
        </c:ser>
        <c:gapWidth val="40"/>
        <c:overlap val="100"/>
        <c:axId val="177485696"/>
        <c:axId val="177487232"/>
      </c:barChart>
      <c:catAx>
        <c:axId val="177485696"/>
        <c:scaling>
          <c:orientation val="minMax"/>
        </c:scaling>
        <c:axPos val="b"/>
        <c:numFmt formatCode="General" sourceLinked="1"/>
        <c:tickLblPos val="low"/>
        <c:spPr>
          <a:ln w="3175">
            <a:solidFill>
              <a:srgbClr val="000000"/>
            </a:solidFill>
            <a:prstDash val="solid"/>
          </a:ln>
        </c:spPr>
        <c:crossAx val="177487232"/>
        <c:crosses val="autoZero"/>
        <c:auto val="1"/>
        <c:lblAlgn val="ctr"/>
        <c:lblOffset val="100"/>
      </c:catAx>
      <c:valAx>
        <c:axId val="177487232"/>
        <c:scaling>
          <c:orientation val="minMax"/>
        </c:scaling>
        <c:axPos val="l"/>
        <c:title>
          <c:tx>
            <c:rich>
              <a:bodyPr rot="-5400000" vert="horz"/>
              <a:lstStyle/>
              <a:p>
                <a:pPr>
                  <a:defRPr/>
                </a:pPr>
                <a:r>
                  <a:rPr lang="en-US"/>
                  <a:t>Euros</a:t>
                </a:r>
              </a:p>
            </c:rich>
          </c:tx>
          <c:layout>
            <c:manualLayout>
              <c:xMode val="edge"/>
              <c:yMode val="edge"/>
              <c:x val="3.2260863648360352E-2"/>
              <c:y val="0.32405073887832708"/>
            </c:manualLayout>
          </c:layout>
        </c:title>
        <c:numFmt formatCode="#,##0" sourceLinked="1"/>
        <c:tickLblPos val="nextTo"/>
        <c:spPr>
          <a:ln w="3175">
            <a:solidFill>
              <a:srgbClr val="000000"/>
            </a:solidFill>
            <a:prstDash val="solid"/>
          </a:ln>
        </c:spPr>
        <c:crossAx val="177485696"/>
        <c:crosses val="autoZero"/>
        <c:crossBetween val="between"/>
      </c:valAx>
      <c:spPr>
        <a:noFill/>
        <a:ln w="25400">
          <a:noFill/>
        </a:ln>
      </c:spPr>
    </c:plotArea>
    <c:plotVisOnly val="1"/>
  </c:chart>
  <c:spPr>
    <a:noFill/>
    <a:ln w="9525">
      <a:noFill/>
    </a:ln>
  </c:spPr>
  <c:txPr>
    <a:bodyPr/>
    <a:lstStyle/>
    <a:p>
      <a:pPr>
        <a:defRPr sz="700" b="0" i="0">
          <a:solidFill>
            <a:srgbClr val="000000"/>
          </a:solidFill>
          <a:latin typeface="MinionPro-Regular"/>
          <a:ea typeface="Arial"/>
          <a:cs typeface="Arial"/>
        </a:defRPr>
      </a:pPr>
      <a:endParaRPr lang="es-ES"/>
    </a:p>
  </c:txPr>
  <c:externalData r:id="rId1"/>
</c:chartSpace>
</file>

<file path=word/charts/chart75.xml><?xml version="1.0" encoding="utf-8"?>
<c:chartSpace xmlns:c="http://schemas.openxmlformats.org/drawingml/2006/chart" xmlns:a="http://schemas.openxmlformats.org/drawingml/2006/main" xmlns:r="http://schemas.openxmlformats.org/officeDocument/2006/relationships">
  <c:date1904 val="1"/>
  <c:lang val="es-ES"/>
  <c:chart>
    <c:autoTitleDeleted val="1"/>
    <c:plotArea>
      <c:layout>
        <c:manualLayout>
          <c:layoutTarget val="inner"/>
          <c:xMode val="edge"/>
          <c:yMode val="edge"/>
          <c:x val="0.12753727965894418"/>
          <c:y val="0.10614270895380981"/>
          <c:w val="0.78670551884550555"/>
          <c:h val="0.79686755804056897"/>
        </c:manualLayout>
      </c:layout>
      <c:barChart>
        <c:barDir val="col"/>
        <c:grouping val="stacked"/>
        <c:ser>
          <c:idx val="0"/>
          <c:order val="0"/>
          <c:tx>
            <c:strRef>
              <c:f>Graficos_Informe!$D$111:$D$114</c:f>
              <c:strCache>
                <c:ptCount val="1"/>
                <c:pt idx="0">
                  <c:v>Retorno IRPF IVA Impuesto sobre sociedades Ayudas de la administración con salida de efectivo</c:v>
                </c:pt>
              </c:strCache>
            </c:strRef>
          </c:tx>
          <c:spPr>
            <a:solidFill>
              <a:srgbClr val="7AB800"/>
            </a:solidFill>
            <a:ln>
              <a:noFill/>
            </a:ln>
          </c:spPr>
          <c:dPt>
            <c:idx val="0"/>
            <c:spPr>
              <a:solidFill>
                <a:srgbClr val="409DAD"/>
              </a:solidFill>
              <a:ln>
                <a:noFill/>
              </a:ln>
            </c:spPr>
          </c:dPt>
          <c:dPt>
            <c:idx val="1"/>
            <c:spPr>
              <a:solidFill>
                <a:srgbClr val="B6646B"/>
              </a:solidFill>
              <a:ln>
                <a:noFill/>
              </a:ln>
            </c:spPr>
          </c:dPt>
          <c:dPt>
            <c:idx val="2"/>
            <c:spPr>
              <a:solidFill>
                <a:srgbClr val="97989A"/>
              </a:solidFill>
              <a:ln>
                <a:noFill/>
              </a:ln>
            </c:spPr>
          </c:dPt>
          <c:dLbls>
            <c:txPr>
              <a:bodyPr/>
              <a:lstStyle/>
              <a:p>
                <a:pPr>
                  <a:defRPr>
                    <a:solidFill>
                      <a:schemeClr val="bg1"/>
                    </a:solidFill>
                  </a:defRPr>
                </a:pPr>
                <a:endParaRPr lang="es-ES"/>
              </a:p>
            </c:txPr>
            <c:showVal val="1"/>
          </c:dLbls>
          <c:val>
            <c:numRef>
              <c:f>Graficos_Informe!$E$111:$E$114</c:f>
              <c:numCache>
                <c:formatCode>#,##0</c:formatCode>
                <c:ptCount val="4"/>
                <c:pt idx="0">
                  <c:v>59208424</c:v>
                </c:pt>
                <c:pt idx="1">
                  <c:v>239555473.65482041</c:v>
                </c:pt>
                <c:pt idx="2">
                  <c:v>40700000</c:v>
                </c:pt>
                <c:pt idx="3">
                  <c:v>323514020.31999999</c:v>
                </c:pt>
              </c:numCache>
            </c:numRef>
          </c:val>
        </c:ser>
        <c:ser>
          <c:idx val="1"/>
          <c:order val="1"/>
          <c:tx>
            <c:strRef>
              <c:f>Graficos_Informe!$D$115:$D$118</c:f>
              <c:strCache>
                <c:ptCount val="1"/>
                <c:pt idx="0">
                  <c:v>Cotización Seguridad Social IVA Impuesto sobre sociedades Ayudas de la administración con salida de efectivo</c:v>
                </c:pt>
              </c:strCache>
            </c:strRef>
          </c:tx>
          <c:spPr>
            <a:solidFill>
              <a:srgbClr val="80BEC9"/>
            </a:solidFill>
          </c:spPr>
          <c:dLbls>
            <c:dLbl>
              <c:idx val="1"/>
              <c:layout>
                <c:manualLayout>
                  <c:x val="7.6914376886805923E-3"/>
                  <c:y val="-6.3340520445864912E-2"/>
                </c:manualLayout>
              </c:layout>
              <c:showVal val="1"/>
            </c:dLbl>
            <c:dLbl>
              <c:idx val="2"/>
              <c:layout>
                <c:manualLayout>
                  <c:x val="0"/>
                  <c:y val="-3.410991330173218E-2"/>
                </c:manualLayout>
              </c:layout>
              <c:showVal val="1"/>
            </c:dLbl>
            <c:dLbl>
              <c:idx val="3"/>
              <c:layout>
                <c:manualLayout>
                  <c:x val="-9.1209559938061896E-17"/>
                  <c:y val="-2.2739942201155744E-2"/>
                </c:manualLayout>
              </c:layout>
              <c:showVal val="1"/>
            </c:dLbl>
            <c:txPr>
              <a:bodyPr/>
              <a:lstStyle/>
              <a:p>
                <a:pPr>
                  <a:defRPr>
                    <a:solidFill>
                      <a:schemeClr val="bg1"/>
                    </a:solidFill>
                  </a:defRPr>
                </a:pPr>
                <a:endParaRPr lang="es-ES"/>
              </a:p>
            </c:txPr>
            <c:showVal val="1"/>
          </c:dLbls>
          <c:val>
            <c:numRef>
              <c:f>Graficos_Informe!$E$115:$E$118</c:f>
              <c:numCache>
                <c:formatCode>#,##0</c:formatCode>
                <c:ptCount val="4"/>
                <c:pt idx="0">
                  <c:v>120123748</c:v>
                </c:pt>
                <c:pt idx="1">
                  <c:v>0</c:v>
                </c:pt>
                <c:pt idx="2">
                  <c:v>0</c:v>
                </c:pt>
                <c:pt idx="3">
                  <c:v>0</c:v>
                </c:pt>
              </c:numCache>
            </c:numRef>
          </c:val>
        </c:ser>
        <c:gapWidth val="55"/>
        <c:overlap val="100"/>
        <c:axId val="177619712"/>
        <c:axId val="177621248"/>
      </c:barChart>
      <c:catAx>
        <c:axId val="177619712"/>
        <c:scaling>
          <c:orientation val="minMax"/>
        </c:scaling>
        <c:delete val="1"/>
        <c:axPos val="b"/>
        <c:numFmt formatCode="General" sourceLinked="1"/>
        <c:majorTickMark val="none"/>
        <c:tickLblPos val="none"/>
        <c:crossAx val="177621248"/>
        <c:crosses val="autoZero"/>
        <c:auto val="1"/>
        <c:lblAlgn val="ctr"/>
        <c:lblOffset val="100"/>
      </c:catAx>
      <c:valAx>
        <c:axId val="177621248"/>
        <c:scaling>
          <c:orientation val="minMax"/>
        </c:scaling>
        <c:axPos val="l"/>
        <c:numFmt formatCode="#,##0" sourceLinked="1"/>
        <c:majorTickMark val="none"/>
        <c:tickLblPos val="nextTo"/>
        <c:spPr>
          <a:ln w="3175">
            <a:solidFill>
              <a:srgbClr val="000000"/>
            </a:solidFill>
            <a:prstDash val="solid"/>
          </a:ln>
        </c:spPr>
        <c:crossAx val="177619712"/>
        <c:crosses val="autoZero"/>
        <c:crossBetween val="between"/>
        <c:minorUnit val="100000000"/>
      </c:valAx>
      <c:spPr>
        <a:noFill/>
        <a:ln w="25400">
          <a:noFill/>
        </a:ln>
      </c:spPr>
    </c:plotArea>
    <c:plotVisOnly val="1"/>
  </c:chart>
  <c:spPr>
    <a:noFill/>
    <a:ln w="9525">
      <a:noFill/>
    </a:ln>
  </c:spPr>
  <c:txPr>
    <a:bodyPr/>
    <a:lstStyle/>
    <a:p>
      <a:pPr>
        <a:defRPr sz="800" b="0" i="0">
          <a:solidFill>
            <a:srgbClr val="000000"/>
          </a:solidFill>
          <a:latin typeface="MinionPro-Regular"/>
          <a:ea typeface="Arial"/>
          <a:cs typeface="Arial"/>
        </a:defRPr>
      </a:pPr>
      <a:endParaRPr lang="es-ES"/>
    </a:p>
  </c:txPr>
  <c:externalData r:id="rId1"/>
  <c:userShapes r:id="rId2"/>
</c:chartSpace>
</file>

<file path=word/charts/chart76.xml><?xml version="1.0" encoding="utf-8"?>
<c:chartSpace xmlns:c="http://schemas.openxmlformats.org/drawingml/2006/chart" xmlns:a="http://schemas.openxmlformats.org/drawingml/2006/main" xmlns:r="http://schemas.openxmlformats.org/officeDocument/2006/relationships">
  <c:date1904 val="1"/>
  <c:lang val="es-ES"/>
  <c:chart>
    <c:autoTitleDeleted val="1"/>
    <c:plotArea>
      <c:layout>
        <c:manualLayout>
          <c:layoutTarget val="inner"/>
          <c:xMode val="edge"/>
          <c:yMode val="edge"/>
          <c:x val="0.30285714285714288"/>
          <c:y val="0.2"/>
          <c:w val="0.33142857142858156"/>
          <c:h val="0.52727272727272656"/>
        </c:manualLayout>
      </c:layout>
      <c:pieChart>
        <c:varyColors val="1"/>
        <c:ser>
          <c:idx val="0"/>
          <c:order val="0"/>
          <c:explosion val="2"/>
          <c:dPt>
            <c:idx val="0"/>
            <c:explosion val="0"/>
            <c:spPr>
              <a:solidFill>
                <a:srgbClr val="409DAD"/>
              </a:solidFill>
              <a:ln w="3175">
                <a:solidFill>
                  <a:srgbClr val="FFFFFF"/>
                </a:solidFill>
                <a:prstDash val="solid"/>
              </a:ln>
            </c:spPr>
          </c:dPt>
          <c:dPt>
            <c:idx val="1"/>
            <c:spPr>
              <a:solidFill>
                <a:srgbClr val="BFDEE4"/>
              </a:solidFill>
              <a:ln w="3175">
                <a:solidFill>
                  <a:srgbClr val="FFFFFF"/>
                </a:solidFill>
                <a:prstDash val="solid"/>
              </a:ln>
            </c:spPr>
          </c:dPt>
          <c:dPt>
            <c:idx val="2"/>
            <c:spPr>
              <a:solidFill>
                <a:srgbClr val="AA5CAA"/>
              </a:solidFill>
              <a:ln w="3175">
                <a:solidFill>
                  <a:srgbClr val="FFFFFF"/>
                </a:solidFill>
                <a:prstDash val="solid"/>
              </a:ln>
            </c:spPr>
          </c:dPt>
          <c:dLbls>
            <c:dLbl>
              <c:idx val="0"/>
              <c:layout>
                <c:manualLayout>
                  <c:x val="6.8900948248562674E-2"/>
                  <c:y val="-0.20616370980576421"/>
                </c:manualLayout>
              </c:layout>
              <c:dLblPos val="bestFit"/>
              <c:showCatName val="1"/>
              <c:showPercent val="1"/>
            </c:dLbl>
            <c:dLbl>
              <c:idx val="1"/>
              <c:layout>
                <c:manualLayout>
                  <c:x val="-1.7505522107114129E-2"/>
                  <c:y val="6.5447545717035607E-2"/>
                </c:manualLayout>
              </c:layout>
              <c:dLblPos val="bestFit"/>
              <c:showCatName val="1"/>
              <c:showPercent val="1"/>
            </c:dLbl>
            <c:txPr>
              <a:bodyPr/>
              <a:lstStyle/>
              <a:p>
                <a:pPr>
                  <a:defRPr sz="800"/>
                </a:pPr>
                <a:endParaRPr lang="es-ES"/>
              </a:p>
            </c:txPr>
            <c:dLblPos val="outEnd"/>
            <c:showCatName val="1"/>
            <c:showPercent val="1"/>
          </c:dLbls>
          <c:cat>
            <c:strRef>
              <c:f>Graficos_Informe!$D$588:$D$590</c:f>
              <c:strCache>
                <c:ptCount val="3"/>
                <c:pt idx="0">
                  <c:v>Subsidio de garantía de ingresos mínimos</c:v>
                </c:pt>
                <c:pt idx="1">
                  <c:v>Subsidio de ayuda de tercera persona </c:v>
                </c:pt>
                <c:pt idx="2">
                  <c:v>Subsidio de movilidad y compensación para gastos de transporte </c:v>
                </c:pt>
              </c:strCache>
            </c:strRef>
          </c:cat>
          <c:val>
            <c:numRef>
              <c:f>Graficos_Informe!$E$588:$E$590</c:f>
              <c:numCache>
                <c:formatCode>#,##0</c:formatCode>
                <c:ptCount val="3"/>
                <c:pt idx="0">
                  <c:v>1310451</c:v>
                </c:pt>
                <c:pt idx="1">
                  <c:v>211058</c:v>
                </c:pt>
                <c:pt idx="2">
                  <c:v>257229</c:v>
                </c:pt>
              </c:numCache>
            </c:numRef>
          </c:val>
        </c:ser>
        <c:firstSliceAng val="0"/>
      </c:pieChart>
      <c:spPr>
        <a:noFill/>
        <a:ln w="25400">
          <a:noFill/>
        </a:ln>
      </c:spPr>
    </c:plotArea>
    <c:plotVisOnly val="1"/>
  </c:chart>
  <c:spPr>
    <a:noFill/>
    <a:ln w="9525">
      <a:noFill/>
    </a:ln>
  </c:spPr>
  <c:txPr>
    <a:bodyPr/>
    <a:lstStyle/>
    <a:p>
      <a:pPr>
        <a:defRPr sz="1000" b="0" i="0">
          <a:solidFill>
            <a:srgbClr val="000000"/>
          </a:solidFill>
          <a:latin typeface="MinionPro-Regular"/>
          <a:ea typeface="Arial"/>
          <a:cs typeface="Arial"/>
        </a:defRPr>
      </a:pPr>
      <a:endParaRPr lang="es-ES"/>
    </a:p>
  </c:txPr>
  <c:externalData r:id="rId1"/>
  <c:userShapes r:id="rId2"/>
</c:chartSpace>
</file>

<file path=word/charts/chart77.xml><?xml version="1.0" encoding="utf-8"?>
<c:chartSpace xmlns:c="http://schemas.openxmlformats.org/drawingml/2006/chart" xmlns:a="http://schemas.openxmlformats.org/drawingml/2006/main" xmlns:r="http://schemas.openxmlformats.org/officeDocument/2006/relationships">
  <c:date1904 val="1"/>
  <c:lang val="es-ES"/>
  <c:chart>
    <c:autoTitleDeleted val="1"/>
    <c:plotArea>
      <c:layout>
        <c:manualLayout>
          <c:layoutTarget val="inner"/>
          <c:xMode val="edge"/>
          <c:yMode val="edge"/>
          <c:x val="0.22078366473767166"/>
          <c:y val="0.25992314607852629"/>
          <c:w val="0.62980158012264342"/>
          <c:h val="0.60289266438786082"/>
        </c:manualLayout>
      </c:layout>
      <c:barChart>
        <c:barDir val="col"/>
        <c:grouping val="clustered"/>
        <c:ser>
          <c:idx val="0"/>
          <c:order val="0"/>
          <c:spPr>
            <a:solidFill>
              <a:srgbClr val="409DAD"/>
            </a:solidFill>
            <a:ln w="3175">
              <a:solidFill>
                <a:srgbClr val="FFFFFF"/>
              </a:solidFill>
              <a:prstDash val="solid"/>
            </a:ln>
          </c:spPr>
          <c:dPt>
            <c:idx val="0"/>
            <c:spPr>
              <a:solidFill>
                <a:srgbClr val="0070C0"/>
              </a:solidFill>
              <a:ln w="3175">
                <a:solidFill>
                  <a:srgbClr val="FFFFFF"/>
                </a:solidFill>
                <a:prstDash val="solid"/>
              </a:ln>
            </c:spPr>
          </c:dPt>
          <c:dPt>
            <c:idx val="1"/>
            <c:spPr>
              <a:solidFill>
                <a:srgbClr val="92D050"/>
              </a:solidFill>
              <a:ln w="3175">
                <a:solidFill>
                  <a:srgbClr val="FFFFFF"/>
                </a:solidFill>
                <a:prstDash val="solid"/>
              </a:ln>
            </c:spPr>
          </c:dPt>
          <c:dLbls>
            <c:dLbl>
              <c:idx val="0"/>
              <c:tx>
                <c:rich>
                  <a:bodyPr/>
                  <a:lstStyle/>
                  <a:p>
                    <a:r>
                      <a:rPr lang="en-US"/>
                      <a:t>1.778.738</a:t>
                    </a:r>
                  </a:p>
                </c:rich>
              </c:tx>
              <c:showVal val="1"/>
            </c:dLbl>
            <c:txPr>
              <a:bodyPr/>
              <a:lstStyle/>
              <a:p>
                <a:pPr>
                  <a:defRPr sz="700"/>
                </a:pPr>
                <a:endParaRPr lang="es-ES"/>
              </a:p>
            </c:txPr>
            <c:showVal val="1"/>
          </c:dLbls>
          <c:cat>
            <c:strRef>
              <c:f>Graficos_Informe!$B$62:$B$63</c:f>
              <c:strCache>
                <c:ptCount val="2"/>
                <c:pt idx="0">
                  <c:v>Retorno ayudas LISMI</c:v>
                </c:pt>
                <c:pt idx="1">
                  <c:v>Ayudas administración sin salida de caja</c:v>
                </c:pt>
              </c:strCache>
            </c:strRef>
          </c:cat>
          <c:val>
            <c:numRef>
              <c:f>Graficos_Informe!$C$62:$C$63</c:f>
              <c:numCache>
                <c:formatCode>#,##0</c:formatCode>
                <c:ptCount val="2"/>
                <c:pt idx="0">
                  <c:v>1778737.2017932998</c:v>
                </c:pt>
                <c:pt idx="1">
                  <c:v>204815193.38000011</c:v>
                </c:pt>
              </c:numCache>
            </c:numRef>
          </c:val>
        </c:ser>
        <c:gapWidth val="40"/>
        <c:axId val="177769088"/>
        <c:axId val="177776896"/>
      </c:barChart>
      <c:catAx>
        <c:axId val="177769088"/>
        <c:scaling>
          <c:orientation val="minMax"/>
        </c:scaling>
        <c:axPos val="b"/>
        <c:tickLblPos val="low"/>
        <c:spPr>
          <a:ln w="3175">
            <a:solidFill>
              <a:srgbClr val="000000"/>
            </a:solidFill>
            <a:prstDash val="solid"/>
          </a:ln>
        </c:spPr>
        <c:txPr>
          <a:bodyPr/>
          <a:lstStyle/>
          <a:p>
            <a:pPr>
              <a:defRPr sz="700"/>
            </a:pPr>
            <a:endParaRPr lang="es-ES"/>
          </a:p>
        </c:txPr>
        <c:crossAx val="177776896"/>
        <c:crosses val="autoZero"/>
        <c:auto val="1"/>
        <c:lblAlgn val="ctr"/>
        <c:lblOffset val="100"/>
      </c:catAx>
      <c:valAx>
        <c:axId val="177776896"/>
        <c:scaling>
          <c:orientation val="minMax"/>
          <c:max val="220000000.00000003"/>
          <c:min val="0"/>
        </c:scaling>
        <c:axPos val="l"/>
        <c:numFmt formatCode="#,##0" sourceLinked="1"/>
        <c:tickLblPos val="nextTo"/>
        <c:spPr>
          <a:ln w="3175">
            <a:solidFill>
              <a:srgbClr val="000000"/>
            </a:solidFill>
            <a:prstDash val="solid"/>
          </a:ln>
        </c:spPr>
        <c:crossAx val="177769088"/>
        <c:crosses val="autoZero"/>
        <c:crossBetween val="between"/>
      </c:valAx>
      <c:spPr>
        <a:noFill/>
        <a:ln w="25400">
          <a:noFill/>
        </a:ln>
      </c:spPr>
    </c:plotArea>
    <c:plotVisOnly val="1"/>
  </c:chart>
  <c:spPr>
    <a:noFill/>
    <a:ln w="9525">
      <a:noFill/>
    </a:ln>
  </c:spPr>
  <c:txPr>
    <a:bodyPr/>
    <a:lstStyle/>
    <a:p>
      <a:pPr>
        <a:defRPr sz="800" b="0" i="0">
          <a:solidFill>
            <a:srgbClr val="000000"/>
          </a:solidFill>
          <a:latin typeface="MinionPro-Regular"/>
          <a:ea typeface="Arial"/>
          <a:cs typeface="Arial"/>
        </a:defRPr>
      </a:pPr>
      <a:endParaRPr lang="es-ES"/>
    </a:p>
  </c:txPr>
  <c:externalData r:id="rId1"/>
</c:chartSpace>
</file>

<file path=word/charts/chart78.xml><?xml version="1.0" encoding="utf-8"?>
<c:chartSpace xmlns:c="http://schemas.openxmlformats.org/drawingml/2006/chart" xmlns:a="http://schemas.openxmlformats.org/drawingml/2006/main" xmlns:r="http://schemas.openxmlformats.org/officeDocument/2006/relationships">
  <c:date1904 val="1"/>
  <c:lang val="es-ES"/>
  <c:chart>
    <c:autoTitleDeleted val="1"/>
    <c:plotArea>
      <c:layout>
        <c:manualLayout>
          <c:layoutTarget val="inner"/>
          <c:xMode val="edge"/>
          <c:yMode val="edge"/>
          <c:x val="0.22078366473767166"/>
          <c:y val="0.25992314607852629"/>
          <c:w val="0.62980158012264342"/>
          <c:h val="0.60289266438786082"/>
        </c:manualLayout>
      </c:layout>
      <c:barChart>
        <c:barDir val="col"/>
        <c:grouping val="clustered"/>
        <c:ser>
          <c:idx val="0"/>
          <c:order val="0"/>
          <c:spPr>
            <a:solidFill>
              <a:srgbClr val="409DAD"/>
            </a:solidFill>
            <a:ln w="3175">
              <a:solidFill>
                <a:srgbClr val="FFFFFF"/>
              </a:solidFill>
              <a:prstDash val="solid"/>
            </a:ln>
          </c:spPr>
          <c:dPt>
            <c:idx val="0"/>
            <c:spPr>
              <a:solidFill>
                <a:srgbClr val="0070C0"/>
              </a:solidFill>
              <a:ln w="3175">
                <a:solidFill>
                  <a:srgbClr val="FFFFFF"/>
                </a:solidFill>
                <a:prstDash val="solid"/>
              </a:ln>
            </c:spPr>
          </c:dPt>
          <c:dPt>
            <c:idx val="1"/>
            <c:spPr>
              <a:solidFill>
                <a:schemeClr val="tx2">
                  <a:lumMod val="40000"/>
                  <a:lumOff val="60000"/>
                </a:schemeClr>
              </a:solidFill>
              <a:ln w="3175">
                <a:solidFill>
                  <a:srgbClr val="FFFFFF"/>
                </a:solidFill>
                <a:prstDash val="solid"/>
              </a:ln>
            </c:spPr>
          </c:dPt>
          <c:dPt>
            <c:idx val="2"/>
            <c:spPr>
              <a:solidFill>
                <a:srgbClr val="92D050"/>
              </a:solidFill>
              <a:ln w="3175">
                <a:solidFill>
                  <a:srgbClr val="FFFFFF"/>
                </a:solidFill>
                <a:prstDash val="solid"/>
              </a:ln>
            </c:spPr>
          </c:dPt>
          <c:dLbls>
            <c:dLbl>
              <c:idx val="0"/>
              <c:tx>
                <c:rich>
                  <a:bodyPr/>
                  <a:lstStyle/>
                  <a:p>
                    <a:pPr>
                      <a:defRPr sz="700"/>
                    </a:pPr>
                    <a:r>
                      <a:rPr lang="en-US"/>
                      <a:t>1.778.738</a:t>
                    </a:r>
                  </a:p>
                </c:rich>
              </c:tx>
              <c:spPr/>
              <c:showVal val="1"/>
            </c:dLbl>
            <c:dLbl>
              <c:idx val="1"/>
              <c:spPr/>
              <c:txPr>
                <a:bodyPr/>
                <a:lstStyle/>
                <a:p>
                  <a:pPr>
                    <a:defRPr sz="700"/>
                  </a:pPr>
                  <a:endParaRPr lang="es-ES"/>
                </a:p>
              </c:txPr>
            </c:dLbl>
            <c:dLbl>
              <c:idx val="2"/>
              <c:spPr/>
              <c:txPr>
                <a:bodyPr/>
                <a:lstStyle/>
                <a:p>
                  <a:pPr>
                    <a:defRPr sz="700"/>
                  </a:pPr>
                  <a:endParaRPr lang="es-ES"/>
                </a:p>
              </c:txPr>
            </c:dLbl>
            <c:showVal val="1"/>
          </c:dLbls>
          <c:cat>
            <c:strRef>
              <c:f>Graficos_Informe!$B$80:$B$82</c:f>
              <c:strCache>
                <c:ptCount val="3"/>
                <c:pt idx="0">
                  <c:v>Retorno ayudas
LISMI</c:v>
                </c:pt>
                <c:pt idx="1">
                  <c:v>Retorno pensiones 
no contributivas</c:v>
                </c:pt>
                <c:pt idx="2">
                  <c:v>Ayudas administración
 sin salida de caja</c:v>
                </c:pt>
              </c:strCache>
            </c:strRef>
          </c:cat>
          <c:val>
            <c:numRef>
              <c:f>Graficos_Informe!$C$80:$C$82</c:f>
              <c:numCache>
                <c:formatCode>#,##0</c:formatCode>
                <c:ptCount val="3"/>
                <c:pt idx="0">
                  <c:v>1778737.2017932998</c:v>
                </c:pt>
                <c:pt idx="1">
                  <c:v>22730090.403074872</c:v>
                </c:pt>
                <c:pt idx="2">
                  <c:v>204815193.38000011</c:v>
                </c:pt>
              </c:numCache>
            </c:numRef>
          </c:val>
        </c:ser>
        <c:gapWidth val="40"/>
        <c:axId val="177901568"/>
        <c:axId val="177903104"/>
      </c:barChart>
      <c:catAx>
        <c:axId val="177901568"/>
        <c:scaling>
          <c:orientation val="minMax"/>
        </c:scaling>
        <c:axPos val="b"/>
        <c:tickLblPos val="low"/>
        <c:spPr>
          <a:ln w="3175">
            <a:solidFill>
              <a:srgbClr val="000000"/>
            </a:solidFill>
            <a:prstDash val="solid"/>
          </a:ln>
        </c:spPr>
        <c:txPr>
          <a:bodyPr/>
          <a:lstStyle/>
          <a:p>
            <a:pPr>
              <a:defRPr sz="700"/>
            </a:pPr>
            <a:endParaRPr lang="es-ES"/>
          </a:p>
        </c:txPr>
        <c:crossAx val="177903104"/>
        <c:crosses val="autoZero"/>
        <c:auto val="1"/>
        <c:lblAlgn val="ctr"/>
        <c:lblOffset val="100"/>
      </c:catAx>
      <c:valAx>
        <c:axId val="177903104"/>
        <c:scaling>
          <c:orientation val="minMax"/>
          <c:max val="220000000.00000003"/>
          <c:min val="0"/>
        </c:scaling>
        <c:axPos val="l"/>
        <c:numFmt formatCode="#,##0" sourceLinked="1"/>
        <c:tickLblPos val="nextTo"/>
        <c:spPr>
          <a:ln w="3175">
            <a:solidFill>
              <a:srgbClr val="000000"/>
            </a:solidFill>
            <a:prstDash val="solid"/>
          </a:ln>
        </c:spPr>
        <c:crossAx val="177901568"/>
        <c:crosses val="autoZero"/>
        <c:crossBetween val="between"/>
      </c:valAx>
      <c:spPr>
        <a:noFill/>
        <a:ln w="25400">
          <a:noFill/>
        </a:ln>
      </c:spPr>
    </c:plotArea>
    <c:plotVisOnly val="1"/>
  </c:chart>
  <c:spPr>
    <a:noFill/>
    <a:ln w="9525">
      <a:noFill/>
    </a:ln>
  </c:spPr>
  <c:txPr>
    <a:bodyPr/>
    <a:lstStyle/>
    <a:p>
      <a:pPr>
        <a:defRPr sz="800" b="0" i="0">
          <a:solidFill>
            <a:srgbClr val="000000"/>
          </a:solidFill>
          <a:latin typeface="MinionPro-Regular"/>
          <a:ea typeface="Arial"/>
          <a:cs typeface="Arial"/>
        </a:defRPr>
      </a:pPr>
      <a:endParaRPr lang="es-ES"/>
    </a:p>
  </c:txPr>
  <c:externalData r:id="rId1"/>
</c:chartSpace>
</file>

<file path=word/charts/chart79.xml><?xml version="1.0" encoding="utf-8"?>
<c:chartSpace xmlns:c="http://schemas.openxmlformats.org/drawingml/2006/chart" xmlns:a="http://schemas.openxmlformats.org/drawingml/2006/main" xmlns:r="http://schemas.openxmlformats.org/officeDocument/2006/relationships">
  <c:date1904 val="1"/>
  <c:lang val="es-ES"/>
  <c:chart>
    <c:autoTitleDeleted val="1"/>
    <c:plotArea>
      <c:layout>
        <c:manualLayout>
          <c:layoutTarget val="inner"/>
          <c:xMode val="edge"/>
          <c:yMode val="edge"/>
          <c:x val="0.22078366473767166"/>
          <c:y val="9.9112375193778246E-2"/>
          <c:w val="0.66106595488945774"/>
          <c:h val="0.7358398187246048"/>
        </c:manualLayout>
      </c:layout>
      <c:barChart>
        <c:barDir val="col"/>
        <c:grouping val="clustered"/>
        <c:ser>
          <c:idx val="0"/>
          <c:order val="0"/>
          <c:spPr>
            <a:solidFill>
              <a:srgbClr val="409DAD"/>
            </a:solidFill>
            <a:ln w="3175">
              <a:solidFill>
                <a:srgbClr val="FFFFFF"/>
              </a:solidFill>
              <a:prstDash val="solid"/>
            </a:ln>
          </c:spPr>
          <c:dPt>
            <c:idx val="0"/>
            <c:spPr>
              <a:solidFill>
                <a:srgbClr val="0070C0"/>
              </a:solidFill>
              <a:ln w="3175">
                <a:solidFill>
                  <a:srgbClr val="FFFFFF"/>
                </a:solidFill>
                <a:prstDash val="solid"/>
              </a:ln>
            </c:spPr>
          </c:dPt>
          <c:dPt>
            <c:idx val="1"/>
            <c:spPr>
              <a:solidFill>
                <a:schemeClr val="tx2">
                  <a:lumMod val="40000"/>
                  <a:lumOff val="60000"/>
                </a:schemeClr>
              </a:solidFill>
              <a:ln w="3175">
                <a:solidFill>
                  <a:srgbClr val="FFFFFF"/>
                </a:solidFill>
                <a:prstDash val="solid"/>
              </a:ln>
            </c:spPr>
          </c:dPt>
          <c:dPt>
            <c:idx val="2"/>
            <c:spPr>
              <a:solidFill>
                <a:schemeClr val="tx2">
                  <a:lumMod val="20000"/>
                  <a:lumOff val="80000"/>
                </a:schemeClr>
              </a:solidFill>
              <a:ln w="3175">
                <a:solidFill>
                  <a:srgbClr val="FFFFFF"/>
                </a:solidFill>
                <a:prstDash val="solid"/>
              </a:ln>
            </c:spPr>
          </c:dPt>
          <c:dPt>
            <c:idx val="3"/>
            <c:spPr>
              <a:solidFill>
                <a:srgbClr val="92D050"/>
              </a:solidFill>
              <a:ln w="3175">
                <a:solidFill>
                  <a:srgbClr val="FFFFFF"/>
                </a:solidFill>
                <a:prstDash val="solid"/>
              </a:ln>
            </c:spPr>
          </c:dPt>
          <c:dLbls>
            <c:dLbl>
              <c:idx val="0"/>
              <c:tx>
                <c:rich>
                  <a:bodyPr/>
                  <a:lstStyle/>
                  <a:p>
                    <a:r>
                      <a:rPr lang="en-US"/>
                      <a:t>1.778.738</a:t>
                    </a:r>
                  </a:p>
                </c:rich>
              </c:tx>
              <c:showVal val="1"/>
            </c:dLbl>
            <c:txPr>
              <a:bodyPr/>
              <a:lstStyle/>
              <a:p>
                <a:pPr>
                  <a:defRPr sz="700"/>
                </a:pPr>
                <a:endParaRPr lang="es-ES"/>
              </a:p>
            </c:txPr>
            <c:showVal val="1"/>
          </c:dLbls>
          <c:cat>
            <c:strRef>
              <c:f>Graficos_Informe!$B$102:$B$105</c:f>
              <c:strCache>
                <c:ptCount val="4"/>
                <c:pt idx="0">
                  <c:v>Retorno ayudas
LISMI</c:v>
                </c:pt>
                <c:pt idx="1">
                  <c:v>Retorno pensiones 
no contributivas</c:v>
                </c:pt>
                <c:pt idx="2">
                  <c:v>Retorno pensiones
contributivas</c:v>
                </c:pt>
                <c:pt idx="3">
                  <c:v>Ayudas administración
 sin salida de caja</c:v>
                </c:pt>
              </c:strCache>
            </c:strRef>
          </c:cat>
          <c:val>
            <c:numRef>
              <c:f>Graficos_Informe!$C$102:$C$105</c:f>
              <c:numCache>
                <c:formatCode>#,##0</c:formatCode>
                <c:ptCount val="4"/>
                <c:pt idx="0">
                  <c:v>1778737.2017932998</c:v>
                </c:pt>
                <c:pt idx="1">
                  <c:v>22730090.403074872</c:v>
                </c:pt>
                <c:pt idx="2">
                  <c:v>43417066.535361469</c:v>
                </c:pt>
                <c:pt idx="3">
                  <c:v>204815193.38000011</c:v>
                </c:pt>
              </c:numCache>
            </c:numRef>
          </c:val>
        </c:ser>
        <c:gapWidth val="40"/>
        <c:axId val="177998080"/>
        <c:axId val="177999872"/>
      </c:barChart>
      <c:catAx>
        <c:axId val="177998080"/>
        <c:scaling>
          <c:orientation val="minMax"/>
        </c:scaling>
        <c:axPos val="b"/>
        <c:tickLblPos val="low"/>
        <c:spPr>
          <a:ln w="3175">
            <a:solidFill>
              <a:srgbClr val="000000"/>
            </a:solidFill>
            <a:prstDash val="solid"/>
          </a:ln>
        </c:spPr>
        <c:txPr>
          <a:bodyPr/>
          <a:lstStyle/>
          <a:p>
            <a:pPr>
              <a:defRPr sz="700"/>
            </a:pPr>
            <a:endParaRPr lang="es-ES"/>
          </a:p>
        </c:txPr>
        <c:crossAx val="177999872"/>
        <c:crosses val="autoZero"/>
        <c:auto val="1"/>
        <c:lblAlgn val="ctr"/>
        <c:lblOffset val="100"/>
      </c:catAx>
      <c:valAx>
        <c:axId val="177999872"/>
        <c:scaling>
          <c:orientation val="minMax"/>
          <c:max val="220000000.00000003"/>
          <c:min val="0"/>
        </c:scaling>
        <c:axPos val="l"/>
        <c:numFmt formatCode="#,##0" sourceLinked="1"/>
        <c:tickLblPos val="nextTo"/>
        <c:spPr>
          <a:ln w="3175">
            <a:solidFill>
              <a:srgbClr val="000000"/>
            </a:solidFill>
            <a:prstDash val="solid"/>
          </a:ln>
        </c:spPr>
        <c:crossAx val="177998080"/>
        <c:crosses val="autoZero"/>
        <c:crossBetween val="between"/>
      </c:valAx>
      <c:spPr>
        <a:noFill/>
        <a:ln w="25400">
          <a:noFill/>
        </a:ln>
      </c:spPr>
    </c:plotArea>
    <c:plotVisOnly val="1"/>
  </c:chart>
  <c:spPr>
    <a:noFill/>
    <a:ln w="9525">
      <a:noFill/>
    </a:ln>
  </c:spPr>
  <c:txPr>
    <a:bodyPr/>
    <a:lstStyle/>
    <a:p>
      <a:pPr>
        <a:defRPr sz="800" b="0" i="0">
          <a:solidFill>
            <a:srgbClr val="000000"/>
          </a:solidFill>
          <a:latin typeface="MinionPro-Regular"/>
          <a:ea typeface="Arial"/>
          <a:cs typeface="Arial"/>
        </a:defRPr>
      </a:pPr>
      <a:endParaRPr lang="es-ES"/>
    </a:p>
  </c:tx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es-ES"/>
  <c:chart>
    <c:autoTitleDeleted val="1"/>
    <c:plotArea>
      <c:layout>
        <c:manualLayout>
          <c:layoutTarget val="inner"/>
          <c:xMode val="edge"/>
          <c:yMode val="edge"/>
          <c:x val="0.18787379077615299"/>
          <c:y val="8.4534001431640457E-2"/>
          <c:w val="0.50098335208098987"/>
          <c:h val="0.51309484609879152"/>
        </c:manualLayout>
      </c:layout>
      <c:lineChart>
        <c:grouping val="standard"/>
        <c:ser>
          <c:idx val="0"/>
          <c:order val="0"/>
          <c:tx>
            <c:strRef>
              <c:f>'TASA PARO'!$B$6</c:f>
              <c:strCache>
                <c:ptCount val="1"/>
                <c:pt idx="0">
                  <c:v>Personas con discapacidad</c:v>
                </c:pt>
              </c:strCache>
            </c:strRef>
          </c:tx>
          <c:spPr>
            <a:ln w="19050">
              <a:solidFill>
                <a:schemeClr val="accent3"/>
              </a:solidFill>
            </a:ln>
          </c:spPr>
          <c:marker>
            <c:spPr>
              <a:solidFill>
                <a:schemeClr val="accent3"/>
              </a:solidFill>
            </c:spPr>
          </c:marker>
          <c:dLbls>
            <c:dLbl>
              <c:idx val="0"/>
              <c:layout>
                <c:manualLayout>
                  <c:x val="-2.8571428571428602E-3"/>
                  <c:y val="-6.3636363636363671E-2"/>
                </c:manualLayout>
              </c:layout>
              <c:showVal val="1"/>
            </c:dLbl>
            <c:dLbl>
              <c:idx val="1"/>
              <c:layout>
                <c:manualLayout>
                  <c:x val="-8.5714285714285268E-3"/>
                  <c:y val="-6.363636363636363E-2"/>
                </c:manualLayout>
              </c:layout>
              <c:showVal val="1"/>
            </c:dLbl>
            <c:dLbl>
              <c:idx val="2"/>
              <c:layout>
                <c:manualLayout>
                  <c:x val="-8.5714285714285736E-3"/>
                  <c:y val="-3.1818181818181808E-2"/>
                </c:manualLayout>
              </c:layout>
              <c:showVal val="1"/>
            </c:dLbl>
            <c:showVal val="1"/>
          </c:dLbls>
          <c:cat>
            <c:numRef>
              <c:f>'TASA PARO'!$C$5:$E$5</c:f>
              <c:numCache>
                <c:formatCode>General</c:formatCode>
                <c:ptCount val="3"/>
                <c:pt idx="0">
                  <c:v>2009</c:v>
                </c:pt>
                <c:pt idx="1">
                  <c:v>2010</c:v>
                </c:pt>
                <c:pt idx="2">
                  <c:v>2011</c:v>
                </c:pt>
              </c:numCache>
            </c:numRef>
          </c:cat>
          <c:val>
            <c:numRef>
              <c:f>'TASA PARO'!$C$6:$E$6</c:f>
              <c:numCache>
                <c:formatCode>General</c:formatCode>
                <c:ptCount val="3"/>
                <c:pt idx="0">
                  <c:v>21.8</c:v>
                </c:pt>
                <c:pt idx="1">
                  <c:v>23.3</c:v>
                </c:pt>
                <c:pt idx="2">
                  <c:v>26.9</c:v>
                </c:pt>
              </c:numCache>
            </c:numRef>
          </c:val>
        </c:ser>
        <c:ser>
          <c:idx val="1"/>
          <c:order val="1"/>
          <c:tx>
            <c:strRef>
              <c:f>'TASA PARO'!$B$7</c:f>
              <c:strCache>
                <c:ptCount val="1"/>
                <c:pt idx="0">
                  <c:v>Personas sin discapacidad</c:v>
                </c:pt>
              </c:strCache>
            </c:strRef>
          </c:tx>
          <c:spPr>
            <a:ln w="19050">
              <a:solidFill>
                <a:schemeClr val="accent2">
                  <a:lumMod val="75000"/>
                </a:schemeClr>
              </a:solidFill>
            </a:ln>
          </c:spPr>
          <c:marker>
            <c:spPr>
              <a:solidFill>
                <a:schemeClr val="accent2">
                  <a:lumMod val="75000"/>
                </a:schemeClr>
              </a:solidFill>
            </c:spPr>
          </c:marker>
          <c:dLbls>
            <c:dLbl>
              <c:idx val="0"/>
              <c:layout>
                <c:manualLayout>
                  <c:x val="-8.5714285714285736E-3"/>
                  <c:y val="4.5454545454545497E-2"/>
                </c:manualLayout>
              </c:layout>
              <c:showVal val="1"/>
            </c:dLbl>
            <c:dLbl>
              <c:idx val="1"/>
              <c:layout>
                <c:manualLayout>
                  <c:x val="-8.5714285714285268E-3"/>
                  <c:y val="7.2727272727272724E-2"/>
                </c:manualLayout>
              </c:layout>
              <c:showVal val="1"/>
            </c:dLbl>
            <c:showVal val="1"/>
          </c:dLbls>
          <c:cat>
            <c:numRef>
              <c:f>'TASA PARO'!$C$5:$E$5</c:f>
              <c:numCache>
                <c:formatCode>General</c:formatCode>
                <c:ptCount val="3"/>
                <c:pt idx="0">
                  <c:v>2009</c:v>
                </c:pt>
                <c:pt idx="1">
                  <c:v>2010</c:v>
                </c:pt>
                <c:pt idx="2">
                  <c:v>2011</c:v>
                </c:pt>
              </c:numCache>
            </c:numRef>
          </c:cat>
          <c:val>
            <c:numRef>
              <c:f>'TASA PARO'!$C$7:$E$7</c:f>
              <c:numCache>
                <c:formatCode>General</c:formatCode>
                <c:ptCount val="3"/>
                <c:pt idx="0">
                  <c:v>18.100000000000001</c:v>
                </c:pt>
                <c:pt idx="1">
                  <c:v>20.100000000000001</c:v>
                </c:pt>
                <c:pt idx="2">
                  <c:v>21.7</c:v>
                </c:pt>
              </c:numCache>
            </c:numRef>
          </c:val>
        </c:ser>
        <c:marker val="1"/>
        <c:axId val="207419264"/>
        <c:axId val="207420800"/>
      </c:lineChart>
      <c:catAx>
        <c:axId val="207419264"/>
        <c:scaling>
          <c:orientation val="minMax"/>
        </c:scaling>
        <c:axPos val="b"/>
        <c:numFmt formatCode="General" sourceLinked="1"/>
        <c:tickLblPos val="low"/>
        <c:spPr>
          <a:ln w="3175">
            <a:solidFill>
              <a:srgbClr val="000000"/>
            </a:solidFill>
            <a:prstDash val="solid"/>
          </a:ln>
        </c:spPr>
        <c:crossAx val="207420800"/>
        <c:crosses val="autoZero"/>
        <c:auto val="1"/>
        <c:lblAlgn val="ctr"/>
        <c:lblOffset val="100"/>
      </c:catAx>
      <c:valAx>
        <c:axId val="207420800"/>
        <c:scaling>
          <c:orientation val="minMax"/>
          <c:max val="30"/>
          <c:min val="15"/>
        </c:scaling>
        <c:axPos val="l"/>
        <c:title>
          <c:tx>
            <c:rich>
              <a:bodyPr rot="-5400000" vert="horz"/>
              <a:lstStyle/>
              <a:p>
                <a:pPr>
                  <a:defRPr/>
                </a:pPr>
                <a:r>
                  <a:rPr lang="en-US"/>
                  <a:t>Tasa</a:t>
                </a:r>
                <a:r>
                  <a:rPr lang="en-US" baseline="0"/>
                  <a:t> de paro (%)</a:t>
                </a:r>
                <a:endParaRPr lang="en-US"/>
              </a:p>
            </c:rich>
          </c:tx>
          <c:layout>
            <c:manualLayout>
              <c:xMode val="edge"/>
              <c:yMode val="edge"/>
              <c:x val="7.4285714285714302E-2"/>
              <c:y val="0.22011560486757339"/>
            </c:manualLayout>
          </c:layout>
        </c:title>
        <c:numFmt formatCode="General" sourceLinked="1"/>
        <c:tickLblPos val="nextTo"/>
        <c:spPr>
          <a:ln w="3175">
            <a:solidFill>
              <a:srgbClr val="000000"/>
            </a:solidFill>
            <a:prstDash val="solid"/>
          </a:ln>
        </c:spPr>
        <c:crossAx val="207419264"/>
        <c:crosses val="autoZero"/>
        <c:crossBetween val="midCat"/>
        <c:majorUnit val="10"/>
        <c:minorUnit val="10"/>
      </c:valAx>
      <c:spPr>
        <a:noFill/>
        <a:ln w="25400">
          <a:noFill/>
        </a:ln>
      </c:spPr>
    </c:plotArea>
    <c:legend>
      <c:legendPos val="b"/>
      <c:layout>
        <c:manualLayout>
          <c:xMode val="edge"/>
          <c:yMode val="edge"/>
          <c:x val="0"/>
          <c:y val="0.83636363636363664"/>
          <c:w val="0.82637142857142865"/>
          <c:h val="6.7479957050823533E-2"/>
        </c:manualLayout>
      </c:layout>
      <c:spPr>
        <a:noFill/>
        <a:ln w="25400">
          <a:noFill/>
        </a:ln>
      </c:spPr>
    </c:legend>
    <c:plotVisOnly val="1"/>
  </c:chart>
  <c:spPr>
    <a:noFill/>
    <a:ln w="9525">
      <a:noFill/>
    </a:ln>
  </c:spPr>
  <c:txPr>
    <a:bodyPr/>
    <a:lstStyle/>
    <a:p>
      <a:pPr>
        <a:defRPr sz="800" b="0" i="0">
          <a:solidFill>
            <a:srgbClr val="000000"/>
          </a:solidFill>
          <a:latin typeface="MinionPro-Regular"/>
          <a:ea typeface="Arial"/>
          <a:cs typeface="Arial"/>
        </a:defRPr>
      </a:pPr>
      <a:endParaRPr lang="es-ES"/>
    </a:p>
  </c:txPr>
  <c:externalData r:id="rId1"/>
</c:chartSpace>
</file>

<file path=word/charts/chart80.xml><?xml version="1.0" encoding="utf-8"?>
<c:chartSpace xmlns:c="http://schemas.openxmlformats.org/drawingml/2006/chart" xmlns:a="http://schemas.openxmlformats.org/drawingml/2006/main" xmlns:r="http://schemas.openxmlformats.org/officeDocument/2006/relationships">
  <c:date1904 val="1"/>
  <c:lang val="es-ES"/>
  <c:chart>
    <c:autoTitleDeleted val="1"/>
    <c:plotArea>
      <c:layout>
        <c:manualLayout>
          <c:layoutTarget val="inner"/>
          <c:xMode val="edge"/>
          <c:yMode val="edge"/>
          <c:x val="0.16344733027774783"/>
          <c:y val="9.3083655532251966E-2"/>
          <c:w val="0.72749853096721129"/>
          <c:h val="0.83476746170916027"/>
        </c:manualLayout>
      </c:layout>
      <c:barChart>
        <c:barDir val="col"/>
        <c:grouping val="stacked"/>
        <c:ser>
          <c:idx val="0"/>
          <c:order val="0"/>
          <c:tx>
            <c:strRef>
              <c:f>Graficos_Informe!$D$114:$D$115</c:f>
              <c:strCache>
                <c:ptCount val="1"/>
                <c:pt idx="0">
                  <c:v>Retorno IRPF Ayudas de la administración con salida de efectivo</c:v>
                </c:pt>
              </c:strCache>
            </c:strRef>
          </c:tx>
          <c:spPr>
            <a:solidFill>
              <a:srgbClr val="7AB800"/>
            </a:solidFill>
            <a:ln>
              <a:noFill/>
            </a:ln>
          </c:spPr>
          <c:dPt>
            <c:idx val="0"/>
            <c:spPr>
              <a:solidFill>
                <a:srgbClr val="409DAD"/>
              </a:solidFill>
              <a:ln>
                <a:noFill/>
              </a:ln>
            </c:spPr>
          </c:dPt>
          <c:dLbls>
            <c:txPr>
              <a:bodyPr/>
              <a:lstStyle/>
              <a:p>
                <a:pPr>
                  <a:defRPr>
                    <a:solidFill>
                      <a:schemeClr val="bg1"/>
                    </a:solidFill>
                  </a:defRPr>
                </a:pPr>
                <a:endParaRPr lang="es-ES"/>
              </a:p>
            </c:txPr>
            <c:showVal val="1"/>
          </c:dLbls>
          <c:val>
            <c:numRef>
              <c:f>Graficos_Informe!$E$114:$E$115</c:f>
              <c:numCache>
                <c:formatCode>#,##0</c:formatCode>
                <c:ptCount val="2"/>
                <c:pt idx="0">
                  <c:v>59208424</c:v>
                </c:pt>
                <c:pt idx="1">
                  <c:v>323514020.31999999</c:v>
                </c:pt>
              </c:numCache>
            </c:numRef>
          </c:val>
        </c:ser>
        <c:ser>
          <c:idx val="1"/>
          <c:order val="1"/>
          <c:tx>
            <c:strRef>
              <c:f>Graficos_Informe!$D$116:$D$117</c:f>
              <c:strCache>
                <c:ptCount val="1"/>
                <c:pt idx="0">
                  <c:v>Cotización Seguridad Social Ayudas de la administración con salida de efectivo</c:v>
                </c:pt>
              </c:strCache>
            </c:strRef>
          </c:tx>
          <c:spPr>
            <a:solidFill>
              <a:srgbClr val="80BEC9"/>
            </a:solidFill>
          </c:spPr>
          <c:dLbls>
            <c:dLbl>
              <c:idx val="1"/>
              <c:layout>
                <c:manualLayout>
                  <c:x val="7.6914376886805923E-3"/>
                  <c:y val="-6.3340520445864912E-2"/>
                </c:manualLayout>
              </c:layout>
              <c:showVal val="1"/>
            </c:dLbl>
            <c:txPr>
              <a:bodyPr/>
              <a:lstStyle/>
              <a:p>
                <a:pPr>
                  <a:defRPr>
                    <a:solidFill>
                      <a:schemeClr val="bg1"/>
                    </a:solidFill>
                  </a:defRPr>
                </a:pPr>
                <a:endParaRPr lang="es-ES"/>
              </a:p>
            </c:txPr>
            <c:showVal val="1"/>
          </c:dLbls>
          <c:val>
            <c:numRef>
              <c:f>Graficos_Informe!$E$116:$E$117</c:f>
              <c:numCache>
                <c:formatCode>#,##0</c:formatCode>
                <c:ptCount val="2"/>
                <c:pt idx="0">
                  <c:v>120123748</c:v>
                </c:pt>
                <c:pt idx="1">
                  <c:v>0</c:v>
                </c:pt>
              </c:numCache>
            </c:numRef>
          </c:val>
        </c:ser>
        <c:ser>
          <c:idx val="2"/>
          <c:order val="2"/>
          <c:tx>
            <c:strRef>
              <c:f>Graficos_Informe!$D$118:$D$119</c:f>
              <c:strCache>
                <c:ptCount val="1"/>
                <c:pt idx="0">
                  <c:v>IVA Ayudas de la administración con salida de efectivo</c:v>
                </c:pt>
              </c:strCache>
            </c:strRef>
          </c:tx>
          <c:dPt>
            <c:idx val="0"/>
            <c:spPr>
              <a:solidFill>
                <a:srgbClr val="B6646B"/>
              </a:solidFill>
            </c:spPr>
          </c:dPt>
          <c:dLbls>
            <c:dLbl>
              <c:idx val="0"/>
              <c:showVal val="1"/>
            </c:dLbl>
            <c:delete val="1"/>
          </c:dLbls>
          <c:val>
            <c:numRef>
              <c:f>Graficos_Informe!$E$118:$E$119</c:f>
              <c:numCache>
                <c:formatCode>#,##0</c:formatCode>
                <c:ptCount val="2"/>
                <c:pt idx="0">
                  <c:v>239555473.65482041</c:v>
                </c:pt>
                <c:pt idx="1">
                  <c:v>0</c:v>
                </c:pt>
              </c:numCache>
            </c:numRef>
          </c:val>
        </c:ser>
        <c:ser>
          <c:idx val="3"/>
          <c:order val="3"/>
          <c:tx>
            <c:strRef>
              <c:f>Graficos_Informe!$D$120:$D$121</c:f>
              <c:strCache>
                <c:ptCount val="1"/>
                <c:pt idx="0">
                  <c:v>Impuesto sobre sociedades Ayudas de la administración con salida de efectivo</c:v>
                </c:pt>
              </c:strCache>
            </c:strRef>
          </c:tx>
          <c:dPt>
            <c:idx val="0"/>
            <c:spPr>
              <a:solidFill>
                <a:srgbClr val="97989A"/>
              </a:solidFill>
            </c:spPr>
          </c:dPt>
          <c:dLbls>
            <c:dLbl>
              <c:idx val="0"/>
              <c:spPr>
                <a:solidFill>
                  <a:srgbClr val="97989A"/>
                </a:solidFill>
              </c:spPr>
              <c:txPr>
                <a:bodyPr/>
                <a:lstStyle/>
                <a:p>
                  <a:pPr>
                    <a:defRPr>
                      <a:solidFill>
                        <a:schemeClr val="bg1"/>
                      </a:solidFill>
                    </a:defRPr>
                  </a:pPr>
                  <a:endParaRPr lang="es-ES"/>
                </a:p>
              </c:txPr>
              <c:showVal val="1"/>
            </c:dLbl>
            <c:delete val="1"/>
          </c:dLbls>
          <c:val>
            <c:numRef>
              <c:f>Graficos_Informe!$E$120:$E$121</c:f>
              <c:numCache>
                <c:formatCode>#,##0</c:formatCode>
                <c:ptCount val="2"/>
                <c:pt idx="0">
                  <c:v>40700000</c:v>
                </c:pt>
                <c:pt idx="1">
                  <c:v>0</c:v>
                </c:pt>
              </c:numCache>
            </c:numRef>
          </c:val>
        </c:ser>
        <c:gapWidth val="55"/>
        <c:overlap val="100"/>
        <c:axId val="178143616"/>
        <c:axId val="178145152"/>
      </c:barChart>
      <c:catAx>
        <c:axId val="178143616"/>
        <c:scaling>
          <c:orientation val="minMax"/>
        </c:scaling>
        <c:delete val="1"/>
        <c:axPos val="b"/>
        <c:numFmt formatCode="General" sourceLinked="1"/>
        <c:majorTickMark val="none"/>
        <c:tickLblPos val="none"/>
        <c:crossAx val="178145152"/>
        <c:crosses val="autoZero"/>
        <c:auto val="1"/>
        <c:lblAlgn val="ctr"/>
        <c:lblOffset val="100"/>
      </c:catAx>
      <c:valAx>
        <c:axId val="178145152"/>
        <c:scaling>
          <c:orientation val="minMax"/>
        </c:scaling>
        <c:axPos val="l"/>
        <c:numFmt formatCode="#,##0" sourceLinked="1"/>
        <c:majorTickMark val="none"/>
        <c:tickLblPos val="nextTo"/>
        <c:spPr>
          <a:ln w="3175">
            <a:solidFill>
              <a:srgbClr val="000000"/>
            </a:solidFill>
            <a:prstDash val="solid"/>
          </a:ln>
        </c:spPr>
        <c:crossAx val="178143616"/>
        <c:crosses val="autoZero"/>
        <c:crossBetween val="between"/>
        <c:minorUnit val="100000000"/>
      </c:valAx>
      <c:spPr>
        <a:noFill/>
        <a:ln w="25400">
          <a:noFill/>
        </a:ln>
      </c:spPr>
    </c:plotArea>
    <c:plotVisOnly val="1"/>
  </c:chart>
  <c:spPr>
    <a:noFill/>
    <a:ln w="9525">
      <a:noFill/>
    </a:ln>
  </c:spPr>
  <c:txPr>
    <a:bodyPr/>
    <a:lstStyle/>
    <a:p>
      <a:pPr>
        <a:defRPr sz="1000" b="0" i="0">
          <a:solidFill>
            <a:srgbClr val="000000"/>
          </a:solidFill>
          <a:latin typeface="MinionPro-Regular"/>
          <a:ea typeface="Arial"/>
          <a:cs typeface="Arial"/>
        </a:defRPr>
      </a:pPr>
      <a:endParaRPr lang="es-ES"/>
    </a:p>
  </c:txPr>
  <c:externalData r:id="rId1"/>
</c:chartSpace>
</file>

<file path=word/charts/chart81.xml><?xml version="1.0" encoding="utf-8"?>
<c:chartSpace xmlns:c="http://schemas.openxmlformats.org/drawingml/2006/chart" xmlns:a="http://schemas.openxmlformats.org/drawingml/2006/main" xmlns:r="http://schemas.openxmlformats.org/officeDocument/2006/relationships">
  <c:lang val="es-ES"/>
  <c:chart>
    <c:autoTitleDeleted val="1"/>
    <c:plotArea>
      <c:layout>
        <c:manualLayout>
          <c:layoutTarget val="inner"/>
          <c:xMode val="edge"/>
          <c:yMode val="edge"/>
          <c:x val="0.12634306809935342"/>
          <c:y val="0.14404261262240098"/>
          <c:w val="0.72749853096721129"/>
          <c:h val="0.74001770253768262"/>
        </c:manualLayout>
      </c:layout>
      <c:barChart>
        <c:barDir val="col"/>
        <c:grouping val="stacked"/>
        <c:ser>
          <c:idx val="0"/>
          <c:order val="0"/>
          <c:tx>
            <c:strRef>
              <c:f>Graficos_Informe!$B$308:$B$309</c:f>
              <c:strCache>
                <c:ptCount val="1"/>
                <c:pt idx="0">
                  <c:v>Ahorros sanitarios Ayudas de la administración sin salida de efectivo</c:v>
                </c:pt>
              </c:strCache>
            </c:strRef>
          </c:tx>
          <c:spPr>
            <a:solidFill>
              <a:srgbClr val="7AB800"/>
            </a:solidFill>
            <a:ln>
              <a:noFill/>
            </a:ln>
          </c:spPr>
          <c:dPt>
            <c:idx val="0"/>
            <c:spPr>
              <a:solidFill>
                <a:srgbClr val="4066AA"/>
              </a:solidFill>
              <a:ln>
                <a:noFill/>
              </a:ln>
            </c:spPr>
          </c:dPt>
          <c:dPt>
            <c:idx val="1"/>
            <c:spPr>
              <a:solidFill>
                <a:srgbClr val="9BCA40"/>
              </a:solidFill>
              <a:ln>
                <a:noFill/>
              </a:ln>
            </c:spPr>
          </c:dPt>
          <c:dLbls>
            <c:dLbl>
              <c:idx val="0"/>
              <c:spPr>
                <a:solidFill>
                  <a:srgbClr val="4066AA"/>
                </a:solidFill>
              </c:spPr>
              <c:txPr>
                <a:bodyPr/>
                <a:lstStyle/>
                <a:p>
                  <a:pPr>
                    <a:defRPr>
                      <a:solidFill>
                        <a:schemeClr val="bg1"/>
                      </a:solidFill>
                    </a:defRPr>
                  </a:pPr>
                  <a:endParaRPr lang="es-ES"/>
                </a:p>
              </c:txPr>
            </c:dLbl>
            <c:txPr>
              <a:bodyPr/>
              <a:lstStyle/>
              <a:p>
                <a:pPr>
                  <a:defRPr>
                    <a:solidFill>
                      <a:schemeClr val="bg1"/>
                    </a:solidFill>
                  </a:defRPr>
                </a:pPr>
                <a:endParaRPr lang="es-ES"/>
              </a:p>
            </c:txPr>
            <c:showVal val="1"/>
          </c:dLbls>
          <c:val>
            <c:numRef>
              <c:f>Graficos_Informe!$C$308:$C$309</c:f>
              <c:numCache>
                <c:formatCode>#,##0</c:formatCode>
                <c:ptCount val="2"/>
                <c:pt idx="0">
                  <c:v>97227989.404332772</c:v>
                </c:pt>
                <c:pt idx="1">
                  <c:v>204815193.38000011</c:v>
                </c:pt>
              </c:numCache>
            </c:numRef>
          </c:val>
        </c:ser>
        <c:ser>
          <c:idx val="1"/>
          <c:order val="1"/>
          <c:tx>
            <c:strRef>
              <c:f>Graficos_Informe!$B$310:$B$311</c:f>
              <c:strCache>
                <c:ptCount val="1"/>
                <c:pt idx="0">
                  <c:v>Pensiones contributivas Ayudas de la administración sin salida de efectivo</c:v>
                </c:pt>
              </c:strCache>
            </c:strRef>
          </c:tx>
          <c:spPr>
            <a:solidFill>
              <a:srgbClr val="8099C6"/>
            </a:solidFill>
          </c:spPr>
          <c:dLbls>
            <c:dLbl>
              <c:idx val="1"/>
              <c:layout>
                <c:manualLayout>
                  <c:x val="7.6914376886805923E-3"/>
                  <c:y val="-6.3340520445864912E-2"/>
                </c:manualLayout>
              </c:layout>
              <c:showVal val="1"/>
            </c:dLbl>
            <c:txPr>
              <a:bodyPr/>
              <a:lstStyle/>
              <a:p>
                <a:pPr>
                  <a:defRPr>
                    <a:solidFill>
                      <a:schemeClr val="bg1"/>
                    </a:solidFill>
                  </a:defRPr>
                </a:pPr>
                <a:endParaRPr lang="es-ES"/>
              </a:p>
            </c:txPr>
            <c:showVal val="1"/>
          </c:dLbls>
          <c:val>
            <c:numRef>
              <c:f>Graficos_Informe!$C$310:$C$311</c:f>
              <c:numCache>
                <c:formatCode>#,##0</c:formatCode>
                <c:ptCount val="2"/>
                <c:pt idx="0">
                  <c:v>43417066.535361469</c:v>
                </c:pt>
                <c:pt idx="1">
                  <c:v>0</c:v>
                </c:pt>
              </c:numCache>
            </c:numRef>
          </c:val>
        </c:ser>
        <c:ser>
          <c:idx val="2"/>
          <c:order val="2"/>
          <c:tx>
            <c:strRef>
              <c:f>Graficos_Informe!$B$312:$B$313</c:f>
              <c:strCache>
                <c:ptCount val="1"/>
                <c:pt idx="0">
                  <c:v>Pensiones no contributivas Ayudas de la administración sin salida de efectivo</c:v>
                </c:pt>
              </c:strCache>
            </c:strRef>
          </c:tx>
          <c:dPt>
            <c:idx val="0"/>
            <c:spPr>
              <a:solidFill>
                <a:srgbClr val="BFCCE3"/>
              </a:solidFill>
            </c:spPr>
          </c:dPt>
          <c:dLbls>
            <c:dLbl>
              <c:idx val="0"/>
              <c:showVal val="1"/>
            </c:dLbl>
            <c:delete val="1"/>
            <c:txPr>
              <a:bodyPr/>
              <a:lstStyle/>
              <a:p>
                <a:pPr>
                  <a:defRPr>
                    <a:solidFill>
                      <a:schemeClr val="bg1"/>
                    </a:solidFill>
                  </a:defRPr>
                </a:pPr>
                <a:endParaRPr lang="es-ES"/>
              </a:p>
            </c:txPr>
          </c:dLbls>
          <c:val>
            <c:numRef>
              <c:f>Graficos_Informe!$C$312:$C$313</c:f>
              <c:numCache>
                <c:formatCode>#,##0</c:formatCode>
                <c:ptCount val="2"/>
                <c:pt idx="0">
                  <c:v>22730090.403074872</c:v>
                </c:pt>
                <c:pt idx="1">
                  <c:v>0</c:v>
                </c:pt>
              </c:numCache>
            </c:numRef>
          </c:val>
        </c:ser>
        <c:ser>
          <c:idx val="3"/>
          <c:order val="3"/>
          <c:tx>
            <c:strRef>
              <c:f>Graficos_Informe!$B$316:$B$317</c:f>
              <c:strCache>
                <c:ptCount val="1"/>
                <c:pt idx="0">
                  <c:v>Ayudas según conceptos LISMI Ayudas de la administración sin salida de efectivo</c:v>
                </c:pt>
              </c:strCache>
            </c:strRef>
          </c:tx>
          <c:spPr>
            <a:solidFill>
              <a:srgbClr val="E5EAF3"/>
            </a:solidFill>
          </c:spPr>
          <c:dLbls>
            <c:dLbl>
              <c:idx val="0"/>
              <c:layout>
                <c:manualLayout>
                  <c:x val="-9.9594187741463766E-3"/>
                  <c:y val="0.14401963394064696"/>
                </c:manualLayout>
              </c:layout>
              <c:spPr>
                <a:noFill/>
              </c:spPr>
              <c:txPr>
                <a:bodyPr/>
                <a:lstStyle/>
                <a:p>
                  <a:pPr>
                    <a:defRPr>
                      <a:solidFill>
                        <a:sysClr val="windowText" lastClr="000000"/>
                      </a:solidFill>
                    </a:defRPr>
                  </a:pPr>
                  <a:endParaRPr lang="es-ES"/>
                </a:p>
              </c:txPr>
              <c:showVal val="1"/>
            </c:dLbl>
            <c:delete val="1"/>
            <c:spPr>
              <a:solidFill>
                <a:srgbClr val="E5EAF3"/>
              </a:solidFill>
            </c:spPr>
            <c:txPr>
              <a:bodyPr/>
              <a:lstStyle/>
              <a:p>
                <a:pPr>
                  <a:defRPr>
                    <a:solidFill>
                      <a:sysClr val="windowText" lastClr="000000"/>
                    </a:solidFill>
                  </a:defRPr>
                </a:pPr>
                <a:endParaRPr lang="es-ES"/>
              </a:p>
            </c:txPr>
          </c:dLbls>
          <c:val>
            <c:numRef>
              <c:f>Graficos_Informe!$C$316:$C$317</c:f>
              <c:numCache>
                <c:formatCode>#,##0</c:formatCode>
                <c:ptCount val="2"/>
                <c:pt idx="0">
                  <c:v>1778737.2017932998</c:v>
                </c:pt>
                <c:pt idx="1">
                  <c:v>0</c:v>
                </c:pt>
              </c:numCache>
            </c:numRef>
          </c:val>
        </c:ser>
        <c:ser>
          <c:idx val="4"/>
          <c:order val="4"/>
          <c:tx>
            <c:strRef>
              <c:f>Graficos_Informe!$B$314</c:f>
              <c:strCache>
                <c:ptCount val="1"/>
                <c:pt idx="0">
                  <c:v>Ahorro en plazas ocupacionales</c:v>
                </c:pt>
              </c:strCache>
            </c:strRef>
          </c:tx>
          <c:dPt>
            <c:idx val="0"/>
            <c:spPr>
              <a:solidFill>
                <a:schemeClr val="tx2">
                  <a:lumMod val="60000"/>
                  <a:lumOff val="40000"/>
                </a:schemeClr>
              </a:solidFill>
            </c:spPr>
          </c:dPt>
          <c:dLbls>
            <c:dLbl>
              <c:idx val="0"/>
              <c:spPr/>
              <c:txPr>
                <a:bodyPr/>
                <a:lstStyle/>
                <a:p>
                  <a:pPr>
                    <a:defRPr>
                      <a:solidFill>
                        <a:schemeClr val="bg1"/>
                      </a:solidFill>
                    </a:defRPr>
                  </a:pPr>
                  <a:endParaRPr lang="es-ES"/>
                </a:p>
              </c:txPr>
              <c:showVal val="1"/>
            </c:dLbl>
            <c:delete val="1"/>
          </c:dLbls>
          <c:val>
            <c:numRef>
              <c:f>Graficos_Informe!$C$314</c:f>
              <c:numCache>
                <c:formatCode>#,##0</c:formatCode>
                <c:ptCount val="1"/>
                <c:pt idx="0">
                  <c:v>135389131</c:v>
                </c:pt>
              </c:numCache>
            </c:numRef>
          </c:val>
        </c:ser>
        <c:gapWidth val="55"/>
        <c:overlap val="100"/>
        <c:axId val="182830976"/>
        <c:axId val="182832512"/>
      </c:barChart>
      <c:catAx>
        <c:axId val="182830976"/>
        <c:scaling>
          <c:orientation val="minMax"/>
        </c:scaling>
        <c:delete val="1"/>
        <c:axPos val="b"/>
        <c:numFmt formatCode="General" sourceLinked="1"/>
        <c:majorTickMark val="none"/>
        <c:tickLblPos val="none"/>
        <c:crossAx val="182832512"/>
        <c:crosses val="autoZero"/>
        <c:auto val="1"/>
        <c:lblAlgn val="ctr"/>
        <c:lblOffset val="100"/>
      </c:catAx>
      <c:valAx>
        <c:axId val="182832512"/>
        <c:scaling>
          <c:orientation val="minMax"/>
        </c:scaling>
        <c:axPos val="l"/>
        <c:numFmt formatCode="#,##0" sourceLinked="1"/>
        <c:majorTickMark val="none"/>
        <c:tickLblPos val="nextTo"/>
        <c:spPr>
          <a:ln w="3175">
            <a:solidFill>
              <a:srgbClr val="000000"/>
            </a:solidFill>
            <a:prstDash val="solid"/>
          </a:ln>
        </c:spPr>
        <c:crossAx val="182830976"/>
        <c:crosses val="autoZero"/>
        <c:crossBetween val="between"/>
        <c:minorUnit val="100000000"/>
      </c:valAx>
      <c:spPr>
        <a:noFill/>
        <a:ln w="25400">
          <a:noFill/>
        </a:ln>
      </c:spPr>
    </c:plotArea>
    <c:plotVisOnly val="1"/>
  </c:chart>
  <c:spPr>
    <a:noFill/>
    <a:ln w="9525">
      <a:noFill/>
    </a:ln>
  </c:spPr>
  <c:txPr>
    <a:bodyPr/>
    <a:lstStyle/>
    <a:p>
      <a:pPr>
        <a:defRPr sz="1000" b="0" i="0">
          <a:solidFill>
            <a:srgbClr val="000000"/>
          </a:solidFill>
          <a:latin typeface="MinionPro-Regular"/>
          <a:ea typeface="Arial"/>
          <a:cs typeface="Arial"/>
        </a:defRPr>
      </a:pPr>
      <a:endParaRPr lang="es-ES"/>
    </a:p>
  </c:txPr>
  <c:externalData r:id="rId1"/>
</c:chartSpace>
</file>

<file path=word/charts/chart82.xml><?xml version="1.0" encoding="utf-8"?>
<c:chartSpace xmlns:c="http://schemas.openxmlformats.org/drawingml/2006/chart" xmlns:a="http://schemas.openxmlformats.org/drawingml/2006/main" xmlns:r="http://schemas.openxmlformats.org/officeDocument/2006/relationships">
  <c:date1904 val="1"/>
  <c:lang val="es-ES"/>
  <c:chart>
    <c:autoTitleDeleted val="1"/>
    <c:plotArea>
      <c:layout>
        <c:manualLayout>
          <c:layoutTarget val="inner"/>
          <c:xMode val="edge"/>
          <c:yMode val="edge"/>
          <c:x val="0.12634306809935342"/>
          <c:y val="9.6636600258647565E-2"/>
          <c:w val="0.72749853096721129"/>
          <c:h val="0.80161321830613175"/>
        </c:manualLayout>
      </c:layout>
      <c:barChart>
        <c:barDir val="col"/>
        <c:grouping val="stacked"/>
        <c:ser>
          <c:idx val="0"/>
          <c:order val="0"/>
          <c:tx>
            <c:strRef>
              <c:f>Graficos_Informe!$B$340:$B$341</c:f>
              <c:strCache>
                <c:ptCount val="1"/>
                <c:pt idx="0">
                  <c:v>Retorno IRPF Ayudas de la administración con salida de efectivo</c:v>
                </c:pt>
              </c:strCache>
            </c:strRef>
          </c:tx>
          <c:spPr>
            <a:solidFill>
              <a:srgbClr val="7AB800"/>
            </a:solidFill>
            <a:ln>
              <a:noFill/>
            </a:ln>
          </c:spPr>
          <c:dPt>
            <c:idx val="0"/>
            <c:spPr>
              <a:solidFill>
                <a:srgbClr val="409DAD"/>
              </a:solidFill>
              <a:ln>
                <a:noFill/>
              </a:ln>
            </c:spPr>
          </c:dPt>
          <c:dLbls>
            <c:dLbl>
              <c:idx val="0"/>
              <c:spPr>
                <a:solidFill>
                  <a:srgbClr val="409DAD"/>
                </a:solidFill>
              </c:spPr>
              <c:txPr>
                <a:bodyPr/>
                <a:lstStyle/>
                <a:p>
                  <a:pPr>
                    <a:defRPr>
                      <a:solidFill>
                        <a:schemeClr val="bg1"/>
                      </a:solidFill>
                    </a:defRPr>
                  </a:pPr>
                  <a:endParaRPr lang="es-ES"/>
                </a:p>
              </c:txPr>
            </c:dLbl>
            <c:txPr>
              <a:bodyPr/>
              <a:lstStyle/>
              <a:p>
                <a:pPr>
                  <a:defRPr>
                    <a:solidFill>
                      <a:schemeClr val="bg1"/>
                    </a:solidFill>
                  </a:defRPr>
                </a:pPr>
                <a:endParaRPr lang="es-ES"/>
              </a:p>
            </c:txPr>
            <c:showVal val="1"/>
          </c:dLbls>
          <c:val>
            <c:numRef>
              <c:f>Graficos_Informe!$C$340:$C$341</c:f>
              <c:numCache>
                <c:formatCode>#,##0</c:formatCode>
                <c:ptCount val="2"/>
                <c:pt idx="0">
                  <c:v>59208424</c:v>
                </c:pt>
                <c:pt idx="1">
                  <c:v>323514020.31999999</c:v>
                </c:pt>
              </c:numCache>
            </c:numRef>
          </c:val>
        </c:ser>
        <c:ser>
          <c:idx val="1"/>
          <c:order val="1"/>
          <c:tx>
            <c:strRef>
              <c:f>Graficos_Informe!$B$342:$B$343</c:f>
              <c:strCache>
                <c:ptCount val="1"/>
                <c:pt idx="0">
                  <c:v>Cotización Seguridad Social Ayudas de la administración con salida de efectivo</c:v>
                </c:pt>
              </c:strCache>
            </c:strRef>
          </c:tx>
          <c:spPr>
            <a:solidFill>
              <a:srgbClr val="80BEC9"/>
            </a:solidFill>
          </c:spPr>
          <c:dLbls>
            <c:dLbl>
              <c:idx val="1"/>
              <c:layout>
                <c:manualLayout>
                  <c:x val="7.6912680691034341E-3"/>
                  <c:y val="-0.32580782561593991"/>
                </c:manualLayout>
              </c:layout>
              <c:showVal val="1"/>
            </c:dLbl>
            <c:txPr>
              <a:bodyPr/>
              <a:lstStyle/>
              <a:p>
                <a:pPr>
                  <a:defRPr>
                    <a:solidFill>
                      <a:schemeClr val="bg1"/>
                    </a:solidFill>
                  </a:defRPr>
                </a:pPr>
                <a:endParaRPr lang="es-ES"/>
              </a:p>
            </c:txPr>
            <c:showVal val="1"/>
          </c:dLbls>
          <c:val>
            <c:numRef>
              <c:f>Graficos_Informe!$C$342:$C$343</c:f>
              <c:numCache>
                <c:formatCode>#,##0</c:formatCode>
                <c:ptCount val="2"/>
                <c:pt idx="0">
                  <c:v>120123748</c:v>
                </c:pt>
                <c:pt idx="1">
                  <c:v>0</c:v>
                </c:pt>
              </c:numCache>
            </c:numRef>
          </c:val>
        </c:ser>
        <c:ser>
          <c:idx val="2"/>
          <c:order val="2"/>
          <c:tx>
            <c:strRef>
              <c:f>Graficos_Informe!$B$344:$B$345</c:f>
              <c:strCache>
                <c:ptCount val="1"/>
                <c:pt idx="0">
                  <c:v>IVA Ayudas de la administración con salida de efectivo</c:v>
                </c:pt>
              </c:strCache>
            </c:strRef>
          </c:tx>
          <c:spPr>
            <a:solidFill>
              <a:srgbClr val="B6646B"/>
            </a:solidFill>
          </c:spPr>
          <c:dLbls>
            <c:dLbl>
              <c:idx val="0"/>
              <c:showVal val="1"/>
            </c:dLbl>
            <c:delete val="1"/>
            <c:txPr>
              <a:bodyPr/>
              <a:lstStyle/>
              <a:p>
                <a:pPr>
                  <a:defRPr>
                    <a:solidFill>
                      <a:schemeClr val="bg1"/>
                    </a:solidFill>
                  </a:defRPr>
                </a:pPr>
                <a:endParaRPr lang="es-ES"/>
              </a:p>
            </c:txPr>
          </c:dLbls>
          <c:val>
            <c:numRef>
              <c:f>Graficos_Informe!$C$344:$C$345</c:f>
              <c:numCache>
                <c:formatCode>#,##0</c:formatCode>
                <c:ptCount val="2"/>
                <c:pt idx="0">
                  <c:v>239555473.65482041</c:v>
                </c:pt>
                <c:pt idx="1">
                  <c:v>0</c:v>
                </c:pt>
              </c:numCache>
            </c:numRef>
          </c:val>
        </c:ser>
        <c:ser>
          <c:idx val="3"/>
          <c:order val="3"/>
          <c:tx>
            <c:strRef>
              <c:f>Graficos_Informe!$B$346:$B$347</c:f>
              <c:strCache>
                <c:ptCount val="1"/>
                <c:pt idx="0">
                  <c:v>Impuesto sobre sociedades Ayudas de la administración con salida de efectivo</c:v>
                </c:pt>
              </c:strCache>
            </c:strRef>
          </c:tx>
          <c:spPr>
            <a:solidFill>
              <a:srgbClr val="E5EAF3"/>
            </a:solidFill>
          </c:spPr>
          <c:dPt>
            <c:idx val="0"/>
            <c:spPr>
              <a:solidFill>
                <a:srgbClr val="97989A"/>
              </a:solidFill>
            </c:spPr>
          </c:dPt>
          <c:dLbls>
            <c:dLbl>
              <c:idx val="0"/>
              <c:showVal val="1"/>
            </c:dLbl>
            <c:delete val="1"/>
            <c:spPr>
              <a:noFill/>
            </c:spPr>
            <c:txPr>
              <a:bodyPr/>
              <a:lstStyle/>
              <a:p>
                <a:pPr>
                  <a:defRPr>
                    <a:solidFill>
                      <a:schemeClr val="bg1"/>
                    </a:solidFill>
                  </a:defRPr>
                </a:pPr>
                <a:endParaRPr lang="es-ES"/>
              </a:p>
            </c:txPr>
          </c:dLbls>
          <c:val>
            <c:numRef>
              <c:f>Graficos_Informe!$C$346:$C$347</c:f>
              <c:numCache>
                <c:formatCode>#,##0</c:formatCode>
                <c:ptCount val="2"/>
                <c:pt idx="0">
                  <c:v>40700000</c:v>
                </c:pt>
                <c:pt idx="1">
                  <c:v>0</c:v>
                </c:pt>
              </c:numCache>
            </c:numRef>
          </c:val>
        </c:ser>
        <c:ser>
          <c:idx val="4"/>
          <c:order val="4"/>
          <c:tx>
            <c:strRef>
              <c:f>Graficos_Informe!$B$348:$B$349</c:f>
              <c:strCache>
                <c:ptCount val="1"/>
                <c:pt idx="0">
                  <c:v>Ahorros sanitarios Ayudas de la administración sin salida de efectivo</c:v>
                </c:pt>
              </c:strCache>
            </c:strRef>
          </c:tx>
          <c:spPr>
            <a:solidFill>
              <a:srgbClr val="4066AA"/>
            </a:solidFill>
          </c:spPr>
          <c:dPt>
            <c:idx val="1"/>
            <c:spPr>
              <a:solidFill>
                <a:srgbClr val="9BCA40"/>
              </a:solidFill>
            </c:spPr>
          </c:dPt>
          <c:dLbls>
            <c:txPr>
              <a:bodyPr/>
              <a:lstStyle/>
              <a:p>
                <a:pPr>
                  <a:defRPr>
                    <a:solidFill>
                      <a:schemeClr val="bg1"/>
                    </a:solidFill>
                  </a:defRPr>
                </a:pPr>
                <a:endParaRPr lang="es-ES"/>
              </a:p>
            </c:txPr>
            <c:showVal val="1"/>
          </c:dLbls>
          <c:val>
            <c:numRef>
              <c:f>Graficos_Informe!$C$348:$C$349</c:f>
              <c:numCache>
                <c:formatCode>#,##0</c:formatCode>
                <c:ptCount val="2"/>
                <c:pt idx="0">
                  <c:v>97227989.404332772</c:v>
                </c:pt>
                <c:pt idx="1">
                  <c:v>204815193.38000011</c:v>
                </c:pt>
              </c:numCache>
            </c:numRef>
          </c:val>
        </c:ser>
        <c:ser>
          <c:idx val="5"/>
          <c:order val="5"/>
          <c:tx>
            <c:strRef>
              <c:f>Graficos_Informe!$B$350:$B$351</c:f>
              <c:strCache>
                <c:ptCount val="1"/>
                <c:pt idx="0">
                  <c:v>Pensiones contributivas Ayudas de la administración sin salida de efectivo</c:v>
                </c:pt>
              </c:strCache>
            </c:strRef>
          </c:tx>
          <c:spPr>
            <a:solidFill>
              <a:srgbClr val="8099C6"/>
            </a:solidFill>
          </c:spPr>
          <c:dLbls>
            <c:dLbl>
              <c:idx val="1"/>
              <c:layout>
                <c:manualLayout>
                  <c:x val="1.9900497512438154E-2"/>
                  <c:y val="-4.1994759335102307E-2"/>
                </c:manualLayout>
              </c:layout>
              <c:showVal val="1"/>
            </c:dLbl>
            <c:txPr>
              <a:bodyPr/>
              <a:lstStyle/>
              <a:p>
                <a:pPr>
                  <a:defRPr>
                    <a:solidFill>
                      <a:schemeClr val="bg1"/>
                    </a:solidFill>
                  </a:defRPr>
                </a:pPr>
                <a:endParaRPr lang="es-ES"/>
              </a:p>
            </c:txPr>
            <c:showVal val="1"/>
          </c:dLbls>
          <c:val>
            <c:numRef>
              <c:f>Graficos_Informe!$C$350:$C$351</c:f>
              <c:numCache>
                <c:formatCode>#,##0</c:formatCode>
                <c:ptCount val="2"/>
                <c:pt idx="0">
                  <c:v>43417066.535361469</c:v>
                </c:pt>
                <c:pt idx="1">
                  <c:v>0</c:v>
                </c:pt>
              </c:numCache>
            </c:numRef>
          </c:val>
        </c:ser>
        <c:ser>
          <c:idx val="6"/>
          <c:order val="6"/>
          <c:tx>
            <c:strRef>
              <c:f>Graficos_Informe!$B$354:$B$355</c:f>
              <c:strCache>
                <c:ptCount val="1"/>
                <c:pt idx="0">
                  <c:v>Pensiones no contributivas Ayudas de la administración sin salida de efectivo</c:v>
                </c:pt>
              </c:strCache>
            </c:strRef>
          </c:tx>
          <c:spPr>
            <a:solidFill>
              <a:srgbClr val="BFCCE3"/>
            </a:solidFill>
          </c:spPr>
          <c:dLbls>
            <c:dLbl>
              <c:idx val="1"/>
              <c:delete val="1"/>
            </c:dLbl>
            <c:txPr>
              <a:bodyPr/>
              <a:lstStyle/>
              <a:p>
                <a:pPr>
                  <a:defRPr b="1">
                    <a:solidFill>
                      <a:schemeClr val="bg1"/>
                    </a:solidFill>
                  </a:defRPr>
                </a:pPr>
                <a:endParaRPr lang="es-ES"/>
              </a:p>
            </c:txPr>
            <c:showVal val="1"/>
          </c:dLbls>
          <c:val>
            <c:numRef>
              <c:f>Graficos_Informe!$C$354:$C$355</c:f>
              <c:numCache>
                <c:formatCode>#,##0</c:formatCode>
                <c:ptCount val="2"/>
                <c:pt idx="0">
                  <c:v>22730090.403074872</c:v>
                </c:pt>
                <c:pt idx="1">
                  <c:v>0</c:v>
                </c:pt>
              </c:numCache>
            </c:numRef>
          </c:val>
        </c:ser>
        <c:ser>
          <c:idx val="7"/>
          <c:order val="7"/>
          <c:tx>
            <c:strRef>
              <c:f>Graficos_Informe!$B$356:$B$357</c:f>
              <c:strCache>
                <c:ptCount val="1"/>
                <c:pt idx="0">
                  <c:v>Ayudas según conceptos LISMI Ayudas de la administración sin salida de efectivo</c:v>
                </c:pt>
              </c:strCache>
            </c:strRef>
          </c:tx>
          <c:spPr>
            <a:solidFill>
              <a:srgbClr val="E5EAF3"/>
            </a:solidFill>
          </c:spPr>
          <c:dLbls>
            <c:dLbl>
              <c:idx val="0"/>
              <c:layout>
                <c:manualLayout>
                  <c:x val="0"/>
                  <c:y val="-2.6246724584438916E-2"/>
                </c:manualLayout>
              </c:layout>
              <c:showVal val="1"/>
            </c:dLbl>
            <c:dLbl>
              <c:idx val="1"/>
              <c:delete val="1"/>
            </c:dLbl>
            <c:txPr>
              <a:bodyPr/>
              <a:lstStyle/>
              <a:p>
                <a:pPr>
                  <a:defRPr b="1">
                    <a:solidFill>
                      <a:schemeClr val="tx1"/>
                    </a:solidFill>
                  </a:defRPr>
                </a:pPr>
                <a:endParaRPr lang="es-ES"/>
              </a:p>
            </c:txPr>
            <c:showVal val="1"/>
          </c:dLbls>
          <c:val>
            <c:numRef>
              <c:f>Graficos_Informe!$C$356:$C$357</c:f>
              <c:numCache>
                <c:formatCode>#,##0</c:formatCode>
                <c:ptCount val="2"/>
                <c:pt idx="0">
                  <c:v>1778737.2017932998</c:v>
                </c:pt>
                <c:pt idx="1">
                  <c:v>0</c:v>
                </c:pt>
              </c:numCache>
            </c:numRef>
          </c:val>
        </c:ser>
        <c:ser>
          <c:idx val="8"/>
          <c:order val="8"/>
          <c:tx>
            <c:strRef>
              <c:f>Graficos_Informe!$B$352</c:f>
              <c:strCache>
                <c:ptCount val="1"/>
                <c:pt idx="0">
                  <c:v>Ahorro en plazas ocupacionales</c:v>
                </c:pt>
              </c:strCache>
            </c:strRef>
          </c:tx>
          <c:spPr>
            <a:solidFill>
              <a:srgbClr val="558ED5"/>
            </a:solidFill>
          </c:spPr>
          <c:dLbls>
            <c:dLbl>
              <c:idx val="0"/>
              <c:spPr/>
              <c:txPr>
                <a:bodyPr/>
                <a:lstStyle/>
                <a:p>
                  <a:pPr>
                    <a:defRPr b="1">
                      <a:solidFill>
                        <a:schemeClr val="bg1"/>
                      </a:solidFill>
                    </a:defRPr>
                  </a:pPr>
                  <a:endParaRPr lang="es-ES"/>
                </a:p>
              </c:txPr>
            </c:dLbl>
            <c:showVal val="1"/>
          </c:dLbls>
          <c:val>
            <c:numRef>
              <c:f>Graficos_Informe!$C$352</c:f>
              <c:numCache>
                <c:formatCode>#,##0</c:formatCode>
                <c:ptCount val="1"/>
                <c:pt idx="0">
                  <c:v>135389131</c:v>
                </c:pt>
              </c:numCache>
            </c:numRef>
          </c:val>
        </c:ser>
        <c:gapWidth val="55"/>
        <c:overlap val="100"/>
        <c:axId val="184625408"/>
        <c:axId val="184627200"/>
      </c:barChart>
      <c:catAx>
        <c:axId val="184625408"/>
        <c:scaling>
          <c:orientation val="minMax"/>
        </c:scaling>
        <c:delete val="1"/>
        <c:axPos val="b"/>
        <c:numFmt formatCode="General" sourceLinked="1"/>
        <c:majorTickMark val="none"/>
        <c:tickLblPos val="none"/>
        <c:crossAx val="184627200"/>
        <c:crosses val="autoZero"/>
        <c:auto val="1"/>
        <c:lblAlgn val="ctr"/>
        <c:lblOffset val="100"/>
      </c:catAx>
      <c:valAx>
        <c:axId val="184627200"/>
        <c:scaling>
          <c:orientation val="minMax"/>
        </c:scaling>
        <c:axPos val="l"/>
        <c:numFmt formatCode="#,##0" sourceLinked="1"/>
        <c:majorTickMark val="none"/>
        <c:tickLblPos val="nextTo"/>
        <c:spPr>
          <a:ln w="3175">
            <a:solidFill>
              <a:srgbClr val="000000"/>
            </a:solidFill>
            <a:prstDash val="solid"/>
          </a:ln>
        </c:spPr>
        <c:crossAx val="184625408"/>
        <c:crosses val="autoZero"/>
        <c:crossBetween val="between"/>
        <c:minorUnit val="100000000"/>
      </c:valAx>
      <c:spPr>
        <a:noFill/>
        <a:ln w="25400">
          <a:noFill/>
        </a:ln>
      </c:spPr>
    </c:plotArea>
    <c:plotVisOnly val="1"/>
  </c:chart>
  <c:spPr>
    <a:noFill/>
    <a:ln w="9525">
      <a:noFill/>
    </a:ln>
  </c:spPr>
  <c:txPr>
    <a:bodyPr/>
    <a:lstStyle/>
    <a:p>
      <a:pPr>
        <a:defRPr sz="900" b="0" i="0">
          <a:solidFill>
            <a:srgbClr val="000000"/>
          </a:solidFill>
          <a:latin typeface="MinionPro-Regular"/>
          <a:ea typeface="Arial"/>
          <a:cs typeface="Arial"/>
        </a:defRPr>
      </a:pPr>
      <a:endParaRPr lang="es-ES"/>
    </a:p>
  </c:txPr>
  <c:externalData r:id="rId1"/>
</c:chartSpace>
</file>

<file path=word/charts/chart83.xml><?xml version="1.0" encoding="utf-8"?>
<c:chartSpace xmlns:c="http://schemas.openxmlformats.org/drawingml/2006/chart" xmlns:a="http://schemas.openxmlformats.org/drawingml/2006/main" xmlns:r="http://schemas.openxmlformats.org/officeDocument/2006/relationships">
  <c:date1904 val="1"/>
  <c:lang val="es-ES"/>
  <c:chart>
    <c:autoTitleDeleted val="1"/>
    <c:plotArea>
      <c:layout>
        <c:manualLayout>
          <c:layoutTarget val="inner"/>
          <c:xMode val="edge"/>
          <c:yMode val="edge"/>
          <c:x val="0.1029493150175611"/>
          <c:y val="0.14395213397569598"/>
          <c:w val="0.84669336854829302"/>
          <c:h val="0.71571064917579763"/>
        </c:manualLayout>
      </c:layout>
      <c:barChart>
        <c:barDir val="col"/>
        <c:grouping val="clustered"/>
        <c:ser>
          <c:idx val="0"/>
          <c:order val="0"/>
          <c:spPr>
            <a:solidFill>
              <a:srgbClr val="409DAD"/>
            </a:solidFill>
            <a:ln w="12700">
              <a:solidFill>
                <a:srgbClr val="FFFFFF"/>
              </a:solidFill>
              <a:prstDash val="solid"/>
            </a:ln>
          </c:spPr>
          <c:dPt>
            <c:idx val="0"/>
            <c:spPr>
              <a:solidFill>
                <a:srgbClr val="9E3039"/>
              </a:solidFill>
              <a:ln w="12700">
                <a:solidFill>
                  <a:srgbClr val="FFFFFF"/>
                </a:solidFill>
                <a:prstDash val="solid"/>
              </a:ln>
            </c:spPr>
          </c:dPt>
          <c:dPt>
            <c:idx val="1"/>
            <c:spPr>
              <a:solidFill>
                <a:srgbClr val="B6646B"/>
              </a:solidFill>
              <a:ln w="12700">
                <a:solidFill>
                  <a:srgbClr val="FFFFFF"/>
                </a:solidFill>
                <a:prstDash val="solid"/>
              </a:ln>
            </c:spPr>
          </c:dPt>
          <c:dPt>
            <c:idx val="2"/>
            <c:spPr>
              <a:solidFill>
                <a:srgbClr val="CF989C"/>
              </a:solidFill>
              <a:ln w="12700">
                <a:solidFill>
                  <a:srgbClr val="FFFFFF"/>
                </a:solidFill>
                <a:prstDash val="solid"/>
              </a:ln>
            </c:spPr>
          </c:dPt>
          <c:dPt>
            <c:idx val="3"/>
            <c:spPr>
              <a:solidFill>
                <a:srgbClr val="E7CBCE"/>
              </a:solidFill>
              <a:ln w="12700">
                <a:solidFill>
                  <a:srgbClr val="FFFFFF"/>
                </a:solidFill>
                <a:prstDash val="solid"/>
              </a:ln>
            </c:spPr>
          </c:dPt>
          <c:dPt>
            <c:idx val="5"/>
            <c:spPr>
              <a:solidFill>
                <a:schemeClr val="accent1"/>
              </a:solidFill>
              <a:ln w="12700">
                <a:solidFill>
                  <a:srgbClr val="FFFFFF"/>
                </a:solidFill>
                <a:prstDash val="solid"/>
              </a:ln>
            </c:spPr>
          </c:dPt>
          <c:dPt>
            <c:idx val="6"/>
            <c:spPr>
              <a:solidFill>
                <a:schemeClr val="tx2">
                  <a:lumMod val="20000"/>
                  <a:lumOff val="80000"/>
                </a:schemeClr>
              </a:solidFill>
              <a:ln w="12700">
                <a:solidFill>
                  <a:srgbClr val="FFFFFF"/>
                </a:solidFill>
                <a:prstDash val="solid"/>
              </a:ln>
            </c:spPr>
          </c:dPt>
          <c:dPt>
            <c:idx val="7"/>
            <c:spPr>
              <a:solidFill>
                <a:schemeClr val="accent1">
                  <a:lumMod val="60000"/>
                  <a:lumOff val="40000"/>
                </a:schemeClr>
              </a:solidFill>
              <a:ln w="12700">
                <a:solidFill>
                  <a:srgbClr val="FFFFFF"/>
                </a:solidFill>
                <a:prstDash val="solid"/>
              </a:ln>
            </c:spPr>
          </c:dPt>
          <c:dPt>
            <c:idx val="8"/>
            <c:spPr>
              <a:solidFill>
                <a:schemeClr val="tx2">
                  <a:lumMod val="40000"/>
                  <a:lumOff val="60000"/>
                </a:schemeClr>
              </a:solidFill>
              <a:ln w="12700">
                <a:solidFill>
                  <a:srgbClr val="FFFFFF"/>
                </a:solidFill>
                <a:prstDash val="solid"/>
              </a:ln>
            </c:spPr>
          </c:dPt>
          <c:dPt>
            <c:idx val="9"/>
            <c:spPr>
              <a:solidFill>
                <a:srgbClr val="558ED5"/>
              </a:solidFill>
              <a:ln w="12700">
                <a:solidFill>
                  <a:srgbClr val="FFFFFF"/>
                </a:solidFill>
                <a:prstDash val="solid"/>
              </a:ln>
            </c:spPr>
          </c:dPt>
          <c:dPt>
            <c:idx val="10"/>
            <c:spPr>
              <a:solidFill>
                <a:srgbClr val="007C92"/>
              </a:solidFill>
              <a:ln w="12700">
                <a:solidFill>
                  <a:srgbClr val="FFFFFF"/>
                </a:solidFill>
                <a:prstDash val="solid"/>
              </a:ln>
            </c:spPr>
          </c:dPt>
          <c:dPt>
            <c:idx val="12"/>
            <c:spPr>
              <a:solidFill>
                <a:srgbClr val="EBB740"/>
              </a:solidFill>
              <a:ln w="12700">
                <a:solidFill>
                  <a:srgbClr val="FFFFFF"/>
                </a:solidFill>
                <a:prstDash val="solid"/>
              </a:ln>
            </c:spPr>
          </c:dPt>
          <c:dPt>
            <c:idx val="13"/>
            <c:spPr>
              <a:solidFill>
                <a:srgbClr val="7CB600"/>
              </a:solidFill>
              <a:ln w="12700">
                <a:solidFill>
                  <a:srgbClr val="FFFFFF"/>
                </a:solidFill>
                <a:prstDash val="solid"/>
              </a:ln>
            </c:spPr>
          </c:dPt>
          <c:dPt>
            <c:idx val="14"/>
            <c:spPr>
              <a:solidFill>
                <a:srgbClr val="C84E00"/>
              </a:solidFill>
              <a:ln w="12700">
                <a:solidFill>
                  <a:srgbClr val="FFFFFF"/>
                </a:solidFill>
                <a:prstDash val="solid"/>
              </a:ln>
            </c:spPr>
          </c:dPt>
          <c:dPt>
            <c:idx val="15"/>
            <c:spPr>
              <a:solidFill>
                <a:srgbClr val="D67A40"/>
              </a:solidFill>
              <a:ln w="12700">
                <a:solidFill>
                  <a:srgbClr val="FFFFFF"/>
                </a:solidFill>
                <a:prstDash val="solid"/>
              </a:ln>
            </c:spPr>
          </c:dPt>
          <c:dPt>
            <c:idx val="16"/>
            <c:spPr>
              <a:solidFill>
                <a:srgbClr val="E3A780"/>
              </a:solidFill>
              <a:ln w="12700">
                <a:solidFill>
                  <a:srgbClr val="FFFFFF"/>
                </a:solidFill>
                <a:prstDash val="solid"/>
              </a:ln>
            </c:spPr>
          </c:dPt>
          <c:dLbls>
            <c:dLbl>
              <c:idx val="3"/>
              <c:layout>
                <c:manualLayout>
                  <c:x val="5.8997033703472434E-3"/>
                  <c:y val="0"/>
                </c:manualLayout>
              </c:layout>
              <c:dLblPos val="outEnd"/>
              <c:showVal val="1"/>
            </c:dLbl>
            <c:dLbl>
              <c:idx val="4"/>
              <c:delete val="1"/>
            </c:dLbl>
            <c:dLbl>
              <c:idx val="5"/>
              <c:layout>
                <c:manualLayout>
                  <c:x val="-3.5398220222083452E-3"/>
                  <c:y val="2.9064491818803261E-3"/>
                </c:manualLayout>
              </c:layout>
              <c:tx>
                <c:rich>
                  <a:bodyPr/>
                  <a:lstStyle/>
                  <a:p>
                    <a:r>
                      <a:rPr lang="en-US"/>
                      <a:t>1.778.738</a:t>
                    </a:r>
                  </a:p>
                </c:rich>
              </c:tx>
              <c:dLblPos val="outEnd"/>
              <c:showVal val="1"/>
            </c:dLbl>
            <c:dLbl>
              <c:idx val="6"/>
              <c:layout>
                <c:manualLayout>
                  <c:x val="-1.179940674069448E-3"/>
                  <c:y val="2.9064491818803261E-3"/>
                </c:manualLayout>
              </c:layout>
              <c:dLblPos val="outEnd"/>
              <c:showVal val="1"/>
            </c:dLbl>
            <c:dLbl>
              <c:idx val="9"/>
              <c:showVal val="1"/>
            </c:dLbl>
            <c:dLbl>
              <c:idx val="10"/>
              <c:delete val="1"/>
            </c:dLbl>
            <c:dLbl>
              <c:idx val="11"/>
              <c:tx>
                <c:rich>
                  <a:bodyPr/>
                  <a:lstStyle/>
                  <a:p>
                    <a:r>
                      <a:rPr lang="en-US"/>
                      <a:t>760.130.661</a:t>
                    </a:r>
                  </a:p>
                </c:rich>
              </c:tx>
              <c:showVal val="1"/>
            </c:dLbl>
            <c:dLbl>
              <c:idx val="12"/>
              <c:delete val="1"/>
            </c:dLbl>
            <c:dLbl>
              <c:idx val="13"/>
              <c:showVal val="1"/>
            </c:dLbl>
            <c:dLbl>
              <c:idx val="14"/>
              <c:delete val="1"/>
            </c:dLbl>
            <c:dLbl>
              <c:idx val="15"/>
              <c:layout>
                <c:manualLayout>
                  <c:x val="-4.7197626962778138E-3"/>
                  <c:y val="0"/>
                </c:manualLayout>
              </c:layout>
              <c:dLblPos val="outEnd"/>
              <c:showVal val="1"/>
            </c:dLbl>
            <c:dLblPos val="outEnd"/>
            <c:showVal val="1"/>
          </c:dLbls>
          <c:cat>
            <c:strRef>
              <c:f>Graficos_Informe!$B$395:$B$411</c:f>
              <c:strCache>
                <c:ptCount val="17"/>
                <c:pt idx="0">
                  <c:v>Retorno derivado IRPF</c:v>
                </c:pt>
                <c:pt idx="1">
                  <c:v>Retorno derivado de seguridad social</c:v>
                </c:pt>
                <c:pt idx="2">
                  <c:v>Retorno derivado del IVA</c:v>
                </c:pt>
                <c:pt idx="3">
                  <c:v>Retorno derivado del impuesto de sociedades</c:v>
                </c:pt>
                <c:pt idx="5">
                  <c:v>Retorno ayudas
LISMI</c:v>
                </c:pt>
                <c:pt idx="6">
                  <c:v>Retorno pensiones 
no contributivas</c:v>
                </c:pt>
                <c:pt idx="7">
                  <c:v>Retorno pensiones
contributivas</c:v>
                </c:pt>
                <c:pt idx="8">
                  <c:v>Retorno ahorro sanitario</c:v>
                </c:pt>
                <c:pt idx="9">
                  <c:v>Ahorro en plazas ocupacionales</c:v>
                </c:pt>
                <c:pt idx="11">
                  <c:v>Retorno total</c:v>
                </c:pt>
                <c:pt idx="13">
                  <c:v>Ayudas totales de la Administración Pública</c:v>
                </c:pt>
                <c:pt idx="15">
                  <c:v>Ahorro prestaciones desempleo</c:v>
                </c:pt>
                <c:pt idx="16">
                  <c:v>Pago en salarios a los trabajadores con discapacidad en CEE</c:v>
                </c:pt>
              </c:strCache>
            </c:strRef>
          </c:cat>
          <c:val>
            <c:numRef>
              <c:f>Graficos_Informe!$C$395:$C$411</c:f>
              <c:numCache>
                <c:formatCode>#,##0</c:formatCode>
                <c:ptCount val="17"/>
                <c:pt idx="0">
                  <c:v>59208423.932711184</c:v>
                </c:pt>
                <c:pt idx="1">
                  <c:v>120123747.29621929</c:v>
                </c:pt>
                <c:pt idx="2">
                  <c:v>239555473.65482041</c:v>
                </c:pt>
                <c:pt idx="3">
                  <c:v>40700000</c:v>
                </c:pt>
                <c:pt idx="4" formatCode="General">
                  <c:v>0</c:v>
                </c:pt>
                <c:pt idx="5">
                  <c:v>1778737.2017932998</c:v>
                </c:pt>
                <c:pt idx="6">
                  <c:v>22730090.403074872</c:v>
                </c:pt>
                <c:pt idx="7">
                  <c:v>43417066.535361469</c:v>
                </c:pt>
                <c:pt idx="8">
                  <c:v>97227989.404332772</c:v>
                </c:pt>
                <c:pt idx="9">
                  <c:v>135389131</c:v>
                </c:pt>
                <c:pt idx="10" formatCode="General">
                  <c:v>0</c:v>
                </c:pt>
                <c:pt idx="11">
                  <c:v>760130659.42831349</c:v>
                </c:pt>
                <c:pt idx="12" formatCode="General">
                  <c:v>0</c:v>
                </c:pt>
                <c:pt idx="13">
                  <c:v>528329213</c:v>
                </c:pt>
                <c:pt idx="14" formatCode="General">
                  <c:v>0</c:v>
                </c:pt>
                <c:pt idx="15">
                  <c:v>462556718</c:v>
                </c:pt>
                <c:pt idx="16">
                  <c:v>772692000</c:v>
                </c:pt>
              </c:numCache>
            </c:numRef>
          </c:val>
        </c:ser>
        <c:gapWidth val="0"/>
        <c:overlap val="-100"/>
        <c:axId val="184870016"/>
        <c:axId val="184871552"/>
      </c:barChart>
      <c:catAx>
        <c:axId val="184870016"/>
        <c:scaling>
          <c:orientation val="minMax"/>
        </c:scaling>
        <c:delete val="1"/>
        <c:axPos val="b"/>
        <c:tickLblPos val="none"/>
        <c:crossAx val="184871552"/>
        <c:crosses val="autoZero"/>
        <c:auto val="1"/>
        <c:lblAlgn val="ctr"/>
        <c:lblOffset val="100"/>
      </c:catAx>
      <c:valAx>
        <c:axId val="184871552"/>
        <c:scaling>
          <c:orientation val="minMax"/>
          <c:max val="800000000"/>
        </c:scaling>
        <c:axPos val="l"/>
        <c:title>
          <c:tx>
            <c:rich>
              <a:bodyPr rot="-5400000" vert="horz"/>
              <a:lstStyle/>
              <a:p>
                <a:pPr>
                  <a:defRPr>
                    <a:solidFill>
                      <a:srgbClr val="000000"/>
                    </a:solidFill>
                  </a:defRPr>
                </a:pPr>
                <a:r>
                  <a:rPr lang="en-US"/>
                  <a:t>Units</a:t>
                </a:r>
              </a:p>
            </c:rich>
          </c:tx>
          <c:layout>
            <c:manualLayout>
              <c:xMode val="edge"/>
              <c:yMode val="edge"/>
              <c:x val="8.4040147361590708E-3"/>
              <c:y val="0.43630363619868234"/>
            </c:manualLayout>
          </c:layout>
        </c:title>
        <c:numFmt formatCode="#,##0" sourceLinked="1"/>
        <c:tickLblPos val="nextTo"/>
        <c:spPr>
          <a:ln w="3175">
            <a:solidFill>
              <a:srgbClr val="000000"/>
            </a:solidFill>
            <a:prstDash val="solid"/>
          </a:ln>
        </c:spPr>
        <c:txPr>
          <a:bodyPr/>
          <a:lstStyle/>
          <a:p>
            <a:pPr>
              <a:defRPr>
                <a:solidFill>
                  <a:srgbClr val="000000"/>
                </a:solidFill>
              </a:defRPr>
            </a:pPr>
            <a:endParaRPr lang="es-ES"/>
          </a:p>
        </c:txPr>
        <c:crossAx val="184870016"/>
        <c:crosses val="autoZero"/>
        <c:crossBetween val="between"/>
      </c:valAx>
      <c:spPr>
        <a:noFill/>
        <a:ln w="25400">
          <a:noFill/>
        </a:ln>
      </c:spPr>
    </c:plotArea>
    <c:plotVisOnly val="1"/>
  </c:chart>
  <c:spPr>
    <a:noFill/>
    <a:ln w="9525">
      <a:noFill/>
    </a:ln>
  </c:spPr>
  <c:txPr>
    <a:bodyPr/>
    <a:lstStyle/>
    <a:p>
      <a:pPr>
        <a:defRPr sz="800" b="0" i="0">
          <a:solidFill>
            <a:srgbClr val="000000"/>
          </a:solidFill>
          <a:latin typeface="Arial"/>
          <a:ea typeface="Arial"/>
          <a:cs typeface="Arial"/>
        </a:defRPr>
      </a:pPr>
      <a:endParaRPr lang="es-ES"/>
    </a:p>
  </c:txPr>
  <c:externalData r:id="rId1"/>
</c:chartSpace>
</file>

<file path=word/charts/chart84.xml><?xml version="1.0" encoding="utf-8"?>
<c:chartSpace xmlns:c="http://schemas.openxmlformats.org/drawingml/2006/chart" xmlns:a="http://schemas.openxmlformats.org/drawingml/2006/main" xmlns:r="http://schemas.openxmlformats.org/officeDocument/2006/relationships">
  <c:date1904 val="1"/>
  <c:lang val="es-ES"/>
  <c:chart>
    <c:title>
      <c:tx>
        <c:rich>
          <a:bodyPr/>
          <a:lstStyle/>
          <a:p>
            <a:pPr algn="l">
              <a:defRPr/>
            </a:pPr>
            <a:r>
              <a:rPr lang="en-US"/>
              <a:t>Convergencia salarial 2020</a:t>
            </a:r>
          </a:p>
        </c:rich>
      </c:tx>
      <c:layout>
        <c:manualLayout>
          <c:xMode val="edge"/>
          <c:yMode val="edge"/>
          <c:x val="0.34285714285714286"/>
          <c:y val="4.0909090909090923E-2"/>
        </c:manualLayout>
      </c:layout>
    </c:title>
    <c:plotArea>
      <c:layout>
        <c:manualLayout>
          <c:layoutTarget val="inner"/>
          <c:xMode val="edge"/>
          <c:yMode val="edge"/>
          <c:x val="0.30787379077615984"/>
          <c:y val="0.19362491052254832"/>
          <c:w val="0.44098335208098977"/>
          <c:h val="0.44491302791696491"/>
        </c:manualLayout>
      </c:layout>
      <c:lineChart>
        <c:grouping val="standard"/>
        <c:ser>
          <c:idx val="0"/>
          <c:order val="0"/>
          <c:tx>
            <c:strRef>
              <c:f>'Retorno directo'!$B$7</c:f>
              <c:strCache>
                <c:ptCount val="1"/>
                <c:pt idx="0">
                  <c:v>PSC</c:v>
                </c:pt>
              </c:strCache>
            </c:strRef>
          </c:tx>
          <c:spPr>
            <a:ln w="19050">
              <a:prstDash val="sysDot"/>
            </a:ln>
          </c:spPr>
          <c:dLbls>
            <c:dLbl>
              <c:idx val="0"/>
              <c:layout>
                <c:manualLayout>
                  <c:x val="-2.4285714285715043E-3"/>
                  <c:y val="-5.7261274158912134E-2"/>
                </c:manualLayout>
              </c:layout>
              <c:dLblPos val="r"/>
              <c:showVal val="1"/>
            </c:dLbl>
            <c:dLbl>
              <c:idx val="1"/>
              <c:layout>
                <c:manualLayout>
                  <c:x val="4.2857142857144134E-4"/>
                  <c:y val="-5.2715819613457407E-2"/>
                </c:manualLayout>
              </c:layout>
              <c:dLblPos val="r"/>
              <c:showVal val="1"/>
            </c:dLbl>
            <c:dLblPos val="t"/>
            <c:showVal val="1"/>
          </c:dLbls>
          <c:cat>
            <c:numRef>
              <c:f>'Retorno directo'!$C$6:$D$6</c:f>
              <c:numCache>
                <c:formatCode>General</c:formatCode>
                <c:ptCount val="2"/>
                <c:pt idx="0">
                  <c:v>2011</c:v>
                </c:pt>
                <c:pt idx="1">
                  <c:v>2020</c:v>
                </c:pt>
              </c:numCache>
            </c:numRef>
          </c:cat>
          <c:val>
            <c:numRef>
              <c:f>'Retorno directo'!$C$7:$D$7</c:f>
              <c:numCache>
                <c:formatCode>_-* #,##0\ _€_-;\-* #,##0\ _€_-;_-* "-"??\ _€_-;_-@_-</c:formatCode>
                <c:ptCount val="2"/>
                <c:pt idx="0">
                  <c:v>22511</c:v>
                </c:pt>
                <c:pt idx="1">
                  <c:v>28610.719553059796</c:v>
                </c:pt>
              </c:numCache>
            </c:numRef>
          </c:val>
        </c:ser>
        <c:ser>
          <c:idx val="1"/>
          <c:order val="1"/>
          <c:tx>
            <c:strRef>
              <c:f>'Retorno directo'!$B$11</c:f>
              <c:strCache>
                <c:ptCount val="1"/>
                <c:pt idx="0">
                  <c:v>Escenario 1</c:v>
                </c:pt>
              </c:strCache>
            </c:strRef>
          </c:tx>
          <c:spPr>
            <a:ln w="19050">
              <a:prstDash val="sysDot"/>
            </a:ln>
          </c:spPr>
          <c:dLbls>
            <c:dLbl>
              <c:idx val="0"/>
              <c:layout>
                <c:manualLayout>
                  <c:x val="-8.5714285714285736E-3"/>
                  <c:y val="0.05"/>
                </c:manualLayout>
              </c:layout>
              <c:showVal val="1"/>
            </c:dLbl>
            <c:dLbl>
              <c:idx val="1"/>
              <c:layout>
                <c:manualLayout>
                  <c:x val="8.5714285714285736E-3"/>
                  <c:y val="-9.0909090909091547E-3"/>
                </c:manualLayout>
              </c:layout>
              <c:showVal val="1"/>
            </c:dLbl>
            <c:showVal val="1"/>
          </c:dLbls>
          <c:cat>
            <c:numRef>
              <c:f>'Retorno directo'!$C$6:$D$6</c:f>
              <c:numCache>
                <c:formatCode>General</c:formatCode>
                <c:ptCount val="2"/>
                <c:pt idx="0">
                  <c:v>2011</c:v>
                </c:pt>
                <c:pt idx="1">
                  <c:v>2020</c:v>
                </c:pt>
              </c:numCache>
            </c:numRef>
          </c:cat>
          <c:val>
            <c:numRef>
              <c:f>'Retorno directo'!$C$11:$D$11</c:f>
              <c:numCache>
                <c:formatCode>_-* #,##0\ _€_-;\-* #,##0\ _€_-;_-* "-"??\ _€_-;_-@_-</c:formatCode>
                <c:ptCount val="2"/>
                <c:pt idx="0">
                  <c:v>12000</c:v>
                </c:pt>
                <c:pt idx="1">
                  <c:v>15251.594093408687</c:v>
                </c:pt>
              </c:numCache>
            </c:numRef>
          </c:val>
        </c:ser>
        <c:ser>
          <c:idx val="2"/>
          <c:order val="2"/>
          <c:tx>
            <c:strRef>
              <c:f>'Retorno directo'!$B$12</c:f>
              <c:strCache>
                <c:ptCount val="1"/>
                <c:pt idx="0">
                  <c:v>Escenario 2</c:v>
                </c:pt>
              </c:strCache>
            </c:strRef>
          </c:tx>
          <c:spPr>
            <a:ln w="19050">
              <a:prstDash val="sysDash"/>
            </a:ln>
          </c:spPr>
          <c:dLbls>
            <c:dLbl>
              <c:idx val="0"/>
              <c:delete val="1"/>
            </c:dLbl>
            <c:showVal val="1"/>
          </c:dLbls>
          <c:cat>
            <c:numRef>
              <c:f>'Retorno directo'!$C$6:$D$6</c:f>
              <c:numCache>
                <c:formatCode>General</c:formatCode>
                <c:ptCount val="2"/>
                <c:pt idx="0">
                  <c:v>2011</c:v>
                </c:pt>
                <c:pt idx="1">
                  <c:v>2020</c:v>
                </c:pt>
              </c:numCache>
            </c:numRef>
          </c:cat>
          <c:val>
            <c:numRef>
              <c:f>'Retorno directo'!$C$12:$D$12</c:f>
              <c:numCache>
                <c:formatCode>_-* #,##0\ _€_-;\-* #,##0\ _€_-;_-* "-"??\ _€_-;_-@_-</c:formatCode>
                <c:ptCount val="2"/>
                <c:pt idx="0">
                  <c:v>12000</c:v>
                </c:pt>
                <c:pt idx="1">
                  <c:v>21931.156823234505</c:v>
                </c:pt>
              </c:numCache>
            </c:numRef>
          </c:val>
        </c:ser>
        <c:ser>
          <c:idx val="3"/>
          <c:order val="3"/>
          <c:tx>
            <c:strRef>
              <c:f>'Retorno directo'!$B$13</c:f>
              <c:strCache>
                <c:ptCount val="1"/>
                <c:pt idx="0">
                  <c:v>Escenario 3</c:v>
                </c:pt>
              </c:strCache>
            </c:strRef>
          </c:tx>
          <c:spPr>
            <a:ln w="19050">
              <a:prstDash val="sysDot"/>
            </a:ln>
          </c:spPr>
          <c:cat>
            <c:numRef>
              <c:f>'Retorno directo'!$C$6:$D$6</c:f>
              <c:numCache>
                <c:formatCode>General</c:formatCode>
                <c:ptCount val="2"/>
                <c:pt idx="0">
                  <c:v>2011</c:v>
                </c:pt>
                <c:pt idx="1">
                  <c:v>2020</c:v>
                </c:pt>
              </c:numCache>
            </c:numRef>
          </c:cat>
          <c:val>
            <c:numRef>
              <c:f>'Retorno directo'!$C$13:$D$13</c:f>
              <c:numCache>
                <c:formatCode>_-* #,##0\ _€_-;\-* #,##0\ _€_-;_-* "-"??\ _€_-;_-@_-</c:formatCode>
                <c:ptCount val="2"/>
                <c:pt idx="0">
                  <c:v>12000</c:v>
                </c:pt>
                <c:pt idx="1">
                  <c:v>28610.719553059796</c:v>
                </c:pt>
              </c:numCache>
            </c:numRef>
          </c:val>
        </c:ser>
        <c:marker val="1"/>
        <c:axId val="184979840"/>
        <c:axId val="184981376"/>
      </c:lineChart>
      <c:catAx>
        <c:axId val="184979840"/>
        <c:scaling>
          <c:orientation val="minMax"/>
        </c:scaling>
        <c:axPos val="b"/>
        <c:numFmt formatCode="General" sourceLinked="1"/>
        <c:tickLblPos val="low"/>
        <c:spPr>
          <a:ln w="3175">
            <a:solidFill>
              <a:srgbClr val="000000"/>
            </a:solidFill>
            <a:prstDash val="solid"/>
          </a:ln>
        </c:spPr>
        <c:crossAx val="184981376"/>
        <c:crosses val="autoZero"/>
        <c:auto val="1"/>
        <c:lblAlgn val="ctr"/>
        <c:lblOffset val="100"/>
      </c:catAx>
      <c:valAx>
        <c:axId val="184981376"/>
        <c:scaling>
          <c:orientation val="minMax"/>
        </c:scaling>
        <c:axPos val="l"/>
        <c:title>
          <c:tx>
            <c:rich>
              <a:bodyPr rot="-5400000" vert="horz"/>
              <a:lstStyle/>
              <a:p>
                <a:pPr>
                  <a:defRPr/>
                </a:pPr>
                <a:r>
                  <a:rPr lang="en-US"/>
                  <a:t>Salario (€)</a:t>
                </a:r>
              </a:p>
            </c:rich>
          </c:tx>
          <c:layout>
            <c:manualLayout>
              <c:xMode val="edge"/>
              <c:yMode val="edge"/>
              <c:x val="0.13714285714285721"/>
              <c:y val="0.30647924123121667"/>
            </c:manualLayout>
          </c:layout>
        </c:title>
        <c:numFmt formatCode="_-* #,##0\ _€_-;\-* #,##0\ _€_-;_-* &quot;-&quot;??\ _€_-;_-@_-" sourceLinked="1"/>
        <c:tickLblPos val="nextTo"/>
        <c:spPr>
          <a:ln w="3175">
            <a:solidFill>
              <a:srgbClr val="000000"/>
            </a:solidFill>
            <a:prstDash val="solid"/>
          </a:ln>
        </c:spPr>
        <c:crossAx val="184979840"/>
        <c:crosses val="autoZero"/>
        <c:crossBetween val="midCat"/>
      </c:valAx>
      <c:spPr>
        <a:noFill/>
        <a:ln w="25400">
          <a:noFill/>
        </a:ln>
      </c:spPr>
    </c:plotArea>
    <c:legend>
      <c:legendPos val="b"/>
      <c:layout>
        <c:manualLayout>
          <c:xMode val="edge"/>
          <c:yMode val="edge"/>
          <c:x val="5.3571203599549956E-2"/>
          <c:y val="0.83636363636363664"/>
          <c:w val="0.9"/>
          <c:h val="6.7479957050823533E-2"/>
        </c:manualLayout>
      </c:layout>
      <c:spPr>
        <a:noFill/>
        <a:ln w="25400">
          <a:noFill/>
        </a:ln>
      </c:spPr>
    </c:legend>
    <c:plotVisOnly val="1"/>
  </c:chart>
  <c:spPr>
    <a:noFill/>
    <a:ln w="9525">
      <a:noFill/>
    </a:ln>
  </c:spPr>
  <c:txPr>
    <a:bodyPr/>
    <a:lstStyle/>
    <a:p>
      <a:pPr>
        <a:defRPr sz="800" b="0" i="0">
          <a:solidFill>
            <a:srgbClr val="000000"/>
          </a:solidFill>
          <a:latin typeface="MinionPro-Regular"/>
          <a:ea typeface="Arial"/>
          <a:cs typeface="Arial"/>
        </a:defRPr>
      </a:pPr>
      <a:endParaRPr lang="es-ES"/>
    </a:p>
  </c:txPr>
  <c:externalData r:id="rId1"/>
</c:chartSpace>
</file>

<file path=word/charts/chart85.xml><?xml version="1.0" encoding="utf-8"?>
<c:chartSpace xmlns:c="http://schemas.openxmlformats.org/drawingml/2006/chart" xmlns:a="http://schemas.openxmlformats.org/drawingml/2006/main" xmlns:r="http://schemas.openxmlformats.org/officeDocument/2006/relationships">
  <c:date1904 val="1"/>
  <c:lang val="es-ES"/>
  <c:chart>
    <c:autoTitleDeleted val="1"/>
    <c:plotArea>
      <c:layout>
        <c:manualLayout>
          <c:layoutTarget val="inner"/>
          <c:xMode val="edge"/>
          <c:yMode val="edge"/>
          <c:x val="0.12634306809935342"/>
          <c:y val="0.16666324151470321"/>
          <c:w val="0.72749853096721129"/>
          <c:h val="0.73158667385819365"/>
        </c:manualLayout>
      </c:layout>
      <c:barChart>
        <c:barDir val="col"/>
        <c:grouping val="stacked"/>
        <c:ser>
          <c:idx val="0"/>
          <c:order val="0"/>
          <c:tx>
            <c:strRef>
              <c:f>Graficos_Informe!$D$201:$D$204</c:f>
              <c:strCache>
                <c:ptCount val="1"/>
                <c:pt idx="0">
                  <c:v>Retorno IRPF y SS 2011 Ayudas de la administración con salida de efectivo 2012 Retorno IRPF y SS 2020 Ayudas de la administración con salida de efectivo 2020</c:v>
                </c:pt>
              </c:strCache>
            </c:strRef>
          </c:tx>
          <c:spPr>
            <a:solidFill>
              <a:srgbClr val="7AB800"/>
            </a:solidFill>
            <a:ln>
              <a:noFill/>
            </a:ln>
          </c:spPr>
          <c:dPt>
            <c:idx val="0"/>
            <c:spPr>
              <a:solidFill>
                <a:srgbClr val="409DAD"/>
              </a:solidFill>
              <a:ln>
                <a:noFill/>
              </a:ln>
            </c:spPr>
          </c:dPt>
          <c:dPt>
            <c:idx val="2"/>
            <c:spPr>
              <a:solidFill>
                <a:srgbClr val="409DAD"/>
              </a:solidFill>
              <a:ln>
                <a:noFill/>
              </a:ln>
            </c:spPr>
          </c:dPt>
          <c:val>
            <c:numRef>
              <c:f>Graficos_Informe!$E$201:$E$204</c:f>
              <c:numCache>
                <c:formatCode>_-* #,##0\ _€_-;\-* #,##0\ _€_-;_-* "-"??\ _€_-;_-@_-</c:formatCode>
                <c:ptCount val="4"/>
                <c:pt idx="0">
                  <c:v>179332171</c:v>
                </c:pt>
                <c:pt idx="1">
                  <c:v>323514020.31999999</c:v>
                </c:pt>
                <c:pt idx="2">
                  <c:v>645677530</c:v>
                </c:pt>
                <c:pt idx="3">
                  <c:v>1175404087</c:v>
                </c:pt>
              </c:numCache>
            </c:numRef>
          </c:val>
        </c:ser>
        <c:ser>
          <c:idx val="1"/>
          <c:order val="1"/>
          <c:tx>
            <c:strRef>
              <c:f>Graficos_Informe!#REF!</c:f>
              <c:strCache>
                <c:ptCount val="1"/>
                <c:pt idx="0">
                  <c:v>#REF!</c:v>
                </c:pt>
              </c:strCache>
            </c:strRef>
          </c:tx>
          <c:spPr>
            <a:solidFill>
              <a:srgbClr val="80BEC9"/>
            </a:solidFill>
          </c:spPr>
          <c:val>
            <c:numRef>
              <c:f>Graficos_Informe!#REF!</c:f>
              <c:numCache>
                <c:formatCode>General</c:formatCode>
                <c:ptCount val="1"/>
                <c:pt idx="0">
                  <c:v>1</c:v>
                </c:pt>
              </c:numCache>
            </c:numRef>
          </c:val>
        </c:ser>
        <c:ser>
          <c:idx val="2"/>
          <c:order val="2"/>
          <c:tx>
            <c:strRef>
              <c:f>Graficos_Informe!$D$205:$D$208</c:f>
              <c:strCache>
                <c:ptCount val="1"/>
                <c:pt idx="0">
                  <c:v>IVA 2011 Ayudas de la administración con salida de efectivo 2012 IVA 2020 Ayudas de la administración con salida de efectivo 2020</c:v>
                </c:pt>
              </c:strCache>
            </c:strRef>
          </c:tx>
          <c:spPr>
            <a:solidFill>
              <a:srgbClr val="B6646B"/>
            </a:solidFill>
          </c:spPr>
          <c:val>
            <c:numRef>
              <c:f>Graficos_Informe!$E$205:$E$208</c:f>
              <c:numCache>
                <c:formatCode>General</c:formatCode>
                <c:ptCount val="4"/>
                <c:pt idx="0" formatCode="_-* #,##0\ _€_-;\-* #,##0\ _€_-;_-* &quot;-&quot;??\ _€_-;_-@_-">
                  <c:v>239555473.65482041</c:v>
                </c:pt>
                <c:pt idx="2" formatCode="_-* #,##0\ _€_-;\-* #,##0\ _€_-;_-* &quot;-&quot;??\ _€_-;_-@_-">
                  <c:v>1269887731</c:v>
                </c:pt>
              </c:numCache>
            </c:numRef>
          </c:val>
        </c:ser>
        <c:ser>
          <c:idx val="3"/>
          <c:order val="3"/>
          <c:tx>
            <c:strRef>
              <c:f>Graficos_Informe!$D$209:$D$212</c:f>
              <c:strCache>
                <c:ptCount val="1"/>
                <c:pt idx="0">
                  <c:v>Impuesto sobre sociedades 2011 Ayudas de la administración con salida de efectivo 2012 Impuesto sobre sociedades 2020 Ayudas de la administración con salida de efectivo 2020</c:v>
                </c:pt>
              </c:strCache>
            </c:strRef>
          </c:tx>
          <c:spPr>
            <a:solidFill>
              <a:srgbClr val="97989A"/>
            </a:solidFill>
          </c:spPr>
          <c:val>
            <c:numRef>
              <c:f>Graficos_Informe!$E$209:$E$212</c:f>
              <c:numCache>
                <c:formatCode>General</c:formatCode>
                <c:ptCount val="4"/>
                <c:pt idx="0" formatCode="_-* #,##0\ _€_-;\-* #,##0\ _€_-;_-* &quot;-&quot;??\ _€_-;_-@_-">
                  <c:v>40700000</c:v>
                </c:pt>
                <c:pt idx="2" formatCode="_-* #,##0\ _€_-;\-* #,##0\ _€_-;_-* &quot;-&quot;??\ _€_-;_-@_-">
                  <c:v>177247534.2572161</c:v>
                </c:pt>
              </c:numCache>
            </c:numRef>
          </c:val>
        </c:ser>
        <c:gapWidth val="55"/>
        <c:overlap val="100"/>
        <c:axId val="185013760"/>
        <c:axId val="185015296"/>
      </c:barChart>
      <c:catAx>
        <c:axId val="185013760"/>
        <c:scaling>
          <c:orientation val="minMax"/>
        </c:scaling>
        <c:delete val="1"/>
        <c:axPos val="b"/>
        <c:numFmt formatCode="General" sourceLinked="1"/>
        <c:majorTickMark val="none"/>
        <c:tickLblPos val="none"/>
        <c:crossAx val="185015296"/>
        <c:crosses val="autoZero"/>
        <c:auto val="1"/>
        <c:lblAlgn val="ctr"/>
        <c:lblOffset val="100"/>
      </c:catAx>
      <c:valAx>
        <c:axId val="185015296"/>
        <c:scaling>
          <c:orientation val="minMax"/>
        </c:scaling>
        <c:delete val="1"/>
        <c:axPos val="l"/>
        <c:numFmt formatCode="_-* #,##0\ _€_-;\-* #,##0\ _€_-;_-* &quot;-&quot;??\ _€_-;_-@_-" sourceLinked="1"/>
        <c:majorTickMark val="none"/>
        <c:tickLblPos val="none"/>
        <c:crossAx val="185013760"/>
        <c:crosses val="autoZero"/>
        <c:crossBetween val="between"/>
        <c:minorUnit val="100000000"/>
      </c:valAx>
      <c:spPr>
        <a:noFill/>
        <a:ln w="25400">
          <a:noFill/>
        </a:ln>
      </c:spPr>
    </c:plotArea>
    <c:plotVisOnly val="1"/>
  </c:chart>
  <c:spPr>
    <a:noFill/>
    <a:ln w="9525">
      <a:noFill/>
    </a:ln>
  </c:spPr>
  <c:txPr>
    <a:bodyPr/>
    <a:lstStyle/>
    <a:p>
      <a:pPr>
        <a:defRPr sz="800" b="0" i="0">
          <a:solidFill>
            <a:srgbClr val="000000"/>
          </a:solidFill>
          <a:latin typeface="MinionPro-Regular"/>
          <a:ea typeface="Arial"/>
          <a:cs typeface="Arial"/>
        </a:defRPr>
      </a:pPr>
      <a:endParaRPr lang="es-ES"/>
    </a:p>
  </c:txPr>
  <c:externalData r:id="rId1"/>
</c:chartSpace>
</file>

<file path=word/charts/chart86.xml><?xml version="1.0" encoding="utf-8"?>
<c:chartSpace xmlns:c="http://schemas.openxmlformats.org/drawingml/2006/chart" xmlns:a="http://schemas.openxmlformats.org/drawingml/2006/main" xmlns:r="http://schemas.openxmlformats.org/officeDocument/2006/relationships">
  <c:date1904 val="1"/>
  <c:lang val="es-ES"/>
  <c:chart>
    <c:autoTitleDeleted val="1"/>
    <c:plotArea>
      <c:layout>
        <c:manualLayout>
          <c:layoutTarget val="inner"/>
          <c:xMode val="edge"/>
          <c:yMode val="edge"/>
          <c:x val="0.17183776418956448"/>
          <c:y val="9.5060934571956843E-2"/>
          <c:w val="0.72749853096721129"/>
          <c:h val="0.79895252415824558"/>
        </c:manualLayout>
      </c:layout>
      <c:barChart>
        <c:barDir val="col"/>
        <c:grouping val="stacked"/>
        <c:ser>
          <c:idx val="0"/>
          <c:order val="0"/>
          <c:tx>
            <c:strRef>
              <c:f>Graficos_Informe!$D$239:$D$242</c:f>
              <c:strCache>
                <c:ptCount val="1"/>
                <c:pt idx="0">
                  <c:v>Retorno IRPF y SS 2011 Ayudas de la administración con salida de efectivo 2012 Retorno IRPF y SS 2020 Ayudas de la administración con salida de efectivo 2020</c:v>
                </c:pt>
              </c:strCache>
            </c:strRef>
          </c:tx>
          <c:spPr>
            <a:solidFill>
              <a:srgbClr val="7AB800"/>
            </a:solidFill>
            <a:ln>
              <a:noFill/>
            </a:ln>
          </c:spPr>
          <c:dPt>
            <c:idx val="0"/>
            <c:spPr>
              <a:solidFill>
                <a:srgbClr val="409DAD"/>
              </a:solidFill>
              <a:ln>
                <a:noFill/>
              </a:ln>
            </c:spPr>
          </c:dPt>
          <c:dPt>
            <c:idx val="2"/>
            <c:spPr>
              <a:solidFill>
                <a:srgbClr val="409DAD"/>
              </a:solidFill>
              <a:ln>
                <a:noFill/>
              </a:ln>
            </c:spPr>
          </c:dPt>
          <c:val>
            <c:numRef>
              <c:f>Graficos_Informe!$E$239:$E$242</c:f>
              <c:numCache>
                <c:formatCode>_-* #,##0\ _€_-;\-* #,##0\ _€_-;_-* "-"??\ _€_-;_-@_-</c:formatCode>
                <c:ptCount val="4"/>
                <c:pt idx="0">
                  <c:v>179332171</c:v>
                </c:pt>
                <c:pt idx="1">
                  <c:v>323514020.31999999</c:v>
                </c:pt>
                <c:pt idx="2">
                  <c:v>783441021</c:v>
                </c:pt>
                <c:pt idx="3">
                  <c:v>1175404087</c:v>
                </c:pt>
              </c:numCache>
            </c:numRef>
          </c:val>
        </c:ser>
        <c:ser>
          <c:idx val="2"/>
          <c:order val="1"/>
          <c:tx>
            <c:strRef>
              <c:f>Graficos_Informe!$D$243:$D$246</c:f>
              <c:strCache>
                <c:ptCount val="1"/>
                <c:pt idx="0">
                  <c:v>IVA 2011 Ayudas de la administración con salida de efectivo 2012 IVA 2020 Ayudas de la administración con salida de efectivo 2020</c:v>
                </c:pt>
              </c:strCache>
            </c:strRef>
          </c:tx>
          <c:spPr>
            <a:solidFill>
              <a:srgbClr val="B6646B"/>
            </a:solidFill>
          </c:spPr>
          <c:val>
            <c:numRef>
              <c:f>Graficos_Informe!$E$243:$E$246</c:f>
              <c:numCache>
                <c:formatCode>General</c:formatCode>
                <c:ptCount val="4"/>
                <c:pt idx="0" formatCode="_-* #,##0\ _€_-;\-* #,##0\ _€_-;_-* &quot;-&quot;??\ _€_-;_-@_-">
                  <c:v>239555473.65482041</c:v>
                </c:pt>
                <c:pt idx="2" formatCode="_-* #,##0\ _€_-;\-* #,##0\ _€_-;_-* &quot;-&quot;??\ _€_-;_-@_-">
                  <c:v>1286667324</c:v>
                </c:pt>
              </c:numCache>
            </c:numRef>
          </c:val>
        </c:ser>
        <c:ser>
          <c:idx val="3"/>
          <c:order val="2"/>
          <c:tx>
            <c:strRef>
              <c:f>Graficos_Informe!$D$247:$D$250</c:f>
              <c:strCache>
                <c:ptCount val="1"/>
                <c:pt idx="0">
                  <c:v>Impuesto sobre sociedades 2011 Ayudas de la administración con salida de efectivo 2012 Impuesto sobre sociedades 2020 Ayudas de la administración con salida de efectivo 2020</c:v>
                </c:pt>
              </c:strCache>
            </c:strRef>
          </c:tx>
          <c:spPr>
            <a:solidFill>
              <a:srgbClr val="97989A"/>
            </a:solidFill>
          </c:spPr>
          <c:val>
            <c:numRef>
              <c:f>Graficos_Informe!$E$247:$E$250</c:f>
              <c:numCache>
                <c:formatCode>General</c:formatCode>
                <c:ptCount val="4"/>
                <c:pt idx="0" formatCode="_-* #,##0\ _€_-;\-* #,##0\ _€_-;_-* &quot;-&quot;??\ _€_-;_-@_-">
                  <c:v>40700000</c:v>
                </c:pt>
                <c:pt idx="2" formatCode="_-* #,##0\ _€_-;\-* #,##0\ _€_-;_-* &quot;-&quot;??\ _€_-;_-@_-">
                  <c:v>177247534.2572161</c:v>
                </c:pt>
              </c:numCache>
            </c:numRef>
          </c:val>
        </c:ser>
        <c:gapWidth val="55"/>
        <c:overlap val="100"/>
        <c:axId val="185221888"/>
        <c:axId val="185223424"/>
      </c:barChart>
      <c:catAx>
        <c:axId val="185221888"/>
        <c:scaling>
          <c:orientation val="minMax"/>
        </c:scaling>
        <c:delete val="1"/>
        <c:axPos val="b"/>
        <c:numFmt formatCode="General" sourceLinked="1"/>
        <c:majorTickMark val="none"/>
        <c:tickLblPos val="none"/>
        <c:crossAx val="185223424"/>
        <c:crosses val="autoZero"/>
        <c:auto val="1"/>
        <c:lblAlgn val="ctr"/>
        <c:lblOffset val="100"/>
      </c:catAx>
      <c:valAx>
        <c:axId val="185223424"/>
        <c:scaling>
          <c:orientation val="minMax"/>
        </c:scaling>
        <c:delete val="1"/>
        <c:axPos val="l"/>
        <c:numFmt formatCode="_-* #,##0\ _€_-;\-* #,##0\ _€_-;_-* &quot;-&quot;??\ _€_-;_-@_-" sourceLinked="1"/>
        <c:majorTickMark val="none"/>
        <c:tickLblPos val="none"/>
        <c:crossAx val="185221888"/>
        <c:crosses val="autoZero"/>
        <c:crossBetween val="between"/>
        <c:minorUnit val="100000000"/>
      </c:valAx>
      <c:spPr>
        <a:noFill/>
        <a:ln w="25400">
          <a:noFill/>
        </a:ln>
      </c:spPr>
    </c:plotArea>
    <c:plotVisOnly val="1"/>
  </c:chart>
  <c:spPr>
    <a:noFill/>
    <a:ln w="9525">
      <a:noFill/>
    </a:ln>
  </c:spPr>
  <c:txPr>
    <a:bodyPr/>
    <a:lstStyle/>
    <a:p>
      <a:pPr>
        <a:defRPr sz="800" b="0" i="0">
          <a:solidFill>
            <a:srgbClr val="000000"/>
          </a:solidFill>
          <a:latin typeface="MinionPro-Regular"/>
          <a:ea typeface="Arial"/>
          <a:cs typeface="Arial"/>
        </a:defRPr>
      </a:pPr>
      <a:endParaRPr lang="es-ES"/>
    </a:p>
  </c:txPr>
  <c:externalData r:id="rId1"/>
  <c:userShapes r:id="rId2"/>
</c:chartSpace>
</file>

<file path=word/charts/chart87.xml><?xml version="1.0" encoding="utf-8"?>
<c:chartSpace xmlns:c="http://schemas.openxmlformats.org/drawingml/2006/chart" xmlns:a="http://schemas.openxmlformats.org/drawingml/2006/main" xmlns:r="http://schemas.openxmlformats.org/officeDocument/2006/relationships">
  <c:lang val="es-ES"/>
  <c:chart>
    <c:autoTitleDeleted val="1"/>
    <c:plotArea>
      <c:layout>
        <c:manualLayout>
          <c:layoutTarget val="inner"/>
          <c:xMode val="edge"/>
          <c:yMode val="edge"/>
          <c:x val="0.17183776418956448"/>
          <c:y val="9.5060934571956843E-2"/>
          <c:w val="0.72749853096721129"/>
          <c:h val="0.79895252415824558"/>
        </c:manualLayout>
      </c:layout>
      <c:barChart>
        <c:barDir val="col"/>
        <c:grouping val="stacked"/>
        <c:ser>
          <c:idx val="0"/>
          <c:order val="0"/>
          <c:tx>
            <c:strRef>
              <c:f>Graficos_Informe!$B$544:$B$547</c:f>
              <c:strCache>
                <c:ptCount val="1"/>
                <c:pt idx="0">
                  <c:v>lismi 2012 Ayudas de la administración SIN salida de efectivo 2012 LISMI 2020 Ayudas de la administración SIN salida de efectivo 2020</c:v>
                </c:pt>
              </c:strCache>
            </c:strRef>
          </c:tx>
          <c:spPr>
            <a:solidFill>
              <a:srgbClr val="7AB800"/>
            </a:solidFill>
            <a:ln>
              <a:noFill/>
            </a:ln>
          </c:spPr>
          <c:dPt>
            <c:idx val="0"/>
            <c:spPr>
              <a:solidFill>
                <a:srgbClr val="4066AA"/>
              </a:solidFill>
              <a:ln>
                <a:noFill/>
              </a:ln>
            </c:spPr>
          </c:dPt>
          <c:dPt>
            <c:idx val="1"/>
            <c:spPr>
              <a:solidFill>
                <a:srgbClr val="9BCA40"/>
              </a:solidFill>
              <a:ln>
                <a:noFill/>
              </a:ln>
            </c:spPr>
          </c:dPt>
          <c:dPt>
            <c:idx val="2"/>
            <c:spPr>
              <a:solidFill>
                <a:srgbClr val="4066AA"/>
              </a:solidFill>
              <a:ln>
                <a:noFill/>
              </a:ln>
            </c:spPr>
          </c:dPt>
          <c:dPt>
            <c:idx val="3"/>
            <c:spPr>
              <a:solidFill>
                <a:srgbClr val="9BCA40"/>
              </a:solidFill>
              <a:ln>
                <a:noFill/>
              </a:ln>
            </c:spPr>
          </c:dPt>
          <c:val>
            <c:numRef>
              <c:f>Graficos_Informe!$C$544:$C$547</c:f>
              <c:numCache>
                <c:formatCode>_-* #,##0\ _€_-;\-* #,##0\ _€_-;_-* "-"??\ _€_-;_-@_-</c:formatCode>
                <c:ptCount val="4"/>
                <c:pt idx="0">
                  <c:v>1778737.2017932998</c:v>
                </c:pt>
                <c:pt idx="1">
                  <c:v>204815193</c:v>
                </c:pt>
                <c:pt idx="2">
                  <c:v>165531575</c:v>
                </c:pt>
                <c:pt idx="3">
                  <c:v>580210580</c:v>
                </c:pt>
              </c:numCache>
            </c:numRef>
          </c:val>
        </c:ser>
        <c:ser>
          <c:idx val="2"/>
          <c:order val="1"/>
          <c:tx>
            <c:strRef>
              <c:f>Graficos_Informe!$B$548:$B$551</c:f>
              <c:strCache>
                <c:ptCount val="1"/>
                <c:pt idx="0">
                  <c:v>PNC Ayudas de la administración SIN salida de efectivo 2012 PNC 2020 Ayudas de la administración SIN salida de efectivo 2020</c:v>
                </c:pt>
              </c:strCache>
            </c:strRef>
          </c:tx>
          <c:spPr>
            <a:solidFill>
              <a:srgbClr val="B6646B"/>
            </a:solidFill>
          </c:spPr>
          <c:dPt>
            <c:idx val="0"/>
            <c:spPr>
              <a:solidFill>
                <a:srgbClr val="8099C6"/>
              </a:solidFill>
            </c:spPr>
          </c:dPt>
          <c:dPt>
            <c:idx val="2"/>
            <c:spPr>
              <a:solidFill>
                <a:srgbClr val="8099C6"/>
              </a:solidFill>
            </c:spPr>
          </c:dPt>
          <c:val>
            <c:numRef>
              <c:f>Graficos_Informe!$C$548:$C$551</c:f>
              <c:numCache>
                <c:formatCode>General</c:formatCode>
                <c:ptCount val="4"/>
                <c:pt idx="0" formatCode="_-* #,##0\ _€_-;\-* #,##0\ _€_-;_-* &quot;-&quot;??\ _€_-;_-@_-">
                  <c:v>22730090</c:v>
                </c:pt>
                <c:pt idx="2" formatCode="_-* #,##0\ _€_-;\-* #,##0\ _€_-;_-* &quot;-&quot;??\ _€_-;_-@_-">
                  <c:v>17991593</c:v>
                </c:pt>
              </c:numCache>
            </c:numRef>
          </c:val>
        </c:ser>
        <c:ser>
          <c:idx val="3"/>
          <c:order val="2"/>
          <c:tx>
            <c:strRef>
              <c:f>Graficos_Informe!$B$552:$B$555</c:f>
              <c:strCache>
                <c:ptCount val="1"/>
                <c:pt idx="0">
                  <c:v>PC Ayudas de la administración SIN salida de efectivo 2012 PC 2020 Ayudas de la administración SIN salida de efectivo 2020</c:v>
                </c:pt>
              </c:strCache>
            </c:strRef>
          </c:tx>
          <c:spPr>
            <a:solidFill>
              <a:srgbClr val="BFCCE3"/>
            </a:solidFill>
          </c:spPr>
          <c:val>
            <c:numRef>
              <c:f>Graficos_Informe!$C$552:$C$555</c:f>
              <c:numCache>
                <c:formatCode>General</c:formatCode>
                <c:ptCount val="4"/>
                <c:pt idx="0" formatCode="_-* #,##0\ _€_-;\-* #,##0\ _€_-;_-* &quot;-&quot;??\ _€_-;_-@_-">
                  <c:v>43417066.535361469</c:v>
                </c:pt>
                <c:pt idx="2" formatCode="_-* #,##0\ _€_-;\-* #,##0\ _€_-;_-* &quot;-&quot;??\ _€_-;_-@_-">
                  <c:v>156338769</c:v>
                </c:pt>
              </c:numCache>
            </c:numRef>
          </c:val>
        </c:ser>
        <c:ser>
          <c:idx val="1"/>
          <c:order val="3"/>
          <c:tx>
            <c:strRef>
              <c:f>Graficos_Informe!$B$560:$B$563</c:f>
              <c:strCache>
                <c:ptCount val="1"/>
                <c:pt idx="0">
                  <c:v>Ahorro sanitario 2012 Ayudas de la administración SIN salida de efectivo 2012 Ahorro sanitario 2020 Ayudas de la administración SIN salida de efectivo 2020</c:v>
                </c:pt>
              </c:strCache>
            </c:strRef>
          </c:tx>
          <c:dPt>
            <c:idx val="0"/>
            <c:spPr>
              <a:solidFill>
                <a:srgbClr val="E5EAF3"/>
              </a:solidFill>
            </c:spPr>
          </c:dPt>
          <c:dPt>
            <c:idx val="2"/>
            <c:spPr>
              <a:solidFill>
                <a:srgbClr val="E5EAF3"/>
              </a:solidFill>
            </c:spPr>
          </c:dPt>
          <c:val>
            <c:numRef>
              <c:f>Graficos_Informe!$C$560:$C$563</c:f>
              <c:numCache>
                <c:formatCode>General</c:formatCode>
                <c:ptCount val="4"/>
                <c:pt idx="0" formatCode="_-* #,##0\ _€_-;\-* #,##0\ _€_-;_-* &quot;-&quot;??\ _€_-;_-@_-">
                  <c:v>97227989</c:v>
                </c:pt>
                <c:pt idx="2" formatCode="_-* #,##0\ _€_-;\-* #,##0\ _€_-;_-* &quot;-&quot;??\ _€_-;_-@_-">
                  <c:v>350051248</c:v>
                </c:pt>
              </c:numCache>
            </c:numRef>
          </c:val>
        </c:ser>
        <c:ser>
          <c:idx val="4"/>
          <c:order val="4"/>
          <c:tx>
            <c:strRef>
              <c:f>Graficos_Informe!$B$556:$B$559</c:f>
              <c:strCache>
                <c:ptCount val="1"/>
                <c:pt idx="0">
                  <c:v>Ahorro en plazas ocupacionales 2012 Ayudas de la administración SIN salida de efectivo 2012 Ahorro en plazas ocupacionales 2020 Ayudas de la administración SIN salida de efectivo 2020</c:v>
                </c:pt>
              </c:strCache>
            </c:strRef>
          </c:tx>
          <c:dPt>
            <c:idx val="0"/>
            <c:spPr>
              <a:solidFill>
                <a:srgbClr val="558ED5"/>
              </a:solidFill>
            </c:spPr>
          </c:dPt>
          <c:dPt>
            <c:idx val="2"/>
            <c:spPr>
              <a:solidFill>
                <a:srgbClr val="558ED5"/>
              </a:solidFill>
            </c:spPr>
          </c:dPt>
          <c:val>
            <c:numRef>
              <c:f>Graficos_Informe!$C$556:$C$558</c:f>
              <c:numCache>
                <c:formatCode>General</c:formatCode>
                <c:ptCount val="3"/>
                <c:pt idx="0" formatCode="_-* #,##0\ _€_-;\-* #,##0\ _€_-;_-* &quot;-&quot;??\ _€_-;_-@_-">
                  <c:v>135389131</c:v>
                </c:pt>
                <c:pt idx="2" formatCode="_-* #,##0\ _€_-;\-* #,##0\ _€_-;_-* &quot;-&quot;??\ _€_-;_-@_-">
                  <c:v>172075006</c:v>
                </c:pt>
              </c:numCache>
            </c:numRef>
          </c:val>
        </c:ser>
        <c:gapWidth val="55"/>
        <c:overlap val="100"/>
        <c:axId val="186434304"/>
        <c:axId val="186435840"/>
      </c:barChart>
      <c:catAx>
        <c:axId val="186434304"/>
        <c:scaling>
          <c:orientation val="minMax"/>
        </c:scaling>
        <c:delete val="1"/>
        <c:axPos val="b"/>
        <c:numFmt formatCode="General" sourceLinked="1"/>
        <c:majorTickMark val="none"/>
        <c:tickLblPos val="none"/>
        <c:crossAx val="186435840"/>
        <c:crosses val="autoZero"/>
        <c:auto val="1"/>
        <c:lblAlgn val="ctr"/>
        <c:lblOffset val="100"/>
      </c:catAx>
      <c:valAx>
        <c:axId val="186435840"/>
        <c:scaling>
          <c:orientation val="minMax"/>
        </c:scaling>
        <c:delete val="1"/>
        <c:axPos val="l"/>
        <c:numFmt formatCode="_-* #,##0\ _€_-;\-* #,##0\ _€_-;_-* &quot;-&quot;??\ _€_-;_-@_-" sourceLinked="1"/>
        <c:majorTickMark val="none"/>
        <c:tickLblPos val="none"/>
        <c:crossAx val="186434304"/>
        <c:crosses val="autoZero"/>
        <c:crossBetween val="between"/>
        <c:majorUnit val="300000000"/>
      </c:valAx>
      <c:spPr>
        <a:noFill/>
        <a:ln w="25400">
          <a:noFill/>
        </a:ln>
      </c:spPr>
    </c:plotArea>
    <c:plotVisOnly val="1"/>
  </c:chart>
  <c:spPr>
    <a:noFill/>
    <a:ln w="9525">
      <a:noFill/>
    </a:ln>
  </c:spPr>
  <c:txPr>
    <a:bodyPr/>
    <a:lstStyle/>
    <a:p>
      <a:pPr>
        <a:defRPr sz="800" b="0" i="0">
          <a:solidFill>
            <a:srgbClr val="000000"/>
          </a:solidFill>
          <a:latin typeface="MinionPro-Regular"/>
          <a:ea typeface="Arial"/>
          <a:cs typeface="Arial"/>
        </a:defRPr>
      </a:pPr>
      <a:endParaRPr lang="es-ES"/>
    </a:p>
  </c:txPr>
  <c:externalData r:id="rId1"/>
  <c:userShapes r:id="rId2"/>
</c:chartSpace>
</file>

<file path=word/charts/chart88.xml><?xml version="1.0" encoding="utf-8"?>
<c:chartSpace xmlns:c="http://schemas.openxmlformats.org/drawingml/2006/chart" xmlns:a="http://schemas.openxmlformats.org/drawingml/2006/main" xmlns:r="http://schemas.openxmlformats.org/officeDocument/2006/relationships">
  <c:date1904 val="1"/>
  <c:lang val="es-ES"/>
  <c:chart>
    <c:autoTitleDeleted val="1"/>
    <c:plotArea>
      <c:layout>
        <c:manualLayout>
          <c:layoutTarget val="inner"/>
          <c:xMode val="edge"/>
          <c:yMode val="edge"/>
          <c:x val="0.17183776418956448"/>
          <c:y val="9.5060934571956843E-2"/>
          <c:w val="0.72749853096721129"/>
          <c:h val="0.79895252415824558"/>
        </c:manualLayout>
      </c:layout>
      <c:barChart>
        <c:barDir val="col"/>
        <c:grouping val="stacked"/>
        <c:ser>
          <c:idx val="0"/>
          <c:order val="0"/>
          <c:tx>
            <c:strRef>
              <c:f>Graficos_Informe!$B$585:$B$588</c:f>
              <c:strCache>
                <c:ptCount val="1"/>
                <c:pt idx="0">
                  <c:v>Retorno IRPF y SS 2011 Ayudas de la administración con salida de efectivo 2012 Retorno IRPF y SS 2020 Ayudas de la administración con salida de efectivo 2020</c:v>
                </c:pt>
              </c:strCache>
            </c:strRef>
          </c:tx>
          <c:spPr>
            <a:solidFill>
              <a:srgbClr val="7AB800"/>
            </a:solidFill>
            <a:ln>
              <a:noFill/>
            </a:ln>
          </c:spPr>
          <c:dPt>
            <c:idx val="0"/>
            <c:spPr>
              <a:solidFill>
                <a:srgbClr val="409DAD"/>
              </a:solidFill>
              <a:ln>
                <a:noFill/>
              </a:ln>
            </c:spPr>
          </c:dPt>
          <c:dPt>
            <c:idx val="2"/>
            <c:spPr>
              <a:solidFill>
                <a:srgbClr val="409DAD"/>
              </a:solidFill>
              <a:ln>
                <a:noFill/>
              </a:ln>
            </c:spPr>
          </c:dPt>
          <c:val>
            <c:numRef>
              <c:f>Graficos_Informe!$C$585:$C$588</c:f>
              <c:numCache>
                <c:formatCode>_-* #,##0\ _€_-;\-* #,##0\ _€_-;_-* "-"??\ _€_-;_-@_-</c:formatCode>
                <c:ptCount val="4"/>
                <c:pt idx="0">
                  <c:v>179332171</c:v>
                </c:pt>
                <c:pt idx="1">
                  <c:v>323514020.31999999</c:v>
                </c:pt>
                <c:pt idx="2">
                  <c:v>645677530</c:v>
                </c:pt>
                <c:pt idx="3">
                  <c:v>1175404087</c:v>
                </c:pt>
              </c:numCache>
            </c:numRef>
          </c:val>
        </c:ser>
        <c:ser>
          <c:idx val="2"/>
          <c:order val="1"/>
          <c:tx>
            <c:strRef>
              <c:f>Graficos_Informe!$B$589:$B$592</c:f>
              <c:strCache>
                <c:ptCount val="1"/>
                <c:pt idx="0">
                  <c:v>IVA 2011 Ayudas de la administración con salida de efectivo 2012 IVA 2020 Ayudas de la administración con salida de efectivo 2020</c:v>
                </c:pt>
              </c:strCache>
            </c:strRef>
          </c:tx>
          <c:spPr>
            <a:solidFill>
              <a:srgbClr val="B6646B"/>
            </a:solidFill>
          </c:spPr>
          <c:val>
            <c:numRef>
              <c:f>Graficos_Informe!$C$589:$C$592</c:f>
              <c:numCache>
                <c:formatCode>General</c:formatCode>
                <c:ptCount val="4"/>
                <c:pt idx="0" formatCode="_-* #,##0\ _€_-;\-* #,##0\ _€_-;_-* &quot;-&quot;??\ _€_-;_-@_-">
                  <c:v>239555473.65482041</c:v>
                </c:pt>
                <c:pt idx="2" formatCode="_-* #,##0\ _€_-;\-* #,##0\ _€_-;_-* &quot;-&quot;??\ _€_-;_-@_-">
                  <c:v>1269887731</c:v>
                </c:pt>
              </c:numCache>
            </c:numRef>
          </c:val>
        </c:ser>
        <c:ser>
          <c:idx val="3"/>
          <c:order val="2"/>
          <c:tx>
            <c:strRef>
              <c:f>Graficos_Informe!$B$593:$B$596</c:f>
              <c:strCache>
                <c:ptCount val="1"/>
                <c:pt idx="0">
                  <c:v>Impuesto sobre sociedades 2011 Ayudas de la administración con salida de efectivo 2012 Impuesto sobre sociedades 2020 Ayudas de la administración con salida de efectivo 2020</c:v>
                </c:pt>
              </c:strCache>
            </c:strRef>
          </c:tx>
          <c:spPr>
            <a:solidFill>
              <a:srgbClr val="97989A"/>
            </a:solidFill>
          </c:spPr>
          <c:val>
            <c:numRef>
              <c:f>Graficos_Informe!$C$593:$C$596</c:f>
              <c:numCache>
                <c:formatCode>General</c:formatCode>
                <c:ptCount val="4"/>
                <c:pt idx="0" formatCode="_-* #,##0\ _€_-;\-* #,##0\ _€_-;_-* &quot;-&quot;??\ _€_-;_-@_-">
                  <c:v>40700000</c:v>
                </c:pt>
                <c:pt idx="2" formatCode="_-* #,##0\ _€_-;\-* #,##0\ _€_-;_-* &quot;-&quot;??\ _€_-;_-@_-">
                  <c:v>177247534.2572161</c:v>
                </c:pt>
              </c:numCache>
            </c:numRef>
          </c:val>
        </c:ser>
        <c:ser>
          <c:idx val="1"/>
          <c:order val="3"/>
          <c:tx>
            <c:strRef>
              <c:f>Graficos_Informe!$B$597:$B$600</c:f>
              <c:strCache>
                <c:ptCount val="1"/>
                <c:pt idx="0">
                  <c:v>lismi 2012 Ayudas de la administración SIN salida de efectivo 2012 LISMI 2020 Ayudas de la administración SIN salida de efectivo 2020</c:v>
                </c:pt>
              </c:strCache>
            </c:strRef>
          </c:tx>
          <c:spPr>
            <a:solidFill>
              <a:srgbClr val="4066AA"/>
            </a:solidFill>
          </c:spPr>
          <c:dPt>
            <c:idx val="1"/>
            <c:spPr>
              <a:solidFill>
                <a:srgbClr val="9BCA40"/>
              </a:solidFill>
            </c:spPr>
          </c:dPt>
          <c:dPt>
            <c:idx val="3"/>
            <c:spPr>
              <a:solidFill>
                <a:srgbClr val="9BCA40"/>
              </a:solidFill>
            </c:spPr>
          </c:dPt>
          <c:val>
            <c:numRef>
              <c:f>Graficos_Informe!$C$597:$C$600</c:f>
              <c:numCache>
                <c:formatCode>_-* #,##0\ _€_-;\-* #,##0\ _€_-;_-* "-"??\ _€_-;_-@_-</c:formatCode>
                <c:ptCount val="4"/>
                <c:pt idx="0">
                  <c:v>1778737.2017932998</c:v>
                </c:pt>
                <c:pt idx="1">
                  <c:v>204815193</c:v>
                </c:pt>
                <c:pt idx="2">
                  <c:v>165531575</c:v>
                </c:pt>
                <c:pt idx="3">
                  <c:v>580210580</c:v>
                </c:pt>
              </c:numCache>
            </c:numRef>
          </c:val>
        </c:ser>
        <c:ser>
          <c:idx val="4"/>
          <c:order val="4"/>
          <c:tx>
            <c:strRef>
              <c:f>Graficos_Informe!$B$601:$B$604</c:f>
              <c:strCache>
                <c:ptCount val="1"/>
                <c:pt idx="0">
                  <c:v>PNC Ayudas de la administración SIN salida de efectivo 2012 PNC 2020 Ayudas de la administración SIN salida de efectivo 2020</c:v>
                </c:pt>
              </c:strCache>
            </c:strRef>
          </c:tx>
          <c:spPr>
            <a:solidFill>
              <a:srgbClr val="8099C6"/>
            </a:solidFill>
          </c:spPr>
          <c:val>
            <c:numRef>
              <c:f>Graficos_Informe!$C$601:$C$604</c:f>
              <c:numCache>
                <c:formatCode>General</c:formatCode>
                <c:ptCount val="4"/>
                <c:pt idx="0" formatCode="_-* #,##0\ _€_-;\-* #,##0\ _€_-;_-* &quot;-&quot;??\ _€_-;_-@_-">
                  <c:v>22730090</c:v>
                </c:pt>
                <c:pt idx="2" formatCode="_-* #,##0\ _€_-;\-* #,##0\ _€_-;_-* &quot;-&quot;??\ _€_-;_-@_-">
                  <c:v>17991593</c:v>
                </c:pt>
              </c:numCache>
            </c:numRef>
          </c:val>
        </c:ser>
        <c:ser>
          <c:idx val="5"/>
          <c:order val="5"/>
          <c:tx>
            <c:strRef>
              <c:f>Graficos_Informe!$B$605:$B$608</c:f>
              <c:strCache>
                <c:ptCount val="1"/>
                <c:pt idx="0">
                  <c:v>PC Ayudas de la administración SIN salida de efectivo 2012 PC 2020 Ayudas de la administración SIN salida de efectivo 2020</c:v>
                </c:pt>
              </c:strCache>
            </c:strRef>
          </c:tx>
          <c:spPr>
            <a:solidFill>
              <a:srgbClr val="BFCCE3"/>
            </a:solidFill>
          </c:spPr>
          <c:val>
            <c:numRef>
              <c:f>Graficos_Informe!$C$605:$C$608</c:f>
              <c:numCache>
                <c:formatCode>General</c:formatCode>
                <c:ptCount val="4"/>
                <c:pt idx="0" formatCode="_-* #,##0\ _€_-;\-* #,##0\ _€_-;_-* &quot;-&quot;??\ _€_-;_-@_-">
                  <c:v>43417066.535361469</c:v>
                </c:pt>
                <c:pt idx="2" formatCode="_-* #,##0\ _€_-;\-* #,##0\ _€_-;_-* &quot;-&quot;??\ _€_-;_-@_-">
                  <c:v>156338769</c:v>
                </c:pt>
              </c:numCache>
            </c:numRef>
          </c:val>
        </c:ser>
        <c:ser>
          <c:idx val="6"/>
          <c:order val="6"/>
          <c:tx>
            <c:strRef>
              <c:f>Graficos_Informe!$B$613:$B$616</c:f>
              <c:strCache>
                <c:ptCount val="1"/>
                <c:pt idx="0">
                  <c:v>Ahorro sanitario 2012 Ayudas de la administración SIN salida de efectivo 2012 Ahorro sanitario 2020 Ayudas de la administración SIN salida de efectivo 2020</c:v>
                </c:pt>
              </c:strCache>
            </c:strRef>
          </c:tx>
          <c:spPr>
            <a:solidFill>
              <a:srgbClr val="E5EAF3"/>
            </a:solidFill>
          </c:spPr>
          <c:val>
            <c:numRef>
              <c:f>Graficos_Informe!$C$613:$C$616</c:f>
              <c:numCache>
                <c:formatCode>General</c:formatCode>
                <c:ptCount val="4"/>
                <c:pt idx="0" formatCode="_-* #,##0\ _€_-;\-* #,##0\ _€_-;_-* &quot;-&quot;??\ _€_-;_-@_-">
                  <c:v>97227989</c:v>
                </c:pt>
                <c:pt idx="2" formatCode="_-* #,##0\ _€_-;\-* #,##0\ _€_-;_-* &quot;-&quot;??\ _€_-;_-@_-">
                  <c:v>350051248</c:v>
                </c:pt>
              </c:numCache>
            </c:numRef>
          </c:val>
        </c:ser>
        <c:ser>
          <c:idx val="7"/>
          <c:order val="7"/>
          <c:tx>
            <c:strRef>
              <c:f>Graficos_Informe!$B$609:$B$612</c:f>
              <c:strCache>
                <c:ptCount val="1"/>
                <c:pt idx="0">
                  <c:v>Ahorro en plazas ocupacionales 2012 Ayudas de la administración SIN salida de efectivo 2012 Ahorro en plazas ocupacionales 2020 Ayudas de la administración SIN salida de efectivo 2020</c:v>
                </c:pt>
              </c:strCache>
            </c:strRef>
          </c:tx>
          <c:spPr>
            <a:solidFill>
              <a:srgbClr val="558ED5"/>
            </a:solidFill>
          </c:spPr>
          <c:val>
            <c:numRef>
              <c:f>Graficos_Informe!$C$609:$C$612</c:f>
              <c:numCache>
                <c:formatCode>General</c:formatCode>
                <c:ptCount val="4"/>
                <c:pt idx="0" formatCode="_-* #,##0\ _€_-;\-* #,##0\ _€_-;_-* &quot;-&quot;??\ _€_-;_-@_-">
                  <c:v>135389131</c:v>
                </c:pt>
                <c:pt idx="2" formatCode="_-* #,##0\ _€_-;\-* #,##0\ _€_-;_-* &quot;-&quot;??\ _€_-;_-@_-">
                  <c:v>172075006</c:v>
                </c:pt>
              </c:numCache>
            </c:numRef>
          </c:val>
        </c:ser>
        <c:gapWidth val="55"/>
        <c:overlap val="100"/>
        <c:axId val="187077760"/>
        <c:axId val="187079296"/>
      </c:barChart>
      <c:catAx>
        <c:axId val="187077760"/>
        <c:scaling>
          <c:orientation val="minMax"/>
        </c:scaling>
        <c:delete val="1"/>
        <c:axPos val="b"/>
        <c:numFmt formatCode="General" sourceLinked="1"/>
        <c:majorTickMark val="none"/>
        <c:tickLblPos val="none"/>
        <c:crossAx val="187079296"/>
        <c:crosses val="autoZero"/>
        <c:auto val="1"/>
        <c:lblAlgn val="ctr"/>
        <c:lblOffset val="100"/>
      </c:catAx>
      <c:valAx>
        <c:axId val="187079296"/>
        <c:scaling>
          <c:orientation val="minMax"/>
        </c:scaling>
        <c:delete val="1"/>
        <c:axPos val="l"/>
        <c:numFmt formatCode="_-* #,##0\ _€_-;\-* #,##0\ _€_-;_-* &quot;-&quot;??\ _€_-;_-@_-" sourceLinked="1"/>
        <c:majorTickMark val="none"/>
        <c:tickLblPos val="none"/>
        <c:crossAx val="187077760"/>
        <c:crosses val="autoZero"/>
        <c:crossBetween val="between"/>
        <c:minorUnit val="100000000"/>
      </c:valAx>
      <c:spPr>
        <a:noFill/>
        <a:ln w="25400">
          <a:noFill/>
        </a:ln>
      </c:spPr>
    </c:plotArea>
    <c:plotVisOnly val="1"/>
  </c:chart>
  <c:spPr>
    <a:noFill/>
    <a:ln w="9525">
      <a:noFill/>
    </a:ln>
  </c:spPr>
  <c:txPr>
    <a:bodyPr/>
    <a:lstStyle/>
    <a:p>
      <a:pPr>
        <a:defRPr sz="800" b="0" i="0">
          <a:solidFill>
            <a:srgbClr val="000000"/>
          </a:solidFill>
          <a:latin typeface="MinionPro-Regular"/>
          <a:ea typeface="Arial"/>
          <a:cs typeface="Arial"/>
        </a:defRPr>
      </a:pPr>
      <a:endParaRPr lang="es-ES"/>
    </a:p>
  </c:txPr>
  <c:externalData r:id="rId1"/>
  <c:userShapes r:id="rId2"/>
</c:chartSpace>
</file>

<file path=word/charts/chart89.xml><?xml version="1.0" encoding="utf-8"?>
<c:chartSpace xmlns:c="http://schemas.openxmlformats.org/drawingml/2006/chart" xmlns:a="http://schemas.openxmlformats.org/drawingml/2006/main" xmlns:r="http://schemas.openxmlformats.org/officeDocument/2006/relationships">
  <c:date1904 val="1"/>
  <c:lang val="es-ES"/>
  <c:chart>
    <c:autoTitleDeleted val="1"/>
    <c:plotArea>
      <c:layout>
        <c:manualLayout>
          <c:layoutTarget val="inner"/>
          <c:xMode val="edge"/>
          <c:yMode val="edge"/>
          <c:x val="0.17584914397039719"/>
          <c:y val="0.12048057124128474"/>
          <c:w val="0.72749853096721129"/>
          <c:h val="0.79895252415824558"/>
        </c:manualLayout>
      </c:layout>
      <c:barChart>
        <c:barDir val="col"/>
        <c:grouping val="stacked"/>
        <c:ser>
          <c:idx val="0"/>
          <c:order val="0"/>
          <c:tx>
            <c:strRef>
              <c:f>Graficos_Informe!$B$632:$B$635</c:f>
              <c:strCache>
                <c:ptCount val="1"/>
                <c:pt idx="0">
                  <c:v>Retorno IRPF y SS 2011 Ayudas de la administración con salida de efectivo 2012 Retorno IRPF y SS 2020 Ayudas de la administración con salida de efectivo 2020</c:v>
                </c:pt>
              </c:strCache>
            </c:strRef>
          </c:tx>
          <c:spPr>
            <a:solidFill>
              <a:srgbClr val="7AB800"/>
            </a:solidFill>
            <a:ln>
              <a:noFill/>
            </a:ln>
          </c:spPr>
          <c:dPt>
            <c:idx val="0"/>
            <c:spPr>
              <a:solidFill>
                <a:srgbClr val="409DAD"/>
              </a:solidFill>
              <a:ln>
                <a:noFill/>
              </a:ln>
            </c:spPr>
          </c:dPt>
          <c:dPt>
            <c:idx val="2"/>
            <c:spPr>
              <a:solidFill>
                <a:srgbClr val="409DAD"/>
              </a:solidFill>
              <a:ln>
                <a:noFill/>
              </a:ln>
            </c:spPr>
          </c:dPt>
          <c:val>
            <c:numRef>
              <c:f>Graficos_Informe!$C$632:$C$635</c:f>
              <c:numCache>
                <c:formatCode>_-* #,##0\ _€_-;\-* #,##0\ _€_-;_-* "-"??\ _€_-;_-@_-</c:formatCode>
                <c:ptCount val="4"/>
                <c:pt idx="0">
                  <c:v>179332171</c:v>
                </c:pt>
                <c:pt idx="1">
                  <c:v>323514020.31999999</c:v>
                </c:pt>
                <c:pt idx="2">
                  <c:v>783441021</c:v>
                </c:pt>
                <c:pt idx="3">
                  <c:v>1175404087</c:v>
                </c:pt>
              </c:numCache>
            </c:numRef>
          </c:val>
        </c:ser>
        <c:ser>
          <c:idx val="2"/>
          <c:order val="1"/>
          <c:tx>
            <c:strRef>
              <c:f>Graficos_Informe!$B$636:$B$639</c:f>
              <c:strCache>
                <c:ptCount val="1"/>
                <c:pt idx="0">
                  <c:v>IVA 2011 Ayudas de la administración con salida de efectivo 2012 IVA 2020 Ayudas de la administración con salida de efectivo 2020</c:v>
                </c:pt>
              </c:strCache>
            </c:strRef>
          </c:tx>
          <c:spPr>
            <a:solidFill>
              <a:srgbClr val="B6646B"/>
            </a:solidFill>
          </c:spPr>
          <c:val>
            <c:numRef>
              <c:f>Graficos_Informe!$C$636:$C$639</c:f>
              <c:numCache>
                <c:formatCode>General</c:formatCode>
                <c:ptCount val="4"/>
                <c:pt idx="0" formatCode="_-* #,##0\ _€_-;\-* #,##0\ _€_-;_-* &quot;-&quot;??\ _€_-;_-@_-">
                  <c:v>239555473.65482041</c:v>
                </c:pt>
                <c:pt idx="2" formatCode="_-* #,##0\ _€_-;\-* #,##0\ _€_-;_-* &quot;-&quot;??\ _€_-;_-@_-">
                  <c:v>1286667324</c:v>
                </c:pt>
              </c:numCache>
            </c:numRef>
          </c:val>
        </c:ser>
        <c:ser>
          <c:idx val="3"/>
          <c:order val="2"/>
          <c:tx>
            <c:strRef>
              <c:f>Graficos_Informe!$B$640:$B$643</c:f>
              <c:strCache>
                <c:ptCount val="1"/>
                <c:pt idx="0">
                  <c:v>Impuesto sobre sociedades 2011 Ayudas de la administración con salida de efectivo 2012 Impuesto sobre sociedades 2020 Ayudas de la administración con salida de efectivo 2020</c:v>
                </c:pt>
              </c:strCache>
            </c:strRef>
          </c:tx>
          <c:spPr>
            <a:solidFill>
              <a:srgbClr val="97989A"/>
            </a:solidFill>
          </c:spPr>
          <c:val>
            <c:numRef>
              <c:f>Graficos_Informe!$C$640:$C$643</c:f>
              <c:numCache>
                <c:formatCode>General</c:formatCode>
                <c:ptCount val="4"/>
                <c:pt idx="0" formatCode="_-* #,##0\ _€_-;\-* #,##0\ _€_-;_-* &quot;-&quot;??\ _€_-;_-@_-">
                  <c:v>40700000</c:v>
                </c:pt>
                <c:pt idx="2" formatCode="_-* #,##0\ _€_-;\-* #,##0\ _€_-;_-* &quot;-&quot;??\ _€_-;_-@_-">
                  <c:v>177247534.2572161</c:v>
                </c:pt>
              </c:numCache>
            </c:numRef>
          </c:val>
        </c:ser>
        <c:ser>
          <c:idx val="1"/>
          <c:order val="3"/>
          <c:tx>
            <c:strRef>
              <c:f>Graficos_Informe!$B$644:$B$647</c:f>
              <c:strCache>
                <c:ptCount val="1"/>
                <c:pt idx="0">
                  <c:v>lismi 2012 Ayudas de la administración SIN salida de efectivo 2012 LISMI 2020 Ayudas de la administración SIN salida de efectivo 2020</c:v>
                </c:pt>
              </c:strCache>
            </c:strRef>
          </c:tx>
          <c:spPr>
            <a:solidFill>
              <a:srgbClr val="4066AA"/>
            </a:solidFill>
          </c:spPr>
          <c:dPt>
            <c:idx val="1"/>
            <c:spPr>
              <a:solidFill>
                <a:srgbClr val="9BCA40"/>
              </a:solidFill>
            </c:spPr>
          </c:dPt>
          <c:dPt>
            <c:idx val="3"/>
            <c:spPr>
              <a:solidFill>
                <a:srgbClr val="9BCA40"/>
              </a:solidFill>
            </c:spPr>
          </c:dPt>
          <c:val>
            <c:numRef>
              <c:f>Graficos_Informe!$C$644:$C$647</c:f>
              <c:numCache>
                <c:formatCode>_-* #,##0\ _€_-;\-* #,##0\ _€_-;_-* "-"??\ _€_-;_-@_-</c:formatCode>
                <c:ptCount val="4"/>
                <c:pt idx="0">
                  <c:v>1778737.2017932998</c:v>
                </c:pt>
                <c:pt idx="1">
                  <c:v>204815193</c:v>
                </c:pt>
                <c:pt idx="2">
                  <c:v>165531575</c:v>
                </c:pt>
                <c:pt idx="3">
                  <c:v>580210580</c:v>
                </c:pt>
              </c:numCache>
            </c:numRef>
          </c:val>
        </c:ser>
        <c:ser>
          <c:idx val="4"/>
          <c:order val="4"/>
          <c:tx>
            <c:strRef>
              <c:f>Graficos_Informe!$B$648:$B$651</c:f>
              <c:strCache>
                <c:ptCount val="1"/>
                <c:pt idx="0">
                  <c:v>PNC Ayudas de la administración SIN salida de efectivo 2012 PNC 2020 Ayudas de la administración SIN salida de efectivo 2020</c:v>
                </c:pt>
              </c:strCache>
            </c:strRef>
          </c:tx>
          <c:spPr>
            <a:solidFill>
              <a:srgbClr val="8099C6"/>
            </a:solidFill>
          </c:spPr>
          <c:val>
            <c:numRef>
              <c:f>Graficos_Informe!$C$648:$C$651</c:f>
              <c:numCache>
                <c:formatCode>General</c:formatCode>
                <c:ptCount val="4"/>
                <c:pt idx="0" formatCode="_-* #,##0\ _€_-;\-* #,##0\ _€_-;_-* &quot;-&quot;??\ _€_-;_-@_-">
                  <c:v>22730090</c:v>
                </c:pt>
                <c:pt idx="2" formatCode="_-* #,##0\ _€_-;\-* #,##0\ _€_-;_-* &quot;-&quot;??\ _€_-;_-@_-">
                  <c:v>17991593</c:v>
                </c:pt>
              </c:numCache>
            </c:numRef>
          </c:val>
        </c:ser>
        <c:ser>
          <c:idx val="5"/>
          <c:order val="5"/>
          <c:tx>
            <c:strRef>
              <c:f>Graficos_Informe!$B$652:$B$655</c:f>
              <c:strCache>
                <c:ptCount val="1"/>
                <c:pt idx="0">
                  <c:v>PC Ayudas de la administración SIN salida de efectivo 2012 PC 2020 Ayudas de la administración SIN salida de efectivo 2020</c:v>
                </c:pt>
              </c:strCache>
            </c:strRef>
          </c:tx>
          <c:spPr>
            <a:solidFill>
              <a:srgbClr val="BFCCE3"/>
            </a:solidFill>
          </c:spPr>
          <c:val>
            <c:numRef>
              <c:f>Graficos_Informe!$C$652:$C$655</c:f>
              <c:numCache>
                <c:formatCode>General</c:formatCode>
                <c:ptCount val="4"/>
                <c:pt idx="0" formatCode="_-* #,##0\ _€_-;\-* #,##0\ _€_-;_-* &quot;-&quot;??\ _€_-;_-@_-">
                  <c:v>43417066.535361469</c:v>
                </c:pt>
                <c:pt idx="2" formatCode="_-* #,##0\ _€_-;\-* #,##0\ _€_-;_-* &quot;-&quot;??\ _€_-;_-@_-">
                  <c:v>156338769</c:v>
                </c:pt>
              </c:numCache>
            </c:numRef>
          </c:val>
        </c:ser>
        <c:ser>
          <c:idx val="6"/>
          <c:order val="6"/>
          <c:tx>
            <c:strRef>
              <c:f>Graficos_Informe!$B$660:$B$663</c:f>
              <c:strCache>
                <c:ptCount val="1"/>
                <c:pt idx="0">
                  <c:v>Ahorro sanitario 2012 Ayudas de la administración SIN salida de efectivo 2012 Ahorro sanitario 2020 Ayudas de la administración SIN salida de efectivo 2020</c:v>
                </c:pt>
              </c:strCache>
            </c:strRef>
          </c:tx>
          <c:spPr>
            <a:solidFill>
              <a:srgbClr val="E5EAF3"/>
            </a:solidFill>
          </c:spPr>
          <c:val>
            <c:numRef>
              <c:f>Graficos_Informe!$C$660:$C$663</c:f>
              <c:numCache>
                <c:formatCode>General</c:formatCode>
                <c:ptCount val="4"/>
                <c:pt idx="0" formatCode="_-* #,##0\ _€_-;\-* #,##0\ _€_-;_-* &quot;-&quot;??\ _€_-;_-@_-">
                  <c:v>97224152</c:v>
                </c:pt>
                <c:pt idx="2" formatCode="_-* #,##0\ _€_-;\-* #,##0\ _€_-;_-* &quot;-&quot;??\ _€_-;_-@_-">
                  <c:v>350051248</c:v>
                </c:pt>
              </c:numCache>
            </c:numRef>
          </c:val>
        </c:ser>
        <c:ser>
          <c:idx val="7"/>
          <c:order val="7"/>
          <c:tx>
            <c:strRef>
              <c:f>Graficos_Informe!$B$656:$B$659</c:f>
              <c:strCache>
                <c:ptCount val="1"/>
                <c:pt idx="0">
                  <c:v>Ahorro en plazas ocupacionales 2012 Ayudas de la administración SIN salida de efectivo 2012 Ahorro en plazas ocupacionales 2020 Ayudas de la administración SIN salida de efectivo 2020</c:v>
                </c:pt>
              </c:strCache>
            </c:strRef>
          </c:tx>
          <c:spPr>
            <a:solidFill>
              <a:srgbClr val="558ED5"/>
            </a:solidFill>
          </c:spPr>
          <c:val>
            <c:numRef>
              <c:f>Graficos_Informe!$C$656:$C$659</c:f>
              <c:numCache>
                <c:formatCode>General</c:formatCode>
                <c:ptCount val="4"/>
                <c:pt idx="0" formatCode="_-* #,##0\ _€_-;\-* #,##0\ _€_-;_-* &quot;-&quot;??\ _€_-;_-@_-">
                  <c:v>135389131</c:v>
                </c:pt>
                <c:pt idx="2" formatCode="_-* #,##0\ _€_-;\-* #,##0\ _€_-;_-* &quot;-&quot;??\ _€_-;_-@_-">
                  <c:v>172075006</c:v>
                </c:pt>
              </c:numCache>
            </c:numRef>
          </c:val>
        </c:ser>
        <c:gapWidth val="55"/>
        <c:overlap val="100"/>
        <c:axId val="187328000"/>
        <c:axId val="187329536"/>
      </c:barChart>
      <c:catAx>
        <c:axId val="187328000"/>
        <c:scaling>
          <c:orientation val="minMax"/>
        </c:scaling>
        <c:delete val="1"/>
        <c:axPos val="b"/>
        <c:numFmt formatCode="General" sourceLinked="1"/>
        <c:majorTickMark val="none"/>
        <c:tickLblPos val="none"/>
        <c:crossAx val="187329536"/>
        <c:crosses val="autoZero"/>
        <c:auto val="1"/>
        <c:lblAlgn val="ctr"/>
        <c:lblOffset val="100"/>
      </c:catAx>
      <c:valAx>
        <c:axId val="187329536"/>
        <c:scaling>
          <c:orientation val="minMax"/>
        </c:scaling>
        <c:delete val="1"/>
        <c:axPos val="l"/>
        <c:numFmt formatCode="_-* #,##0\ _€_-;\-* #,##0\ _€_-;_-* &quot;-&quot;??\ _€_-;_-@_-" sourceLinked="1"/>
        <c:majorTickMark val="none"/>
        <c:tickLblPos val="none"/>
        <c:crossAx val="187328000"/>
        <c:crosses val="autoZero"/>
        <c:crossBetween val="between"/>
        <c:minorUnit val="100000000"/>
      </c:valAx>
      <c:spPr>
        <a:noFill/>
        <a:ln w="25400">
          <a:noFill/>
        </a:ln>
      </c:spPr>
    </c:plotArea>
    <c:plotVisOnly val="1"/>
  </c:chart>
  <c:spPr>
    <a:noFill/>
    <a:ln w="9525">
      <a:noFill/>
    </a:ln>
  </c:spPr>
  <c:txPr>
    <a:bodyPr/>
    <a:lstStyle/>
    <a:p>
      <a:pPr>
        <a:defRPr sz="800" b="0" i="0">
          <a:solidFill>
            <a:srgbClr val="000000"/>
          </a:solidFill>
          <a:latin typeface="MinionPro-Regular"/>
          <a:ea typeface="Arial"/>
          <a:cs typeface="Arial"/>
        </a:defRPr>
      </a:pPr>
      <a:endParaRPr lang="es-ES"/>
    </a:p>
  </c:txPr>
  <c:externalData r:id="rId1"/>
  <c:userShapes r:id="rId2"/>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es-ES"/>
  <c:chart>
    <c:autoTitleDeleted val="1"/>
    <c:plotArea>
      <c:layout>
        <c:manualLayout>
          <c:layoutTarget val="inner"/>
          <c:xMode val="edge"/>
          <c:yMode val="edge"/>
          <c:x val="0.1793023622047244"/>
          <c:y val="9.3624910522549495E-2"/>
          <c:w val="0.71526906636670462"/>
          <c:h val="0.66764030064424396"/>
        </c:manualLayout>
      </c:layout>
      <c:lineChart>
        <c:grouping val="standard"/>
        <c:ser>
          <c:idx val="1"/>
          <c:order val="0"/>
          <c:tx>
            <c:strRef>
              <c:f>Comparativa!$B$12</c:f>
              <c:strCache>
                <c:ptCount val="1"/>
                <c:pt idx="0">
                  <c:v>Demandantes de empleo de PCD</c:v>
                </c:pt>
              </c:strCache>
            </c:strRef>
          </c:tx>
          <c:spPr>
            <a:ln w="19050">
              <a:solidFill>
                <a:schemeClr val="accent3"/>
              </a:solidFill>
            </a:ln>
          </c:spPr>
          <c:marker>
            <c:spPr>
              <a:solidFill>
                <a:schemeClr val="accent3"/>
              </a:solidFill>
              <a:ln>
                <a:solidFill>
                  <a:srgbClr val="9BBB59"/>
                </a:solidFill>
              </a:ln>
            </c:spPr>
          </c:marker>
          <c:dLbls>
            <c:dLbl>
              <c:idx val="0"/>
              <c:layout>
                <c:manualLayout>
                  <c:x val="-3.7142857142857151E-2"/>
                  <c:y val="3.6363636363636279E-2"/>
                </c:manualLayout>
              </c:layout>
              <c:showVal val="1"/>
            </c:dLbl>
            <c:dLbl>
              <c:idx val="1"/>
              <c:layout>
                <c:manualLayout>
                  <c:x val="-4.2857142857142913E-2"/>
                  <c:y val="-4.5454545454545463E-2"/>
                </c:manualLayout>
              </c:layout>
              <c:showVal val="1"/>
            </c:dLbl>
            <c:dLbl>
              <c:idx val="2"/>
              <c:layout>
                <c:manualLayout>
                  <c:x val="-5.1428571428571428E-2"/>
                  <c:y val="4.0909090909090923E-2"/>
                </c:manualLayout>
              </c:layout>
              <c:showVal val="1"/>
            </c:dLbl>
            <c:dLbl>
              <c:idx val="3"/>
              <c:layout>
                <c:manualLayout>
                  <c:x val="-5.1428571428571483E-2"/>
                  <c:y val="-5.4545454545454515E-2"/>
                </c:manualLayout>
              </c:layout>
              <c:showVal val="1"/>
            </c:dLbl>
            <c:dLbl>
              <c:idx val="4"/>
              <c:layout>
                <c:manualLayout>
                  <c:x val="-4.0000000000000063E-2"/>
                  <c:y val="5.4545454545454515E-2"/>
                </c:manualLayout>
              </c:layout>
              <c:showVal val="1"/>
            </c:dLbl>
            <c:dLbl>
              <c:idx val="5"/>
              <c:layout>
                <c:manualLayout>
                  <c:x val="-2.5714285714285714E-2"/>
                  <c:y val="-4.0909090909090923E-2"/>
                </c:manualLayout>
              </c:layout>
              <c:showVal val="1"/>
            </c:dLbl>
            <c:dLbl>
              <c:idx val="6"/>
              <c:layout>
                <c:manualLayout>
                  <c:x val="5.7142857142857143E-3"/>
                  <c:y val="-4.0909090909090992E-2"/>
                </c:manualLayout>
              </c:layout>
              <c:tx>
                <c:rich>
                  <a:bodyPr/>
                  <a:lstStyle/>
                  <a:p>
                    <a:r>
                      <a:rPr lang="en-US"/>
                      <a:t>ND</a:t>
                    </a:r>
                  </a:p>
                </c:rich>
              </c:tx>
              <c:showVal val="1"/>
            </c:dLbl>
            <c:dLbl>
              <c:idx val="7"/>
              <c:layout>
                <c:manualLayout>
                  <c:x val="-1.4285714285714285E-2"/>
                  <c:y val="0.05"/>
                </c:manualLayout>
              </c:layout>
              <c:showVal val="1"/>
            </c:dLbl>
            <c:dLbl>
              <c:idx val="12"/>
              <c:layout>
                <c:manualLayout>
                  <c:x val="-5.7142857142857143E-3"/>
                  <c:y val="-4.0909090909090923E-2"/>
                </c:manualLayout>
              </c:layout>
              <c:showVal val="1"/>
            </c:dLbl>
            <c:showVal val="1"/>
          </c:dLbls>
          <c:cat>
            <c:numRef>
              <c:f>Comparativa!$C$10:$O$10</c:f>
              <c:numCache>
                <c:formatCode>General</c:formatCode>
                <c:ptCount val="13"/>
                <c:pt idx="0">
                  <c:v>1999</c:v>
                </c:pt>
                <c:pt idx="1">
                  <c:v>2000</c:v>
                </c:pt>
                <c:pt idx="2">
                  <c:v>2001</c:v>
                </c:pt>
                <c:pt idx="3">
                  <c:v>2002</c:v>
                </c:pt>
                <c:pt idx="4">
                  <c:v>2003</c:v>
                </c:pt>
                <c:pt idx="5">
                  <c:v>2004</c:v>
                </c:pt>
                <c:pt idx="6">
                  <c:v>2005</c:v>
                </c:pt>
                <c:pt idx="7">
                  <c:v>2006</c:v>
                </c:pt>
                <c:pt idx="8">
                  <c:v>2007</c:v>
                </c:pt>
                <c:pt idx="9">
                  <c:v>2008</c:v>
                </c:pt>
                <c:pt idx="10">
                  <c:v>2009</c:v>
                </c:pt>
                <c:pt idx="11">
                  <c:v>2010</c:v>
                </c:pt>
                <c:pt idx="12">
                  <c:v>2011</c:v>
                </c:pt>
              </c:numCache>
            </c:numRef>
          </c:cat>
          <c:val>
            <c:numRef>
              <c:f>Comparativa!$C$12:$O$12</c:f>
              <c:numCache>
                <c:formatCode>#,##0.0</c:formatCode>
                <c:ptCount val="13"/>
                <c:pt idx="0">
                  <c:v>46.287000000000006</c:v>
                </c:pt>
                <c:pt idx="1">
                  <c:v>48.836000000000006</c:v>
                </c:pt>
                <c:pt idx="2">
                  <c:v>46.624000000000002</c:v>
                </c:pt>
                <c:pt idx="3">
                  <c:v>51.684000000000005</c:v>
                </c:pt>
                <c:pt idx="4">
                  <c:v>56.058</c:v>
                </c:pt>
                <c:pt idx="5">
                  <c:v>62.405000000000001</c:v>
                </c:pt>
                <c:pt idx="6">
                  <c:v>0</c:v>
                </c:pt>
                <c:pt idx="7">
                  <c:v>75.661000000000001</c:v>
                </c:pt>
                <c:pt idx="8">
                  <c:v>84.893000000000001</c:v>
                </c:pt>
                <c:pt idx="9">
                  <c:v>65.891999999999996</c:v>
                </c:pt>
                <c:pt idx="10">
                  <c:v>80.921999999999997</c:v>
                </c:pt>
                <c:pt idx="11">
                  <c:v>93.245000000000005</c:v>
                </c:pt>
                <c:pt idx="12">
                  <c:v>110.15799999999999</c:v>
                </c:pt>
              </c:numCache>
            </c:numRef>
          </c:val>
        </c:ser>
        <c:marker val="1"/>
        <c:axId val="207711616"/>
        <c:axId val="207725696"/>
      </c:lineChart>
      <c:catAx>
        <c:axId val="207711616"/>
        <c:scaling>
          <c:orientation val="minMax"/>
        </c:scaling>
        <c:axPos val="b"/>
        <c:numFmt formatCode="General" sourceLinked="1"/>
        <c:tickLblPos val="low"/>
        <c:spPr>
          <a:ln w="3175">
            <a:solidFill>
              <a:srgbClr val="000000"/>
            </a:solidFill>
            <a:prstDash val="solid"/>
          </a:ln>
        </c:spPr>
        <c:crossAx val="207725696"/>
        <c:crosses val="autoZero"/>
        <c:auto val="1"/>
        <c:lblAlgn val="ctr"/>
        <c:lblOffset val="100"/>
      </c:catAx>
      <c:valAx>
        <c:axId val="207725696"/>
        <c:scaling>
          <c:orientation val="minMax"/>
          <c:max val="125"/>
          <c:min val="0"/>
        </c:scaling>
        <c:axPos val="l"/>
        <c:title>
          <c:tx>
            <c:rich>
              <a:bodyPr rot="-5400000" vert="horz"/>
              <a:lstStyle/>
              <a:p>
                <a:pPr>
                  <a:defRPr/>
                </a:pPr>
                <a:r>
                  <a:rPr lang="en-US"/>
                  <a:t>Número</a:t>
                </a:r>
                <a:r>
                  <a:rPr lang="en-US" baseline="0"/>
                  <a:t> de demandantes de </a:t>
                </a:r>
              </a:p>
              <a:p>
                <a:pPr>
                  <a:defRPr/>
                </a:pPr>
                <a:r>
                  <a:rPr lang="en-US" baseline="0"/>
                  <a:t>empleo personas con discapacidad</a:t>
                </a:r>
              </a:p>
              <a:p>
                <a:pPr>
                  <a:defRPr/>
                </a:pPr>
                <a:r>
                  <a:rPr lang="en-US" baseline="0"/>
                  <a:t> (miles</a:t>
                </a:r>
                <a:r>
                  <a:rPr lang="en-US"/>
                  <a:t>)</a:t>
                </a:r>
              </a:p>
            </c:rich>
          </c:tx>
          <c:layout>
            <c:manualLayout>
              <c:xMode val="edge"/>
              <c:yMode val="edge"/>
              <c:x val="2.0804521406717853E-2"/>
              <c:y val="0.15647924123121124"/>
            </c:manualLayout>
          </c:layout>
        </c:title>
        <c:numFmt formatCode="#,##0.0" sourceLinked="1"/>
        <c:tickLblPos val="nextTo"/>
        <c:spPr>
          <a:ln w="3175">
            <a:solidFill>
              <a:srgbClr val="000000"/>
            </a:solidFill>
            <a:prstDash val="solid"/>
          </a:ln>
        </c:spPr>
        <c:crossAx val="207711616"/>
        <c:crosses val="autoZero"/>
        <c:crossBetween val="between"/>
        <c:minorUnit val="20"/>
      </c:valAx>
      <c:spPr>
        <a:noFill/>
        <a:ln w="25400">
          <a:noFill/>
        </a:ln>
      </c:spPr>
    </c:plotArea>
    <c:legend>
      <c:legendPos val="b"/>
      <c:layout>
        <c:manualLayout>
          <c:xMode val="edge"/>
          <c:yMode val="edge"/>
          <c:x val="0.18000000000000024"/>
          <c:y val="0.8954545454545455"/>
          <c:w val="0.71272575928009663"/>
          <c:h val="9.4050823192556934E-2"/>
        </c:manualLayout>
      </c:layout>
      <c:spPr>
        <a:noFill/>
        <a:ln w="25400">
          <a:noFill/>
        </a:ln>
      </c:spPr>
    </c:legend>
    <c:plotVisOnly val="1"/>
    <c:dispBlanksAs val="gap"/>
  </c:chart>
  <c:spPr>
    <a:noFill/>
    <a:ln w="9525">
      <a:noFill/>
    </a:ln>
  </c:spPr>
  <c:txPr>
    <a:bodyPr/>
    <a:lstStyle/>
    <a:p>
      <a:pPr>
        <a:defRPr sz="800" b="0" i="0">
          <a:solidFill>
            <a:srgbClr val="000000"/>
          </a:solidFill>
          <a:latin typeface="MinionPro-Regular"/>
          <a:ea typeface="Arial"/>
          <a:cs typeface="Arial"/>
        </a:defRPr>
      </a:pPr>
      <a:endParaRPr lang="es-ES"/>
    </a:p>
  </c:txPr>
  <c:externalData r:id="rId1"/>
</c:chartSpace>
</file>

<file path=word/charts/chart90.xml><?xml version="1.0" encoding="utf-8"?>
<c:chartSpace xmlns:c="http://schemas.openxmlformats.org/drawingml/2006/chart" xmlns:a="http://schemas.openxmlformats.org/drawingml/2006/main" xmlns:r="http://schemas.openxmlformats.org/officeDocument/2006/relationships">
  <c:date1904 val="1"/>
  <c:lang val="es-ES"/>
  <c:chart>
    <c:autoTitleDeleted val="1"/>
    <c:plotArea>
      <c:layout>
        <c:manualLayout>
          <c:layoutTarget val="inner"/>
          <c:xMode val="edge"/>
          <c:yMode val="edge"/>
          <c:x val="0.17183776418956448"/>
          <c:y val="9.5060934571956843E-2"/>
          <c:w val="0.72749853096721129"/>
          <c:h val="0.79895252415824558"/>
        </c:manualLayout>
      </c:layout>
      <c:barChart>
        <c:barDir val="col"/>
        <c:grouping val="stacked"/>
        <c:ser>
          <c:idx val="0"/>
          <c:order val="0"/>
          <c:tx>
            <c:strRef>
              <c:f>Graficos_Informe!$B$682:$B$685</c:f>
              <c:strCache>
                <c:ptCount val="1"/>
                <c:pt idx="0">
                  <c:v>Retorno IRPF y SS 2011 Ayudas de la administración con salida de efectivo 2012 Retorno IRPF y SS 2020 Ayudas de la administración con salida de efectivo 2020</c:v>
                </c:pt>
              </c:strCache>
            </c:strRef>
          </c:tx>
          <c:spPr>
            <a:solidFill>
              <a:srgbClr val="7AB800"/>
            </a:solidFill>
            <a:ln>
              <a:noFill/>
            </a:ln>
          </c:spPr>
          <c:dPt>
            <c:idx val="0"/>
            <c:spPr>
              <a:solidFill>
                <a:srgbClr val="409DAD"/>
              </a:solidFill>
              <a:ln>
                <a:noFill/>
              </a:ln>
            </c:spPr>
          </c:dPt>
          <c:dPt>
            <c:idx val="2"/>
            <c:spPr>
              <a:solidFill>
                <a:srgbClr val="409DAD"/>
              </a:solidFill>
              <a:ln>
                <a:noFill/>
              </a:ln>
            </c:spPr>
          </c:dPt>
          <c:val>
            <c:numRef>
              <c:f>Graficos_Informe!$C$682:$C$685</c:f>
              <c:numCache>
                <c:formatCode>_-* #,##0\ _€_-;\-* #,##0\ _€_-;_-* "-"??\ _€_-;_-@_-</c:formatCode>
                <c:ptCount val="4"/>
                <c:pt idx="0">
                  <c:v>179332171</c:v>
                </c:pt>
                <c:pt idx="1">
                  <c:v>323514020.31999999</c:v>
                </c:pt>
                <c:pt idx="2">
                  <c:v>921204512</c:v>
                </c:pt>
                <c:pt idx="3">
                  <c:v>1175404087</c:v>
                </c:pt>
              </c:numCache>
            </c:numRef>
          </c:val>
        </c:ser>
        <c:ser>
          <c:idx val="2"/>
          <c:order val="1"/>
          <c:tx>
            <c:strRef>
              <c:f>Graficos_Informe!$B$686:$B$689</c:f>
              <c:strCache>
                <c:ptCount val="1"/>
                <c:pt idx="0">
                  <c:v>IVA 2011 Ayudas de la administración con salida de efectivo 2012 IVA 2020 Ayudas de la administración con salida de efectivo 2020</c:v>
                </c:pt>
              </c:strCache>
            </c:strRef>
          </c:tx>
          <c:spPr>
            <a:solidFill>
              <a:srgbClr val="B6646B"/>
            </a:solidFill>
          </c:spPr>
          <c:val>
            <c:numRef>
              <c:f>Graficos_Informe!$C$686:$C$689</c:f>
              <c:numCache>
                <c:formatCode>General</c:formatCode>
                <c:ptCount val="4"/>
                <c:pt idx="0" formatCode="_-* #,##0\ _€_-;\-* #,##0\ _€_-;_-* &quot;-&quot;??\ _€_-;_-@_-">
                  <c:v>239555473.65482041</c:v>
                </c:pt>
                <c:pt idx="2" formatCode="_-* #,##0\ _€_-;\-* #,##0\ _€_-;_-* &quot;-&quot;??\ _€_-;_-@_-">
                  <c:v>1303446918</c:v>
                </c:pt>
              </c:numCache>
            </c:numRef>
          </c:val>
        </c:ser>
        <c:ser>
          <c:idx val="3"/>
          <c:order val="2"/>
          <c:tx>
            <c:strRef>
              <c:f>Graficos_Informe!$B$690:$B$693</c:f>
              <c:strCache>
                <c:ptCount val="1"/>
                <c:pt idx="0">
                  <c:v>Impuesto sobre sociedades 2011 Ayudas de la administración con salida de efectivo 2012 Impuesto sobre sociedades 2020 Ayudas de la administración con salida de efectivo 2020</c:v>
                </c:pt>
              </c:strCache>
            </c:strRef>
          </c:tx>
          <c:spPr>
            <a:solidFill>
              <a:srgbClr val="97989A"/>
            </a:solidFill>
          </c:spPr>
          <c:val>
            <c:numRef>
              <c:f>Graficos_Informe!$C$690:$C$693</c:f>
              <c:numCache>
                <c:formatCode>General</c:formatCode>
                <c:ptCount val="4"/>
                <c:pt idx="0" formatCode="_-* #,##0\ _€_-;\-* #,##0\ _€_-;_-* &quot;-&quot;??\ _€_-;_-@_-">
                  <c:v>40700000</c:v>
                </c:pt>
                <c:pt idx="2" formatCode="_-* #,##0\ _€_-;\-* #,##0\ _€_-;_-* &quot;-&quot;??\ _€_-;_-@_-">
                  <c:v>177247534.2572161</c:v>
                </c:pt>
              </c:numCache>
            </c:numRef>
          </c:val>
        </c:ser>
        <c:ser>
          <c:idx val="1"/>
          <c:order val="3"/>
          <c:tx>
            <c:strRef>
              <c:f>Graficos_Informe!$B$694:$B$697</c:f>
              <c:strCache>
                <c:ptCount val="1"/>
                <c:pt idx="0">
                  <c:v>lismi 2012 Ayudas de la administración SIN salida de efectivo 2012 LISMI 2020 Ayudas de la administración SIN salida de efectivo 2020</c:v>
                </c:pt>
              </c:strCache>
            </c:strRef>
          </c:tx>
          <c:spPr>
            <a:solidFill>
              <a:srgbClr val="4066AA"/>
            </a:solidFill>
          </c:spPr>
          <c:dPt>
            <c:idx val="1"/>
            <c:spPr>
              <a:solidFill>
                <a:srgbClr val="9BCA40"/>
              </a:solidFill>
            </c:spPr>
          </c:dPt>
          <c:dPt>
            <c:idx val="3"/>
            <c:spPr>
              <a:solidFill>
                <a:srgbClr val="9BCA40"/>
              </a:solidFill>
            </c:spPr>
          </c:dPt>
          <c:val>
            <c:numRef>
              <c:f>Graficos_Informe!$C$694:$C$697</c:f>
              <c:numCache>
                <c:formatCode>_-* #,##0\ _€_-;\-* #,##0\ _€_-;_-* "-"??\ _€_-;_-@_-</c:formatCode>
                <c:ptCount val="4"/>
                <c:pt idx="0">
                  <c:v>1778737.2017932998</c:v>
                </c:pt>
                <c:pt idx="1">
                  <c:v>204815193</c:v>
                </c:pt>
                <c:pt idx="2">
                  <c:v>165531575</c:v>
                </c:pt>
                <c:pt idx="3">
                  <c:v>580210580</c:v>
                </c:pt>
              </c:numCache>
            </c:numRef>
          </c:val>
        </c:ser>
        <c:ser>
          <c:idx val="4"/>
          <c:order val="4"/>
          <c:tx>
            <c:strRef>
              <c:f>Graficos_Informe!$B$698:$B$701</c:f>
              <c:strCache>
                <c:ptCount val="1"/>
                <c:pt idx="0">
                  <c:v>PNC Ayudas de la administración SIN salida de efectivo 2012 PNC 2020 Ayudas de la administración SIN salida de efectivo 2020</c:v>
                </c:pt>
              </c:strCache>
            </c:strRef>
          </c:tx>
          <c:spPr>
            <a:solidFill>
              <a:srgbClr val="8099C6"/>
            </a:solidFill>
          </c:spPr>
          <c:val>
            <c:numRef>
              <c:f>Graficos_Informe!$C$698:$C$701</c:f>
              <c:numCache>
                <c:formatCode>General</c:formatCode>
                <c:ptCount val="4"/>
                <c:pt idx="0" formatCode="_-* #,##0\ _€_-;\-* #,##0\ _€_-;_-* &quot;-&quot;??\ _€_-;_-@_-">
                  <c:v>22730090</c:v>
                </c:pt>
                <c:pt idx="2" formatCode="_-* #,##0\ _€_-;\-* #,##0\ _€_-;_-* &quot;-&quot;??\ _€_-;_-@_-">
                  <c:v>17991593</c:v>
                </c:pt>
              </c:numCache>
            </c:numRef>
          </c:val>
        </c:ser>
        <c:ser>
          <c:idx val="5"/>
          <c:order val="5"/>
          <c:tx>
            <c:strRef>
              <c:f>Graficos_Informe!$B$702:$B$705</c:f>
              <c:strCache>
                <c:ptCount val="1"/>
                <c:pt idx="0">
                  <c:v>PC Ayudas de la administración SIN salida de efectivo 2012 PC 2020 Ayudas de la administración SIN salida de efectivo 2020</c:v>
                </c:pt>
              </c:strCache>
            </c:strRef>
          </c:tx>
          <c:spPr>
            <a:solidFill>
              <a:srgbClr val="BFCCE3"/>
            </a:solidFill>
          </c:spPr>
          <c:val>
            <c:numRef>
              <c:f>Graficos_Informe!$C$702:$C$705</c:f>
              <c:numCache>
                <c:formatCode>General</c:formatCode>
                <c:ptCount val="4"/>
                <c:pt idx="0" formatCode="_-* #,##0\ _€_-;\-* #,##0\ _€_-;_-* &quot;-&quot;??\ _€_-;_-@_-">
                  <c:v>43417066.535361469</c:v>
                </c:pt>
                <c:pt idx="2" formatCode="_-* #,##0\ _€_-;\-* #,##0\ _€_-;_-* &quot;-&quot;??\ _€_-;_-@_-">
                  <c:v>156556718</c:v>
                </c:pt>
              </c:numCache>
            </c:numRef>
          </c:val>
        </c:ser>
        <c:ser>
          <c:idx val="6"/>
          <c:order val="6"/>
          <c:tx>
            <c:strRef>
              <c:f>Graficos_Informe!$B$710:$B$713</c:f>
              <c:strCache>
                <c:ptCount val="1"/>
                <c:pt idx="0">
                  <c:v>Ahorro sanitario 2012 Ayudas de la administración SIN salida de efectivo 2012 Ahorro sanitario 2020 Ayudas de la administración SIN salida de efectivo 2020</c:v>
                </c:pt>
              </c:strCache>
            </c:strRef>
          </c:tx>
          <c:spPr>
            <a:solidFill>
              <a:srgbClr val="E5EAF3"/>
            </a:solidFill>
          </c:spPr>
          <c:val>
            <c:numRef>
              <c:f>Graficos_Informe!$C$710:$C$713</c:f>
              <c:numCache>
                <c:formatCode>General</c:formatCode>
                <c:ptCount val="4"/>
                <c:pt idx="0" formatCode="_-* #,##0\ _€_-;\-* #,##0\ _€_-;_-* &quot;-&quot;??\ _€_-;_-@_-">
                  <c:v>97224152</c:v>
                </c:pt>
                <c:pt idx="2" formatCode="_-* #,##0\ _€_-;\-* #,##0\ _€_-;_-* &quot;-&quot;??\ _€_-;_-@_-">
                  <c:v>350051248</c:v>
                </c:pt>
              </c:numCache>
            </c:numRef>
          </c:val>
        </c:ser>
        <c:ser>
          <c:idx val="7"/>
          <c:order val="7"/>
          <c:tx>
            <c:strRef>
              <c:f>Graficos_Informe!$B$706:$B$709</c:f>
              <c:strCache>
                <c:ptCount val="1"/>
                <c:pt idx="0">
                  <c:v>Ahorro en plazas ocupacionales 2012 Ayudas de la administración SIN salida de efectivo 2012 Ahorro en plazas ocupacionales 2020 Ayudas de la administración SIN salida de efectivo 2020</c:v>
                </c:pt>
              </c:strCache>
            </c:strRef>
          </c:tx>
          <c:spPr>
            <a:solidFill>
              <a:srgbClr val="558ED5"/>
            </a:solidFill>
          </c:spPr>
          <c:val>
            <c:numRef>
              <c:f>Graficos_Informe!$C$706:$C$709</c:f>
              <c:numCache>
                <c:formatCode>General</c:formatCode>
                <c:ptCount val="4"/>
                <c:pt idx="0" formatCode="_-* #,##0\ _€_-;\-* #,##0\ _€_-;_-* &quot;-&quot;??\ _€_-;_-@_-">
                  <c:v>135389131</c:v>
                </c:pt>
                <c:pt idx="2" formatCode="_-* #,##0\ _€_-;\-* #,##0\ _€_-;_-* &quot;-&quot;??\ _€_-;_-@_-">
                  <c:v>172075006</c:v>
                </c:pt>
              </c:numCache>
            </c:numRef>
          </c:val>
        </c:ser>
        <c:gapWidth val="55"/>
        <c:overlap val="100"/>
        <c:axId val="189069184"/>
        <c:axId val="189070720"/>
      </c:barChart>
      <c:catAx>
        <c:axId val="189069184"/>
        <c:scaling>
          <c:orientation val="minMax"/>
        </c:scaling>
        <c:delete val="1"/>
        <c:axPos val="b"/>
        <c:numFmt formatCode="General" sourceLinked="1"/>
        <c:majorTickMark val="none"/>
        <c:tickLblPos val="none"/>
        <c:crossAx val="189070720"/>
        <c:crosses val="autoZero"/>
        <c:auto val="1"/>
        <c:lblAlgn val="ctr"/>
        <c:lblOffset val="100"/>
      </c:catAx>
      <c:valAx>
        <c:axId val="189070720"/>
        <c:scaling>
          <c:orientation val="minMax"/>
        </c:scaling>
        <c:delete val="1"/>
        <c:axPos val="l"/>
        <c:numFmt formatCode="_-* #,##0\ _€_-;\-* #,##0\ _€_-;_-* &quot;-&quot;??\ _€_-;_-@_-" sourceLinked="1"/>
        <c:majorTickMark val="none"/>
        <c:tickLblPos val="none"/>
        <c:crossAx val="189069184"/>
        <c:crosses val="autoZero"/>
        <c:crossBetween val="between"/>
        <c:minorUnit val="100000000"/>
      </c:valAx>
      <c:spPr>
        <a:noFill/>
        <a:ln w="25400">
          <a:noFill/>
        </a:ln>
      </c:spPr>
    </c:plotArea>
    <c:plotVisOnly val="1"/>
  </c:chart>
  <c:spPr>
    <a:noFill/>
    <a:ln w="9525">
      <a:noFill/>
    </a:ln>
  </c:spPr>
  <c:txPr>
    <a:bodyPr/>
    <a:lstStyle/>
    <a:p>
      <a:pPr>
        <a:defRPr sz="800" b="0" i="0">
          <a:solidFill>
            <a:srgbClr val="000000"/>
          </a:solidFill>
          <a:latin typeface="MinionPro-Regular"/>
          <a:ea typeface="Arial"/>
          <a:cs typeface="Arial"/>
        </a:defRPr>
      </a:pPr>
      <a:endParaRPr lang="es-ES"/>
    </a:p>
  </c:txPr>
  <c:externalData r:id="rId1"/>
</c:chartSpace>
</file>

<file path=word/charts/chart91.xml><?xml version="1.0" encoding="utf-8"?>
<c:chartSpace xmlns:c="http://schemas.openxmlformats.org/drawingml/2006/chart" xmlns:a="http://schemas.openxmlformats.org/drawingml/2006/main" xmlns:r="http://schemas.openxmlformats.org/officeDocument/2006/relationships">
  <c:lang val="es-ES"/>
  <c:chart>
    <c:autoTitleDeleted val="1"/>
    <c:plotArea>
      <c:layout>
        <c:manualLayout>
          <c:layoutTarget val="inner"/>
          <c:xMode val="edge"/>
          <c:yMode val="edge"/>
          <c:x val="0.29747770334678741"/>
          <c:y val="0.22998854688618622"/>
          <c:w val="0.49058335208098985"/>
          <c:h val="0.44491302791696491"/>
        </c:manualLayout>
      </c:layout>
      <c:lineChart>
        <c:grouping val="standard"/>
        <c:ser>
          <c:idx val="0"/>
          <c:order val="0"/>
          <c:tx>
            <c:strRef>
              <c:f>'Retorno directo'!$B$24</c:f>
              <c:strCache>
                <c:ptCount val="1"/>
                <c:pt idx="0">
                  <c:v>Porcentaje de PCD ocupadas del total de PCD activas</c:v>
                </c:pt>
              </c:strCache>
            </c:strRef>
          </c:tx>
          <c:spPr>
            <a:ln w="15875">
              <a:prstDash val="sysDash"/>
            </a:ln>
          </c:spPr>
          <c:dLbls>
            <c:dLbl>
              <c:idx val="0"/>
              <c:layout>
                <c:manualLayout>
                  <c:x val="-4.5577636128817534E-3"/>
                  <c:y val="4.2738725841088926E-2"/>
                </c:manualLayout>
              </c:layout>
              <c:dLblPos val="r"/>
              <c:showVal val="1"/>
            </c:dLbl>
            <c:dLbl>
              <c:idx val="1"/>
              <c:layout>
                <c:manualLayout>
                  <c:x val="-1.6651489992322441E-2"/>
                  <c:y val="5.6375089477451686E-2"/>
                </c:manualLayout>
              </c:layout>
              <c:dLblPos val="r"/>
              <c:showVal val="1"/>
            </c:dLbl>
            <c:dLblPos val="t"/>
            <c:showVal val="1"/>
          </c:dLbls>
          <c:cat>
            <c:numRef>
              <c:f>'Retorno directo'!$C$23:$D$23</c:f>
              <c:numCache>
                <c:formatCode>General</c:formatCode>
                <c:ptCount val="2"/>
                <c:pt idx="0">
                  <c:v>2011</c:v>
                </c:pt>
                <c:pt idx="1">
                  <c:v>2020</c:v>
                </c:pt>
              </c:numCache>
            </c:numRef>
          </c:cat>
          <c:val>
            <c:numRef>
              <c:f>'Retorno directo'!$C$24:$D$24</c:f>
              <c:numCache>
                <c:formatCode>0%</c:formatCode>
                <c:ptCount val="2"/>
                <c:pt idx="0">
                  <c:v>0.26900000000000002</c:v>
                </c:pt>
                <c:pt idx="1">
                  <c:v>0.74000000000000299</c:v>
                </c:pt>
              </c:numCache>
            </c:numRef>
          </c:val>
        </c:ser>
        <c:marker val="1"/>
        <c:axId val="189086336"/>
        <c:axId val="189309312"/>
      </c:lineChart>
      <c:catAx>
        <c:axId val="189086336"/>
        <c:scaling>
          <c:orientation val="minMax"/>
        </c:scaling>
        <c:axPos val="b"/>
        <c:numFmt formatCode="General" sourceLinked="1"/>
        <c:tickLblPos val="low"/>
        <c:spPr>
          <a:ln w="3175">
            <a:solidFill>
              <a:srgbClr val="000000"/>
            </a:solidFill>
            <a:prstDash val="solid"/>
          </a:ln>
        </c:spPr>
        <c:crossAx val="189309312"/>
        <c:crosses val="autoZero"/>
        <c:auto val="1"/>
        <c:lblAlgn val="ctr"/>
        <c:lblOffset val="100"/>
      </c:catAx>
      <c:valAx>
        <c:axId val="189309312"/>
        <c:scaling>
          <c:orientation val="minMax"/>
        </c:scaling>
        <c:axPos val="l"/>
        <c:title>
          <c:tx>
            <c:rich>
              <a:bodyPr rot="-5400000" vert="horz"/>
              <a:lstStyle/>
              <a:p>
                <a:pPr>
                  <a:defRPr/>
                </a:pPr>
                <a:r>
                  <a:rPr lang="en-US"/>
                  <a:t>Personas con discapacidad </a:t>
                </a:r>
              </a:p>
              <a:p>
                <a:pPr>
                  <a:defRPr/>
                </a:pPr>
                <a:r>
                  <a:rPr lang="en-US"/>
                  <a:t>ocupadas (%)</a:t>
                </a:r>
              </a:p>
            </c:rich>
          </c:tx>
          <c:layout>
            <c:manualLayout>
              <c:xMode val="edge"/>
              <c:yMode val="edge"/>
              <c:x val="0.11944072515223222"/>
              <c:y val="0.15876645946841403"/>
            </c:manualLayout>
          </c:layout>
        </c:title>
        <c:numFmt formatCode="0%" sourceLinked="1"/>
        <c:tickLblPos val="nextTo"/>
        <c:spPr>
          <a:ln w="3175">
            <a:solidFill>
              <a:srgbClr val="000000"/>
            </a:solidFill>
            <a:prstDash val="solid"/>
          </a:ln>
        </c:spPr>
        <c:crossAx val="189086336"/>
        <c:crosses val="autoZero"/>
        <c:crossBetween val="midCat"/>
      </c:valAx>
      <c:spPr>
        <a:noFill/>
        <a:ln w="25400">
          <a:noFill/>
        </a:ln>
      </c:spPr>
    </c:plotArea>
    <c:legend>
      <c:legendPos val="b"/>
      <c:layout>
        <c:manualLayout>
          <c:xMode val="edge"/>
          <c:yMode val="edge"/>
          <c:x val="3.6428346456692982E-2"/>
          <c:y val="0.83636363636363664"/>
          <c:w val="0.88928593925759281"/>
          <c:h val="6.7479957050823533E-2"/>
        </c:manualLayout>
      </c:layout>
      <c:spPr>
        <a:noFill/>
        <a:ln w="25400">
          <a:noFill/>
        </a:ln>
      </c:spPr>
    </c:legend>
    <c:plotVisOnly val="1"/>
  </c:chart>
  <c:spPr>
    <a:noFill/>
    <a:ln w="9525">
      <a:noFill/>
    </a:ln>
  </c:spPr>
  <c:txPr>
    <a:bodyPr/>
    <a:lstStyle/>
    <a:p>
      <a:pPr>
        <a:defRPr sz="900" b="0" i="0">
          <a:solidFill>
            <a:srgbClr val="000000"/>
          </a:solidFill>
          <a:latin typeface="MinionPro-Regular"/>
          <a:ea typeface="Arial"/>
          <a:cs typeface="Arial"/>
        </a:defRPr>
      </a:pPr>
      <a:endParaRPr lang="es-ES"/>
    </a:p>
  </c:txPr>
  <c:externalData r:id="rId1"/>
  <c:userShapes r:id="rId2"/>
</c:chartSpace>
</file>

<file path=word/charts/chart92.xml><?xml version="1.0" encoding="utf-8"?>
<c:chartSpace xmlns:c="http://schemas.openxmlformats.org/drawingml/2006/chart" xmlns:a="http://schemas.openxmlformats.org/drawingml/2006/main" xmlns:r="http://schemas.openxmlformats.org/officeDocument/2006/relationships">
  <c:date1904 val="1"/>
  <c:lang val="es-ES"/>
  <c:chart>
    <c:title>
      <c:tx>
        <c:rich>
          <a:bodyPr/>
          <a:lstStyle/>
          <a:p>
            <a:pPr algn="l">
              <a:defRPr/>
            </a:pPr>
            <a:r>
              <a:rPr lang="en-US"/>
              <a:t>Porcentaje asalariados con discapaciad contizando en la seguridad social en</a:t>
            </a:r>
            <a:r>
              <a:rPr lang="en-US" baseline="0"/>
              <a:t> </a:t>
            </a:r>
            <a:r>
              <a:rPr lang="en-US"/>
              <a:t>2010</a:t>
            </a:r>
          </a:p>
        </c:rich>
      </c:tx>
      <c:layout>
        <c:manualLayout>
          <c:xMode val="edge"/>
          <c:yMode val="edge"/>
          <c:x val="8.7619047619047624E-2"/>
          <c:y val="3.0237060367454802E-2"/>
        </c:manualLayout>
      </c:layout>
    </c:title>
    <c:plotArea>
      <c:layout/>
      <c:pieChart>
        <c:varyColors val="1"/>
        <c:ser>
          <c:idx val="0"/>
          <c:order val="0"/>
          <c:dPt>
            <c:idx val="0"/>
            <c:spPr>
              <a:solidFill>
                <a:srgbClr val="409DAD"/>
              </a:solidFill>
              <a:ln w="3175">
                <a:solidFill>
                  <a:srgbClr val="FFFFFF"/>
                </a:solidFill>
                <a:prstDash val="solid"/>
              </a:ln>
            </c:spPr>
          </c:dPt>
          <c:dPt>
            <c:idx val="1"/>
            <c:spPr>
              <a:solidFill>
                <a:srgbClr val="BFDEE4"/>
              </a:solidFill>
              <a:ln w="3175">
                <a:solidFill>
                  <a:srgbClr val="FFFFFF"/>
                </a:solidFill>
                <a:prstDash val="solid"/>
              </a:ln>
            </c:spPr>
          </c:dPt>
          <c:dPt>
            <c:idx val="2"/>
            <c:spPr>
              <a:solidFill>
                <a:srgbClr val="AA5CAA"/>
              </a:solidFill>
              <a:ln w="3175">
                <a:solidFill>
                  <a:srgbClr val="FFFFFF"/>
                </a:solidFill>
                <a:prstDash val="solid"/>
              </a:ln>
            </c:spPr>
          </c:dPt>
          <c:dPt>
            <c:idx val="3"/>
            <c:spPr>
              <a:solidFill>
                <a:srgbClr val="E3C9E3"/>
              </a:solidFill>
              <a:ln w="3175">
                <a:solidFill>
                  <a:srgbClr val="FFFFFF"/>
                </a:solidFill>
                <a:prstDash val="solid"/>
              </a:ln>
            </c:spPr>
          </c:dPt>
          <c:dPt>
            <c:idx val="4"/>
            <c:spPr>
              <a:solidFill>
                <a:srgbClr val="BDB694"/>
              </a:solidFill>
              <a:ln w="3175">
                <a:solidFill>
                  <a:srgbClr val="FFFFFF"/>
                </a:solidFill>
                <a:prstDash val="solid"/>
              </a:ln>
            </c:spPr>
          </c:dPt>
          <c:cat>
            <c:strRef>
              <c:f>Sheet1!$V$126:$V$130</c:f>
              <c:strCache>
                <c:ptCount val="5"/>
                <c:pt idx="0">
                  <c:v>Porcentaje asalariado con discapaciad contizando en la Seguridad Social (2010)</c:v>
                </c:pt>
                <c:pt idx="1">
                  <c:v>   Física</c:v>
                </c:pt>
                <c:pt idx="2">
                  <c:v>Psíquica</c:v>
                </c:pt>
                <c:pt idx="3">
                  <c:v>  Sensorial</c:v>
                </c:pt>
                <c:pt idx="4">
                  <c:v>Otros</c:v>
                </c:pt>
              </c:strCache>
            </c:strRef>
          </c:cat>
          <c:val>
            <c:numRef>
              <c:f>Sheet1!$W$126:$W$130</c:f>
              <c:numCache>
                <c:formatCode>0%</c:formatCode>
                <c:ptCount val="5"/>
                <c:pt idx="1">
                  <c:v>0.59755583649390065</c:v>
                </c:pt>
                <c:pt idx="2">
                  <c:v>8.8916982722295548E-2</c:v>
                </c:pt>
                <c:pt idx="3">
                  <c:v>0.10366624525916886</c:v>
                </c:pt>
                <c:pt idx="4">
                  <c:v>0.2098609355246524</c:v>
                </c:pt>
              </c:numCache>
            </c:numRef>
          </c:val>
        </c:ser>
        <c:dLbls>
          <c:showCatName val="1"/>
          <c:showPercent val="1"/>
        </c:dLbls>
        <c:firstSliceAng val="0"/>
      </c:pieChart>
      <c:spPr>
        <a:noFill/>
        <a:ln w="25400">
          <a:noFill/>
        </a:ln>
      </c:spPr>
    </c:plotArea>
    <c:plotVisOnly val="1"/>
  </c:chart>
  <c:spPr>
    <a:noFill/>
    <a:ln w="9525">
      <a:noFill/>
    </a:ln>
  </c:spPr>
  <c:txPr>
    <a:bodyPr/>
    <a:lstStyle/>
    <a:p>
      <a:pPr>
        <a:defRPr sz="700" b="0" i="0">
          <a:solidFill>
            <a:srgbClr val="000000"/>
          </a:solidFill>
          <a:latin typeface="MinionPro-Regular"/>
          <a:ea typeface="Arial"/>
          <a:cs typeface="Arial"/>
        </a:defRPr>
      </a:pPr>
      <a:endParaRPr lang="es-ES"/>
    </a:p>
  </c:txPr>
  <c:externalData r:id="rId1"/>
</c:chartSpace>
</file>

<file path=word/charts/chart93.xml><?xml version="1.0" encoding="utf-8"?>
<c:chartSpace xmlns:c="http://schemas.openxmlformats.org/drawingml/2006/chart" xmlns:a="http://schemas.openxmlformats.org/drawingml/2006/main" xmlns:r="http://schemas.openxmlformats.org/officeDocument/2006/relationships">
  <c:date1904 val="1"/>
  <c:lang val="es-ES"/>
  <c:chart>
    <c:title>
      <c:tx>
        <c:rich>
          <a:bodyPr/>
          <a:lstStyle/>
          <a:p>
            <a:pPr algn="l">
              <a:defRPr/>
            </a:pPr>
            <a:r>
              <a:rPr lang="en-US"/>
              <a:t>Porcentaje de asalariados con discapaciad en centros especiales de empleo</a:t>
            </a:r>
            <a:r>
              <a:rPr lang="en-US" baseline="0"/>
              <a:t> en 2010.</a:t>
            </a:r>
            <a:endParaRPr lang="en-US"/>
          </a:p>
        </c:rich>
      </c:tx>
    </c:title>
    <c:plotArea>
      <c:layout>
        <c:manualLayout>
          <c:layoutTarget val="inner"/>
          <c:xMode val="edge"/>
          <c:yMode val="edge"/>
          <c:x val="0.19457677165353865"/>
          <c:y val="0.27343328083989532"/>
          <c:w val="0.60042979002624652"/>
          <c:h val="0.61484010498688968"/>
        </c:manualLayout>
      </c:layout>
      <c:pieChart>
        <c:varyColors val="1"/>
        <c:ser>
          <c:idx val="0"/>
          <c:order val="0"/>
          <c:dPt>
            <c:idx val="0"/>
            <c:spPr>
              <a:solidFill>
                <a:srgbClr val="409DAD"/>
              </a:solidFill>
              <a:ln w="3175">
                <a:solidFill>
                  <a:srgbClr val="FFFFFF"/>
                </a:solidFill>
                <a:prstDash val="solid"/>
              </a:ln>
            </c:spPr>
          </c:dPt>
          <c:dPt>
            <c:idx val="1"/>
            <c:spPr>
              <a:solidFill>
                <a:srgbClr val="BFDEE4"/>
              </a:solidFill>
              <a:ln w="3175">
                <a:solidFill>
                  <a:srgbClr val="FFFFFF"/>
                </a:solidFill>
                <a:prstDash val="solid"/>
              </a:ln>
            </c:spPr>
          </c:dPt>
          <c:dPt>
            <c:idx val="2"/>
            <c:spPr>
              <a:solidFill>
                <a:srgbClr val="AA5CAA"/>
              </a:solidFill>
              <a:ln w="3175">
                <a:solidFill>
                  <a:srgbClr val="FFFFFF"/>
                </a:solidFill>
                <a:prstDash val="solid"/>
              </a:ln>
            </c:spPr>
          </c:dPt>
          <c:dPt>
            <c:idx val="3"/>
            <c:spPr>
              <a:solidFill>
                <a:srgbClr val="E3C9E3"/>
              </a:solidFill>
              <a:ln w="3175">
                <a:solidFill>
                  <a:srgbClr val="FFFFFF"/>
                </a:solidFill>
                <a:prstDash val="solid"/>
              </a:ln>
            </c:spPr>
          </c:dPt>
          <c:dPt>
            <c:idx val="4"/>
            <c:spPr>
              <a:solidFill>
                <a:srgbClr val="BDB694"/>
              </a:solidFill>
              <a:ln w="3175">
                <a:solidFill>
                  <a:srgbClr val="FFFFFF"/>
                </a:solidFill>
                <a:prstDash val="solid"/>
              </a:ln>
            </c:spPr>
          </c:dPt>
          <c:cat>
            <c:strRef>
              <c:f>Sheet1!$V$118:$V$122</c:f>
              <c:strCache>
                <c:ptCount val="5"/>
                <c:pt idx="0">
                  <c:v>Porcentaje de asalariados con discapaciad en CEE (2010)</c:v>
                </c:pt>
                <c:pt idx="1">
                  <c:v>   Física</c:v>
                </c:pt>
                <c:pt idx="2">
                  <c:v>Psíquica</c:v>
                </c:pt>
                <c:pt idx="3">
                  <c:v>  Sensorial</c:v>
                </c:pt>
                <c:pt idx="4">
                  <c:v>Otros</c:v>
                </c:pt>
              </c:strCache>
            </c:strRef>
          </c:cat>
          <c:val>
            <c:numRef>
              <c:f>Sheet1!$W$118:$W$122</c:f>
              <c:numCache>
                <c:formatCode>0%</c:formatCode>
                <c:ptCount val="5"/>
                <c:pt idx="1">
                  <c:v>0.40223463687150829</c:v>
                </c:pt>
                <c:pt idx="2">
                  <c:v>0.29888268156426834</c:v>
                </c:pt>
                <c:pt idx="3">
                  <c:v>0.16480446927374287</c:v>
                </c:pt>
                <c:pt idx="4">
                  <c:v>0.13407821229050268</c:v>
                </c:pt>
              </c:numCache>
            </c:numRef>
          </c:val>
        </c:ser>
        <c:dLbls>
          <c:showCatName val="1"/>
          <c:showPercent val="1"/>
        </c:dLbls>
        <c:firstSliceAng val="0"/>
      </c:pieChart>
      <c:spPr>
        <a:noFill/>
        <a:ln w="25400">
          <a:noFill/>
        </a:ln>
      </c:spPr>
    </c:plotArea>
    <c:plotVisOnly val="1"/>
  </c:chart>
  <c:spPr>
    <a:noFill/>
    <a:ln w="9525">
      <a:noFill/>
    </a:ln>
  </c:spPr>
  <c:txPr>
    <a:bodyPr/>
    <a:lstStyle/>
    <a:p>
      <a:pPr>
        <a:defRPr sz="700" b="0" i="0">
          <a:solidFill>
            <a:srgbClr val="000000"/>
          </a:solidFill>
          <a:latin typeface="MinionPro-Regular"/>
          <a:ea typeface="Arial"/>
          <a:cs typeface="Arial"/>
        </a:defRPr>
      </a:pPr>
      <a:endParaRPr lang="es-ES"/>
    </a:p>
  </c:txPr>
  <c:externalData r:id="rId1"/>
</c:chartSpace>
</file>

<file path=word/charts/chart94.xml><?xml version="1.0" encoding="utf-8"?>
<c:chartSpace xmlns:c="http://schemas.openxmlformats.org/drawingml/2006/chart" xmlns:a="http://schemas.openxmlformats.org/drawingml/2006/main" xmlns:r="http://schemas.openxmlformats.org/officeDocument/2006/relationships">
  <c:date1904 val="1"/>
  <c:lang val="es-ES"/>
  <c:chart>
    <c:title>
      <c:tx>
        <c:rich>
          <a:bodyPr/>
          <a:lstStyle/>
          <a:p>
            <a:pPr algn="l">
              <a:defRPr/>
            </a:pPr>
            <a:r>
              <a:rPr lang="en-US"/>
              <a:t>¿Es eficaz el marco regulatorio?</a:t>
            </a:r>
          </a:p>
        </c:rich>
      </c:tx>
      <c:layout>
        <c:manualLayout>
          <c:xMode val="edge"/>
          <c:yMode val="edge"/>
          <c:x val="0.31142857142858166"/>
          <c:y val="5.0501073729420384E-4"/>
        </c:manualLayout>
      </c:layout>
    </c:title>
    <c:plotArea>
      <c:layout>
        <c:manualLayout>
          <c:layoutTarget val="inner"/>
          <c:xMode val="edge"/>
          <c:yMode val="edge"/>
          <c:x val="0.30571428571429454"/>
          <c:y val="0.27272727272727282"/>
          <c:w val="0.33142857142858367"/>
          <c:h val="0.52727272727272656"/>
        </c:manualLayout>
      </c:layout>
      <c:pieChart>
        <c:varyColors val="1"/>
        <c:ser>
          <c:idx val="0"/>
          <c:order val="0"/>
          <c:dPt>
            <c:idx val="0"/>
            <c:spPr>
              <a:solidFill>
                <a:srgbClr val="407C85"/>
              </a:solidFill>
              <a:ln w="3175">
                <a:solidFill>
                  <a:srgbClr val="FFFFFF"/>
                </a:solidFill>
                <a:prstDash val="solid"/>
              </a:ln>
            </c:spPr>
          </c:dPt>
          <c:dPt>
            <c:idx val="1"/>
            <c:spPr>
              <a:solidFill>
                <a:srgbClr val="007C92"/>
              </a:solidFill>
              <a:ln w="3175">
                <a:solidFill>
                  <a:srgbClr val="FFFFFF"/>
                </a:solidFill>
                <a:prstDash val="solid"/>
              </a:ln>
            </c:spPr>
          </c:dPt>
          <c:dPt>
            <c:idx val="2"/>
            <c:spPr>
              <a:solidFill>
                <a:srgbClr val="00505C"/>
              </a:solidFill>
              <a:ln w="3175">
                <a:solidFill>
                  <a:srgbClr val="FFFFFF"/>
                </a:solidFill>
                <a:prstDash val="solid"/>
              </a:ln>
            </c:spPr>
          </c:dPt>
          <c:dPt>
            <c:idx val="3"/>
            <c:spPr>
              <a:solidFill>
                <a:srgbClr val="80BEC9"/>
              </a:solidFill>
              <a:ln w="3175">
                <a:solidFill>
                  <a:srgbClr val="FFFFFF"/>
                </a:solidFill>
                <a:prstDash val="solid"/>
              </a:ln>
            </c:spPr>
          </c:dPt>
          <c:dPt>
            <c:idx val="4"/>
            <c:spPr>
              <a:solidFill>
                <a:srgbClr val="80A8AE"/>
              </a:solidFill>
              <a:ln w="3175">
                <a:solidFill>
                  <a:srgbClr val="FFFFFF"/>
                </a:solidFill>
                <a:prstDash val="solid"/>
              </a:ln>
            </c:spPr>
          </c:dPt>
          <c:dLbls>
            <c:dLbl>
              <c:idx val="0"/>
              <c:tx>
                <c:rich>
                  <a:bodyPr/>
                  <a:lstStyle/>
                  <a:p>
                    <a:r>
                      <a:rPr lang="en-US"/>
                      <a:t>Totalmente en desacuerdo
12%</a:t>
                    </a:r>
                  </a:p>
                </c:rich>
              </c:tx>
              <c:dLblPos val="outEnd"/>
              <c:showCatName val="1"/>
              <c:showPercent val="1"/>
            </c:dLbl>
            <c:dLbl>
              <c:idx val="1"/>
              <c:tx>
                <c:rich>
                  <a:bodyPr/>
                  <a:lstStyle/>
                  <a:p>
                    <a:r>
                      <a:rPr lang="en-US"/>
                      <a:t>En desacuerdo
23%</a:t>
                    </a:r>
                  </a:p>
                </c:rich>
              </c:tx>
              <c:dLblPos val="outEnd"/>
              <c:showCatName val="1"/>
              <c:showPercent val="1"/>
            </c:dLbl>
            <c:dLbl>
              <c:idx val="2"/>
              <c:tx>
                <c:rich>
                  <a:bodyPr/>
                  <a:lstStyle/>
                  <a:p>
                    <a:r>
                      <a:rPr lang="en-US"/>
                      <a:t>Indiferente
31%</a:t>
                    </a:r>
                  </a:p>
                </c:rich>
              </c:tx>
              <c:dLblPos val="outEnd"/>
              <c:showCatName val="1"/>
              <c:showPercent val="1"/>
            </c:dLbl>
            <c:dLbl>
              <c:idx val="3"/>
              <c:tx>
                <c:rich>
                  <a:bodyPr/>
                  <a:lstStyle/>
                  <a:p>
                    <a:r>
                      <a:rPr lang="en-US"/>
                      <a:t>De acuerdo
23%</a:t>
                    </a:r>
                  </a:p>
                </c:rich>
              </c:tx>
              <c:dLblPos val="outEnd"/>
              <c:showCatName val="1"/>
              <c:showPercent val="1"/>
            </c:dLbl>
            <c:dLbl>
              <c:idx val="4"/>
              <c:tx>
                <c:rich>
                  <a:bodyPr/>
                  <a:lstStyle/>
                  <a:p>
                    <a:r>
                      <a:rPr lang="en-US"/>
                      <a:t>Totalmente de acuerdo
11%</a:t>
                    </a:r>
                  </a:p>
                </c:rich>
              </c:tx>
              <c:dLblPos val="outEnd"/>
              <c:showCatName val="1"/>
              <c:showPercent val="1"/>
            </c:dLbl>
            <c:dLblPos val="outEnd"/>
            <c:showCatName val="1"/>
            <c:showPercent val="1"/>
            <c:showLeaderLines val="1"/>
            <c:leaderLines>
              <c:spPr>
                <a:ln>
                  <a:solidFill>
                    <a:srgbClr val="000000"/>
                  </a:solidFill>
                  <a:prstDash val="solid"/>
                </a:ln>
              </c:spPr>
            </c:leaderLines>
          </c:dLbls>
          <c:cat>
            <c:strRef>
              <c:f>'2.3.2'!$C$6:$C$10</c:f>
              <c:strCache>
                <c:ptCount val="5"/>
                <c:pt idx="0">
                  <c:v>Totalmente en desacuerdo (1)</c:v>
                </c:pt>
                <c:pt idx="1">
                  <c:v>En desacuerdo (2)</c:v>
                </c:pt>
                <c:pt idx="2">
                  <c:v>Indiferente (3)</c:v>
                </c:pt>
                <c:pt idx="3">
                  <c:v>De acuerdo (4)</c:v>
                </c:pt>
                <c:pt idx="4">
                  <c:v>Totalmente de acuerdo (5)</c:v>
                </c:pt>
              </c:strCache>
            </c:strRef>
          </c:cat>
          <c:val>
            <c:numRef>
              <c:f>'2.3.2'!$D$6:$D$10</c:f>
              <c:numCache>
                <c:formatCode>General</c:formatCode>
                <c:ptCount val="5"/>
                <c:pt idx="0">
                  <c:v>15</c:v>
                </c:pt>
                <c:pt idx="1">
                  <c:v>28</c:v>
                </c:pt>
                <c:pt idx="2">
                  <c:v>38</c:v>
                </c:pt>
                <c:pt idx="3">
                  <c:v>28</c:v>
                </c:pt>
                <c:pt idx="4">
                  <c:v>13</c:v>
                </c:pt>
              </c:numCache>
            </c:numRef>
          </c:val>
        </c:ser>
        <c:firstSliceAng val="0"/>
      </c:pieChart>
      <c:spPr>
        <a:noFill/>
        <a:ln w="25400">
          <a:noFill/>
        </a:ln>
      </c:spPr>
    </c:plotArea>
    <c:plotVisOnly val="1"/>
  </c:chart>
  <c:spPr>
    <a:noFill/>
    <a:ln w="9525">
      <a:noFill/>
    </a:ln>
  </c:spPr>
  <c:txPr>
    <a:bodyPr/>
    <a:lstStyle/>
    <a:p>
      <a:pPr>
        <a:defRPr sz="800" b="0" i="0">
          <a:solidFill>
            <a:srgbClr val="000000"/>
          </a:solidFill>
          <a:latin typeface="MinIONpRO-rEGULAR"/>
          <a:ea typeface="Arial"/>
          <a:cs typeface="Arial"/>
        </a:defRPr>
      </a:pPr>
      <a:endParaRPr lang="es-ES"/>
    </a:p>
  </c:txPr>
  <c:externalData r:id="rId1"/>
</c:chartSpace>
</file>

<file path=word/charts/chart95.xml><?xml version="1.0" encoding="utf-8"?>
<c:chartSpace xmlns:c="http://schemas.openxmlformats.org/drawingml/2006/chart" xmlns:a="http://schemas.openxmlformats.org/drawingml/2006/main" xmlns:r="http://schemas.openxmlformats.org/officeDocument/2006/relationships">
  <c:date1904 val="1"/>
  <c:lang val="es-ES"/>
  <c:chart>
    <c:title>
      <c:tx>
        <c:rich>
          <a:bodyPr/>
          <a:lstStyle/>
          <a:p>
            <a:pPr algn="l">
              <a:defRPr sz="800"/>
            </a:pPr>
            <a:r>
              <a:rPr lang="en-US" sz="800"/>
              <a:t>¿Son eficaces los planes de desarrollo profesional?</a:t>
            </a:r>
          </a:p>
        </c:rich>
      </c:tx>
      <c:layout>
        <c:manualLayout>
          <c:xMode val="edge"/>
          <c:yMode val="edge"/>
          <c:x val="0.21428571428571427"/>
          <c:y val="3.2323192555476686E-2"/>
        </c:manualLayout>
      </c:layout>
    </c:title>
    <c:plotArea>
      <c:layout>
        <c:manualLayout>
          <c:layoutTarget val="inner"/>
          <c:xMode val="edge"/>
          <c:yMode val="edge"/>
          <c:x val="0.34285714285714286"/>
          <c:y val="0.28636363636363638"/>
          <c:w val="0.33142857142858345"/>
          <c:h val="0.52727272727272656"/>
        </c:manualLayout>
      </c:layout>
      <c:pieChart>
        <c:varyColors val="1"/>
        <c:ser>
          <c:idx val="0"/>
          <c:order val="0"/>
          <c:dPt>
            <c:idx val="0"/>
            <c:spPr>
              <a:solidFill>
                <a:srgbClr val="BFDEE4"/>
              </a:solidFill>
              <a:ln w="3175">
                <a:solidFill>
                  <a:srgbClr val="FFFFFF"/>
                </a:solidFill>
                <a:prstDash val="solid"/>
              </a:ln>
            </c:spPr>
          </c:dPt>
          <c:dPt>
            <c:idx val="1"/>
            <c:spPr>
              <a:solidFill>
                <a:srgbClr val="80A8AE"/>
              </a:solidFill>
              <a:ln w="3175">
                <a:solidFill>
                  <a:srgbClr val="FFFFFF"/>
                </a:solidFill>
                <a:prstDash val="solid"/>
              </a:ln>
            </c:spPr>
          </c:dPt>
          <c:dPt>
            <c:idx val="2"/>
            <c:spPr>
              <a:solidFill>
                <a:srgbClr val="00505C"/>
              </a:solidFill>
              <a:ln w="3175">
                <a:solidFill>
                  <a:srgbClr val="FFFFFF"/>
                </a:solidFill>
                <a:prstDash val="solid"/>
              </a:ln>
            </c:spPr>
          </c:dPt>
          <c:dPt>
            <c:idx val="3"/>
            <c:spPr>
              <a:solidFill>
                <a:srgbClr val="007C92"/>
              </a:solidFill>
              <a:ln w="3175">
                <a:solidFill>
                  <a:srgbClr val="FFFFFF"/>
                </a:solidFill>
                <a:prstDash val="solid"/>
              </a:ln>
            </c:spPr>
          </c:dPt>
          <c:dPt>
            <c:idx val="4"/>
            <c:spPr>
              <a:solidFill>
                <a:srgbClr val="407C85"/>
              </a:solidFill>
              <a:ln w="3175">
                <a:solidFill>
                  <a:srgbClr val="FFFFFF"/>
                </a:solidFill>
                <a:prstDash val="solid"/>
              </a:ln>
            </c:spPr>
          </c:dPt>
          <c:dLbls>
            <c:dLbl>
              <c:idx val="0"/>
              <c:layout>
                <c:manualLayout>
                  <c:x val="-5.7142857142857143E-3"/>
                  <c:y val="-1.8181818181818479E-2"/>
                </c:manualLayout>
              </c:layout>
              <c:tx>
                <c:rich>
                  <a:bodyPr/>
                  <a:lstStyle/>
                  <a:p>
                    <a:r>
                      <a:rPr lang="en-US"/>
                      <a:t>Totalmente en desacuerdo
4%</a:t>
                    </a:r>
                  </a:p>
                </c:rich>
              </c:tx>
              <c:dLblPos val="bestFit"/>
              <c:showCatName val="1"/>
              <c:showPercent val="1"/>
              <c:separator> </c:separator>
            </c:dLbl>
            <c:dLbl>
              <c:idx val="1"/>
              <c:layout>
                <c:manualLayout>
                  <c:x val="5.4285714285714284E-2"/>
                  <c:y val="4.090909090909093E-2"/>
                </c:manualLayout>
              </c:layout>
              <c:tx>
                <c:rich>
                  <a:bodyPr/>
                  <a:lstStyle/>
                  <a:p>
                    <a:r>
                      <a:rPr lang="en-US"/>
                      <a:t>En desacuerdo
9%</a:t>
                    </a:r>
                  </a:p>
                </c:rich>
              </c:tx>
              <c:dLblPos val="bestFit"/>
              <c:showCatName val="1"/>
              <c:showPercent val="1"/>
            </c:dLbl>
            <c:dLbl>
              <c:idx val="2"/>
              <c:layout>
                <c:manualLayout>
                  <c:x val="1.714285714285748E-2"/>
                  <c:y val="8.3332370670683879E-17"/>
                </c:manualLayout>
              </c:layout>
              <c:tx>
                <c:rich>
                  <a:bodyPr/>
                  <a:lstStyle/>
                  <a:p>
                    <a:r>
                      <a:rPr lang="en-US"/>
                      <a:t>Indiferente
39%</a:t>
                    </a:r>
                  </a:p>
                </c:rich>
              </c:tx>
              <c:dLblPos val="bestFit"/>
              <c:showCatName val="1"/>
              <c:showPercent val="1"/>
            </c:dLbl>
            <c:dLbl>
              <c:idx val="3"/>
              <c:layout>
                <c:manualLayout>
                  <c:x val="-2.8571428571428591E-2"/>
                  <c:y val="-5.4545812455261272E-2"/>
                </c:manualLayout>
              </c:layout>
              <c:tx>
                <c:rich>
                  <a:bodyPr/>
                  <a:lstStyle/>
                  <a:p>
                    <a:r>
                      <a:rPr lang="en-US"/>
                      <a:t>De acuerdo 
25%</a:t>
                    </a:r>
                  </a:p>
                </c:rich>
              </c:tx>
              <c:dLblPos val="bestFit"/>
              <c:showCatName val="1"/>
              <c:showPercent val="1"/>
            </c:dLbl>
            <c:dLbl>
              <c:idx val="4"/>
              <c:layout>
                <c:manualLayout>
                  <c:x val="2.5714285714285714E-2"/>
                  <c:y val="-4.0909090909090923E-2"/>
                </c:manualLayout>
              </c:layout>
              <c:tx>
                <c:rich>
                  <a:bodyPr/>
                  <a:lstStyle/>
                  <a:p>
                    <a:r>
                      <a:rPr lang="en-US"/>
                      <a:t>Totalmente de acuerdo
23%</a:t>
                    </a:r>
                  </a:p>
                </c:rich>
              </c:tx>
              <c:dLblPos val="bestFit"/>
              <c:showCatName val="1"/>
              <c:showPercent val="1"/>
            </c:dLbl>
            <c:dLblPos val="outEnd"/>
            <c:showCatName val="1"/>
            <c:showPercent val="1"/>
          </c:dLbls>
          <c:cat>
            <c:strRef>
              <c:f>'2.3.5'!$C$10:$C$14</c:f>
              <c:strCache>
                <c:ptCount val="5"/>
                <c:pt idx="0">
                  <c:v>Totalmente en desacuerdo (1)</c:v>
                </c:pt>
                <c:pt idx="1">
                  <c:v>En desacuerdo (2)</c:v>
                </c:pt>
                <c:pt idx="2">
                  <c:v>Indiferente (3)</c:v>
                </c:pt>
                <c:pt idx="3">
                  <c:v>De acuerdo (4)</c:v>
                </c:pt>
                <c:pt idx="4">
                  <c:v>Totalmente de acuerdo (5)</c:v>
                </c:pt>
              </c:strCache>
            </c:strRef>
          </c:cat>
          <c:val>
            <c:numRef>
              <c:f>'2.3.5'!$D$10:$D$14</c:f>
              <c:numCache>
                <c:formatCode>General</c:formatCode>
                <c:ptCount val="5"/>
                <c:pt idx="0">
                  <c:v>5</c:v>
                </c:pt>
                <c:pt idx="1">
                  <c:v>11</c:v>
                </c:pt>
                <c:pt idx="2">
                  <c:v>48</c:v>
                </c:pt>
                <c:pt idx="3">
                  <c:v>30</c:v>
                </c:pt>
                <c:pt idx="4">
                  <c:v>28</c:v>
                </c:pt>
              </c:numCache>
            </c:numRef>
          </c:val>
        </c:ser>
        <c:firstSliceAng val="0"/>
      </c:pieChart>
      <c:spPr>
        <a:noFill/>
        <a:ln w="25400">
          <a:noFill/>
        </a:ln>
      </c:spPr>
    </c:plotArea>
    <c:plotVisOnly val="1"/>
  </c:chart>
  <c:spPr>
    <a:noFill/>
    <a:ln w="9525">
      <a:noFill/>
    </a:ln>
  </c:spPr>
  <c:txPr>
    <a:bodyPr/>
    <a:lstStyle/>
    <a:p>
      <a:pPr>
        <a:defRPr sz="800" b="0" i="0">
          <a:solidFill>
            <a:srgbClr val="000000"/>
          </a:solidFill>
          <a:latin typeface="MinIONpRO-rEGULAR"/>
          <a:ea typeface="Arial"/>
          <a:cs typeface="Arial"/>
        </a:defRPr>
      </a:pPr>
      <a:endParaRPr lang="es-ES"/>
    </a:p>
  </c:txPr>
  <c:externalData r:id="rId1"/>
</c:chartSpace>
</file>

<file path=word/charts/chart96.xml><?xml version="1.0" encoding="utf-8"?>
<c:chartSpace xmlns:c="http://schemas.openxmlformats.org/drawingml/2006/chart" xmlns:a="http://schemas.openxmlformats.org/drawingml/2006/main" xmlns:r="http://schemas.openxmlformats.org/officeDocument/2006/relationships">
  <c:date1904 val="1"/>
  <c:lang val="es-ES"/>
  <c:chart>
    <c:title>
      <c:tx>
        <c:rich>
          <a:bodyPr/>
          <a:lstStyle/>
          <a:p>
            <a:pPr algn="ctr">
              <a:defRPr sz="800"/>
            </a:pPr>
            <a:r>
              <a:rPr lang="en-US" sz="800"/>
              <a:t>¿Está la actividad de los centros</a:t>
            </a:r>
            <a:r>
              <a:rPr lang="en-US" sz="800" baseline="0"/>
              <a:t> especiales de empleo</a:t>
            </a:r>
            <a:r>
              <a:rPr lang="en-US" sz="800"/>
              <a:t> concentrada en sectores maduros?</a:t>
            </a:r>
          </a:p>
        </c:rich>
      </c:tx>
      <c:layout>
        <c:manualLayout>
          <c:xMode val="edge"/>
          <c:yMode val="edge"/>
          <c:x val="0.15404274465691944"/>
          <c:y val="4.5536357550447923E-2"/>
        </c:manualLayout>
      </c:layout>
    </c:title>
    <c:plotArea>
      <c:layout>
        <c:manualLayout>
          <c:layoutTarget val="inner"/>
          <c:xMode val="edge"/>
          <c:yMode val="edge"/>
          <c:x val="0.32571428571429639"/>
          <c:y val="0.29764448978291352"/>
          <c:w val="0.33142857142858367"/>
          <c:h val="0.52727272727272656"/>
        </c:manualLayout>
      </c:layout>
      <c:pieChart>
        <c:varyColors val="1"/>
        <c:ser>
          <c:idx val="0"/>
          <c:order val="0"/>
          <c:dPt>
            <c:idx val="0"/>
            <c:spPr>
              <a:solidFill>
                <a:srgbClr val="80A8AE"/>
              </a:solidFill>
              <a:ln w="3175">
                <a:solidFill>
                  <a:srgbClr val="FFFFFF"/>
                </a:solidFill>
                <a:prstDash val="solid"/>
              </a:ln>
            </c:spPr>
          </c:dPt>
          <c:dPt>
            <c:idx val="1"/>
            <c:spPr>
              <a:solidFill>
                <a:srgbClr val="80BEC9"/>
              </a:solidFill>
              <a:ln w="3175">
                <a:solidFill>
                  <a:srgbClr val="FFFFFF"/>
                </a:solidFill>
                <a:prstDash val="solid"/>
              </a:ln>
            </c:spPr>
          </c:dPt>
          <c:dPt>
            <c:idx val="2"/>
            <c:spPr>
              <a:solidFill>
                <a:srgbClr val="007C92"/>
              </a:solidFill>
              <a:ln w="3175">
                <a:solidFill>
                  <a:srgbClr val="FFFFFF"/>
                </a:solidFill>
                <a:prstDash val="solid"/>
              </a:ln>
            </c:spPr>
          </c:dPt>
          <c:dPt>
            <c:idx val="3"/>
            <c:spPr>
              <a:solidFill>
                <a:srgbClr val="00505C"/>
              </a:solidFill>
              <a:ln w="3175">
                <a:solidFill>
                  <a:srgbClr val="FFFFFF"/>
                </a:solidFill>
                <a:prstDash val="solid"/>
              </a:ln>
            </c:spPr>
          </c:dPt>
          <c:dPt>
            <c:idx val="4"/>
            <c:spPr>
              <a:solidFill>
                <a:srgbClr val="407C85"/>
              </a:solidFill>
              <a:ln w="3175">
                <a:solidFill>
                  <a:srgbClr val="FFFFFF"/>
                </a:solidFill>
                <a:prstDash val="solid"/>
              </a:ln>
            </c:spPr>
          </c:dPt>
          <c:dLbls>
            <c:dLbl>
              <c:idx val="0"/>
              <c:tx>
                <c:rich>
                  <a:bodyPr/>
                  <a:lstStyle/>
                  <a:p>
                    <a:r>
                      <a:rPr lang="en-US"/>
                      <a:t>Totalmente en desacuerdo
3%</a:t>
                    </a:r>
                  </a:p>
                </c:rich>
              </c:tx>
              <c:dLblPos val="outEnd"/>
              <c:showCatName val="1"/>
              <c:showPercent val="1"/>
            </c:dLbl>
            <c:dLbl>
              <c:idx val="1"/>
              <c:layout>
                <c:manualLayout>
                  <c:x val="2.2857142857143652E-2"/>
                  <c:y val="2.4291497975708502E-2"/>
                </c:manualLayout>
              </c:layout>
              <c:tx>
                <c:rich>
                  <a:bodyPr/>
                  <a:lstStyle/>
                  <a:p>
                    <a:r>
                      <a:rPr lang="en-US"/>
                      <a:t>En desacuerdo
12%</a:t>
                    </a:r>
                  </a:p>
                </c:rich>
              </c:tx>
              <c:dLblPos val="bestFit"/>
              <c:showCatName val="1"/>
              <c:showPercent val="1"/>
            </c:dLbl>
            <c:dLbl>
              <c:idx val="2"/>
              <c:tx>
                <c:rich>
                  <a:bodyPr/>
                  <a:lstStyle/>
                  <a:p>
                    <a:r>
                      <a:rPr lang="en-US"/>
                      <a:t>Indiferente
30%</a:t>
                    </a:r>
                  </a:p>
                </c:rich>
              </c:tx>
              <c:dLblPos val="outEnd"/>
              <c:showCatName val="1"/>
              <c:showPercent val="1"/>
            </c:dLbl>
            <c:dLbl>
              <c:idx val="3"/>
              <c:tx>
                <c:rich>
                  <a:bodyPr/>
                  <a:lstStyle/>
                  <a:p>
                    <a:r>
                      <a:rPr lang="en-US"/>
                      <a:t>De acuerdo
37%</a:t>
                    </a:r>
                  </a:p>
                </c:rich>
              </c:tx>
              <c:dLblPos val="outEnd"/>
              <c:showCatName val="1"/>
              <c:showPercent val="1"/>
            </c:dLbl>
            <c:dLbl>
              <c:idx val="4"/>
              <c:tx>
                <c:rich>
                  <a:bodyPr/>
                  <a:lstStyle/>
                  <a:p>
                    <a:r>
                      <a:rPr lang="en-US"/>
                      <a:t>Totalmente de acuerdo
18%</a:t>
                    </a:r>
                  </a:p>
                </c:rich>
              </c:tx>
              <c:dLblPos val="outEnd"/>
              <c:showCatName val="1"/>
              <c:showPercent val="1"/>
            </c:dLbl>
            <c:dLblPos val="outEnd"/>
            <c:showCatName val="1"/>
            <c:showPercent val="1"/>
          </c:dLbls>
          <c:cat>
            <c:strRef>
              <c:f>'2.3.7'!$C$8:$C$12</c:f>
              <c:strCache>
                <c:ptCount val="5"/>
                <c:pt idx="0">
                  <c:v>Totalmente en desacuerdo (1)</c:v>
                </c:pt>
                <c:pt idx="1">
                  <c:v>En desacuerdo (2)</c:v>
                </c:pt>
                <c:pt idx="2">
                  <c:v>Indiferente (3)</c:v>
                </c:pt>
                <c:pt idx="3">
                  <c:v>De acuerdo (4)</c:v>
                </c:pt>
                <c:pt idx="4">
                  <c:v>Totalmente de acuerdo (5)</c:v>
                </c:pt>
              </c:strCache>
            </c:strRef>
          </c:cat>
          <c:val>
            <c:numRef>
              <c:f>'2.3.7'!$D$8:$D$12</c:f>
              <c:numCache>
                <c:formatCode>General</c:formatCode>
                <c:ptCount val="5"/>
                <c:pt idx="0">
                  <c:v>4</c:v>
                </c:pt>
                <c:pt idx="1">
                  <c:v>14</c:v>
                </c:pt>
                <c:pt idx="2">
                  <c:v>37</c:v>
                </c:pt>
                <c:pt idx="3">
                  <c:v>45</c:v>
                </c:pt>
                <c:pt idx="4">
                  <c:v>22</c:v>
                </c:pt>
              </c:numCache>
            </c:numRef>
          </c:val>
        </c:ser>
        <c:firstSliceAng val="0"/>
      </c:pieChart>
      <c:spPr>
        <a:noFill/>
        <a:ln w="25400">
          <a:noFill/>
        </a:ln>
      </c:spPr>
    </c:plotArea>
    <c:plotVisOnly val="1"/>
  </c:chart>
  <c:spPr>
    <a:noFill/>
    <a:ln w="9525">
      <a:noFill/>
    </a:ln>
  </c:spPr>
  <c:txPr>
    <a:bodyPr/>
    <a:lstStyle/>
    <a:p>
      <a:pPr>
        <a:defRPr sz="800" b="0" i="0">
          <a:solidFill>
            <a:srgbClr val="000000"/>
          </a:solidFill>
          <a:latin typeface="MinIONpRO-rEGULAR"/>
          <a:ea typeface="Arial"/>
          <a:cs typeface="Arial"/>
        </a:defRPr>
      </a:pPr>
      <a:endParaRPr lang="es-ES"/>
    </a:p>
  </c:txPr>
  <c:externalData r:id="rId1"/>
</c:chartSpace>
</file>

<file path=word/charts/chart97.xml><?xml version="1.0" encoding="utf-8"?>
<c:chartSpace xmlns:c="http://schemas.openxmlformats.org/drawingml/2006/chart" xmlns:a="http://schemas.openxmlformats.org/drawingml/2006/main" xmlns:r="http://schemas.openxmlformats.org/officeDocument/2006/relationships">
  <c:date1904 val="1"/>
  <c:lang val="es-ES"/>
  <c:chart>
    <c:title>
      <c:tx>
        <c:rich>
          <a:bodyPr/>
          <a:lstStyle/>
          <a:p>
            <a:pPr algn="ctr">
              <a:defRPr/>
            </a:pPr>
            <a:r>
              <a:rPr lang="en-US"/>
              <a:t>Nivel de especialización tecnológica del centro</a:t>
            </a:r>
            <a:r>
              <a:rPr lang="en-US" baseline="0"/>
              <a:t> especial de empleo</a:t>
            </a:r>
            <a:endParaRPr lang="en-US"/>
          </a:p>
        </c:rich>
      </c:tx>
      <c:layout>
        <c:manualLayout>
          <c:xMode val="edge"/>
          <c:yMode val="edge"/>
          <c:x val="0.18000000000000024"/>
          <c:y val="4.5959556191839661E-2"/>
        </c:manualLayout>
      </c:layout>
    </c:title>
    <c:plotArea>
      <c:layout>
        <c:manualLayout>
          <c:layoutTarget val="inner"/>
          <c:xMode val="edge"/>
          <c:yMode val="edge"/>
          <c:x val="0.35428571428571431"/>
          <c:y val="0.30454545454545456"/>
          <c:w val="0.33142857142858345"/>
          <c:h val="0.52727272727272656"/>
        </c:manualLayout>
      </c:layout>
      <c:pieChart>
        <c:varyColors val="1"/>
        <c:ser>
          <c:idx val="0"/>
          <c:order val="0"/>
          <c:dPt>
            <c:idx val="0"/>
            <c:spPr>
              <a:solidFill>
                <a:srgbClr val="407C85"/>
              </a:solidFill>
              <a:ln w="3175">
                <a:solidFill>
                  <a:srgbClr val="FFFFFF"/>
                </a:solidFill>
                <a:prstDash val="solid"/>
              </a:ln>
            </c:spPr>
          </c:dPt>
          <c:dPt>
            <c:idx val="1"/>
            <c:spPr>
              <a:solidFill>
                <a:srgbClr val="00505C"/>
              </a:solidFill>
              <a:ln w="3175">
                <a:solidFill>
                  <a:srgbClr val="FFFFFF"/>
                </a:solidFill>
                <a:prstDash val="solid"/>
              </a:ln>
            </c:spPr>
          </c:dPt>
          <c:dPt>
            <c:idx val="2"/>
            <c:spPr>
              <a:solidFill>
                <a:srgbClr val="007C92"/>
              </a:solidFill>
              <a:ln w="3175">
                <a:solidFill>
                  <a:srgbClr val="FFFFFF"/>
                </a:solidFill>
                <a:prstDash val="solid"/>
              </a:ln>
            </c:spPr>
          </c:dPt>
          <c:dLbls>
            <c:dLbl>
              <c:idx val="0"/>
              <c:layout>
                <c:manualLayout>
                  <c:x val="-1.7142857142857529E-2"/>
                  <c:y val="0"/>
                </c:manualLayout>
              </c:layout>
              <c:tx>
                <c:rich>
                  <a:bodyPr/>
                  <a:lstStyle/>
                  <a:p>
                    <a:r>
                      <a:rPr lang="en-US"/>
                      <a:t>Por debajo de la media del sector
14%</a:t>
                    </a:r>
                  </a:p>
                </c:rich>
              </c:tx>
              <c:dLblPos val="bestFit"/>
              <c:showCatName val="1"/>
              <c:showPercent val="1"/>
            </c:dLbl>
            <c:dLbl>
              <c:idx val="1"/>
              <c:tx>
                <c:rich>
                  <a:bodyPr/>
                  <a:lstStyle/>
                  <a:p>
                    <a:r>
                      <a:rPr lang="en-US"/>
                      <a:t>En la media del sector
54%</a:t>
                    </a:r>
                  </a:p>
                </c:rich>
              </c:tx>
              <c:dLblPos val="outEnd"/>
              <c:showCatName val="1"/>
              <c:showPercent val="1"/>
            </c:dLbl>
            <c:dLbl>
              <c:idx val="2"/>
              <c:tx>
                <c:rich>
                  <a:bodyPr/>
                  <a:lstStyle/>
                  <a:p>
                    <a:r>
                      <a:rPr lang="en-US"/>
                      <a:t>Por encima de la media del sector
32%</a:t>
                    </a:r>
                  </a:p>
                </c:rich>
              </c:tx>
              <c:dLblPos val="outEnd"/>
              <c:showCatName val="1"/>
              <c:showPercent val="1"/>
            </c:dLbl>
            <c:dLblPos val="outEnd"/>
            <c:showCatName val="1"/>
            <c:showPercent val="1"/>
          </c:dLbls>
          <c:cat>
            <c:strRef>
              <c:f>'2.4'!$C$6:$C$8</c:f>
              <c:strCache>
                <c:ptCount val="3"/>
                <c:pt idx="0">
                  <c:v>Por debajo de la media del sector (1)</c:v>
                </c:pt>
                <c:pt idx="1">
                  <c:v>En la media del sector (2)</c:v>
                </c:pt>
                <c:pt idx="2">
                  <c:v>Por encima de la media del sector (3)</c:v>
                </c:pt>
              </c:strCache>
            </c:strRef>
          </c:cat>
          <c:val>
            <c:numRef>
              <c:f>'2.4'!$D$6:$D$8</c:f>
              <c:numCache>
                <c:formatCode>General</c:formatCode>
                <c:ptCount val="3"/>
                <c:pt idx="0">
                  <c:v>17</c:v>
                </c:pt>
                <c:pt idx="1">
                  <c:v>66</c:v>
                </c:pt>
                <c:pt idx="2">
                  <c:v>39</c:v>
                </c:pt>
              </c:numCache>
            </c:numRef>
          </c:val>
        </c:ser>
        <c:firstSliceAng val="0"/>
      </c:pieChart>
      <c:spPr>
        <a:noFill/>
        <a:ln w="25400">
          <a:noFill/>
        </a:ln>
      </c:spPr>
    </c:plotArea>
    <c:plotVisOnly val="1"/>
  </c:chart>
  <c:spPr>
    <a:noFill/>
    <a:ln w="9525">
      <a:noFill/>
    </a:ln>
  </c:spPr>
  <c:txPr>
    <a:bodyPr/>
    <a:lstStyle/>
    <a:p>
      <a:pPr>
        <a:defRPr sz="800" b="0" i="0">
          <a:solidFill>
            <a:srgbClr val="000000"/>
          </a:solidFill>
          <a:latin typeface="MinIONpRO-rEGULAR"/>
          <a:ea typeface="Arial"/>
          <a:cs typeface="Arial"/>
        </a:defRPr>
      </a:pPr>
      <a:endParaRPr lang="es-ES"/>
    </a:p>
  </c:txPr>
  <c:externalData r:id="rId1"/>
</c:chartSpace>
</file>

<file path=word/charts/chart98.xml><?xml version="1.0" encoding="utf-8"?>
<c:chartSpace xmlns:c="http://schemas.openxmlformats.org/drawingml/2006/chart" xmlns:a="http://schemas.openxmlformats.org/drawingml/2006/main" xmlns:r="http://schemas.openxmlformats.org/officeDocument/2006/relationships">
  <c:date1904 val="1"/>
  <c:lang val="es-ES"/>
  <c:chart>
    <c:title>
      <c:tx>
        <c:rich>
          <a:bodyPr/>
          <a:lstStyle/>
          <a:p>
            <a:pPr algn="l" rtl="0">
              <a:defRPr/>
            </a:pPr>
            <a:r>
              <a:rPr lang="en-US"/>
              <a:t>Nivel de innovación del centro</a:t>
            </a:r>
            <a:r>
              <a:rPr lang="en-US" baseline="0"/>
              <a:t> especial de empleo</a:t>
            </a:r>
            <a:endParaRPr lang="en-US"/>
          </a:p>
        </c:rich>
      </c:tx>
      <c:layout>
        <c:manualLayout>
          <c:xMode val="edge"/>
          <c:yMode val="edge"/>
          <c:x val="0.28285714285714286"/>
          <c:y val="2.7777738010022274E-2"/>
        </c:manualLayout>
      </c:layout>
    </c:title>
    <c:plotArea>
      <c:layout>
        <c:manualLayout>
          <c:layoutTarget val="inner"/>
          <c:xMode val="edge"/>
          <c:yMode val="edge"/>
          <c:x val="0.3342857142857204"/>
          <c:y val="0.28181818181818791"/>
          <c:w val="0.33142857142858345"/>
          <c:h val="0.52727272727272656"/>
        </c:manualLayout>
      </c:layout>
      <c:pieChart>
        <c:varyColors val="1"/>
        <c:ser>
          <c:idx val="0"/>
          <c:order val="0"/>
          <c:dPt>
            <c:idx val="0"/>
            <c:spPr>
              <a:solidFill>
                <a:srgbClr val="80BEC9"/>
              </a:solidFill>
              <a:ln w="3175">
                <a:solidFill>
                  <a:srgbClr val="FFFFFF"/>
                </a:solidFill>
                <a:prstDash val="solid"/>
              </a:ln>
            </c:spPr>
          </c:dPt>
          <c:dPt>
            <c:idx val="1"/>
            <c:spPr>
              <a:solidFill>
                <a:srgbClr val="007C92"/>
              </a:solidFill>
              <a:ln w="3175">
                <a:solidFill>
                  <a:srgbClr val="FFFFFF"/>
                </a:solidFill>
                <a:prstDash val="solid"/>
              </a:ln>
            </c:spPr>
          </c:dPt>
          <c:dPt>
            <c:idx val="2"/>
            <c:spPr>
              <a:solidFill>
                <a:srgbClr val="00505C"/>
              </a:solidFill>
              <a:ln w="3175">
                <a:solidFill>
                  <a:srgbClr val="FFFFFF"/>
                </a:solidFill>
                <a:prstDash val="solid"/>
              </a:ln>
            </c:spPr>
          </c:dPt>
          <c:dLbls>
            <c:dLbl>
              <c:idx val="0"/>
              <c:layout>
                <c:manualLayout>
                  <c:x val="4.0000000000000022E-2"/>
                  <c:y val="1.3636363636363663E-2"/>
                </c:manualLayout>
              </c:layout>
              <c:tx>
                <c:rich>
                  <a:bodyPr/>
                  <a:lstStyle/>
                  <a:p>
                    <a:r>
                      <a:rPr lang="en-US"/>
                      <a:t>Por debajo de la media del sector
15%</a:t>
                    </a:r>
                  </a:p>
                </c:rich>
              </c:tx>
              <c:dLblPos val="bestFit"/>
              <c:showCatName val="1"/>
              <c:showPercent val="1"/>
            </c:dLbl>
            <c:dLbl>
              <c:idx val="1"/>
              <c:layout>
                <c:manualLayout>
                  <c:x val="-1.714285714285748E-2"/>
                  <c:y val="9.0909090909091547E-3"/>
                </c:manualLayout>
              </c:layout>
              <c:tx>
                <c:rich>
                  <a:bodyPr/>
                  <a:lstStyle/>
                  <a:p>
                    <a:r>
                      <a:rPr lang="en-US"/>
                      <a:t>En la media del sector
55%</a:t>
                    </a:r>
                  </a:p>
                </c:rich>
              </c:tx>
              <c:dLblPos val="bestFit"/>
              <c:showCatName val="1"/>
              <c:showPercent val="1"/>
            </c:dLbl>
            <c:dLbl>
              <c:idx val="2"/>
              <c:tx>
                <c:rich>
                  <a:bodyPr/>
                  <a:lstStyle/>
                  <a:p>
                    <a:r>
                      <a:rPr lang="en-US"/>
                      <a:t>Por encima de la media del sector
30%</a:t>
                    </a:r>
                  </a:p>
                </c:rich>
              </c:tx>
              <c:dLblPos val="outEnd"/>
              <c:showCatName val="1"/>
              <c:showPercent val="1"/>
            </c:dLbl>
            <c:dLblPos val="outEnd"/>
            <c:showCatName val="1"/>
            <c:showPercent val="1"/>
          </c:dLbls>
          <c:cat>
            <c:strRef>
              <c:f>'2.5'!$B$4:$B$6</c:f>
              <c:strCache>
                <c:ptCount val="3"/>
                <c:pt idx="0">
                  <c:v>Por debajo de la media del sector (1)</c:v>
                </c:pt>
                <c:pt idx="1">
                  <c:v>En la media del sector (2)</c:v>
                </c:pt>
                <c:pt idx="2">
                  <c:v>Por encima de la media del sector (3)</c:v>
                </c:pt>
              </c:strCache>
            </c:strRef>
          </c:cat>
          <c:val>
            <c:numRef>
              <c:f>'2.5'!$C$4:$C$6</c:f>
              <c:numCache>
                <c:formatCode>General</c:formatCode>
                <c:ptCount val="3"/>
                <c:pt idx="0">
                  <c:v>18</c:v>
                </c:pt>
                <c:pt idx="1">
                  <c:v>67</c:v>
                </c:pt>
                <c:pt idx="2">
                  <c:v>37</c:v>
                </c:pt>
              </c:numCache>
            </c:numRef>
          </c:val>
        </c:ser>
        <c:firstSliceAng val="0"/>
      </c:pieChart>
      <c:spPr>
        <a:noFill/>
        <a:ln w="25400">
          <a:noFill/>
        </a:ln>
      </c:spPr>
    </c:plotArea>
    <c:plotVisOnly val="1"/>
  </c:chart>
  <c:spPr>
    <a:noFill/>
    <a:ln w="9525">
      <a:noFill/>
    </a:ln>
  </c:spPr>
  <c:txPr>
    <a:bodyPr/>
    <a:lstStyle/>
    <a:p>
      <a:pPr>
        <a:defRPr sz="800" b="0" i="0">
          <a:solidFill>
            <a:srgbClr val="000000"/>
          </a:solidFill>
          <a:latin typeface="MinIONpRO-rEGULAR"/>
          <a:ea typeface="Arial"/>
          <a:cs typeface="Arial"/>
        </a:defRPr>
      </a:pPr>
      <a:endParaRPr lang="es-ES"/>
    </a:p>
  </c:txPr>
  <c:externalData r:id="rId1"/>
</c:chartSpace>
</file>

<file path=word/charts/chart99.xml><?xml version="1.0" encoding="utf-8"?>
<c:chartSpace xmlns:c="http://schemas.openxmlformats.org/drawingml/2006/chart" xmlns:a="http://schemas.openxmlformats.org/drawingml/2006/main" xmlns:r="http://schemas.openxmlformats.org/officeDocument/2006/relationships">
  <c:date1904 val="1"/>
  <c:lang val="es-ES"/>
  <c:chart>
    <c:autoTitleDeleted val="1"/>
    <c:plotArea>
      <c:layout>
        <c:manualLayout>
          <c:layoutTarget val="inner"/>
          <c:xMode val="edge"/>
          <c:yMode val="edge"/>
          <c:x val="0.25107307238769438"/>
          <c:y val="0.18490566037736314"/>
          <c:w val="0.45390604880026741"/>
          <c:h val="0.6894957633467067"/>
        </c:manualLayout>
      </c:layout>
      <c:pieChart>
        <c:varyColors val="1"/>
        <c:ser>
          <c:idx val="0"/>
          <c:order val="0"/>
          <c:dPt>
            <c:idx val="0"/>
            <c:spPr>
              <a:solidFill>
                <a:srgbClr val="00505C"/>
              </a:solidFill>
              <a:ln w="3175">
                <a:solidFill>
                  <a:srgbClr val="FFFFFF"/>
                </a:solidFill>
                <a:prstDash val="solid"/>
              </a:ln>
            </c:spPr>
          </c:dPt>
          <c:dPt>
            <c:idx val="1"/>
            <c:spPr>
              <a:solidFill>
                <a:srgbClr val="BFDEE4"/>
              </a:solidFill>
              <a:ln w="3175">
                <a:solidFill>
                  <a:srgbClr val="FFFFFF"/>
                </a:solidFill>
                <a:prstDash val="solid"/>
              </a:ln>
            </c:spPr>
          </c:dPt>
          <c:dPt>
            <c:idx val="2"/>
            <c:spPr>
              <a:solidFill>
                <a:srgbClr val="007C92"/>
              </a:solidFill>
              <a:ln w="3175">
                <a:solidFill>
                  <a:srgbClr val="FFFFFF"/>
                </a:solidFill>
                <a:prstDash val="solid"/>
              </a:ln>
            </c:spPr>
          </c:dPt>
          <c:dPt>
            <c:idx val="3"/>
            <c:spPr>
              <a:solidFill>
                <a:srgbClr val="E3C9E3"/>
              </a:solidFill>
              <a:ln w="3175">
                <a:solidFill>
                  <a:srgbClr val="FFFFFF"/>
                </a:solidFill>
                <a:prstDash val="solid"/>
              </a:ln>
            </c:spPr>
          </c:dPt>
          <c:dPt>
            <c:idx val="4"/>
            <c:spPr>
              <a:solidFill>
                <a:srgbClr val="BFDEE4"/>
              </a:solidFill>
              <a:ln w="3175">
                <a:solidFill>
                  <a:srgbClr val="FFFFFF"/>
                </a:solidFill>
                <a:prstDash val="solid"/>
              </a:ln>
            </c:spPr>
          </c:dPt>
          <c:dPt>
            <c:idx val="5"/>
            <c:spPr>
              <a:solidFill>
                <a:srgbClr val="407C85"/>
              </a:solidFill>
              <a:ln w="3175">
                <a:solidFill>
                  <a:srgbClr val="FFFFFF"/>
                </a:solidFill>
                <a:prstDash val="solid"/>
              </a:ln>
            </c:spPr>
          </c:dPt>
          <c:dPt>
            <c:idx val="6"/>
            <c:spPr>
              <a:solidFill>
                <a:srgbClr val="80A8AE"/>
              </a:solidFill>
              <a:ln w="3175">
                <a:solidFill>
                  <a:srgbClr val="FFFFFF"/>
                </a:solidFill>
                <a:prstDash val="solid"/>
              </a:ln>
            </c:spPr>
          </c:dPt>
          <c:dPt>
            <c:idx val="7"/>
            <c:spPr>
              <a:solidFill>
                <a:srgbClr val="E5F2F4"/>
              </a:solidFill>
              <a:ln w="3175">
                <a:solidFill>
                  <a:srgbClr val="FFFFFF"/>
                </a:solidFill>
                <a:prstDash val="solid"/>
              </a:ln>
            </c:spPr>
          </c:dPt>
          <c:dPt>
            <c:idx val="8"/>
            <c:spPr>
              <a:solidFill>
                <a:srgbClr val="4066AA"/>
              </a:solidFill>
              <a:ln w="3175">
                <a:solidFill>
                  <a:srgbClr val="FFFFFF"/>
                </a:solidFill>
                <a:prstDash val="solid"/>
              </a:ln>
            </c:spPr>
          </c:dPt>
          <c:dLbls>
            <c:dLbl>
              <c:idx val="0"/>
              <c:spPr/>
              <c:txPr>
                <a:bodyPr/>
                <a:lstStyle/>
                <a:p>
                  <a:pPr>
                    <a:defRPr sz="700">
                      <a:latin typeface="MinionPro-Regular"/>
                    </a:defRPr>
                  </a:pPr>
                  <a:endParaRPr lang="es-ES"/>
                </a:p>
              </c:txPr>
            </c:dLbl>
            <c:dLbl>
              <c:idx val="1"/>
              <c:delete val="1"/>
            </c:dLbl>
            <c:dLbl>
              <c:idx val="2"/>
              <c:spPr/>
              <c:txPr>
                <a:bodyPr/>
                <a:lstStyle/>
                <a:p>
                  <a:pPr>
                    <a:defRPr sz="700">
                      <a:latin typeface="MinionPro-Regular"/>
                    </a:defRPr>
                  </a:pPr>
                  <a:endParaRPr lang="es-ES"/>
                </a:p>
              </c:txPr>
            </c:dLbl>
            <c:dLbl>
              <c:idx val="3"/>
              <c:delete val="1"/>
            </c:dLbl>
            <c:dLbl>
              <c:idx val="4"/>
              <c:spPr/>
              <c:txPr>
                <a:bodyPr/>
                <a:lstStyle/>
                <a:p>
                  <a:pPr>
                    <a:defRPr sz="700">
                      <a:latin typeface="MinionPro-Regular"/>
                    </a:defRPr>
                  </a:pPr>
                  <a:endParaRPr lang="es-ES"/>
                </a:p>
              </c:txPr>
            </c:dLbl>
            <c:dLbl>
              <c:idx val="5"/>
              <c:spPr/>
              <c:txPr>
                <a:bodyPr/>
                <a:lstStyle/>
                <a:p>
                  <a:pPr>
                    <a:defRPr sz="700">
                      <a:latin typeface="MinionPro-Regular"/>
                    </a:defRPr>
                  </a:pPr>
                  <a:endParaRPr lang="es-ES"/>
                </a:p>
              </c:txPr>
            </c:dLbl>
            <c:dLbl>
              <c:idx val="6"/>
              <c:layout>
                <c:manualLayout>
                  <c:x val="-2.7259108269086452E-2"/>
                  <c:y val="2.1141649048625852E-2"/>
                </c:manualLayout>
              </c:layout>
              <c:tx>
                <c:rich>
                  <a:bodyPr/>
                  <a:lstStyle/>
                  <a:p>
                    <a:pPr>
                      <a:defRPr sz="700">
                        <a:latin typeface="MinionPro-Regular"/>
                      </a:defRPr>
                    </a:pPr>
                    <a:r>
                      <a:rPr lang="en-US">
                        <a:latin typeface="MinionPro-Regular"/>
                      </a:rPr>
                      <a:t>E</a:t>
                    </a:r>
                    <a:r>
                      <a:rPr lang="en-US"/>
                      <a:t>specificación gestión ética y profesionalizada de los CEE (AENOR)
7%</a:t>
                    </a:r>
                  </a:p>
                </c:rich>
              </c:tx>
              <c:spPr/>
              <c:dLblPos val="bestFit"/>
              <c:showCatName val="1"/>
              <c:showPercent val="1"/>
            </c:dLbl>
            <c:dLbl>
              <c:idx val="7"/>
              <c:spPr/>
              <c:txPr>
                <a:bodyPr/>
                <a:lstStyle/>
                <a:p>
                  <a:pPr>
                    <a:defRPr sz="700">
                      <a:latin typeface="MinionPro-Regular"/>
                    </a:defRPr>
                  </a:pPr>
                  <a:endParaRPr lang="es-ES"/>
                </a:p>
              </c:txPr>
            </c:dLbl>
            <c:dLbl>
              <c:idx val="8"/>
              <c:spPr/>
              <c:txPr>
                <a:bodyPr/>
                <a:lstStyle/>
                <a:p>
                  <a:pPr>
                    <a:defRPr sz="700">
                      <a:latin typeface="MinionPro-Regular"/>
                    </a:defRPr>
                  </a:pPr>
                  <a:endParaRPr lang="es-ES"/>
                </a:p>
              </c:txPr>
            </c:dLbl>
            <c:txPr>
              <a:bodyPr/>
              <a:lstStyle/>
              <a:p>
                <a:pPr>
                  <a:defRPr>
                    <a:latin typeface="MinionPro-Regular"/>
                  </a:defRPr>
                </a:pPr>
                <a:endParaRPr lang="es-ES"/>
              </a:p>
            </c:txPr>
            <c:dLblPos val="outEnd"/>
            <c:showCatName val="1"/>
            <c:showPercent val="1"/>
            <c:showLeaderLines val="1"/>
            <c:leaderLines>
              <c:spPr>
                <a:ln>
                  <a:solidFill>
                    <a:srgbClr val="000000"/>
                  </a:solidFill>
                  <a:prstDash val="solid"/>
                </a:ln>
              </c:spPr>
            </c:leaderLines>
          </c:dLbls>
          <c:cat>
            <c:strRef>
              <c:f>'2.2'!$C$5:$C$13</c:f>
              <c:strCache>
                <c:ptCount val="9"/>
                <c:pt idx="0">
                  <c:v>ISO 9001</c:v>
                </c:pt>
                <c:pt idx="1">
                  <c:v>ISO 9001 (En proceso)</c:v>
                </c:pt>
                <c:pt idx="2">
                  <c:v>ISO 14001</c:v>
                </c:pt>
                <c:pt idx="3">
                  <c:v>ISO 14002 (En proceso)</c:v>
                </c:pt>
                <c:pt idx="4">
                  <c:v>EMAS</c:v>
                </c:pt>
                <c:pt idx="5">
                  <c:v>OHSAS 18001</c:v>
                </c:pt>
                <c:pt idx="6">
                  <c:v>Especificación para la gestión ética y profesionalizada de los centros especiales de empleo (CEE) (AENOR)</c:v>
                </c:pt>
                <c:pt idx="7">
                  <c:v>Otros</c:v>
                </c:pt>
                <c:pt idx="8">
                  <c:v>Ningún sistema</c:v>
                </c:pt>
              </c:strCache>
            </c:strRef>
          </c:cat>
          <c:val>
            <c:numRef>
              <c:f>'2.2'!$D$5:$D$13</c:f>
              <c:numCache>
                <c:formatCode>General</c:formatCode>
                <c:ptCount val="9"/>
                <c:pt idx="0">
                  <c:v>78</c:v>
                </c:pt>
                <c:pt idx="1">
                  <c:v>0</c:v>
                </c:pt>
                <c:pt idx="2">
                  <c:v>42</c:v>
                </c:pt>
                <c:pt idx="3">
                  <c:v>0</c:v>
                </c:pt>
                <c:pt idx="4">
                  <c:v>6</c:v>
                </c:pt>
                <c:pt idx="5">
                  <c:v>37</c:v>
                </c:pt>
                <c:pt idx="6">
                  <c:v>13</c:v>
                </c:pt>
                <c:pt idx="7">
                  <c:v>8</c:v>
                </c:pt>
              </c:numCache>
            </c:numRef>
          </c:val>
        </c:ser>
        <c:firstSliceAng val="0"/>
      </c:pieChart>
      <c:spPr>
        <a:noFill/>
        <a:ln w="25400">
          <a:noFill/>
        </a:ln>
      </c:spPr>
    </c:plotArea>
    <c:plotVisOnly val="1"/>
  </c:chart>
  <c:spPr>
    <a:noFill/>
    <a:ln w="9525">
      <a:noFill/>
    </a:ln>
  </c:spPr>
  <c:txPr>
    <a:bodyPr/>
    <a:lstStyle/>
    <a:p>
      <a:pPr>
        <a:defRPr sz="800" b="0" i="0">
          <a:solidFill>
            <a:srgbClr val="000000"/>
          </a:solidFill>
          <a:latin typeface="Arial"/>
          <a:ea typeface="Arial"/>
          <a:cs typeface="Arial"/>
        </a:defRPr>
      </a:pPr>
      <a:endParaRPr lang="es-ES"/>
    </a:p>
  </c:txPr>
  <c:externalData r:id="rId1"/>
</c:chartSpace>
</file>

<file path=word/drawings/drawing1.xml><?xml version="1.0" encoding="utf-8"?>
<c:userShapes xmlns:c="http://schemas.openxmlformats.org/drawingml/2006/chart">
  <cdr:relSizeAnchor xmlns:cdr="http://schemas.openxmlformats.org/drawingml/2006/chartDrawing">
    <cdr:from>
      <cdr:x>0.26038</cdr:x>
      <cdr:y>0.07531</cdr:y>
    </cdr:from>
    <cdr:to>
      <cdr:x>0.65283</cdr:x>
      <cdr:y>0.19247</cdr:y>
    </cdr:to>
    <cdr:sp macro="" textlink="">
      <cdr:nvSpPr>
        <cdr:cNvPr id="2" name="TextBox 1"/>
        <cdr:cNvSpPr txBox="1"/>
      </cdr:nvSpPr>
      <cdr:spPr>
        <a:xfrm xmlns:a="http://schemas.openxmlformats.org/drawingml/2006/main">
          <a:off x="657225" y="171450"/>
          <a:ext cx="990600" cy="2667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0.1283</cdr:x>
      <cdr:y>0.05439</cdr:y>
    </cdr:from>
    <cdr:to>
      <cdr:x>0.49057</cdr:x>
      <cdr:y>0.45607</cdr:y>
    </cdr:to>
    <cdr:sp macro="" textlink="">
      <cdr:nvSpPr>
        <cdr:cNvPr id="3" name="TextBox 2"/>
        <cdr:cNvSpPr txBox="1"/>
      </cdr:nvSpPr>
      <cdr:spPr>
        <a:xfrm xmlns:a="http://schemas.openxmlformats.org/drawingml/2006/main">
          <a:off x="323850" y="123825"/>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0.04906</cdr:x>
      <cdr:y>0.05021</cdr:y>
    </cdr:from>
    <cdr:to>
      <cdr:x>0.925</cdr:x>
      <cdr:y>0.23284</cdr:y>
    </cdr:to>
    <cdr:sp macro="" textlink="">
      <cdr:nvSpPr>
        <cdr:cNvPr id="4" name="TextBox 3"/>
        <cdr:cNvSpPr txBox="1"/>
      </cdr:nvSpPr>
      <cdr:spPr>
        <a:xfrm xmlns:a="http://schemas.openxmlformats.org/drawingml/2006/main">
          <a:off x="123988" y="113474"/>
          <a:ext cx="2213769" cy="41273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en-US" sz="900" b="1">
              <a:latin typeface="MinionPro-Regular"/>
            </a:rPr>
            <a:t>Tipología de discapacidad de los</a:t>
          </a:r>
          <a:r>
            <a:rPr lang="en-US" sz="900" b="1" baseline="0">
              <a:latin typeface="MinionPro-Regular"/>
            </a:rPr>
            <a:t> trabajadores de centros especiales de empleo</a:t>
          </a:r>
          <a:endParaRPr lang="en-US" sz="900" b="1">
            <a:latin typeface="MinionPro-Regular"/>
          </a:endParaRPr>
        </a:p>
      </cdr:txBody>
    </cdr:sp>
  </cdr:relSizeAnchor>
</c:userShapes>
</file>

<file path=word/drawings/drawing10.xml><?xml version="1.0" encoding="utf-8"?>
<c:userShapes xmlns:c="http://schemas.openxmlformats.org/drawingml/2006/chart">
  <cdr:relSizeAnchor xmlns:cdr="http://schemas.openxmlformats.org/drawingml/2006/chartDrawing">
    <cdr:from>
      <cdr:x>0</cdr:x>
      <cdr:y>0</cdr:y>
    </cdr:from>
    <cdr:to>
      <cdr:x>0.2381</cdr:x>
      <cdr:y>0.04764</cdr:y>
    </cdr:to>
    <cdr:sp macro="" textlink="">
      <cdr:nvSpPr>
        <cdr:cNvPr id="2" name="Rectangle 1"/>
        <cdr:cNvSpPr/>
      </cdr:nvSpPr>
      <cdr:spPr>
        <a:xfrm xmlns:a="http://schemas.openxmlformats.org/drawingml/2006/main">
          <a:off x="0" y="0"/>
          <a:ext cx="1440160" cy="261610"/>
        </a:xfrm>
        <a:prstGeom xmlns:a="http://schemas.openxmlformats.org/drawingml/2006/main" prst="rect">
          <a:avLst/>
        </a:prstGeom>
      </cdr:spPr>
      <cdr:txBody>
        <a:bodyPr xmlns:a="http://schemas.openxmlformats.org/drawingml/2006/main" wrap="square">
          <a:spAutoFit/>
        </a:bodyPr>
        <a:lstStyle xmlns:a="http://schemas.openxmlformats.org/drawingml/2006/main">
          <a:defPPr>
            <a:defRPr lang="es-ES"/>
          </a:defPPr>
          <a:lvl1pPr marL="0" algn="l" defTabSz="914400" rtl="0" eaLnBrk="1" latinLnBrk="0" hangingPunct="1">
            <a:defRPr sz="1800" kern="1200">
              <a:solidFill>
                <a:sysClr val="windowText" lastClr="000000"/>
              </a:solidFill>
              <a:latin typeface="Calibri"/>
            </a:defRPr>
          </a:lvl1pPr>
          <a:lvl2pPr marL="457200" algn="l" defTabSz="914400" rtl="0" eaLnBrk="1" latinLnBrk="0" hangingPunct="1">
            <a:defRPr sz="1800" kern="1200">
              <a:solidFill>
                <a:sysClr val="windowText" lastClr="000000"/>
              </a:solidFill>
              <a:latin typeface="Calibri"/>
            </a:defRPr>
          </a:lvl2pPr>
          <a:lvl3pPr marL="914400" algn="l" defTabSz="914400" rtl="0" eaLnBrk="1" latinLnBrk="0" hangingPunct="1">
            <a:defRPr sz="1800" kern="1200">
              <a:solidFill>
                <a:sysClr val="windowText" lastClr="000000"/>
              </a:solidFill>
              <a:latin typeface="Calibri"/>
            </a:defRPr>
          </a:lvl3pPr>
          <a:lvl4pPr marL="1371600" algn="l" defTabSz="914400" rtl="0" eaLnBrk="1" latinLnBrk="0" hangingPunct="1">
            <a:defRPr sz="1800" kern="1200">
              <a:solidFill>
                <a:sysClr val="windowText" lastClr="000000"/>
              </a:solidFill>
              <a:latin typeface="Calibri"/>
            </a:defRPr>
          </a:lvl4pPr>
          <a:lvl5pPr marL="1828800" algn="l" defTabSz="914400" rtl="0" eaLnBrk="1" latinLnBrk="0" hangingPunct="1">
            <a:defRPr sz="1800" kern="1200">
              <a:solidFill>
                <a:sysClr val="windowText" lastClr="000000"/>
              </a:solidFill>
              <a:latin typeface="Calibri"/>
            </a:defRPr>
          </a:lvl5pPr>
          <a:lvl6pPr marL="2286000" algn="l" defTabSz="914400" rtl="0" eaLnBrk="1" latinLnBrk="0" hangingPunct="1">
            <a:defRPr sz="1800" kern="1200">
              <a:solidFill>
                <a:sysClr val="windowText" lastClr="000000"/>
              </a:solidFill>
              <a:latin typeface="Calibri"/>
            </a:defRPr>
          </a:lvl6pPr>
          <a:lvl7pPr marL="2743200" algn="l" defTabSz="914400" rtl="0" eaLnBrk="1" latinLnBrk="0" hangingPunct="1">
            <a:defRPr sz="1800" kern="1200">
              <a:solidFill>
                <a:sysClr val="windowText" lastClr="000000"/>
              </a:solidFill>
              <a:latin typeface="Calibri"/>
            </a:defRPr>
          </a:lvl7pPr>
          <a:lvl8pPr marL="3200400" algn="l" defTabSz="914400" rtl="0" eaLnBrk="1" latinLnBrk="0" hangingPunct="1">
            <a:defRPr sz="1800" kern="1200">
              <a:solidFill>
                <a:sysClr val="windowText" lastClr="000000"/>
              </a:solidFill>
              <a:latin typeface="Calibri"/>
            </a:defRPr>
          </a:lvl8pPr>
          <a:lvl9pPr marL="3657600" algn="l" defTabSz="914400" rtl="0" eaLnBrk="1" latinLnBrk="0" hangingPunct="1">
            <a:defRPr sz="1800" kern="1200">
              <a:solidFill>
                <a:sysClr val="windowText" lastClr="000000"/>
              </a:solidFill>
              <a:latin typeface="Calibri"/>
            </a:defRPr>
          </a:lvl9pPr>
        </a:lstStyle>
        <a:p xmlns:a="http://schemas.openxmlformats.org/drawingml/2006/main">
          <a:pPr algn="ctr"/>
          <a:r>
            <a:rPr lang="es-ES" sz="1100" b="1" dirty="0" smtClean="0">
              <a:latin typeface="MinionPro-Regular"/>
            </a:rPr>
            <a:t>ESCENARIO 2</a:t>
          </a:r>
          <a:endParaRPr lang="es-ES" sz="1100" b="1" dirty="0">
            <a:latin typeface="MinionPro-Regular"/>
          </a:endParaRPr>
        </a:p>
      </cdr:txBody>
    </cdr:sp>
  </cdr:relSizeAnchor>
</c:userShapes>
</file>

<file path=word/drawings/drawing11.xml><?xml version="1.0" encoding="utf-8"?>
<c:userShapes xmlns:c="http://schemas.openxmlformats.org/drawingml/2006/chart">
  <cdr:relSizeAnchor xmlns:cdr="http://schemas.openxmlformats.org/drawingml/2006/chartDrawing">
    <cdr:from>
      <cdr:x>0.44219</cdr:x>
      <cdr:y>0.27614</cdr:y>
    </cdr:from>
    <cdr:to>
      <cdr:x>0.58362</cdr:x>
      <cdr:y>0.36818</cdr:y>
    </cdr:to>
    <cdr:sp macro="" textlink="">
      <cdr:nvSpPr>
        <cdr:cNvPr id="2" name="TextBox 1"/>
        <cdr:cNvSpPr txBox="1"/>
      </cdr:nvSpPr>
      <cdr:spPr>
        <a:xfrm xmlns:a="http://schemas.openxmlformats.org/drawingml/2006/main">
          <a:off x="1857423" y="771525"/>
          <a:ext cx="594074" cy="2571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900"/>
            <a:t>r=</a:t>
          </a:r>
          <a:r>
            <a:rPr lang="en-US" sz="900" baseline="0"/>
            <a:t> 11,9%</a:t>
          </a:r>
          <a:endParaRPr lang="en-US" sz="900"/>
        </a:p>
      </cdr:txBody>
    </cdr:sp>
  </cdr:relSizeAnchor>
</c:userShapes>
</file>

<file path=word/drawings/drawing2.xml><?xml version="1.0" encoding="utf-8"?>
<c:userShapes xmlns:c="http://schemas.openxmlformats.org/drawingml/2006/chart">
  <cdr:relSizeAnchor xmlns:cdr="http://schemas.openxmlformats.org/drawingml/2006/chartDrawing">
    <cdr:from>
      <cdr:x>0.68357</cdr:x>
      <cdr:y>0.18068</cdr:y>
    </cdr:from>
    <cdr:to>
      <cdr:x>0.82071</cdr:x>
      <cdr:y>0.28295</cdr:y>
    </cdr:to>
    <cdr:sp macro="" textlink="">
      <cdr:nvSpPr>
        <cdr:cNvPr id="2" name="TextBox 1"/>
        <cdr:cNvSpPr txBox="1"/>
      </cdr:nvSpPr>
      <cdr:spPr>
        <a:xfrm xmlns:a="http://schemas.openxmlformats.org/drawingml/2006/main">
          <a:off x="3038475" y="504825"/>
          <a:ext cx="609600" cy="2857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000">
              <a:latin typeface="MinionPro-Regular"/>
            </a:rPr>
            <a:t>38,8%</a:t>
          </a:r>
        </a:p>
      </cdr:txBody>
    </cdr:sp>
  </cdr:relSizeAnchor>
  <cdr:relSizeAnchor xmlns:cdr="http://schemas.openxmlformats.org/drawingml/2006/chartDrawing">
    <cdr:from>
      <cdr:x>0.68357</cdr:x>
      <cdr:y>0.39205</cdr:y>
    </cdr:from>
    <cdr:to>
      <cdr:x>0.82071</cdr:x>
      <cdr:y>0.49432</cdr:y>
    </cdr:to>
    <cdr:sp macro="" textlink="">
      <cdr:nvSpPr>
        <cdr:cNvPr id="3" name="TextBox 1"/>
        <cdr:cNvSpPr txBox="1"/>
      </cdr:nvSpPr>
      <cdr:spPr>
        <a:xfrm xmlns:a="http://schemas.openxmlformats.org/drawingml/2006/main">
          <a:off x="3038475" y="1095375"/>
          <a:ext cx="609600" cy="28575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en-US" sz="1000">
              <a:latin typeface="MinionPro-Regular"/>
            </a:rPr>
            <a:t>61,2%</a:t>
          </a:r>
        </a:p>
      </cdr:txBody>
    </cdr:sp>
  </cdr:relSizeAnchor>
  <cdr:relSizeAnchor xmlns:cdr="http://schemas.openxmlformats.org/drawingml/2006/chartDrawing">
    <cdr:from>
      <cdr:x>0.645</cdr:x>
      <cdr:y>0.16023</cdr:y>
    </cdr:from>
    <cdr:to>
      <cdr:x>0.66857</cdr:x>
      <cdr:y>0.3</cdr:y>
    </cdr:to>
    <cdr:sp macro="" textlink="">
      <cdr:nvSpPr>
        <cdr:cNvPr id="8" name="Right Brace 7"/>
        <cdr:cNvSpPr/>
      </cdr:nvSpPr>
      <cdr:spPr>
        <a:xfrm xmlns:a="http://schemas.openxmlformats.org/drawingml/2006/main">
          <a:off x="2867025" y="447675"/>
          <a:ext cx="104775" cy="390525"/>
        </a:xfrm>
        <a:prstGeom xmlns:a="http://schemas.openxmlformats.org/drawingml/2006/main" prst="rightBrace">
          <a:avLst/>
        </a:prstGeom>
        <a:noFill xmlns:a="http://schemas.openxmlformats.org/drawingml/2006/main"/>
        <a:ln xmlns:a="http://schemas.openxmlformats.org/drawingml/2006/main">
          <a:solidFill>
            <a:schemeClr val="accent5">
              <a:lumMod val="75000"/>
            </a:schemeClr>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dr:relSizeAnchor xmlns:cdr="http://schemas.openxmlformats.org/drawingml/2006/chartDrawing">
    <cdr:from>
      <cdr:x>0.64607</cdr:x>
      <cdr:y>0.31705</cdr:y>
    </cdr:from>
    <cdr:to>
      <cdr:x>0.66429</cdr:x>
      <cdr:y>0.57614</cdr:y>
    </cdr:to>
    <cdr:sp macro="" textlink="">
      <cdr:nvSpPr>
        <cdr:cNvPr id="9" name="Right Brace 8"/>
        <cdr:cNvSpPr/>
      </cdr:nvSpPr>
      <cdr:spPr>
        <a:xfrm xmlns:a="http://schemas.openxmlformats.org/drawingml/2006/main">
          <a:off x="2871787" y="885825"/>
          <a:ext cx="80963" cy="723900"/>
        </a:xfrm>
        <a:prstGeom xmlns:a="http://schemas.openxmlformats.org/drawingml/2006/main" prst="rightBrace">
          <a:avLst/>
        </a:prstGeom>
        <a:ln xmlns:a="http://schemas.openxmlformats.org/drawingml/2006/main">
          <a:solidFill>
            <a:schemeClr val="accent5">
              <a:lumMod val="75000"/>
            </a:schemeClr>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dr:relSizeAnchor xmlns:cdr="http://schemas.openxmlformats.org/drawingml/2006/chartDrawing">
    <cdr:from>
      <cdr:x>0.68357</cdr:x>
      <cdr:y>0.18068</cdr:y>
    </cdr:from>
    <cdr:to>
      <cdr:x>0.82071</cdr:x>
      <cdr:y>0.28295</cdr:y>
    </cdr:to>
    <cdr:sp macro="" textlink="">
      <cdr:nvSpPr>
        <cdr:cNvPr id="4" name="TextBox 1"/>
        <cdr:cNvSpPr txBox="1"/>
      </cdr:nvSpPr>
      <cdr:spPr>
        <a:xfrm xmlns:a="http://schemas.openxmlformats.org/drawingml/2006/main">
          <a:off x="3038475" y="504825"/>
          <a:ext cx="609600" cy="2857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000">
              <a:latin typeface="MinionPro-Regular"/>
            </a:rPr>
            <a:t>38,8%</a:t>
          </a:r>
        </a:p>
      </cdr:txBody>
    </cdr:sp>
  </cdr:relSizeAnchor>
  <cdr:relSizeAnchor xmlns:cdr="http://schemas.openxmlformats.org/drawingml/2006/chartDrawing">
    <cdr:from>
      <cdr:x>0.68357</cdr:x>
      <cdr:y>0.39205</cdr:y>
    </cdr:from>
    <cdr:to>
      <cdr:x>0.82071</cdr:x>
      <cdr:y>0.49432</cdr:y>
    </cdr:to>
    <cdr:sp macro="" textlink="">
      <cdr:nvSpPr>
        <cdr:cNvPr id="5" name="TextBox 1"/>
        <cdr:cNvSpPr txBox="1"/>
      </cdr:nvSpPr>
      <cdr:spPr>
        <a:xfrm xmlns:a="http://schemas.openxmlformats.org/drawingml/2006/main">
          <a:off x="3038475" y="1095375"/>
          <a:ext cx="609600" cy="28575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en-US" sz="1000">
              <a:latin typeface="MinionPro-Regular"/>
            </a:rPr>
            <a:t>61,2%</a:t>
          </a:r>
        </a:p>
      </cdr:txBody>
    </cdr:sp>
  </cdr:relSizeAnchor>
  <cdr:relSizeAnchor xmlns:cdr="http://schemas.openxmlformats.org/drawingml/2006/chartDrawing">
    <cdr:from>
      <cdr:x>0.645</cdr:x>
      <cdr:y>0.16023</cdr:y>
    </cdr:from>
    <cdr:to>
      <cdr:x>0.66857</cdr:x>
      <cdr:y>0.3</cdr:y>
    </cdr:to>
    <cdr:sp macro="" textlink="">
      <cdr:nvSpPr>
        <cdr:cNvPr id="6" name="Right Brace 7"/>
        <cdr:cNvSpPr/>
      </cdr:nvSpPr>
      <cdr:spPr>
        <a:xfrm xmlns:a="http://schemas.openxmlformats.org/drawingml/2006/main">
          <a:off x="2867025" y="447675"/>
          <a:ext cx="104775" cy="390525"/>
        </a:xfrm>
        <a:prstGeom xmlns:a="http://schemas.openxmlformats.org/drawingml/2006/main" prst="rightBrace">
          <a:avLst/>
        </a:prstGeom>
        <a:noFill xmlns:a="http://schemas.openxmlformats.org/drawingml/2006/main"/>
        <a:ln xmlns:a="http://schemas.openxmlformats.org/drawingml/2006/main">
          <a:solidFill>
            <a:schemeClr val="accent5">
              <a:lumMod val="75000"/>
            </a:schemeClr>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dr:relSizeAnchor xmlns:cdr="http://schemas.openxmlformats.org/drawingml/2006/chartDrawing">
    <cdr:from>
      <cdr:x>0.64607</cdr:x>
      <cdr:y>0.31705</cdr:y>
    </cdr:from>
    <cdr:to>
      <cdr:x>0.66429</cdr:x>
      <cdr:y>0.57614</cdr:y>
    </cdr:to>
    <cdr:sp macro="" textlink="">
      <cdr:nvSpPr>
        <cdr:cNvPr id="7" name="Right Brace 8"/>
        <cdr:cNvSpPr/>
      </cdr:nvSpPr>
      <cdr:spPr>
        <a:xfrm xmlns:a="http://schemas.openxmlformats.org/drawingml/2006/main">
          <a:off x="2871787" y="885825"/>
          <a:ext cx="80963" cy="723900"/>
        </a:xfrm>
        <a:prstGeom xmlns:a="http://schemas.openxmlformats.org/drawingml/2006/main" prst="rightBrace">
          <a:avLst/>
        </a:prstGeom>
        <a:ln xmlns:a="http://schemas.openxmlformats.org/drawingml/2006/main">
          <a:solidFill>
            <a:schemeClr val="accent5">
              <a:lumMod val="75000"/>
            </a:schemeClr>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userShapes>
</file>

<file path=word/drawings/drawing3.xml><?xml version="1.0" encoding="utf-8"?>
<c:userShapes xmlns:c="http://schemas.openxmlformats.org/drawingml/2006/chart">
  <cdr:relSizeAnchor xmlns:cdr="http://schemas.openxmlformats.org/drawingml/2006/chartDrawing">
    <cdr:from>
      <cdr:x>0.7185</cdr:x>
      <cdr:y>0.25172</cdr:y>
    </cdr:from>
    <cdr:to>
      <cdr:x>0.85564</cdr:x>
      <cdr:y>0.35399</cdr:y>
    </cdr:to>
    <cdr:sp macro="" textlink="">
      <cdr:nvSpPr>
        <cdr:cNvPr id="2" name="TextBox 1"/>
        <cdr:cNvSpPr txBox="1"/>
      </cdr:nvSpPr>
      <cdr:spPr>
        <a:xfrm xmlns:a="http://schemas.openxmlformats.org/drawingml/2006/main">
          <a:off x="3312368" y="720080"/>
          <a:ext cx="632229" cy="29256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000" dirty="0">
              <a:latin typeface="MinionPro-Regular"/>
            </a:rPr>
            <a:t>56%</a:t>
          </a:r>
        </a:p>
      </cdr:txBody>
    </cdr:sp>
  </cdr:relSizeAnchor>
  <cdr:relSizeAnchor xmlns:cdr="http://schemas.openxmlformats.org/drawingml/2006/chartDrawing">
    <cdr:from>
      <cdr:x>0.7185</cdr:x>
      <cdr:y>0.47826</cdr:y>
    </cdr:from>
    <cdr:to>
      <cdr:x>0.85564</cdr:x>
      <cdr:y>0.58053</cdr:y>
    </cdr:to>
    <cdr:sp macro="" textlink="">
      <cdr:nvSpPr>
        <cdr:cNvPr id="3" name="TextBox 1"/>
        <cdr:cNvSpPr txBox="1"/>
      </cdr:nvSpPr>
      <cdr:spPr>
        <a:xfrm xmlns:a="http://schemas.openxmlformats.org/drawingml/2006/main">
          <a:off x="3312368" y="1368152"/>
          <a:ext cx="632229" cy="292561"/>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en-US" sz="1000" dirty="0">
              <a:latin typeface="MinionPro-Regular"/>
            </a:rPr>
            <a:t>44%</a:t>
          </a:r>
        </a:p>
      </cdr:txBody>
    </cdr:sp>
  </cdr:relSizeAnchor>
  <cdr:relSizeAnchor xmlns:cdr="http://schemas.openxmlformats.org/drawingml/2006/chartDrawing">
    <cdr:from>
      <cdr:x>0.68726</cdr:x>
      <cdr:y>0.1762</cdr:y>
    </cdr:from>
    <cdr:to>
      <cdr:x>0.70138</cdr:x>
      <cdr:y>0.42829</cdr:y>
    </cdr:to>
    <cdr:sp macro="" textlink="">
      <cdr:nvSpPr>
        <cdr:cNvPr id="8" name="Right Brace 7"/>
        <cdr:cNvSpPr/>
      </cdr:nvSpPr>
      <cdr:spPr>
        <a:xfrm xmlns:a="http://schemas.openxmlformats.org/drawingml/2006/main">
          <a:off x="3168352" y="504056"/>
          <a:ext cx="65063" cy="721144"/>
        </a:xfrm>
        <a:prstGeom xmlns:a="http://schemas.openxmlformats.org/drawingml/2006/main" prst="rightBrace">
          <a:avLst/>
        </a:prstGeom>
        <a:noFill xmlns:a="http://schemas.openxmlformats.org/drawingml/2006/main"/>
        <a:ln xmlns:a="http://schemas.openxmlformats.org/drawingml/2006/main">
          <a:solidFill>
            <a:schemeClr val="accent5">
              <a:lumMod val="75000"/>
            </a:schemeClr>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dr:relSizeAnchor xmlns:cdr="http://schemas.openxmlformats.org/drawingml/2006/chartDrawing">
    <cdr:from>
      <cdr:x>0.68726</cdr:x>
      <cdr:y>0.42792</cdr:y>
    </cdr:from>
    <cdr:to>
      <cdr:x>0.69718</cdr:x>
      <cdr:y>0.64422</cdr:y>
    </cdr:to>
    <cdr:sp macro="" textlink="">
      <cdr:nvSpPr>
        <cdr:cNvPr id="9" name="Right Brace 8"/>
        <cdr:cNvSpPr/>
      </cdr:nvSpPr>
      <cdr:spPr>
        <a:xfrm xmlns:a="http://schemas.openxmlformats.org/drawingml/2006/main">
          <a:off x="3168352" y="1224136"/>
          <a:ext cx="45719" cy="618760"/>
        </a:xfrm>
        <a:prstGeom xmlns:a="http://schemas.openxmlformats.org/drawingml/2006/main" prst="rightBrace">
          <a:avLst/>
        </a:prstGeom>
        <a:ln xmlns:a="http://schemas.openxmlformats.org/drawingml/2006/main">
          <a:solidFill>
            <a:schemeClr val="accent5">
              <a:lumMod val="75000"/>
            </a:schemeClr>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dr:relSizeAnchor xmlns:cdr="http://schemas.openxmlformats.org/drawingml/2006/chartDrawing">
    <cdr:from>
      <cdr:x>0.38347</cdr:x>
      <cdr:y>0.04413</cdr:y>
    </cdr:from>
    <cdr:to>
      <cdr:x>0.63339</cdr:x>
      <cdr:y>0.1302</cdr:y>
    </cdr:to>
    <cdr:sp macro="" textlink="">
      <cdr:nvSpPr>
        <cdr:cNvPr id="6" name="Rectangle 5"/>
        <cdr:cNvSpPr/>
      </cdr:nvSpPr>
      <cdr:spPr>
        <a:xfrm xmlns:a="http://schemas.openxmlformats.org/drawingml/2006/main">
          <a:off x="1767832" y="126243"/>
          <a:ext cx="1152157" cy="246219"/>
        </a:xfrm>
        <a:prstGeom xmlns:a="http://schemas.openxmlformats.org/drawingml/2006/main" prst="rect">
          <a:avLst/>
        </a:prstGeom>
      </cdr:spPr>
      <cdr:txBody>
        <a:bodyPr xmlns:a="http://schemas.openxmlformats.org/drawingml/2006/main" wrap="square">
          <a:spAutoFit/>
        </a:bodyPr>
        <a:lstStyle xmlns:a="http://schemas.openxmlformats.org/drawingml/2006/main">
          <a:defPPr>
            <a:defRPr lang="es-ES"/>
          </a:defPPr>
          <a:lvl1pPr marL="0" algn="l" defTabSz="914400" rtl="0" eaLnBrk="1" latinLnBrk="0" hangingPunct="1">
            <a:defRPr sz="1800" kern="1200">
              <a:solidFill>
                <a:sysClr val="windowText" lastClr="000000"/>
              </a:solidFill>
              <a:latin typeface="Calibri"/>
            </a:defRPr>
          </a:lvl1pPr>
          <a:lvl2pPr marL="457200" algn="l" defTabSz="914400" rtl="0" eaLnBrk="1" latinLnBrk="0" hangingPunct="1">
            <a:defRPr sz="1800" kern="1200">
              <a:solidFill>
                <a:sysClr val="windowText" lastClr="000000"/>
              </a:solidFill>
              <a:latin typeface="Calibri"/>
            </a:defRPr>
          </a:lvl2pPr>
          <a:lvl3pPr marL="914400" algn="l" defTabSz="914400" rtl="0" eaLnBrk="1" latinLnBrk="0" hangingPunct="1">
            <a:defRPr sz="1800" kern="1200">
              <a:solidFill>
                <a:sysClr val="windowText" lastClr="000000"/>
              </a:solidFill>
              <a:latin typeface="Calibri"/>
            </a:defRPr>
          </a:lvl3pPr>
          <a:lvl4pPr marL="1371600" algn="l" defTabSz="914400" rtl="0" eaLnBrk="1" latinLnBrk="0" hangingPunct="1">
            <a:defRPr sz="1800" kern="1200">
              <a:solidFill>
                <a:sysClr val="windowText" lastClr="000000"/>
              </a:solidFill>
              <a:latin typeface="Calibri"/>
            </a:defRPr>
          </a:lvl4pPr>
          <a:lvl5pPr marL="1828800" algn="l" defTabSz="914400" rtl="0" eaLnBrk="1" latinLnBrk="0" hangingPunct="1">
            <a:defRPr sz="1800" kern="1200">
              <a:solidFill>
                <a:sysClr val="windowText" lastClr="000000"/>
              </a:solidFill>
              <a:latin typeface="Calibri"/>
            </a:defRPr>
          </a:lvl5pPr>
          <a:lvl6pPr marL="2286000" algn="l" defTabSz="914400" rtl="0" eaLnBrk="1" latinLnBrk="0" hangingPunct="1">
            <a:defRPr sz="1800" kern="1200">
              <a:solidFill>
                <a:sysClr val="windowText" lastClr="000000"/>
              </a:solidFill>
              <a:latin typeface="Calibri"/>
            </a:defRPr>
          </a:lvl6pPr>
          <a:lvl7pPr marL="2743200" algn="l" defTabSz="914400" rtl="0" eaLnBrk="1" latinLnBrk="0" hangingPunct="1">
            <a:defRPr sz="1800" kern="1200">
              <a:solidFill>
                <a:sysClr val="windowText" lastClr="000000"/>
              </a:solidFill>
              <a:latin typeface="Calibri"/>
            </a:defRPr>
          </a:lvl7pPr>
          <a:lvl8pPr marL="3200400" algn="l" defTabSz="914400" rtl="0" eaLnBrk="1" latinLnBrk="0" hangingPunct="1">
            <a:defRPr sz="1800" kern="1200">
              <a:solidFill>
                <a:sysClr val="windowText" lastClr="000000"/>
              </a:solidFill>
              <a:latin typeface="Calibri"/>
            </a:defRPr>
          </a:lvl8pPr>
          <a:lvl9pPr marL="3657600" algn="l" defTabSz="914400" rtl="0" eaLnBrk="1" latinLnBrk="0" hangingPunct="1">
            <a:defRPr sz="1800" kern="1200">
              <a:solidFill>
                <a:sysClr val="windowText" lastClr="000000"/>
              </a:solidFill>
              <a:latin typeface="Calibri"/>
            </a:defRPr>
          </a:lvl9pPr>
        </a:lstStyle>
        <a:p xmlns:a="http://schemas.openxmlformats.org/drawingml/2006/main">
          <a:pPr algn="ctr"/>
          <a:r>
            <a:rPr lang="es-ES" sz="1000" dirty="0" smtClean="0">
              <a:latin typeface="MinionPro-Regular"/>
            </a:rPr>
            <a:t>87.366.287</a:t>
          </a:r>
          <a:endParaRPr lang="es-ES" sz="1000" dirty="0">
            <a:latin typeface="MinionPro-Regular"/>
          </a:endParaRPr>
        </a:p>
      </cdr:txBody>
    </cdr:sp>
  </cdr:relSizeAnchor>
</c:userShapes>
</file>

<file path=word/drawings/drawing4.xml><?xml version="1.0" encoding="utf-8"?>
<c:userShapes xmlns:c="http://schemas.openxmlformats.org/drawingml/2006/chart">
  <cdr:relSizeAnchor xmlns:cdr="http://schemas.openxmlformats.org/drawingml/2006/chartDrawing">
    <cdr:from>
      <cdr:x>0.71997</cdr:x>
      <cdr:y>0.30332</cdr:y>
    </cdr:from>
    <cdr:to>
      <cdr:x>0.85711</cdr:x>
      <cdr:y>0.40559</cdr:y>
    </cdr:to>
    <cdr:sp macro="" textlink="">
      <cdr:nvSpPr>
        <cdr:cNvPr id="2" name="TextBox 1"/>
        <cdr:cNvSpPr txBox="1"/>
      </cdr:nvSpPr>
      <cdr:spPr>
        <a:xfrm xmlns:a="http://schemas.openxmlformats.org/drawingml/2006/main">
          <a:off x="3319143" y="867702"/>
          <a:ext cx="632229" cy="29256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000">
              <a:latin typeface="MinionPro-Regular"/>
            </a:rPr>
            <a:t>65,9%</a:t>
          </a:r>
        </a:p>
      </cdr:txBody>
    </cdr:sp>
  </cdr:relSizeAnchor>
  <cdr:relSizeAnchor xmlns:cdr="http://schemas.openxmlformats.org/drawingml/2006/chartDrawing">
    <cdr:from>
      <cdr:x>0.71378</cdr:x>
      <cdr:y>0.43145</cdr:y>
    </cdr:from>
    <cdr:to>
      <cdr:x>0.85092</cdr:x>
      <cdr:y>0.53372</cdr:y>
    </cdr:to>
    <cdr:sp macro="" textlink="">
      <cdr:nvSpPr>
        <cdr:cNvPr id="3" name="TextBox 1"/>
        <cdr:cNvSpPr txBox="1"/>
      </cdr:nvSpPr>
      <cdr:spPr>
        <a:xfrm xmlns:a="http://schemas.openxmlformats.org/drawingml/2006/main">
          <a:off x="3290579" y="1234243"/>
          <a:ext cx="632229" cy="292562"/>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en-US" sz="1000">
              <a:latin typeface="MinionPro-Regular"/>
            </a:rPr>
            <a:t>11,5%</a:t>
          </a:r>
        </a:p>
      </cdr:txBody>
    </cdr:sp>
  </cdr:relSizeAnchor>
  <cdr:relSizeAnchor xmlns:cdr="http://schemas.openxmlformats.org/drawingml/2006/chartDrawing">
    <cdr:from>
      <cdr:x>0.67108</cdr:x>
      <cdr:y>0.2291</cdr:y>
    </cdr:from>
    <cdr:to>
      <cdr:x>0.68878</cdr:x>
      <cdr:y>0.42859</cdr:y>
    </cdr:to>
    <cdr:sp macro="" textlink="">
      <cdr:nvSpPr>
        <cdr:cNvPr id="8" name="Right Brace 7"/>
        <cdr:cNvSpPr/>
      </cdr:nvSpPr>
      <cdr:spPr>
        <a:xfrm xmlns:a="http://schemas.openxmlformats.org/drawingml/2006/main">
          <a:off x="3093742" y="655385"/>
          <a:ext cx="81599" cy="570676"/>
        </a:xfrm>
        <a:prstGeom xmlns:a="http://schemas.openxmlformats.org/drawingml/2006/main" prst="rightBrace">
          <a:avLst/>
        </a:prstGeom>
        <a:noFill xmlns:a="http://schemas.openxmlformats.org/drawingml/2006/main"/>
        <a:ln xmlns:a="http://schemas.openxmlformats.org/drawingml/2006/main">
          <a:solidFill>
            <a:schemeClr val="accent5">
              <a:lumMod val="75000"/>
            </a:schemeClr>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dr:relSizeAnchor xmlns:cdr="http://schemas.openxmlformats.org/drawingml/2006/chartDrawing">
    <cdr:from>
      <cdr:x>0.67497</cdr:x>
      <cdr:y>0.4595</cdr:y>
    </cdr:from>
    <cdr:to>
      <cdr:x>0.68489</cdr:x>
      <cdr:y>0.51609</cdr:y>
    </cdr:to>
    <cdr:sp macro="" textlink="">
      <cdr:nvSpPr>
        <cdr:cNvPr id="9" name="Right Brace 8"/>
        <cdr:cNvSpPr/>
      </cdr:nvSpPr>
      <cdr:spPr>
        <a:xfrm xmlns:a="http://schemas.openxmlformats.org/drawingml/2006/main">
          <a:off x="3111676" y="1314483"/>
          <a:ext cx="45732" cy="161886"/>
        </a:xfrm>
        <a:prstGeom xmlns:a="http://schemas.openxmlformats.org/drawingml/2006/main" prst="rightBrace">
          <a:avLst/>
        </a:prstGeom>
        <a:ln xmlns:a="http://schemas.openxmlformats.org/drawingml/2006/main">
          <a:solidFill>
            <a:schemeClr val="accent5">
              <a:lumMod val="75000"/>
            </a:schemeClr>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dr:relSizeAnchor xmlns:cdr="http://schemas.openxmlformats.org/drawingml/2006/chartDrawing">
    <cdr:from>
      <cdr:x>0.6729</cdr:x>
      <cdr:y>0.53274</cdr:y>
    </cdr:from>
    <cdr:to>
      <cdr:x>0.68282</cdr:x>
      <cdr:y>0.58934</cdr:y>
    </cdr:to>
    <cdr:sp macro="" textlink="">
      <cdr:nvSpPr>
        <cdr:cNvPr id="6" name="Right Brace 5"/>
        <cdr:cNvSpPr/>
      </cdr:nvSpPr>
      <cdr:spPr>
        <a:xfrm xmlns:a="http://schemas.openxmlformats.org/drawingml/2006/main">
          <a:off x="3102151" y="1524000"/>
          <a:ext cx="45732" cy="161914"/>
        </a:xfrm>
        <a:prstGeom xmlns:a="http://schemas.openxmlformats.org/drawingml/2006/main" prst="rightBrace">
          <a:avLst/>
        </a:prstGeom>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dr:relSizeAnchor xmlns:cdr="http://schemas.openxmlformats.org/drawingml/2006/chartDrawing">
    <cdr:from>
      <cdr:x>0.7117</cdr:x>
      <cdr:y>0.52275</cdr:y>
    </cdr:from>
    <cdr:to>
      <cdr:x>0.84884</cdr:x>
      <cdr:y>0.62502</cdr:y>
    </cdr:to>
    <cdr:sp macro="" textlink="">
      <cdr:nvSpPr>
        <cdr:cNvPr id="7" name="TextBox 1"/>
        <cdr:cNvSpPr txBox="1"/>
      </cdr:nvSpPr>
      <cdr:spPr>
        <a:xfrm xmlns:a="http://schemas.openxmlformats.org/drawingml/2006/main">
          <a:off x="3281025" y="1495416"/>
          <a:ext cx="632229" cy="292561"/>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en-US" sz="1000">
              <a:latin typeface="MinionPro-Regular"/>
            </a:rPr>
            <a:t>22,5%</a:t>
          </a:r>
        </a:p>
      </cdr:txBody>
    </cdr:sp>
  </cdr:relSizeAnchor>
  <cdr:relSizeAnchor xmlns:cdr="http://schemas.openxmlformats.org/drawingml/2006/chartDrawing">
    <cdr:from>
      <cdr:x>0.32818</cdr:x>
      <cdr:y>0.07208</cdr:y>
    </cdr:from>
    <cdr:to>
      <cdr:x>0.5781</cdr:x>
      <cdr:y>0.15815</cdr:y>
    </cdr:to>
    <cdr:sp macro="" textlink="">
      <cdr:nvSpPr>
        <cdr:cNvPr id="10" name="Rectangle 9"/>
        <cdr:cNvSpPr/>
      </cdr:nvSpPr>
      <cdr:spPr>
        <a:xfrm xmlns:a="http://schemas.openxmlformats.org/drawingml/2006/main">
          <a:off x="1512962" y="206202"/>
          <a:ext cx="1152128" cy="246221"/>
        </a:xfrm>
        <a:prstGeom xmlns:a="http://schemas.openxmlformats.org/drawingml/2006/main" prst="rect">
          <a:avLst/>
        </a:prstGeom>
      </cdr:spPr>
      <cdr:txBody>
        <a:bodyPr xmlns:a="http://schemas.openxmlformats.org/drawingml/2006/main" wrap="square">
          <a:spAutoFit/>
        </a:bodyPr>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pPr algn="ctr"/>
          <a:r>
            <a:rPr lang="es-ES" sz="1000" dirty="0" smtClean="0">
              <a:latin typeface="MinionPro-Regular"/>
            </a:rPr>
            <a:t>91.965.885</a:t>
          </a:r>
          <a:endParaRPr lang="es-ES" sz="1000" dirty="0">
            <a:latin typeface="MinionPro-Regular"/>
          </a:endParaRPr>
        </a:p>
      </cdr:txBody>
    </cdr:sp>
  </cdr:relSizeAnchor>
</c:userShapes>
</file>

<file path=word/drawings/drawing5.xml><?xml version="1.0" encoding="utf-8"?>
<c:userShapes xmlns:c="http://schemas.openxmlformats.org/drawingml/2006/chart">
  <cdr:relSizeAnchor xmlns:cdr="http://schemas.openxmlformats.org/drawingml/2006/chartDrawing">
    <cdr:from>
      <cdr:x>0.12912</cdr:x>
      <cdr:y>0.90254</cdr:y>
    </cdr:from>
    <cdr:to>
      <cdr:x>0.95545</cdr:x>
      <cdr:y>0.90254</cdr:y>
    </cdr:to>
    <cdr:sp macro="" textlink="">
      <cdr:nvSpPr>
        <cdr:cNvPr id="3" name="Straight Connector 2"/>
        <cdr:cNvSpPr/>
      </cdr:nvSpPr>
      <cdr:spPr>
        <a:xfrm xmlns:a="http://schemas.openxmlformats.org/drawingml/2006/main">
          <a:off x="720080" y="3024336"/>
          <a:ext cx="4608512" cy="0"/>
        </a:xfrm>
        <a:prstGeom xmlns:a="http://schemas.openxmlformats.org/drawingml/2006/main" prst="line">
          <a:avLst/>
        </a:prstGeom>
        <a:ln xmlns:a="http://schemas.openxmlformats.org/drawingml/2006/main">
          <a:solidFill>
            <a:schemeClr val="tx1"/>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es-ES"/>
        </a:p>
      </cdr:txBody>
    </cdr:sp>
  </cdr:relSizeAnchor>
</c:userShapes>
</file>

<file path=word/drawings/drawing6.xml><?xml version="1.0" encoding="utf-8"?>
<c:userShapes xmlns:c="http://schemas.openxmlformats.org/drawingml/2006/chart">
  <cdr:relSizeAnchor xmlns:cdr="http://schemas.openxmlformats.org/drawingml/2006/chartDrawing">
    <cdr:from>
      <cdr:x>0.09665</cdr:x>
      <cdr:y>0.22522</cdr:y>
    </cdr:from>
    <cdr:to>
      <cdr:x>0.1803</cdr:x>
      <cdr:y>0.35515</cdr:y>
    </cdr:to>
    <cdr:sp macro="" textlink="">
      <cdr:nvSpPr>
        <cdr:cNvPr id="2" name="TextBox 1"/>
        <cdr:cNvSpPr txBox="1"/>
      </cdr:nvSpPr>
      <cdr:spPr>
        <a:xfrm xmlns:a="http://schemas.openxmlformats.org/drawingml/2006/main">
          <a:off x="495301" y="742950"/>
          <a:ext cx="428625" cy="4286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0.51708</cdr:x>
      <cdr:y>0.48508</cdr:y>
    </cdr:from>
    <cdr:to>
      <cdr:x>0.69694</cdr:x>
      <cdr:y>0.55727</cdr:y>
    </cdr:to>
    <cdr:sp macro="" textlink="">
      <cdr:nvSpPr>
        <cdr:cNvPr id="3" name="TextBox 2"/>
        <cdr:cNvSpPr txBox="1"/>
      </cdr:nvSpPr>
      <cdr:spPr>
        <a:xfrm xmlns:a="http://schemas.openxmlformats.org/drawingml/2006/main">
          <a:off x="2628900" y="1600200"/>
          <a:ext cx="914400" cy="23812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0.49647</cdr:x>
      <cdr:y>0.40135</cdr:y>
    </cdr:from>
    <cdr:to>
      <cdr:x>0.63136</cdr:x>
      <cdr:y>0.46487</cdr:y>
    </cdr:to>
    <cdr:sp macro="" textlink="">
      <cdr:nvSpPr>
        <cdr:cNvPr id="4" name="TextBox 3"/>
        <cdr:cNvSpPr txBox="1"/>
      </cdr:nvSpPr>
      <cdr:spPr>
        <a:xfrm xmlns:a="http://schemas.openxmlformats.org/drawingml/2006/main">
          <a:off x="2524125" y="1323975"/>
          <a:ext cx="685800" cy="20955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800">
              <a:latin typeface="MinionPro-Regular"/>
            </a:rPr>
            <a:t>1.310.451</a:t>
          </a:r>
        </a:p>
      </cdr:txBody>
    </cdr:sp>
  </cdr:relSizeAnchor>
  <cdr:relSizeAnchor xmlns:cdr="http://schemas.openxmlformats.org/drawingml/2006/chartDrawing">
    <cdr:from>
      <cdr:x>0.36158</cdr:x>
      <cdr:y>0.2743</cdr:y>
    </cdr:from>
    <cdr:to>
      <cdr:x>0.49647</cdr:x>
      <cdr:y>0.33782</cdr:y>
    </cdr:to>
    <cdr:sp macro="" textlink="">
      <cdr:nvSpPr>
        <cdr:cNvPr id="5" name="TextBox 1"/>
        <cdr:cNvSpPr txBox="1"/>
      </cdr:nvSpPr>
      <cdr:spPr>
        <a:xfrm xmlns:a="http://schemas.openxmlformats.org/drawingml/2006/main">
          <a:off x="1838325" y="904875"/>
          <a:ext cx="685800" cy="209550"/>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en-US" sz="800">
              <a:latin typeface="MinionPro-Regular"/>
            </a:rPr>
            <a:t>257.229</a:t>
          </a:r>
        </a:p>
      </cdr:txBody>
    </cdr:sp>
  </cdr:relSizeAnchor>
  <cdr:relSizeAnchor xmlns:cdr="http://schemas.openxmlformats.org/drawingml/2006/chartDrawing">
    <cdr:from>
      <cdr:x>0.30163</cdr:x>
      <cdr:y>0.38402</cdr:y>
    </cdr:from>
    <cdr:to>
      <cdr:x>0.43652</cdr:x>
      <cdr:y>0.44755</cdr:y>
    </cdr:to>
    <cdr:sp macro="" textlink="">
      <cdr:nvSpPr>
        <cdr:cNvPr id="6" name="TextBox 1"/>
        <cdr:cNvSpPr txBox="1"/>
      </cdr:nvSpPr>
      <cdr:spPr>
        <a:xfrm xmlns:a="http://schemas.openxmlformats.org/drawingml/2006/main">
          <a:off x="1533525" y="1266825"/>
          <a:ext cx="685800" cy="209550"/>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en-US" sz="800">
              <a:latin typeface="MinionPro-Regular"/>
            </a:rPr>
            <a:t>211.058</a:t>
          </a:r>
        </a:p>
      </cdr:txBody>
    </cdr:sp>
  </cdr:relSizeAnchor>
  <cdr:relSizeAnchor xmlns:cdr="http://schemas.openxmlformats.org/drawingml/2006/chartDrawing">
    <cdr:from>
      <cdr:x>0.34659</cdr:x>
      <cdr:y>0.80558</cdr:y>
    </cdr:from>
    <cdr:to>
      <cdr:x>0.57516</cdr:x>
      <cdr:y>0.87199</cdr:y>
    </cdr:to>
    <cdr:sp macro="" textlink="">
      <cdr:nvSpPr>
        <cdr:cNvPr id="7" name="TextBox 1"/>
        <cdr:cNvSpPr txBox="1"/>
      </cdr:nvSpPr>
      <cdr:spPr>
        <a:xfrm xmlns:a="http://schemas.openxmlformats.org/drawingml/2006/main">
          <a:off x="1762124" y="2657474"/>
          <a:ext cx="1162051" cy="219075"/>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en-US" sz="1000" b="1">
              <a:latin typeface="MinionPro-Regular"/>
            </a:rPr>
            <a:t>Total: 1.778.738</a:t>
          </a:r>
          <a:r>
            <a:rPr lang="en-US" sz="1000" b="1" baseline="0">
              <a:latin typeface="MinionPro-Regular"/>
            </a:rPr>
            <a:t> </a:t>
          </a:r>
          <a:r>
            <a:rPr lang="en-US" sz="1000" b="1" baseline="0">
              <a:latin typeface="MinionPro-Regular"/>
              <a:cs typeface="Calibri"/>
            </a:rPr>
            <a:t>€</a:t>
          </a:r>
          <a:endParaRPr lang="en-US" sz="1000" b="1">
            <a:latin typeface="MinionPro-Regular"/>
          </a:endParaRPr>
        </a:p>
      </cdr:txBody>
    </cdr:sp>
  </cdr:relSizeAnchor>
</c:userShapes>
</file>

<file path=word/drawings/drawing7.xml><?xml version="1.0" encoding="utf-8"?>
<c:userShapes xmlns:c="http://schemas.openxmlformats.org/drawingml/2006/chart">
  <cdr:relSizeAnchor xmlns:cdr="http://schemas.openxmlformats.org/drawingml/2006/chartDrawing">
    <cdr:from>
      <cdr:x>0.53053</cdr:x>
      <cdr:y>0.08785</cdr:y>
    </cdr:from>
    <cdr:to>
      <cdr:x>0.71568</cdr:x>
      <cdr:y>0.14953</cdr:y>
    </cdr:to>
    <cdr:sp macro="" textlink="">
      <cdr:nvSpPr>
        <cdr:cNvPr id="2" name="TextBox 1"/>
        <cdr:cNvSpPr txBox="1"/>
      </cdr:nvSpPr>
      <cdr:spPr>
        <a:xfrm xmlns:a="http://schemas.openxmlformats.org/drawingml/2006/main">
          <a:off x="3339353" y="526677"/>
          <a:ext cx="1165412" cy="36979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sz="1100"/>
        </a:p>
      </cdr:txBody>
    </cdr:sp>
  </cdr:relSizeAnchor>
</c:userShapes>
</file>

<file path=word/drawings/drawing8.xml><?xml version="1.0" encoding="utf-8"?>
<c:userShapes xmlns:c="http://schemas.openxmlformats.org/drawingml/2006/chart">
  <cdr:relSizeAnchor xmlns:cdr="http://schemas.openxmlformats.org/drawingml/2006/chartDrawing">
    <cdr:from>
      <cdr:x>0</cdr:x>
      <cdr:y>0</cdr:y>
    </cdr:from>
    <cdr:to>
      <cdr:x>0.31841</cdr:x>
      <cdr:y>0.04363</cdr:y>
    </cdr:to>
    <cdr:sp macro="" textlink="">
      <cdr:nvSpPr>
        <cdr:cNvPr id="12" name="Rectangle 11"/>
        <cdr:cNvSpPr/>
      </cdr:nvSpPr>
      <cdr:spPr>
        <a:xfrm xmlns:a="http://schemas.openxmlformats.org/drawingml/2006/main">
          <a:off x="0" y="0"/>
          <a:ext cx="2016180" cy="261595"/>
        </a:xfrm>
        <a:prstGeom xmlns:a="http://schemas.openxmlformats.org/drawingml/2006/main" prst="rect">
          <a:avLst/>
        </a:prstGeom>
      </cdr:spPr>
      <cdr:txBody>
        <a:bodyPr xmlns:a="http://schemas.openxmlformats.org/drawingml/2006/main" wrap="square">
          <a:spAutoFit/>
        </a:bodyPr>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pPr algn="ctr"/>
          <a:r>
            <a:rPr lang="es-ES" sz="1100" b="1" dirty="0" smtClean="0">
              <a:latin typeface="MinionPro-Regular"/>
            </a:rPr>
            <a:t>ESCENARIOS 1, 2 y 3</a:t>
          </a:r>
          <a:endParaRPr lang="es-ES" sz="1100" b="1" dirty="0">
            <a:latin typeface="MinionPro-Regular"/>
          </a:endParaRPr>
        </a:p>
      </cdr:txBody>
    </cdr:sp>
  </cdr:relSizeAnchor>
</c:userShapes>
</file>

<file path=word/drawings/drawing9.xml><?xml version="1.0" encoding="utf-8"?>
<c:userShapes xmlns:c="http://schemas.openxmlformats.org/drawingml/2006/chart">
  <cdr:relSizeAnchor xmlns:cdr="http://schemas.openxmlformats.org/drawingml/2006/chartDrawing">
    <cdr:from>
      <cdr:x>0</cdr:x>
      <cdr:y>0</cdr:y>
    </cdr:from>
    <cdr:to>
      <cdr:x>0.25</cdr:x>
      <cdr:y>0.0519</cdr:y>
    </cdr:to>
    <cdr:sp macro="" textlink="">
      <cdr:nvSpPr>
        <cdr:cNvPr id="2" name="Rectangle 1"/>
        <cdr:cNvSpPr/>
      </cdr:nvSpPr>
      <cdr:spPr>
        <a:xfrm xmlns:a="http://schemas.openxmlformats.org/drawingml/2006/main">
          <a:off x="0" y="0"/>
          <a:ext cx="1440160" cy="261610"/>
        </a:xfrm>
        <a:prstGeom xmlns:a="http://schemas.openxmlformats.org/drawingml/2006/main" prst="rect">
          <a:avLst/>
        </a:prstGeom>
      </cdr:spPr>
      <cdr:txBody>
        <a:bodyPr xmlns:a="http://schemas.openxmlformats.org/drawingml/2006/main" wrap="square">
          <a:spAutoFit/>
        </a:bodyPr>
        <a:lstStyle xmlns:a="http://schemas.openxmlformats.org/drawingml/2006/main">
          <a:defPPr>
            <a:defRPr lang="es-ES"/>
          </a:defPPr>
          <a:lvl1pPr marL="0" algn="l" defTabSz="914400" rtl="0" eaLnBrk="1" latinLnBrk="0" hangingPunct="1">
            <a:defRPr sz="1800" kern="1200">
              <a:solidFill>
                <a:sysClr val="windowText" lastClr="000000"/>
              </a:solidFill>
              <a:latin typeface="Calibri"/>
            </a:defRPr>
          </a:lvl1pPr>
          <a:lvl2pPr marL="457200" algn="l" defTabSz="914400" rtl="0" eaLnBrk="1" latinLnBrk="0" hangingPunct="1">
            <a:defRPr sz="1800" kern="1200">
              <a:solidFill>
                <a:sysClr val="windowText" lastClr="000000"/>
              </a:solidFill>
              <a:latin typeface="Calibri"/>
            </a:defRPr>
          </a:lvl2pPr>
          <a:lvl3pPr marL="914400" algn="l" defTabSz="914400" rtl="0" eaLnBrk="1" latinLnBrk="0" hangingPunct="1">
            <a:defRPr sz="1800" kern="1200">
              <a:solidFill>
                <a:sysClr val="windowText" lastClr="000000"/>
              </a:solidFill>
              <a:latin typeface="Calibri"/>
            </a:defRPr>
          </a:lvl3pPr>
          <a:lvl4pPr marL="1371600" algn="l" defTabSz="914400" rtl="0" eaLnBrk="1" latinLnBrk="0" hangingPunct="1">
            <a:defRPr sz="1800" kern="1200">
              <a:solidFill>
                <a:sysClr val="windowText" lastClr="000000"/>
              </a:solidFill>
              <a:latin typeface="Calibri"/>
            </a:defRPr>
          </a:lvl4pPr>
          <a:lvl5pPr marL="1828800" algn="l" defTabSz="914400" rtl="0" eaLnBrk="1" latinLnBrk="0" hangingPunct="1">
            <a:defRPr sz="1800" kern="1200">
              <a:solidFill>
                <a:sysClr val="windowText" lastClr="000000"/>
              </a:solidFill>
              <a:latin typeface="Calibri"/>
            </a:defRPr>
          </a:lvl5pPr>
          <a:lvl6pPr marL="2286000" algn="l" defTabSz="914400" rtl="0" eaLnBrk="1" latinLnBrk="0" hangingPunct="1">
            <a:defRPr sz="1800" kern="1200">
              <a:solidFill>
                <a:sysClr val="windowText" lastClr="000000"/>
              </a:solidFill>
              <a:latin typeface="Calibri"/>
            </a:defRPr>
          </a:lvl6pPr>
          <a:lvl7pPr marL="2743200" algn="l" defTabSz="914400" rtl="0" eaLnBrk="1" latinLnBrk="0" hangingPunct="1">
            <a:defRPr sz="1800" kern="1200">
              <a:solidFill>
                <a:sysClr val="windowText" lastClr="000000"/>
              </a:solidFill>
              <a:latin typeface="Calibri"/>
            </a:defRPr>
          </a:lvl7pPr>
          <a:lvl8pPr marL="3200400" algn="l" defTabSz="914400" rtl="0" eaLnBrk="1" latinLnBrk="0" hangingPunct="1">
            <a:defRPr sz="1800" kern="1200">
              <a:solidFill>
                <a:sysClr val="windowText" lastClr="000000"/>
              </a:solidFill>
              <a:latin typeface="Calibri"/>
            </a:defRPr>
          </a:lvl8pPr>
          <a:lvl9pPr marL="3657600" algn="l" defTabSz="914400" rtl="0" eaLnBrk="1" latinLnBrk="0" hangingPunct="1">
            <a:defRPr sz="1800" kern="1200">
              <a:solidFill>
                <a:sysClr val="windowText" lastClr="000000"/>
              </a:solidFill>
              <a:latin typeface="Calibri"/>
            </a:defRPr>
          </a:lvl9pPr>
        </a:lstStyle>
        <a:p xmlns:a="http://schemas.openxmlformats.org/drawingml/2006/main">
          <a:pPr algn="ctr"/>
          <a:r>
            <a:rPr lang="es-ES" sz="1100" b="1" dirty="0" smtClean="0">
              <a:latin typeface="MinionPro-Regular"/>
            </a:rPr>
            <a:t>ESCENARIO 1</a:t>
          </a:r>
          <a:endParaRPr lang="es-ES" sz="1100" b="1" dirty="0">
            <a:latin typeface="MinionPro-Regular"/>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o" ma:contentTypeID="0x01010072E4028439FAD747995B2BF0BF93A55A" ma:contentTypeVersion="1" ma:contentTypeDescription="Crear nuevo documento." ma:contentTypeScope="" ma:versionID="1c923923736ede76b23e9458da506f3f">
  <xsd:schema xmlns:xsd="http://www.w3.org/2001/XMLSchema" xmlns:p="http://schemas.microsoft.com/office/2006/metadata/properties" xmlns:ns1="http://schemas.microsoft.com/sharepoint/v3" targetNamespace="http://schemas.microsoft.com/office/2006/metadata/properties" ma:root="true" ma:fieldsID="de0440bbc1511b0035ba1d3831ae9db4"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Fecha de inicio programada" ma:internalName="PublishingStartDate">
      <xsd:simpleType>
        <xsd:restriction base="dms:Unknown"/>
      </xsd:simpleType>
    </xsd:element>
    <xsd:element name="PublishingExpirationDate" ma:index="9" nillable="true" ma:displayName="Fecha de finalización programada"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ma:readOnly="true"/>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D680B2B9-CB95-4DC3-9B8D-F2E137670883}"/>
</file>

<file path=customXml/itemProps2.xml><?xml version="1.0" encoding="utf-8"?>
<ds:datastoreItem xmlns:ds="http://schemas.openxmlformats.org/officeDocument/2006/customXml" ds:itemID="{1B97D984-EE78-4594-A8A8-8F814FE511E8}"/>
</file>

<file path=customXml/itemProps3.xml><?xml version="1.0" encoding="utf-8"?>
<ds:datastoreItem xmlns:ds="http://schemas.openxmlformats.org/officeDocument/2006/customXml" ds:itemID="{660DCF8B-BA98-4475-A6BE-B437E80D3CB9}"/>
</file>

<file path=customXml/itemProps4.xml><?xml version="1.0" encoding="utf-8"?>
<ds:datastoreItem xmlns:ds="http://schemas.openxmlformats.org/officeDocument/2006/customXml" ds:itemID="{C1A05859-D8C6-4C43-8EDD-32D952B37953}"/>
</file>

<file path=docProps/app.xml><?xml version="1.0" encoding="utf-8"?>
<Properties xmlns="http://schemas.openxmlformats.org/officeDocument/2006/extended-properties" xmlns:vt="http://schemas.openxmlformats.org/officeDocument/2006/docPropsVTypes">
  <Template>report_es.dot</Template>
  <TotalTime>583</TotalTime>
  <Pages>319</Pages>
  <Words>62812</Words>
  <Characters>345472</Characters>
  <Application>Microsoft Office Word</Application>
  <DocSecurity>8</DocSecurity>
  <Lines>2878</Lines>
  <Paragraphs>814</Paragraphs>
  <ScaleCrop>false</ScaleCrop>
  <HeadingPairs>
    <vt:vector size="2" baseType="variant">
      <vt:variant>
        <vt:lpstr>Title</vt:lpstr>
      </vt:variant>
      <vt:variant>
        <vt:i4>1</vt:i4>
      </vt:variant>
    </vt:vector>
  </HeadingPairs>
  <TitlesOfParts>
    <vt:vector size="1" baseType="lpstr">
      <vt:lpstr>Presente y futuro de los centros especiales de empleo</vt:lpstr>
    </vt:vector>
  </TitlesOfParts>
  <Company>KPMG</Company>
  <LinksUpToDate>false</LinksUpToDate>
  <CharactersWithSpaces>407470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Presente y futuro de los centros especiales de empleo</dc:title>
  <dc:subject>Fundación ONCE</dc:subject>
  <dc:creator>KPMG</dc:creator>
  <cp:lastModifiedBy>esanabria.galenas</cp:lastModifiedBy>
  <cp:revision>27</cp:revision>
  <cp:lastPrinted>2013-03-22T12:32:00Z</cp:lastPrinted>
  <dcterms:created xsi:type="dcterms:W3CDTF">2013-03-22T07:43:00Z</dcterms:created>
  <dcterms:modified xsi:type="dcterms:W3CDTF">2013-09-27T10:34:00Z</dcterms:modified>
  <cp:contentType>Documento</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ISDateFmt">
    <vt:lpwstr>dd/MM/yyyy</vt:lpwstr>
  </property>
  <property fmtid="{D5CDD505-2E9C-101B-9397-08002B2CF9AE}" pid="3" name="KISFirmDispName">
    <vt:lpwstr>KPMG Asesores S.L. - Español</vt:lpwstr>
  </property>
  <property fmtid="{D5CDD505-2E9C-101B-9397-08002B2CF9AE}" pid="4" name="KISFirmPrtName">
    <vt:lpwstr>KPMG Asesores S.L.</vt:lpwstr>
  </property>
  <property fmtid="{D5CDD505-2E9C-101B-9397-08002B2CF9AE}" pid="5" name="KISFirmInfoA">
    <vt:lpwstr>Reg. Mer Madrid, T. 14.972, F. 53,</vt:lpwstr>
  </property>
  <property fmtid="{D5CDD505-2E9C-101B-9397-08002B2CF9AE}" pid="6" name="KISFirmInfoB">
    <vt:lpwstr>Sec. 8 , H. M -249.480, Inscrip. 1.ª</vt:lpwstr>
  </property>
  <property fmtid="{D5CDD505-2E9C-101B-9397-08002B2CF9AE}" pid="7" name="KISFirmInfoC">
    <vt:lpwstr>N.I.F. B-82498650</vt:lpwstr>
  </property>
  <property fmtid="{D5CDD505-2E9C-101B-9397-08002B2CF9AE}" pid="8" name="KISFirmDesc">
    <vt:lpwstr>KPMG Asesores S.L., sociedad española de responsabilidad limitada, es una filial de KPMG Europe LLP y firma miembro de la red KPMG de firmas independientes afiliadas a KPMG International Cooperative (“KPMG International”), sociedad suiza.</vt:lpwstr>
  </property>
  <property fmtid="{D5CDD505-2E9C-101B-9397-08002B2CF9AE}" pid="9" name="KISSvcDispName">
    <vt:lpwstr/>
  </property>
  <property fmtid="{D5CDD505-2E9C-101B-9397-08002B2CF9AE}" pid="10" name="KISSvcPrtName">
    <vt:lpwstr/>
  </property>
  <property fmtid="{D5CDD505-2E9C-101B-9397-08002B2CF9AE}" pid="11" name="KISSvcInfoA">
    <vt:lpwstr/>
  </property>
  <property fmtid="{D5CDD505-2E9C-101B-9397-08002B2CF9AE}" pid="12" name="KISSvcInfoB">
    <vt:lpwstr/>
  </property>
  <property fmtid="{D5CDD505-2E9C-101B-9397-08002B2CF9AE}" pid="13" name="KISSvcInfoC">
    <vt:lpwstr/>
  </property>
  <property fmtid="{D5CDD505-2E9C-101B-9397-08002B2CF9AE}" pid="14" name="KISOffName">
    <vt:lpwstr>Madrid (Aud/Abog/Adv/S.A./Fundación)</vt:lpwstr>
  </property>
  <property fmtid="{D5CDD505-2E9C-101B-9397-08002B2CF9AE}" pid="15" name="KISOffCity">
    <vt:lpwstr/>
  </property>
  <property fmtid="{D5CDD505-2E9C-101B-9397-08002B2CF9AE}" pid="16" name="KISOffInfoA">
    <vt:lpwstr/>
  </property>
  <property fmtid="{D5CDD505-2E9C-101B-9397-08002B2CF9AE}" pid="17" name="KISOff1Addr">
    <vt:lpwstr>Edificio Torre Europa_Pº. de la Castellana, 95_28046 Madrid</vt:lpwstr>
  </property>
  <property fmtid="{D5CDD505-2E9C-101B-9397-08002B2CF9AE}" pid="18" name="KISOff2Addr">
    <vt:lpwstr/>
  </property>
  <property fmtid="{D5CDD505-2E9C-101B-9397-08002B2CF9AE}" pid="19" name="KISOff3Addr">
    <vt:lpwstr>Tel     	 	+34 91 456 34 00_Fax		+34 91 555 01 32_Web		www.kpmg.es</vt:lpwstr>
  </property>
  <property fmtid="{D5CDD505-2E9C-101B-9397-08002B2CF9AE}" pid="20" name="KISClient">
    <vt:lpwstr>Fundación ONCE</vt:lpwstr>
  </property>
  <property fmtid="{D5CDD505-2E9C-101B-9397-08002B2CF9AE}" pid="21" name="KISSubject">
    <vt:lpwstr>Presente y futuro de los centros especiales de empleo</vt:lpwstr>
  </property>
  <property fmtid="{D5CDD505-2E9C-101B-9397-08002B2CF9AE}" pid="22" name="KISRepSubTitle">
    <vt:lpwstr/>
  </property>
  <property fmtid="{D5CDD505-2E9C-101B-9397-08002B2CF9AE}" pid="23" name="KISHdrInfo">
    <vt:lpwstr>noviembre 2012</vt:lpwstr>
  </property>
  <property fmtid="{D5CDD505-2E9C-101B-9397-08002B2CF9AE}" pid="24" name="KISTmpltVer">
    <vt:lpwstr>3.0</vt:lpwstr>
  </property>
  <property fmtid="{D5CDD505-2E9C-101B-9397-08002B2CF9AE}" pid="25" name="KISFirmCopyright">
    <vt:lpwstr>© 2012 KPMG Asesores S.L., sociedad española de responsabilidad limitada, es una filial de KPMG Europe LLP y firma miembro de la red KPMG de firmas independientes afiliadas a KPMG International Cooperative (“KPMG International”), sociedad suiza. Tod</vt:lpwstr>
  </property>
  <property fmtid="{D5CDD505-2E9C-101B-9397-08002B2CF9AE}" pid="26" name="KISFirmCopyright2">
    <vt:lpwstr>os los derechos reservados.</vt:lpwstr>
  </property>
  <property fmtid="{D5CDD505-2E9C-101B-9397-08002B2CF9AE}" pid="27" name="KISHdrInfoA">
    <vt:lpwstr/>
  </property>
  <property fmtid="{D5CDD505-2E9C-101B-9397-08002B2CF9AE}" pid="28" name="ContentTypeId">
    <vt:lpwstr>0x01010072E4028439FAD747995B2BF0BF93A55A</vt:lpwstr>
  </property>
</Properties>
</file>